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2b2-2b6)</w:t>
      </w:r>
    </w:p>
    <w:p w:rsidR="00927027" w:rsidRDefault="00927027" w:rsidP="00105D8B">
      <w:pPr>
        <w:contextualSpacing/>
        <w:rPr>
          <w:rFonts w:cstheme="minorHAnsi"/>
          <w:b/>
          <w:noProof/>
        </w:rPr>
      </w:pPr>
    </w:p>
    <w:p w:rsidR="00105D8B" w:rsidRPr="00A25024" w:rsidRDefault="00105D8B" w:rsidP="00751508">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Pr>
              <w:id w:val="30006395"/>
              <w:placeholder>
                <w:docPart w:val="60D61EEF96EF4777AD0C25848A62FE40"/>
              </w:placeholder>
            </w:sdtPr>
            <w:sdtEndPr>
              <w:rPr>
                <w:rStyle w:val="DefaultParagraphFont"/>
                <w:noProof/>
                <w:color w:val="auto"/>
              </w:rPr>
            </w:sdtEndPr>
            <w:sdtContent>
              <w:r w:rsidR="00751508" w:rsidRPr="00A14AE3">
                <w:rPr>
                  <w:color w:val="0000FF"/>
                </w:rPr>
                <w:t>All-Cause Unplanned Readmission Measure for 30 Days Post Discharge from Inpatient Rehabilitation Facilities</w:t>
              </w:r>
            </w:sdtContent>
          </w:sdt>
        </w:sdtContent>
      </w:sdt>
    </w:p>
    <w:p w:rsidR="005C73CA" w:rsidRDefault="00105D8B" w:rsidP="00751508">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2-05T00:00:00Z">
            <w:dateFormat w:val="M/d/yyyy"/>
            <w:lid w:val="en-US"/>
            <w:storeMappedDataAs w:val="dateTime"/>
            <w:calendar w:val="gregorian"/>
          </w:date>
        </w:sdtPr>
        <w:sdtEndPr>
          <w:rPr>
            <w:rStyle w:val="DefaultParagraphFont"/>
            <w:noProof/>
            <w:color w:val="auto"/>
            <w:u w:val="none"/>
          </w:rPr>
        </w:sdtEndPr>
        <w:sdtContent>
          <w:r w:rsidR="00751508">
            <w:rPr>
              <w:rStyle w:val="Style2"/>
              <w:rFonts w:cstheme="minorHAnsi"/>
            </w:rPr>
            <w:t>2/5/2014</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F76F8C" w:rsidP="00CD364B">
            <w:pPr>
              <w:autoSpaceDE w:val="0"/>
              <w:autoSpaceDN w:val="0"/>
              <w:adjustRightInd w:val="0"/>
              <w:rPr>
                <w:rFonts w:cstheme="minorHAnsi"/>
                <w:bCs/>
              </w:rPr>
            </w:pPr>
            <w:sdt>
              <w:sdtPr>
                <w:rPr>
                  <w:rFonts w:cstheme="minorHAnsi"/>
                  <w:bCs/>
                  <w:color w:val="0000FF"/>
                  <w:u w:val="single"/>
                </w:rPr>
                <w:id w:val="-1406217088"/>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402892" w:rsidRDefault="00F76F8C" w:rsidP="00402892">
            <w:pPr>
              <w:autoSpaceDE w:val="0"/>
              <w:autoSpaceDN w:val="0"/>
              <w:adjustRightInd w:val="0"/>
              <w:rPr>
                <w:rFonts w:cstheme="minorHAnsi"/>
                <w:bCs/>
                <w:highlight w:val="lightGray"/>
              </w:rPr>
            </w:pPr>
            <w:sdt>
              <w:sdtPr>
                <w:rPr>
                  <w:rFonts w:cstheme="minorHAnsi"/>
                  <w:bCs/>
                  <w:color w:val="0000FF"/>
                  <w:highlight w:val="lightGray"/>
                </w:rPr>
                <w:id w:val="40960739"/>
              </w:sdtPr>
              <w:sdtEndPr/>
              <w:sdtContent>
                <w:r w:rsidR="00402892" w:rsidRPr="00402892">
                  <w:rPr>
                    <w:rFonts w:cstheme="minorHAnsi"/>
                    <w:bCs/>
                    <w:color w:val="0000FF"/>
                    <w:highlight w:val="lightGray"/>
                  </w:rPr>
                  <w:t>X</w:t>
                </w:r>
              </w:sdtContent>
            </w:sdt>
            <w:r w:rsidR="00B82A57" w:rsidRPr="00402892">
              <w:rPr>
                <w:rFonts w:cstheme="minorHAnsi"/>
                <w:bCs/>
                <w:highlight w:val="lightGray"/>
              </w:rPr>
              <w:t xml:space="preserve"> </w:t>
            </w:r>
            <w:r w:rsidR="00CD364B" w:rsidRPr="00402892">
              <w:rPr>
                <w:rFonts w:cstheme="minorHAnsi"/>
                <w:bCs/>
                <w:highlight w:val="lightGray"/>
              </w:rPr>
              <w:t>Outcome</w:t>
            </w:r>
            <w:r w:rsidR="00BC0D25" w:rsidRPr="00402892">
              <w:rPr>
                <w:rFonts w:cstheme="minorHAnsi"/>
                <w:bCs/>
                <w:highlight w:val="lightGray"/>
              </w:rPr>
              <w:t xml:space="preserve"> (</w:t>
            </w:r>
            <w:r w:rsidR="00BC0D25" w:rsidRPr="00402892">
              <w:rPr>
                <w:rFonts w:cstheme="minorHAnsi"/>
                <w:bCs/>
                <w:i/>
                <w:highlight w:val="lightGray"/>
              </w:rPr>
              <w:t>including PRO-PM</w:t>
            </w:r>
            <w:r w:rsidR="00BC0D25" w:rsidRPr="00402892">
              <w:rPr>
                <w:rFonts w:cstheme="minorHAnsi"/>
                <w:bCs/>
                <w:highlight w:val="lightGray"/>
              </w:rPr>
              <w:t>)</w:t>
            </w:r>
          </w:p>
        </w:tc>
      </w:tr>
      <w:tr w:rsidR="00CD364B" w:rsidRPr="00B82A57" w:rsidTr="000B3880">
        <w:trPr>
          <w:jc w:val="center"/>
        </w:trPr>
        <w:tc>
          <w:tcPr>
            <w:tcW w:w="2547" w:type="pct"/>
          </w:tcPr>
          <w:p w:rsidR="00CD364B" w:rsidRPr="00B82A57" w:rsidRDefault="00F76F8C" w:rsidP="00CD364B">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F76F8C" w:rsidP="00CD364B">
            <w:pPr>
              <w:autoSpaceDE w:val="0"/>
              <w:autoSpaceDN w:val="0"/>
              <w:adjustRightInd w:val="0"/>
              <w:rPr>
                <w:rFonts w:cstheme="minorHAnsi"/>
                <w:bCs/>
              </w:rPr>
            </w:pPr>
            <w:sdt>
              <w:sdtPr>
                <w:rPr>
                  <w:rFonts w:cstheme="minorHAnsi"/>
                  <w:bCs/>
                  <w:color w:val="0000FF"/>
                </w:rPr>
                <w:id w:val="-1952933063"/>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F76F8C" w:rsidP="00CD364B">
            <w:pPr>
              <w:autoSpaceDE w:val="0"/>
              <w:autoSpaceDN w:val="0"/>
              <w:adjustRightInd w:val="0"/>
              <w:rPr>
                <w:rFonts w:cstheme="minorHAnsi"/>
                <w:bCs/>
              </w:rPr>
            </w:pPr>
            <w:sdt>
              <w:sdtPr>
                <w:rPr>
                  <w:rFonts w:cstheme="minorHAnsi"/>
                  <w:bCs/>
                  <w:color w:val="0000FF"/>
                </w:rPr>
                <w:id w:val="1581719781"/>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F76F8C" w:rsidP="00CD364B">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9"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4853A0" w:rsidTr="00145149">
        <w:trPr>
          <w:jc w:val="center"/>
        </w:trPr>
        <w:tc>
          <w:tcPr>
            <w:tcW w:w="9576" w:type="dxa"/>
          </w:tcPr>
          <w:p w:rsidR="00B53E8B" w:rsidRPr="004853A0" w:rsidRDefault="00B53E8B" w:rsidP="00702C73">
            <w:pPr>
              <w:rPr>
                <w:rFonts w:cstheme="minorHAnsi"/>
                <w:b/>
                <w:bCs/>
              </w:rPr>
            </w:pPr>
            <w:r w:rsidRPr="004853A0">
              <w:rPr>
                <w:b/>
                <w:bCs/>
                <w:u w:val="single"/>
              </w:rPr>
              <w:t>Note</w:t>
            </w:r>
            <w:r w:rsidRPr="004853A0">
              <w:rPr>
                <w:b/>
                <w:bCs/>
              </w:rPr>
              <w:t>: The information provided in this form is intended to aid the Steering Committee and other stakeholders in understanding to what degree the testing results for this measure meet NQF’s evaluation criteria</w:t>
            </w:r>
            <w:r w:rsidR="000E78F6" w:rsidRPr="004853A0">
              <w:rPr>
                <w:b/>
                <w:bCs/>
              </w:rPr>
              <w:t xml:space="preserve"> for testing</w:t>
            </w:r>
            <w:r w:rsidRPr="004853A0">
              <w:rPr>
                <w:b/>
                <w:bCs/>
              </w:rPr>
              <w:t>.</w:t>
            </w:r>
          </w:p>
          <w:p w:rsidR="00B53E8B" w:rsidRPr="004853A0" w:rsidRDefault="00B53E8B" w:rsidP="00702C73">
            <w:pPr>
              <w:rPr>
                <w:rFonts w:cstheme="minorHAnsi"/>
                <w:b/>
                <w:bCs/>
              </w:rPr>
            </w:pPr>
          </w:p>
          <w:p w:rsidR="00BC0D25" w:rsidRPr="004853A0" w:rsidRDefault="00145149" w:rsidP="00702C73">
            <w:pPr>
              <w:rPr>
                <w:rFonts w:cstheme="minorHAnsi"/>
                <w:bCs/>
                <w:iCs/>
              </w:rPr>
            </w:pPr>
            <w:r w:rsidRPr="004853A0">
              <w:rPr>
                <w:rFonts w:cstheme="minorHAnsi"/>
                <w:b/>
                <w:bCs/>
              </w:rPr>
              <w:t>2a2.</w:t>
            </w:r>
            <w:r w:rsidRPr="004853A0">
              <w:rPr>
                <w:rFonts w:cstheme="minorHAnsi"/>
              </w:rPr>
              <w:t xml:space="preserve"> </w:t>
            </w:r>
            <w:r w:rsidRPr="004853A0">
              <w:rPr>
                <w:rFonts w:cstheme="minorHAnsi"/>
                <w:b/>
              </w:rPr>
              <w:t>Reliability testing</w:t>
            </w:r>
            <w:r w:rsidRPr="004853A0">
              <w:rPr>
                <w:rFonts w:cstheme="minorHAnsi"/>
              </w:rPr>
              <w:t xml:space="preserve"> </w:t>
            </w:r>
            <w:hyperlink w:anchor="Note10" w:history="1">
              <w:r w:rsidRPr="004853A0">
                <w:rPr>
                  <w:rStyle w:val="Hyperlink"/>
                  <w:rFonts w:cstheme="minorHAnsi"/>
                  <w:b/>
                  <w:vertAlign w:val="superscript"/>
                </w:rPr>
                <w:t>10</w:t>
              </w:r>
            </w:hyperlink>
            <w:r w:rsidRPr="004853A0">
              <w:rPr>
                <w:rFonts w:cstheme="minorHAnsi"/>
              </w:rPr>
              <w:t xml:space="preserve"> demonstrates the measure data elements are repeatable, producing the same results a high proportion of the time when assessed </w:t>
            </w:r>
            <w:r w:rsidRPr="004853A0">
              <w:rPr>
                <w:rFonts w:cstheme="minorHAnsi"/>
                <w:bCs/>
                <w:iCs/>
              </w:rPr>
              <w:t xml:space="preserve">in the same population in the same time period </w:t>
            </w:r>
            <w:r w:rsidRPr="004853A0">
              <w:rPr>
                <w:rFonts w:cstheme="minorHAnsi"/>
              </w:rPr>
              <w:t>and/or that the measure score is precise</w:t>
            </w:r>
            <w:r w:rsidRPr="004853A0">
              <w:rPr>
                <w:rFonts w:cstheme="minorHAnsi"/>
                <w:bCs/>
                <w:iCs/>
              </w:rPr>
              <w:t>.</w:t>
            </w:r>
          </w:p>
          <w:p w:rsidR="00145149" w:rsidRPr="004853A0" w:rsidRDefault="00145149" w:rsidP="00145149">
            <w:pPr>
              <w:autoSpaceDE w:val="0"/>
              <w:autoSpaceDN w:val="0"/>
              <w:adjustRightInd w:val="0"/>
              <w:rPr>
                <w:rFonts w:cstheme="minorHAnsi"/>
                <w:b/>
                <w:iCs/>
              </w:rPr>
            </w:pPr>
          </w:p>
          <w:p w:rsidR="00145149" w:rsidRPr="004853A0" w:rsidRDefault="00145149" w:rsidP="00145149">
            <w:pPr>
              <w:autoSpaceDE w:val="0"/>
              <w:autoSpaceDN w:val="0"/>
              <w:adjustRightInd w:val="0"/>
              <w:rPr>
                <w:rFonts w:cstheme="minorHAnsi"/>
              </w:rPr>
            </w:pPr>
            <w:r w:rsidRPr="004853A0">
              <w:rPr>
                <w:rFonts w:cstheme="minorHAnsi"/>
                <w:b/>
                <w:iCs/>
              </w:rPr>
              <w:t>2b2.</w:t>
            </w:r>
            <w:r w:rsidRPr="004853A0">
              <w:rPr>
                <w:rFonts w:cstheme="minorHAnsi"/>
                <w:bCs/>
                <w:iCs/>
              </w:rPr>
              <w:t xml:space="preserve"> </w:t>
            </w:r>
            <w:r w:rsidRPr="004853A0">
              <w:rPr>
                <w:rFonts w:cstheme="minorHAnsi"/>
                <w:b/>
                <w:bCs/>
                <w:iCs/>
              </w:rPr>
              <w:t>Validity testing</w:t>
            </w:r>
            <w:r w:rsidRPr="004853A0">
              <w:rPr>
                <w:rFonts w:cstheme="minorHAnsi"/>
                <w:bCs/>
                <w:iCs/>
              </w:rPr>
              <w:t xml:space="preserve"> </w:t>
            </w:r>
            <w:hyperlink w:anchor="Note11" w:history="1">
              <w:r w:rsidRPr="004853A0">
                <w:rPr>
                  <w:rStyle w:val="Hyperlink"/>
                  <w:rFonts w:cstheme="minorHAnsi"/>
                  <w:b/>
                  <w:vertAlign w:val="superscript"/>
                </w:rPr>
                <w:t>11</w:t>
              </w:r>
            </w:hyperlink>
            <w:r w:rsidRPr="004853A0">
              <w:rPr>
                <w:rFonts w:cstheme="minorHAnsi"/>
                <w:bCs/>
                <w:iCs/>
              </w:rPr>
              <w:t xml:space="preserve"> demonstrates that the measure data elements are correct and/or the </w:t>
            </w:r>
            <w:r w:rsidRPr="004853A0">
              <w:rPr>
                <w:rFonts w:cstheme="minorHAnsi"/>
              </w:rPr>
              <w:t>measure score correctly reflects the quality of care provided, adequately identifying differences in quality</w:t>
            </w:r>
            <w:r w:rsidRPr="004853A0">
              <w:rPr>
                <w:rFonts w:cstheme="minorHAnsi"/>
                <w:color w:val="0000FF"/>
              </w:rPr>
              <w:t xml:space="preserve">.  </w:t>
            </w:r>
          </w:p>
          <w:p w:rsidR="00145149" w:rsidRPr="004853A0" w:rsidRDefault="00145149" w:rsidP="00145149">
            <w:pPr>
              <w:rPr>
                <w:rFonts w:cstheme="minorHAnsi"/>
              </w:rPr>
            </w:pPr>
            <w:bookmarkStart w:id="0" w:name="_Toc256067249"/>
          </w:p>
          <w:p w:rsidR="00145149" w:rsidRPr="004853A0" w:rsidRDefault="00145149" w:rsidP="00145149">
            <w:pPr>
              <w:rPr>
                <w:rFonts w:cstheme="minorHAnsi"/>
              </w:rPr>
            </w:pPr>
            <w:r w:rsidRPr="004853A0">
              <w:rPr>
                <w:rFonts w:cstheme="minorHAnsi"/>
                <w:b/>
                <w:bCs/>
              </w:rPr>
              <w:t>2b3.</w:t>
            </w:r>
            <w:r w:rsidRPr="004853A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4853A0">
                <w:rPr>
                  <w:rStyle w:val="Hyperlink"/>
                  <w:rFonts w:cstheme="minorHAnsi"/>
                  <w:b/>
                  <w:vertAlign w:val="superscript"/>
                </w:rPr>
                <w:t>12</w:t>
              </w:r>
            </w:hyperlink>
          </w:p>
          <w:p w:rsidR="00145149" w:rsidRPr="004853A0" w:rsidRDefault="00145149" w:rsidP="00145149">
            <w:pPr>
              <w:rPr>
                <w:rFonts w:cstheme="minorHAnsi"/>
                <w:b/>
              </w:rPr>
            </w:pPr>
            <w:r w:rsidRPr="004853A0">
              <w:rPr>
                <w:rFonts w:cstheme="minorHAnsi"/>
                <w:b/>
              </w:rPr>
              <w:t xml:space="preserve">AND </w:t>
            </w:r>
          </w:p>
          <w:p w:rsidR="00145149" w:rsidRPr="004853A0" w:rsidRDefault="00145149" w:rsidP="00145149">
            <w:pPr>
              <w:rPr>
                <w:rFonts w:cstheme="minorHAnsi"/>
              </w:rPr>
            </w:pPr>
            <w:r w:rsidRPr="004853A0">
              <w:rPr>
                <w:rFonts w:cstheme="minorHAnsi"/>
              </w:rPr>
              <w:t xml:space="preserve">If patient preference (e.g., informed </w:t>
            </w:r>
            <w:proofErr w:type="spellStart"/>
            <w:r w:rsidRPr="004853A0">
              <w:rPr>
                <w:rFonts w:cstheme="minorHAnsi"/>
              </w:rPr>
              <w:t>decisionmaking</w:t>
            </w:r>
            <w:proofErr w:type="spellEnd"/>
            <w:r w:rsidRPr="004853A0">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4853A0">
                <w:rPr>
                  <w:rStyle w:val="Hyperlink"/>
                  <w:rFonts w:cstheme="minorHAnsi"/>
                  <w:b/>
                  <w:vertAlign w:val="superscript"/>
                </w:rPr>
                <w:t>13</w:t>
              </w:r>
            </w:hyperlink>
          </w:p>
          <w:p w:rsidR="00145149" w:rsidRPr="004853A0" w:rsidRDefault="00145149" w:rsidP="00145149">
            <w:pPr>
              <w:rPr>
                <w:rFonts w:cstheme="minorHAnsi"/>
                <w:b/>
                <w:bCs/>
              </w:rPr>
            </w:pPr>
          </w:p>
          <w:p w:rsidR="00145149" w:rsidRPr="004853A0" w:rsidRDefault="00145149" w:rsidP="00145149">
            <w:pPr>
              <w:rPr>
                <w:rFonts w:cstheme="minorHAnsi"/>
              </w:rPr>
            </w:pPr>
            <w:bookmarkStart w:id="1" w:name="_Toc256067250"/>
            <w:r w:rsidRPr="004853A0">
              <w:rPr>
                <w:rFonts w:cstheme="minorHAnsi"/>
                <w:b/>
                <w:bCs/>
              </w:rPr>
              <w:t>2b4.</w:t>
            </w:r>
            <w:r w:rsidRPr="004853A0">
              <w:rPr>
                <w:rFonts w:cstheme="minorHAnsi"/>
              </w:rPr>
              <w:t xml:space="preserve"> </w:t>
            </w:r>
            <w:r w:rsidRPr="004853A0">
              <w:rPr>
                <w:rFonts w:cstheme="minorHAnsi"/>
                <w:b/>
              </w:rPr>
              <w:t>For outcome measures and other measures when indicated</w:t>
            </w:r>
            <w:r w:rsidRPr="004853A0">
              <w:rPr>
                <w:rFonts w:cstheme="minorHAnsi"/>
              </w:rPr>
              <w:t xml:space="preserve"> (e.g., resource use): </w:t>
            </w:r>
          </w:p>
          <w:p w:rsidR="00145149" w:rsidRPr="004853A0" w:rsidRDefault="00145149" w:rsidP="00145149">
            <w:pPr>
              <w:numPr>
                <w:ilvl w:val="0"/>
                <w:numId w:val="26"/>
              </w:numPr>
              <w:ind w:left="0" w:firstLine="0"/>
              <w:rPr>
                <w:rFonts w:cstheme="minorHAnsi"/>
              </w:rPr>
            </w:pPr>
            <w:r w:rsidRPr="004853A0">
              <w:rPr>
                <w:rFonts w:cstheme="minorHAnsi"/>
                <w:b/>
              </w:rPr>
              <w:t>an evidence-based risk-adjustment strategy</w:t>
            </w:r>
            <w:r w:rsidRPr="004853A0">
              <w:rPr>
                <w:rFonts w:cstheme="minorHAnsi"/>
              </w:rPr>
              <w:t xml:space="preserve"> (e.g., risk models, risk stratification) is specified; is based on patient </w:t>
            </w:r>
            <w:r w:rsidRPr="004853A0">
              <w:rPr>
                <w:rFonts w:cstheme="minorHAnsi"/>
              </w:rPr>
              <w:lastRenderedPageBreak/>
              <w:t xml:space="preserve">factors that influence the measured outcome (but not factors related to disparities in care or the quality of care) and are present at start of care; </w:t>
            </w:r>
            <w:hyperlink w:anchor="Note14" w:history="1">
              <w:r w:rsidRPr="004853A0">
                <w:rPr>
                  <w:rStyle w:val="Hyperlink"/>
                  <w:rFonts w:cstheme="minorHAnsi"/>
                  <w:b/>
                  <w:vertAlign w:val="superscript"/>
                </w:rPr>
                <w:t>14</w:t>
              </w:r>
            </w:hyperlink>
            <w:r w:rsidRPr="004853A0">
              <w:rPr>
                <w:rFonts w:cstheme="minorHAnsi"/>
                <w:b/>
                <w:vertAlign w:val="superscript"/>
              </w:rPr>
              <w:t>,</w:t>
            </w:r>
            <w:hyperlink w:anchor="Note15" w:history="1">
              <w:r w:rsidRPr="004853A0">
                <w:rPr>
                  <w:rStyle w:val="Hyperlink"/>
                  <w:rFonts w:cstheme="minorHAnsi"/>
                  <w:b/>
                  <w:vertAlign w:val="superscript"/>
                </w:rPr>
                <w:t>15</w:t>
              </w:r>
            </w:hyperlink>
            <w:r w:rsidRPr="004853A0">
              <w:rPr>
                <w:rFonts w:cstheme="minorHAnsi"/>
              </w:rPr>
              <w:t xml:space="preserve"> and has demonstrated adequate discrimination and calibration</w:t>
            </w:r>
          </w:p>
          <w:p w:rsidR="00145149" w:rsidRPr="004853A0" w:rsidRDefault="00145149" w:rsidP="00145149">
            <w:pPr>
              <w:rPr>
                <w:rFonts w:cstheme="minorHAnsi"/>
                <w:b/>
              </w:rPr>
            </w:pPr>
            <w:r w:rsidRPr="004853A0">
              <w:rPr>
                <w:rFonts w:cstheme="minorHAnsi"/>
                <w:b/>
              </w:rPr>
              <w:t>OR</w:t>
            </w:r>
          </w:p>
          <w:p w:rsidR="00145149" w:rsidRPr="004853A0" w:rsidRDefault="00145149" w:rsidP="00145149">
            <w:pPr>
              <w:numPr>
                <w:ilvl w:val="0"/>
                <w:numId w:val="26"/>
              </w:numPr>
              <w:ind w:left="0" w:firstLine="0"/>
              <w:rPr>
                <w:rFonts w:cstheme="minorHAnsi"/>
              </w:rPr>
            </w:pPr>
            <w:r w:rsidRPr="004853A0">
              <w:rPr>
                <w:rFonts w:cstheme="minorHAnsi"/>
              </w:rPr>
              <w:t xml:space="preserve">rationale/data support no risk adjustment/ stratification. </w:t>
            </w:r>
          </w:p>
          <w:p w:rsidR="00145149" w:rsidRPr="004853A0" w:rsidRDefault="00145149" w:rsidP="00145149">
            <w:pPr>
              <w:rPr>
                <w:rFonts w:cstheme="minorHAnsi"/>
                <w:b/>
                <w:bCs/>
              </w:rPr>
            </w:pPr>
          </w:p>
          <w:bookmarkEnd w:id="1"/>
          <w:p w:rsidR="00145149" w:rsidRPr="004853A0" w:rsidRDefault="00145149" w:rsidP="00145149">
            <w:pPr>
              <w:rPr>
                <w:rFonts w:cstheme="minorHAnsi"/>
              </w:rPr>
            </w:pPr>
            <w:r w:rsidRPr="004853A0">
              <w:rPr>
                <w:rFonts w:cstheme="minorHAnsi"/>
                <w:b/>
                <w:bCs/>
              </w:rPr>
              <w:t>2b5.</w:t>
            </w:r>
            <w:r w:rsidRPr="004853A0">
              <w:rPr>
                <w:rFonts w:cstheme="minorHAnsi"/>
              </w:rPr>
              <w:t xml:space="preserve"> Data analysis of computed measure scores demonstrates that methods for scoring and analysis of the specified measure allow for </w:t>
            </w:r>
            <w:r w:rsidRPr="004853A0">
              <w:rPr>
                <w:rFonts w:cstheme="minorHAnsi"/>
                <w:b/>
              </w:rPr>
              <w:t>identification of statistically significant and practically/clinically meaningful</w:t>
            </w:r>
            <w:r w:rsidRPr="004853A0">
              <w:rPr>
                <w:rFonts w:cstheme="minorHAnsi"/>
              </w:rPr>
              <w:t xml:space="preserve"> </w:t>
            </w:r>
            <w:hyperlink w:anchor="Note16" w:history="1">
              <w:r w:rsidRPr="004853A0">
                <w:rPr>
                  <w:rStyle w:val="Hyperlink"/>
                  <w:rFonts w:cstheme="minorHAnsi"/>
                  <w:b/>
                  <w:vertAlign w:val="superscript"/>
                </w:rPr>
                <w:t>16</w:t>
              </w:r>
            </w:hyperlink>
            <w:r w:rsidRPr="004853A0">
              <w:rPr>
                <w:rFonts w:cstheme="minorHAnsi"/>
              </w:rPr>
              <w:t xml:space="preserve"> </w:t>
            </w:r>
            <w:r w:rsidRPr="004853A0">
              <w:rPr>
                <w:rFonts w:cstheme="minorHAnsi"/>
                <w:b/>
              </w:rPr>
              <w:t>differences in performance</w:t>
            </w:r>
            <w:r w:rsidRPr="004853A0">
              <w:rPr>
                <w:rFonts w:cstheme="minorHAnsi"/>
              </w:rPr>
              <w:t>;</w:t>
            </w:r>
          </w:p>
          <w:p w:rsidR="00145149" w:rsidRPr="004853A0" w:rsidRDefault="00145149" w:rsidP="00145149">
            <w:pPr>
              <w:rPr>
                <w:rFonts w:cstheme="minorHAnsi"/>
              </w:rPr>
            </w:pPr>
            <w:r w:rsidRPr="004853A0">
              <w:rPr>
                <w:rFonts w:cstheme="minorHAnsi"/>
                <w:b/>
              </w:rPr>
              <w:t>OR</w:t>
            </w:r>
          </w:p>
          <w:p w:rsidR="00145149" w:rsidRPr="004853A0" w:rsidRDefault="00145149" w:rsidP="00145149">
            <w:pPr>
              <w:rPr>
                <w:rFonts w:cstheme="minorHAnsi"/>
              </w:rPr>
            </w:pPr>
            <w:r w:rsidRPr="004853A0">
              <w:rPr>
                <w:rFonts w:cstheme="minorHAnsi"/>
              </w:rPr>
              <w:t xml:space="preserve">there is evidence of overall less-than-optimal performance. </w:t>
            </w:r>
          </w:p>
          <w:p w:rsidR="00145149" w:rsidRPr="004853A0" w:rsidRDefault="00145149" w:rsidP="00145149">
            <w:pPr>
              <w:rPr>
                <w:rFonts w:cstheme="minorHAnsi"/>
                <w:b/>
                <w:bCs/>
              </w:rPr>
            </w:pPr>
          </w:p>
          <w:p w:rsidR="00145149" w:rsidRPr="004853A0" w:rsidRDefault="00145149" w:rsidP="00145149">
            <w:pPr>
              <w:rPr>
                <w:rFonts w:cstheme="minorHAnsi"/>
              </w:rPr>
            </w:pPr>
            <w:r w:rsidRPr="004853A0">
              <w:rPr>
                <w:rFonts w:cstheme="minorHAnsi"/>
                <w:b/>
                <w:bCs/>
              </w:rPr>
              <w:t>2b6.</w:t>
            </w:r>
            <w:r w:rsidRPr="004853A0">
              <w:rPr>
                <w:rFonts w:cstheme="minorHAnsi"/>
              </w:rPr>
              <w:t xml:space="preserve"> </w:t>
            </w:r>
            <w:r w:rsidRPr="004853A0">
              <w:rPr>
                <w:rFonts w:cstheme="minorHAnsi"/>
                <w:b/>
              </w:rPr>
              <w:t>If multiple data sources/methods are specified, there is demonstration they produce comparable results</w:t>
            </w:r>
            <w:r w:rsidRPr="004853A0">
              <w:rPr>
                <w:rFonts w:cstheme="minorHAnsi"/>
              </w:rPr>
              <w:t>.</w:t>
            </w:r>
          </w:p>
          <w:bookmarkEnd w:id="0"/>
          <w:p w:rsidR="00145149" w:rsidRPr="004853A0" w:rsidRDefault="00145149" w:rsidP="00145149">
            <w:pPr>
              <w:rPr>
                <w:rFonts w:cstheme="minorHAnsi"/>
                <w:b/>
                <w:bCs/>
              </w:rPr>
            </w:pPr>
          </w:p>
          <w:p w:rsidR="00145149" w:rsidRPr="004853A0" w:rsidRDefault="00145149" w:rsidP="00145149">
            <w:pPr>
              <w:autoSpaceDE w:val="0"/>
              <w:autoSpaceDN w:val="0"/>
              <w:adjustRightInd w:val="0"/>
              <w:rPr>
                <w:rFonts w:cstheme="minorHAnsi"/>
                <w:b/>
                <w:bCs/>
                <w:iCs/>
              </w:rPr>
            </w:pPr>
            <w:r w:rsidRPr="004853A0">
              <w:rPr>
                <w:rFonts w:cstheme="minorHAnsi"/>
                <w:b/>
                <w:bCs/>
                <w:iCs/>
              </w:rPr>
              <w:t>Notes</w:t>
            </w:r>
          </w:p>
          <w:p w:rsidR="00145149" w:rsidRPr="004853A0" w:rsidRDefault="00145149" w:rsidP="00145149">
            <w:pPr>
              <w:autoSpaceDE w:val="0"/>
              <w:autoSpaceDN w:val="0"/>
              <w:adjustRightInd w:val="0"/>
              <w:rPr>
                <w:rFonts w:cstheme="minorHAnsi"/>
              </w:rPr>
            </w:pPr>
            <w:bookmarkStart w:id="2" w:name="Note8"/>
            <w:bookmarkStart w:id="3" w:name="Note9"/>
            <w:bookmarkStart w:id="4" w:name="Note10"/>
            <w:bookmarkEnd w:id="2"/>
            <w:bookmarkEnd w:id="3"/>
            <w:bookmarkEnd w:id="4"/>
            <w:r w:rsidRPr="004853A0">
              <w:rPr>
                <w:rFonts w:cstheme="minorHAnsi"/>
                <w:b/>
              </w:rPr>
              <w:t>10.</w:t>
            </w:r>
            <w:r w:rsidRPr="004853A0">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4853A0" w:rsidRDefault="00145149" w:rsidP="00145149">
            <w:pPr>
              <w:rPr>
                <w:rFonts w:cstheme="minorHAnsi"/>
              </w:rPr>
            </w:pPr>
            <w:bookmarkStart w:id="5" w:name="Note11"/>
            <w:bookmarkEnd w:id="5"/>
            <w:r w:rsidRPr="004853A0">
              <w:rPr>
                <w:rFonts w:cstheme="minorHAnsi"/>
                <w:b/>
              </w:rPr>
              <w:t>11.</w:t>
            </w:r>
            <w:r w:rsidRPr="004853A0">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4853A0" w:rsidRDefault="00145149" w:rsidP="00145149">
            <w:pPr>
              <w:pStyle w:val="FootnoteText"/>
              <w:rPr>
                <w:rFonts w:asciiTheme="minorHAnsi" w:hAnsiTheme="minorHAnsi" w:cstheme="minorHAnsi"/>
                <w:sz w:val="22"/>
                <w:szCs w:val="22"/>
              </w:rPr>
            </w:pPr>
            <w:bookmarkStart w:id="6" w:name="Note12"/>
            <w:bookmarkEnd w:id="6"/>
            <w:r w:rsidRPr="004853A0">
              <w:rPr>
                <w:rFonts w:asciiTheme="minorHAnsi" w:hAnsiTheme="minorHAnsi" w:cstheme="minorHAnsi"/>
                <w:b/>
                <w:sz w:val="22"/>
                <w:szCs w:val="22"/>
              </w:rPr>
              <w:t>12.</w:t>
            </w:r>
            <w:r w:rsidRPr="004853A0">
              <w:rPr>
                <w:rFonts w:asciiTheme="minorHAnsi" w:hAnsiTheme="minorHAnsi" w:cstheme="minorHAnsi"/>
                <w:sz w:val="22"/>
                <w:szCs w:val="22"/>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4853A0" w:rsidRDefault="00145149" w:rsidP="00145149">
            <w:pPr>
              <w:autoSpaceDE w:val="0"/>
              <w:autoSpaceDN w:val="0"/>
              <w:adjustRightInd w:val="0"/>
              <w:rPr>
                <w:rFonts w:cstheme="minorHAnsi"/>
                <w:b/>
              </w:rPr>
            </w:pPr>
            <w:bookmarkStart w:id="7" w:name="Note13"/>
            <w:bookmarkEnd w:id="7"/>
            <w:r w:rsidRPr="004853A0">
              <w:rPr>
                <w:rFonts w:cstheme="minorHAnsi"/>
                <w:b/>
              </w:rPr>
              <w:t>13.</w:t>
            </w:r>
            <w:r w:rsidRPr="004853A0">
              <w:rPr>
                <w:rFonts w:cstheme="minorHAnsi"/>
              </w:rPr>
              <w:t xml:space="preserve"> Patient preference is not a clinical exception to eligibility and can be influenced by provider interventions.</w:t>
            </w:r>
          </w:p>
          <w:p w:rsidR="00145149" w:rsidRPr="004853A0" w:rsidRDefault="00145149" w:rsidP="00145149">
            <w:pPr>
              <w:pStyle w:val="FootnoteText"/>
              <w:rPr>
                <w:rFonts w:asciiTheme="minorHAnsi" w:hAnsiTheme="minorHAnsi" w:cstheme="minorHAnsi"/>
                <w:sz w:val="22"/>
                <w:szCs w:val="22"/>
              </w:rPr>
            </w:pPr>
            <w:bookmarkStart w:id="8" w:name="Note14"/>
            <w:bookmarkEnd w:id="8"/>
            <w:r w:rsidRPr="004853A0">
              <w:rPr>
                <w:rFonts w:asciiTheme="minorHAnsi" w:hAnsiTheme="minorHAnsi" w:cstheme="minorHAnsi"/>
                <w:b/>
                <w:sz w:val="22"/>
                <w:szCs w:val="22"/>
              </w:rPr>
              <w:t xml:space="preserve">14. </w:t>
            </w:r>
            <w:r w:rsidRPr="004853A0">
              <w:rPr>
                <w:rFonts w:asciiTheme="minorHAnsi" w:hAnsiTheme="minorHAnsi" w:cstheme="minorHAnsi"/>
                <w:sz w:val="22"/>
                <w:szCs w:val="22"/>
              </w:rPr>
              <w:t>Risk factors that influence outcomes should not be specified as exclusions.</w:t>
            </w:r>
          </w:p>
          <w:p w:rsidR="00145149" w:rsidRPr="004853A0" w:rsidRDefault="00145149" w:rsidP="00145149">
            <w:pPr>
              <w:rPr>
                <w:rFonts w:cstheme="minorHAnsi"/>
                <w:b/>
                <w:bCs/>
              </w:rPr>
            </w:pPr>
            <w:bookmarkStart w:id="9" w:name="Note15"/>
            <w:bookmarkEnd w:id="9"/>
            <w:r w:rsidRPr="004853A0">
              <w:rPr>
                <w:rFonts w:cstheme="minorHAnsi"/>
                <w:b/>
              </w:rPr>
              <w:t>15.</w:t>
            </w:r>
            <w:r w:rsidRPr="004853A0">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4853A0" w:rsidRDefault="00145149" w:rsidP="00145149">
            <w:pPr>
              <w:rPr>
                <w:rFonts w:cstheme="minorHAnsi"/>
                <w:noProof/>
              </w:rPr>
            </w:pPr>
            <w:bookmarkStart w:id="10" w:name="Note16"/>
            <w:bookmarkEnd w:id="10"/>
            <w:r w:rsidRPr="004853A0">
              <w:rPr>
                <w:rFonts w:cstheme="minorHAnsi"/>
                <w:b/>
              </w:rPr>
              <w:t>16.</w:t>
            </w:r>
            <w:r w:rsidRPr="004853A0">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6676D4" w:rsidRDefault="006676D4">
      <w:pPr>
        <w:rPr>
          <w:rFonts w:cstheme="minorHAnsi"/>
          <w:b/>
          <w:noProof/>
        </w:rPr>
      </w:pPr>
      <w:r>
        <w:rPr>
          <w:rFonts w:cstheme="minorHAnsi"/>
          <w:b/>
          <w:noProof/>
        </w:rPr>
        <w:br w:type="page"/>
      </w: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F76F8C" w:rsidP="00DB3627">
            <w:pPr>
              <w:autoSpaceDE w:val="0"/>
              <w:autoSpaceDN w:val="0"/>
              <w:adjustRightInd w:val="0"/>
              <w:rPr>
                <w:rFonts w:cstheme="minorHAnsi"/>
                <w:bCs/>
              </w:rPr>
            </w:pPr>
            <w:sdt>
              <w:sdtPr>
                <w:rPr>
                  <w:rFonts w:cstheme="minorHAnsi"/>
                  <w:bCs/>
                  <w:color w:val="0000FF"/>
                </w:rPr>
                <w:id w:val="-839233565"/>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F76F8C" w:rsidP="00DB3627">
            <w:pPr>
              <w:autoSpaceDE w:val="0"/>
              <w:autoSpaceDN w:val="0"/>
              <w:adjustRightInd w:val="0"/>
              <w:rPr>
                <w:rFonts w:cstheme="minorHAnsi"/>
                <w:bCs/>
              </w:rPr>
            </w:pPr>
            <w:sdt>
              <w:sdtPr>
                <w:rPr>
                  <w:rFonts w:cstheme="minorHAnsi"/>
                  <w:bCs/>
                  <w:color w:val="0000FF"/>
                </w:rPr>
                <w:id w:val="9891706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F76F8C" w:rsidP="00DB3627">
            <w:pPr>
              <w:autoSpaceDE w:val="0"/>
              <w:autoSpaceDN w:val="0"/>
              <w:adjustRightInd w:val="0"/>
              <w:rPr>
                <w:rFonts w:cstheme="minorHAnsi"/>
                <w:bCs/>
              </w:rPr>
            </w:pPr>
            <w:sdt>
              <w:sdtPr>
                <w:rPr>
                  <w:rFonts w:cstheme="minorHAnsi"/>
                  <w:bCs/>
                  <w:color w:val="0000FF"/>
                </w:rPr>
                <w:id w:val="560149406"/>
              </w:sdtPr>
              <w:sdtEndPr/>
              <w:sdtContent>
                <w:r w:rsidR="00751508" w:rsidRPr="00751508">
                  <w:rPr>
                    <w:rFonts w:eastAsia="MS Gothic" w:cstheme="minorHAnsi"/>
                    <w:bCs/>
                    <w:color w:val="0000FF"/>
                    <w:sz w:val="24"/>
                    <w:szCs w:val="24"/>
                  </w:rPr>
                  <w:t>X</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F76F8C" w:rsidP="00751508">
            <w:pPr>
              <w:autoSpaceDE w:val="0"/>
              <w:autoSpaceDN w:val="0"/>
              <w:adjustRightInd w:val="0"/>
              <w:rPr>
                <w:rFonts w:cstheme="minorHAnsi"/>
                <w:bCs/>
              </w:rPr>
            </w:pPr>
            <w:sdt>
              <w:sdtPr>
                <w:rPr>
                  <w:rFonts w:cstheme="minorHAnsi"/>
                  <w:bCs/>
                  <w:color w:val="0000FF"/>
                </w:rPr>
                <w:id w:val="-387195507"/>
              </w:sdtPr>
              <w:sdtEndPr/>
              <w:sdtContent>
                <w:sdt>
                  <w:sdtPr>
                    <w:rPr>
                      <w:rFonts w:cstheme="minorHAnsi"/>
                      <w:bCs/>
                      <w:color w:val="0000FF"/>
                    </w:rPr>
                    <w:id w:val="30006401"/>
                  </w:sdtPr>
                  <w:sdtEndPr/>
                  <w:sdtContent>
                    <w:r w:rsidR="00751508" w:rsidRPr="00751508">
                      <w:rPr>
                        <w:rFonts w:eastAsia="MS Gothic" w:cstheme="minorHAnsi"/>
                        <w:bCs/>
                        <w:color w:val="0000FF"/>
                        <w:sz w:val="24"/>
                        <w:szCs w:val="24"/>
                      </w:rPr>
                      <w:t>X</w:t>
                    </w:r>
                  </w:sdtContent>
                </w:sdt>
                <w:r w:rsidR="00751508" w:rsidRPr="006574D2">
                  <w:rPr>
                    <w:rFonts w:ascii="MS Gothic" w:eastAsia="MS Gothic" w:cstheme="minorHAnsi" w:hint="eastAsia"/>
                    <w:bCs/>
                    <w:color w:val="0000FF"/>
                  </w:rPr>
                  <w:t xml:space="preserve"> </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F76F8C" w:rsidP="00DB3627">
            <w:pPr>
              <w:autoSpaceDE w:val="0"/>
              <w:autoSpaceDN w:val="0"/>
              <w:adjustRightInd w:val="0"/>
              <w:rPr>
                <w:rFonts w:cstheme="minorHAnsi"/>
                <w:bCs/>
              </w:rPr>
            </w:pPr>
            <w:sdt>
              <w:sdtPr>
                <w:rPr>
                  <w:rFonts w:cstheme="minorHAnsi"/>
                  <w:bCs/>
                  <w:color w:val="0000FF"/>
                </w:rPr>
                <w:id w:val="751091068"/>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F76F8C" w:rsidP="00DB3627">
            <w:pPr>
              <w:autoSpaceDE w:val="0"/>
              <w:autoSpaceDN w:val="0"/>
              <w:adjustRightInd w:val="0"/>
              <w:rPr>
                <w:rFonts w:cstheme="minorHAnsi"/>
                <w:bCs/>
              </w:rPr>
            </w:pPr>
            <w:sdt>
              <w:sdtPr>
                <w:rPr>
                  <w:rFonts w:cstheme="minorHAnsi"/>
                  <w:bCs/>
                  <w:color w:val="0000FF"/>
                </w:rPr>
                <w:id w:val="547026371"/>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F76F8C" w:rsidP="00DB3627">
            <w:pPr>
              <w:autoSpaceDE w:val="0"/>
              <w:autoSpaceDN w:val="0"/>
              <w:adjustRightInd w:val="0"/>
              <w:rPr>
                <w:rFonts w:cstheme="minorHAnsi"/>
                <w:bCs/>
              </w:rPr>
            </w:pPr>
            <w:sdt>
              <w:sdtPr>
                <w:rPr>
                  <w:rFonts w:cstheme="minorHAnsi"/>
                  <w:bCs/>
                  <w:color w:val="0000FF"/>
                </w:rPr>
                <w:id w:val="112134217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F76F8C" w:rsidP="00DB3627">
            <w:pPr>
              <w:autoSpaceDE w:val="0"/>
              <w:autoSpaceDN w:val="0"/>
              <w:adjustRightInd w:val="0"/>
              <w:rPr>
                <w:rFonts w:cstheme="minorHAnsi"/>
                <w:bCs/>
              </w:rPr>
            </w:pPr>
            <w:sdt>
              <w:sdtPr>
                <w:rPr>
                  <w:rFonts w:cstheme="minorHAnsi"/>
                  <w:bCs/>
                  <w:color w:val="0000FF"/>
                </w:rPr>
                <w:id w:val="-359203911"/>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F76F8C" w:rsidP="00B82A57">
            <w:pPr>
              <w:autoSpaceDE w:val="0"/>
              <w:autoSpaceDN w:val="0"/>
              <w:adjustRightInd w:val="0"/>
              <w:rPr>
                <w:rFonts w:cstheme="minorHAnsi"/>
                <w:bCs/>
              </w:rPr>
            </w:pPr>
            <w:sdt>
              <w:sdtPr>
                <w:rPr>
                  <w:rFonts w:cstheme="minorHAnsi"/>
                  <w:bCs/>
                  <w:color w:val="0000FF"/>
                </w:rPr>
                <w:id w:val="61564826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F76F8C" w:rsidP="00DB3627">
            <w:pPr>
              <w:autoSpaceDE w:val="0"/>
              <w:autoSpaceDN w:val="0"/>
              <w:adjustRightInd w:val="0"/>
              <w:rPr>
                <w:rFonts w:cstheme="minorHAnsi"/>
                <w:bCs/>
              </w:rPr>
            </w:pPr>
            <w:sdt>
              <w:sdtPr>
                <w:rPr>
                  <w:rFonts w:cstheme="minorHAnsi"/>
                  <w:bCs/>
                  <w:color w:val="0000FF"/>
                </w:rPr>
                <w:id w:val="49885431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F76F8C" w:rsidP="00BE1D19">
            <w:pPr>
              <w:autoSpaceDE w:val="0"/>
              <w:autoSpaceDN w:val="0"/>
              <w:adjustRightInd w:val="0"/>
              <w:rPr>
                <w:rFonts w:cstheme="minorHAnsi"/>
                <w:bCs/>
              </w:rPr>
            </w:pPr>
            <w:sdt>
              <w:sdtPr>
                <w:rPr>
                  <w:rFonts w:cstheme="minorHAnsi"/>
                  <w:bCs/>
                  <w:color w:val="0000FF"/>
                  <w:sz w:val="24"/>
                  <w:szCs w:val="24"/>
                </w:rPr>
                <w:id w:val="1316375390"/>
              </w:sdtPr>
              <w:sdtEndPr/>
              <w:sdtContent>
                <w:r w:rsidR="00BE1D19" w:rsidRPr="00FD7AB1">
                  <w:rPr>
                    <w:rFonts w:eastAsia="MS Gothic" w:cstheme="minorHAnsi"/>
                    <w:bCs/>
                    <w:color w:val="0000FF"/>
                    <w:sz w:val="24"/>
                    <w:szCs w:val="24"/>
                  </w:rPr>
                  <w:t>X</w:t>
                </w:r>
              </w:sdtContent>
            </w:sdt>
            <w:r w:rsidR="00B82A57">
              <w:rPr>
                <w:rFonts w:cstheme="minorHAnsi"/>
                <w:bCs/>
              </w:rPr>
              <w:t xml:space="preserve"> </w:t>
            </w:r>
            <w:r w:rsidR="00BE1D19">
              <w:rPr>
                <w:rFonts w:cstheme="minorHAnsi"/>
                <w:bCs/>
              </w:rPr>
              <w:t xml:space="preserve">  </w:t>
            </w:r>
            <w:r w:rsidR="00A01494" w:rsidRPr="00A01494">
              <w:rPr>
                <w:rFonts w:cstheme="minorHAnsi"/>
                <w:bCs/>
              </w:rPr>
              <w:t xml:space="preserve">other:  </w:t>
            </w:r>
            <w:sdt>
              <w:sdtPr>
                <w:rPr>
                  <w:rStyle w:val="Style1"/>
                </w:rPr>
                <w:id w:val="1834251992"/>
                <w:text/>
              </w:sdtPr>
              <w:sdtEndPr>
                <w:rPr>
                  <w:rStyle w:val="DefaultParagraphFont"/>
                  <w:rFonts w:cstheme="minorHAnsi"/>
                  <w:bCs/>
                  <w:color w:val="auto"/>
                </w:rPr>
              </w:sdtEndPr>
              <w:sdtContent>
                <w:r w:rsidR="00C402F9">
                  <w:rPr>
                    <w:rStyle w:val="Style1"/>
                  </w:rPr>
                  <w:t>administrative enrollment/eligibility files</w:t>
                </w:r>
              </w:sdtContent>
            </w:sdt>
          </w:p>
        </w:tc>
        <w:tc>
          <w:tcPr>
            <w:tcW w:w="4847" w:type="dxa"/>
          </w:tcPr>
          <w:p w:rsidR="00A01494" w:rsidRPr="00A01494" w:rsidRDefault="00F76F8C" w:rsidP="00DB3627">
            <w:pPr>
              <w:autoSpaceDE w:val="0"/>
              <w:autoSpaceDN w:val="0"/>
              <w:adjustRightInd w:val="0"/>
              <w:rPr>
                <w:rFonts w:cstheme="minorHAnsi"/>
                <w:bCs/>
              </w:rPr>
            </w:pPr>
            <w:sdt>
              <w:sdtPr>
                <w:rPr>
                  <w:rFonts w:cstheme="minorHAnsi"/>
                  <w:bCs/>
                  <w:color w:val="0000FF"/>
                  <w:sz w:val="24"/>
                  <w:szCs w:val="24"/>
                </w:rPr>
                <w:id w:val="1689098749"/>
              </w:sdtPr>
              <w:sdtEndPr/>
              <w:sdtContent>
                <w:r w:rsidR="00C402F9" w:rsidRPr="00FD7AB1">
                  <w:rPr>
                    <w:rFonts w:eastAsia="MS Gothic" w:cstheme="minorHAnsi"/>
                    <w:bCs/>
                    <w:color w:val="0000FF"/>
                    <w:sz w:val="24"/>
                    <w:szCs w:val="24"/>
                  </w:rPr>
                  <w:t>X</w:t>
                </w:r>
              </w:sdtContent>
            </w:sdt>
            <w:r w:rsidR="00B82A57">
              <w:rPr>
                <w:rFonts w:cstheme="minorHAnsi"/>
                <w:bCs/>
              </w:rPr>
              <w:t xml:space="preserve"> </w:t>
            </w:r>
            <w:r w:rsidR="00A01494" w:rsidRPr="00A01494">
              <w:rPr>
                <w:rFonts w:cstheme="minorHAnsi"/>
                <w:bCs/>
              </w:rPr>
              <w:t xml:space="preserve">other:  </w:t>
            </w:r>
            <w:sdt>
              <w:sdtPr>
                <w:rPr>
                  <w:rFonts w:cstheme="minorHAnsi"/>
                  <w:bCs/>
                  <w:color w:val="0000FF"/>
                </w:rPr>
                <w:id w:val="1976178076"/>
                <w:text/>
              </w:sdtPr>
              <w:sdtEndPr/>
              <w:sdtContent>
                <w:r w:rsidR="00C402F9" w:rsidRPr="00832EE3">
                  <w:rPr>
                    <w:rFonts w:cstheme="minorHAnsi"/>
                    <w:bCs/>
                    <w:color w:val="0000FF"/>
                  </w:rPr>
                  <w:t>administrative enrollment/eligibility files</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4275A6" w:rsidRPr="004275A6" w:rsidRDefault="0058626E" w:rsidP="004275A6">
      <w:pPr>
        <w:pStyle w:val="ListParagraph"/>
        <w:numPr>
          <w:ilvl w:val="0"/>
          <w:numId w:val="27"/>
        </w:numPr>
        <w:spacing w:before="120" w:after="120" w:line="240" w:lineRule="auto"/>
        <w:rPr>
          <w:color w:val="0000FF"/>
          <w:sz w:val="24"/>
          <w:szCs w:val="24"/>
        </w:rPr>
      </w:pPr>
      <w:r w:rsidRPr="00FD7AB1">
        <w:rPr>
          <w:color w:val="0000FF"/>
          <w:sz w:val="24"/>
          <w:szCs w:val="24"/>
        </w:rPr>
        <w:t>Medicare Inpatient claims - standard analytical files (2007-2012)</w:t>
      </w:r>
      <w:r w:rsidR="000F77EF">
        <w:rPr>
          <w:color w:val="0000FF"/>
          <w:sz w:val="24"/>
          <w:szCs w:val="24"/>
        </w:rPr>
        <w:t xml:space="preserve">. (Note that the index IRF claims cover the 2009-2011 period; however, the inpatient claims data which identify the prior acute care claim extends back to 2007 in order to include very long lengths of stay.) </w:t>
      </w:r>
    </w:p>
    <w:p w:rsidR="0058626E" w:rsidRPr="00FD7AB1" w:rsidRDefault="0058626E" w:rsidP="00FD7AB1">
      <w:pPr>
        <w:spacing w:after="0"/>
        <w:ind w:left="720"/>
        <w:rPr>
          <w:sz w:val="24"/>
          <w:szCs w:val="24"/>
        </w:rPr>
      </w:pPr>
      <w:r w:rsidRPr="00FD7AB1">
        <w:rPr>
          <w:color w:val="0000FF"/>
          <w:sz w:val="24"/>
          <w:szCs w:val="24"/>
        </w:rPr>
        <w:t xml:space="preserve">Documentation for the Medicare claims data is provided online by the CMS contractor, Research Data Assistance Center (ResDAC) at the University of Minnesota. The following web page includes data dictionaries for these files: Standard analytical files (Inpatient RIF): </w:t>
      </w:r>
      <w:hyperlink r:id="rId10" w:history="1">
        <w:r w:rsidRPr="00FD7AB1">
          <w:rPr>
            <w:rStyle w:val="Hyperlink"/>
            <w:sz w:val="24"/>
            <w:szCs w:val="24"/>
          </w:rPr>
          <w:t>http://www.resdac.org/cms-data/files/ip-rif/data-documentation</w:t>
        </w:r>
      </w:hyperlink>
    </w:p>
    <w:p w:rsidR="0058626E" w:rsidRPr="00FD7AB1" w:rsidRDefault="0058626E" w:rsidP="00FD7AB1">
      <w:pPr>
        <w:pStyle w:val="ListParagraph"/>
        <w:numPr>
          <w:ilvl w:val="0"/>
          <w:numId w:val="27"/>
        </w:numPr>
        <w:spacing w:before="120" w:after="0" w:line="240" w:lineRule="auto"/>
        <w:rPr>
          <w:color w:val="0000FF"/>
          <w:sz w:val="24"/>
          <w:szCs w:val="24"/>
        </w:rPr>
      </w:pPr>
      <w:r w:rsidRPr="00FD7AB1">
        <w:rPr>
          <w:color w:val="0000FF"/>
          <w:sz w:val="24"/>
          <w:szCs w:val="24"/>
        </w:rPr>
        <w:t>Medicare Enrollment Database</w:t>
      </w:r>
    </w:p>
    <w:p w:rsidR="0058626E" w:rsidRPr="00FD7AB1" w:rsidRDefault="00F76F8C" w:rsidP="0058626E">
      <w:pPr>
        <w:pStyle w:val="PlainText"/>
        <w:ind w:left="720"/>
        <w:rPr>
          <w:rFonts w:asciiTheme="minorHAnsi" w:hAnsiTheme="minorHAnsi"/>
          <w:sz w:val="24"/>
          <w:szCs w:val="24"/>
        </w:rPr>
      </w:pPr>
      <w:hyperlink r:id="rId11" w:history="1">
        <w:r w:rsidR="0058626E" w:rsidRPr="00FD7AB1">
          <w:rPr>
            <w:rStyle w:val="Hyperlink"/>
            <w:rFonts w:asciiTheme="minorHAnsi" w:hAnsiTheme="minorHAnsi"/>
            <w:sz w:val="24"/>
            <w:szCs w:val="24"/>
          </w:rPr>
          <w:t>http://aspe.hhs.gov/datacncl/datadir/cms.htm</w:t>
        </w:r>
      </w:hyperlink>
    </w:p>
    <w:p w:rsidR="0058626E" w:rsidRPr="00FD7AB1" w:rsidRDefault="0058626E" w:rsidP="00FD7AB1">
      <w:pPr>
        <w:pStyle w:val="ListParagraph"/>
        <w:numPr>
          <w:ilvl w:val="0"/>
          <w:numId w:val="27"/>
        </w:numPr>
        <w:spacing w:before="120" w:after="0" w:line="240" w:lineRule="auto"/>
        <w:rPr>
          <w:color w:val="0000FF"/>
          <w:sz w:val="24"/>
          <w:szCs w:val="24"/>
        </w:rPr>
      </w:pPr>
      <w:r w:rsidRPr="00FD7AB1">
        <w:rPr>
          <w:color w:val="0000FF"/>
          <w:sz w:val="24"/>
          <w:szCs w:val="24"/>
        </w:rPr>
        <w:t>Medicare Denominator files (2009-2011)</w:t>
      </w:r>
    </w:p>
    <w:p w:rsidR="00BE1D19" w:rsidRPr="00FD7AB1" w:rsidRDefault="00BE1D19" w:rsidP="00BE1D19">
      <w:pPr>
        <w:pStyle w:val="PlainText"/>
        <w:ind w:left="720"/>
        <w:rPr>
          <w:rStyle w:val="Hyperlink"/>
          <w:rFonts w:asciiTheme="minorHAnsi" w:hAnsiTheme="minorHAnsi"/>
          <w:sz w:val="24"/>
          <w:szCs w:val="24"/>
        </w:rPr>
      </w:pPr>
      <w:r w:rsidRPr="00FD7AB1">
        <w:rPr>
          <w:rStyle w:val="Hyperlink"/>
          <w:rFonts w:asciiTheme="minorHAnsi" w:hAnsiTheme="minorHAnsi"/>
          <w:sz w:val="24"/>
          <w:szCs w:val="24"/>
        </w:rPr>
        <w:t>http://www.cms.gov/Research-Statistics-Data-and-Systems/Files-for-Order/IdentifiableDataFiles/DenominatorFile.html</w:t>
      </w:r>
    </w:p>
    <w:p w:rsidR="0058626E" w:rsidRPr="00FD7AB1" w:rsidRDefault="0058626E" w:rsidP="00FD7AB1">
      <w:pPr>
        <w:pStyle w:val="ListParagraph"/>
        <w:numPr>
          <w:ilvl w:val="0"/>
          <w:numId w:val="27"/>
        </w:numPr>
        <w:spacing w:before="120" w:after="0" w:line="240" w:lineRule="auto"/>
        <w:rPr>
          <w:color w:val="0000FF"/>
          <w:sz w:val="24"/>
          <w:szCs w:val="24"/>
        </w:rPr>
      </w:pPr>
      <w:r w:rsidRPr="00FD7AB1">
        <w:rPr>
          <w:color w:val="0000FF"/>
          <w:sz w:val="24"/>
          <w:szCs w:val="24"/>
        </w:rPr>
        <w:t>AHRQ CCS groupings of ICD-9 codes</w:t>
      </w:r>
    </w:p>
    <w:p w:rsidR="0058626E" w:rsidRPr="00FD7AB1" w:rsidRDefault="00F76F8C" w:rsidP="0058626E">
      <w:pPr>
        <w:pStyle w:val="PlainText"/>
        <w:ind w:left="720"/>
        <w:rPr>
          <w:rFonts w:asciiTheme="minorHAnsi" w:hAnsiTheme="minorHAnsi"/>
          <w:color w:val="0000FF"/>
          <w:sz w:val="24"/>
          <w:szCs w:val="24"/>
        </w:rPr>
      </w:pPr>
      <w:hyperlink r:id="rId12" w:history="1">
        <w:r w:rsidR="0058626E" w:rsidRPr="00FD7AB1">
          <w:rPr>
            <w:rStyle w:val="Hyperlink"/>
            <w:rFonts w:asciiTheme="minorHAnsi" w:hAnsiTheme="minorHAnsi"/>
            <w:sz w:val="24"/>
            <w:szCs w:val="24"/>
          </w:rPr>
          <w:t>http://www.hcup-us.ahrq.gov/toolssoftware/ccs/ccs.jsp</w:t>
        </w:r>
      </w:hyperlink>
    </w:p>
    <w:p w:rsidR="0058626E" w:rsidRPr="00FD7AB1" w:rsidRDefault="0058626E" w:rsidP="00FD7AB1">
      <w:pPr>
        <w:pStyle w:val="ListParagraph"/>
        <w:numPr>
          <w:ilvl w:val="0"/>
          <w:numId w:val="28"/>
        </w:numPr>
        <w:spacing w:before="120" w:after="0" w:line="240" w:lineRule="auto"/>
        <w:rPr>
          <w:color w:val="0000FF"/>
          <w:sz w:val="24"/>
          <w:szCs w:val="24"/>
        </w:rPr>
      </w:pPr>
      <w:r w:rsidRPr="00FD7AB1">
        <w:rPr>
          <w:color w:val="0000FF"/>
          <w:sz w:val="24"/>
          <w:szCs w:val="24"/>
        </w:rPr>
        <w:t xml:space="preserve">CMS-HCC mappings of ICD-9 codes </w:t>
      </w:r>
    </w:p>
    <w:p w:rsidR="0058626E" w:rsidRPr="00FD7AB1" w:rsidRDefault="0058626E" w:rsidP="00FD7AB1">
      <w:pPr>
        <w:pStyle w:val="ListParagraph"/>
        <w:spacing w:after="0"/>
        <w:rPr>
          <w:color w:val="0000FF"/>
          <w:sz w:val="24"/>
          <w:szCs w:val="24"/>
        </w:rPr>
      </w:pPr>
      <w:r w:rsidRPr="00FD7AB1">
        <w:rPr>
          <w:color w:val="0000FF"/>
          <w:sz w:val="24"/>
          <w:szCs w:val="24"/>
        </w:rPr>
        <w:t xml:space="preserve">Mappings are included in the software at the following website: </w:t>
      </w:r>
    </w:p>
    <w:p w:rsidR="00C355B9" w:rsidRPr="00FD7AB1" w:rsidRDefault="00F76F8C" w:rsidP="00BE1D19">
      <w:pPr>
        <w:pStyle w:val="PlainText"/>
        <w:ind w:left="720"/>
        <w:rPr>
          <w:rFonts w:asciiTheme="minorHAnsi" w:hAnsiTheme="minorHAnsi"/>
          <w:color w:val="0000FF" w:themeColor="hyperlink"/>
          <w:sz w:val="24"/>
          <w:szCs w:val="24"/>
          <w:u w:val="single"/>
        </w:rPr>
      </w:pPr>
      <w:hyperlink r:id="rId13" w:history="1">
        <w:r w:rsidR="0058626E" w:rsidRPr="00FD7AB1">
          <w:rPr>
            <w:rStyle w:val="Hyperlink"/>
            <w:rFonts w:asciiTheme="minorHAnsi" w:hAnsiTheme="minorHAnsi"/>
            <w:sz w:val="24"/>
            <w:szCs w:val="24"/>
          </w:rPr>
          <w:t>http://www.cms.gov/Medicare/Health-Plans/MedicareAdvtgSpecRateStats/Risk-Adjustors.html</w:t>
        </w:r>
      </w:hyperlink>
    </w:p>
    <w:p w:rsidR="009E1846" w:rsidRDefault="009E1846" w:rsidP="00DB3627">
      <w:pPr>
        <w:autoSpaceDE w:val="0"/>
        <w:autoSpaceDN w:val="0"/>
        <w:adjustRightInd w:val="0"/>
        <w:spacing w:after="0" w:line="240" w:lineRule="auto"/>
        <w:rPr>
          <w:rFonts w:cstheme="minorHAnsi"/>
          <w:b/>
        </w:rPr>
      </w:pPr>
    </w:p>
    <w:p w:rsidR="00FD7AB1" w:rsidRDefault="002B5016" w:rsidP="0058626E">
      <w:pPr>
        <w:autoSpaceDE w:val="0"/>
        <w:autoSpaceDN w:val="0"/>
        <w:adjustRightInd w:val="0"/>
        <w:spacing w:after="0" w:line="240" w:lineRule="auto"/>
        <w:rPr>
          <w:rFonts w:cstheme="minorHAnsi"/>
        </w:rPr>
      </w:pPr>
      <w:r>
        <w:rPr>
          <w:rFonts w:cstheme="minorHAnsi"/>
          <w:b/>
        </w:rPr>
        <w:lastRenderedPageBreak/>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p>
    <w:p w:rsidR="0004593A" w:rsidRPr="00A25024" w:rsidRDefault="00F76F8C" w:rsidP="0058626E">
      <w:pPr>
        <w:autoSpaceDE w:val="0"/>
        <w:autoSpaceDN w:val="0"/>
        <w:adjustRightInd w:val="0"/>
        <w:spacing w:after="0" w:line="240" w:lineRule="auto"/>
        <w:rPr>
          <w:rFonts w:cstheme="minorHAnsi"/>
          <w:bCs/>
        </w:rPr>
      </w:pPr>
      <w:sdt>
        <w:sdtPr>
          <w:rPr>
            <w:rStyle w:val="Style1"/>
            <w:sz w:val="24"/>
            <w:szCs w:val="24"/>
          </w:rPr>
          <w:id w:val="950514773"/>
          <w:text/>
        </w:sdtPr>
        <w:sdtEndPr>
          <w:rPr>
            <w:rStyle w:val="DefaultParagraphFont"/>
            <w:rFonts w:cstheme="minorHAnsi"/>
            <w:color w:val="auto"/>
          </w:rPr>
        </w:sdtEndPr>
        <w:sdtContent>
          <w:r w:rsidR="0058626E" w:rsidRPr="00FD7AB1">
            <w:rPr>
              <w:rStyle w:val="Style1"/>
              <w:sz w:val="24"/>
              <w:szCs w:val="24"/>
            </w:rPr>
            <w:t>2009, 2010, and 2011</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F76F8C" w:rsidP="00D61410">
            <w:pPr>
              <w:autoSpaceDE w:val="0"/>
              <w:autoSpaceDN w:val="0"/>
              <w:adjustRightInd w:val="0"/>
              <w:rPr>
                <w:rFonts w:cstheme="minorHAnsi"/>
                <w:bCs/>
              </w:rPr>
            </w:pPr>
            <w:sdt>
              <w:sdtPr>
                <w:rPr>
                  <w:rFonts w:cstheme="minorHAnsi"/>
                  <w:bCs/>
                  <w:color w:val="0000FF"/>
                </w:rPr>
                <w:id w:val="44751427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F76F8C" w:rsidP="00D61410">
            <w:pPr>
              <w:autoSpaceDE w:val="0"/>
              <w:autoSpaceDN w:val="0"/>
              <w:adjustRightInd w:val="0"/>
              <w:rPr>
                <w:rFonts w:cstheme="minorHAnsi"/>
                <w:bCs/>
              </w:rPr>
            </w:pPr>
            <w:sdt>
              <w:sdtPr>
                <w:rPr>
                  <w:rFonts w:cstheme="minorHAnsi"/>
                  <w:bCs/>
                  <w:color w:val="0000FF"/>
                </w:rPr>
                <w:id w:val="1571624283"/>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F76F8C" w:rsidP="00D61410">
            <w:pPr>
              <w:autoSpaceDE w:val="0"/>
              <w:autoSpaceDN w:val="0"/>
              <w:adjustRightInd w:val="0"/>
              <w:rPr>
                <w:rFonts w:cstheme="minorHAnsi"/>
                <w:bCs/>
              </w:rPr>
            </w:pPr>
            <w:sdt>
              <w:sdtPr>
                <w:rPr>
                  <w:rFonts w:cstheme="minorHAnsi"/>
                  <w:bCs/>
                  <w:color w:val="0000FF"/>
                </w:rPr>
                <w:id w:val="-834455086"/>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F76F8C" w:rsidP="00D61410">
            <w:pPr>
              <w:autoSpaceDE w:val="0"/>
              <w:autoSpaceDN w:val="0"/>
              <w:adjustRightInd w:val="0"/>
              <w:rPr>
                <w:rFonts w:cstheme="minorHAnsi"/>
                <w:bCs/>
              </w:rPr>
            </w:pPr>
            <w:sdt>
              <w:sdtPr>
                <w:rPr>
                  <w:rFonts w:cstheme="minorHAnsi"/>
                  <w:bCs/>
                  <w:color w:val="0000FF"/>
                </w:rPr>
                <w:id w:val="-412627602"/>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58626E" w:rsidRDefault="00F76F8C" w:rsidP="00D61410">
            <w:pPr>
              <w:autoSpaceDE w:val="0"/>
              <w:autoSpaceDN w:val="0"/>
              <w:adjustRightInd w:val="0"/>
              <w:rPr>
                <w:rFonts w:cstheme="minorHAnsi"/>
                <w:bCs/>
                <w:highlight w:val="lightGray"/>
              </w:rPr>
            </w:pPr>
            <w:sdt>
              <w:sdtPr>
                <w:rPr>
                  <w:rFonts w:cstheme="minorHAnsi"/>
                  <w:bCs/>
                  <w:color w:val="0000FF"/>
                  <w:highlight w:val="lightGray"/>
                </w:rPr>
                <w:id w:val="-1855098074"/>
              </w:sdtPr>
              <w:sdtEndPr/>
              <w:sdtContent>
                <w:r w:rsidR="0058626E" w:rsidRPr="0058626E">
                  <w:rPr>
                    <w:rFonts w:eastAsia="MS Gothic" w:cstheme="minorHAnsi"/>
                    <w:bCs/>
                    <w:color w:val="0000FF"/>
                    <w:sz w:val="24"/>
                    <w:szCs w:val="24"/>
                    <w:highlight w:val="lightGray"/>
                  </w:rPr>
                  <w:t>X</w:t>
                </w:r>
              </w:sdtContent>
            </w:sdt>
            <w:r w:rsidR="000414E8" w:rsidRPr="0058626E">
              <w:rPr>
                <w:rFonts w:cstheme="minorHAnsi"/>
                <w:bCs/>
                <w:highlight w:val="lightGray"/>
              </w:rPr>
              <w:t xml:space="preserve"> </w:t>
            </w:r>
            <w:r w:rsidR="000414E8" w:rsidRPr="0058626E">
              <w:rPr>
                <w:rFonts w:eastAsia="MS Gothic" w:cstheme="minorHAnsi"/>
                <w:bCs/>
                <w:highlight w:val="lightGray"/>
              </w:rPr>
              <w:t>hospital/facility/agency</w:t>
            </w:r>
          </w:p>
        </w:tc>
        <w:tc>
          <w:tcPr>
            <w:tcW w:w="5028" w:type="dxa"/>
          </w:tcPr>
          <w:p w:rsidR="000414E8" w:rsidRPr="00A01494" w:rsidRDefault="00F76F8C" w:rsidP="00D61410">
            <w:pPr>
              <w:autoSpaceDE w:val="0"/>
              <w:autoSpaceDN w:val="0"/>
              <w:adjustRightInd w:val="0"/>
              <w:rPr>
                <w:rFonts w:cstheme="minorHAnsi"/>
                <w:bCs/>
              </w:rPr>
            </w:pPr>
            <w:sdt>
              <w:sdtPr>
                <w:rPr>
                  <w:rFonts w:cstheme="minorHAnsi"/>
                  <w:bCs/>
                  <w:color w:val="0000FF"/>
                </w:rPr>
                <w:id w:val="1857455968"/>
              </w:sdtPr>
              <w:sdtEndPr/>
              <w:sdtContent>
                <w:r w:rsidRPr="00F76F8C">
                  <w:rPr>
                    <w:rFonts w:eastAsia="MS Gothic" w:cstheme="minorHAnsi"/>
                    <w:bCs/>
                    <w:color w:val="0000FF"/>
                  </w:rPr>
                  <w:t>X</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F76F8C" w:rsidP="00D61410">
            <w:pPr>
              <w:autoSpaceDE w:val="0"/>
              <w:autoSpaceDN w:val="0"/>
              <w:adjustRightInd w:val="0"/>
              <w:rPr>
                <w:rFonts w:cstheme="minorHAnsi"/>
                <w:bCs/>
              </w:rPr>
            </w:pPr>
            <w:sdt>
              <w:sdtPr>
                <w:rPr>
                  <w:rFonts w:cstheme="minorHAnsi"/>
                  <w:bCs/>
                  <w:color w:val="0000FF"/>
                </w:rPr>
                <w:id w:val="275535217"/>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F76F8C" w:rsidP="00D61410">
            <w:pPr>
              <w:autoSpaceDE w:val="0"/>
              <w:autoSpaceDN w:val="0"/>
              <w:adjustRightInd w:val="0"/>
              <w:rPr>
                <w:rFonts w:cstheme="minorHAnsi"/>
                <w:bCs/>
              </w:rPr>
            </w:pPr>
            <w:sdt>
              <w:sdtPr>
                <w:rPr>
                  <w:rFonts w:cstheme="minorHAnsi"/>
                  <w:bCs/>
                  <w:color w:val="0000FF"/>
                </w:rPr>
                <w:id w:val="1896924375"/>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F76F8C" w:rsidP="00D61410">
            <w:pPr>
              <w:autoSpaceDE w:val="0"/>
              <w:autoSpaceDN w:val="0"/>
              <w:adjustRightInd w:val="0"/>
              <w:rPr>
                <w:rFonts w:cstheme="minorHAnsi"/>
                <w:bCs/>
              </w:rPr>
            </w:pPr>
            <w:sdt>
              <w:sdtPr>
                <w:rPr>
                  <w:rFonts w:cstheme="minorHAnsi"/>
                  <w:bCs/>
                  <w:color w:val="0000FF"/>
                </w:rPr>
                <w:id w:val="-1138024150"/>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F76F8C" w:rsidP="00D61410">
            <w:pPr>
              <w:autoSpaceDE w:val="0"/>
              <w:autoSpaceDN w:val="0"/>
              <w:adjustRightInd w:val="0"/>
              <w:rPr>
                <w:rFonts w:cstheme="minorHAnsi"/>
                <w:bCs/>
              </w:rPr>
            </w:pPr>
            <w:sdt>
              <w:sdtPr>
                <w:rPr>
                  <w:rFonts w:cstheme="minorHAnsi"/>
                  <w:bCs/>
                  <w:color w:val="0000FF"/>
                </w:rPr>
                <w:id w:val="-41733351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rsidR="00E361E9" w:rsidRPr="00E361E9" w:rsidRDefault="00E361E9" w:rsidP="00E361E9">
      <w:pPr>
        <w:rPr>
          <w:color w:val="0000FF"/>
          <w:sz w:val="24"/>
          <w:szCs w:val="24"/>
        </w:rPr>
      </w:pPr>
      <w:r w:rsidRPr="00E361E9">
        <w:rPr>
          <w:color w:val="0000FF"/>
          <w:sz w:val="24"/>
          <w:szCs w:val="24"/>
        </w:rPr>
        <w:t xml:space="preserve">To </w:t>
      </w:r>
      <w:r w:rsidRPr="00E361E9">
        <w:rPr>
          <w:rFonts w:cs="Calibri"/>
          <w:color w:val="0000FF"/>
          <w:sz w:val="24"/>
          <w:szCs w:val="24"/>
        </w:rPr>
        <w:t>examine</w:t>
      </w:r>
      <w:r w:rsidRPr="00E361E9">
        <w:rPr>
          <w:color w:val="0000FF"/>
          <w:sz w:val="24"/>
          <w:szCs w:val="24"/>
        </w:rPr>
        <w:t xml:space="preserve"> the reliability of this readmission me</w:t>
      </w:r>
      <w:bookmarkStart w:id="11" w:name="_GoBack"/>
      <w:bookmarkEnd w:id="11"/>
      <w:r w:rsidRPr="00E361E9">
        <w:rPr>
          <w:color w:val="0000FF"/>
          <w:sz w:val="24"/>
          <w:szCs w:val="24"/>
        </w:rPr>
        <w:t>asure, we performed analyses of Medicare claims, Denominator, and EDB files from 2009-2011, identifying IRF admissions preceded by an acute-care hospitalization (IPPS, CAH, and psychiatric hospitals). Because this measure is based on two consecutive years of data, these analyses used data pooled from 2009/2010 and 2010/2011. After applying the exclusion criteria</w:t>
      </w:r>
      <w:r>
        <w:rPr>
          <w:color w:val="0000FF"/>
          <w:sz w:val="24"/>
          <w:szCs w:val="24"/>
        </w:rPr>
        <w:t xml:space="preserve"> </w:t>
      </w:r>
      <w:r w:rsidRPr="00E361E9">
        <w:rPr>
          <w:color w:val="0000FF"/>
          <w:sz w:val="24"/>
          <w:szCs w:val="24"/>
        </w:rPr>
        <w:t>the final analytic files included the following counts of stays and facilities:</w:t>
      </w:r>
      <w:r w:rsidRPr="00E361E9">
        <w:rPr>
          <w:rStyle w:val="FootnoteReference"/>
          <w:sz w:val="24"/>
          <w:szCs w:val="24"/>
        </w:rPr>
        <w:footnoteReference w:id="1"/>
      </w:r>
      <w:r w:rsidRPr="00E361E9">
        <w:rPr>
          <w:color w:val="0000FF"/>
          <w:sz w:val="24"/>
          <w:szCs w:val="24"/>
        </w:rPr>
        <w:t xml:space="preserve"> </w:t>
      </w:r>
    </w:p>
    <w:p w:rsidR="00E361E9" w:rsidRPr="00E361E9" w:rsidRDefault="00E361E9" w:rsidP="00E361E9">
      <w:pPr>
        <w:tabs>
          <w:tab w:val="left" w:pos="1080"/>
        </w:tabs>
        <w:spacing w:after="0"/>
        <w:ind w:left="1080"/>
        <w:rPr>
          <w:color w:val="0000FF"/>
          <w:sz w:val="24"/>
          <w:szCs w:val="24"/>
        </w:rPr>
      </w:pPr>
      <w:r w:rsidRPr="00E361E9">
        <w:rPr>
          <w:color w:val="0000FF"/>
          <w:sz w:val="24"/>
          <w:szCs w:val="24"/>
        </w:rPr>
        <w:t>2009/2010: 587,810 index IRF stays in 1,185 IRFs</w:t>
      </w:r>
    </w:p>
    <w:p w:rsidR="00E361E9" w:rsidRPr="00E361E9" w:rsidRDefault="00E361E9" w:rsidP="00E361E9">
      <w:pPr>
        <w:tabs>
          <w:tab w:val="left" w:pos="1080"/>
        </w:tabs>
        <w:spacing w:after="0"/>
        <w:ind w:left="1080"/>
        <w:rPr>
          <w:color w:val="0000FF"/>
          <w:sz w:val="24"/>
          <w:szCs w:val="24"/>
        </w:rPr>
      </w:pPr>
      <w:r w:rsidRPr="00E361E9">
        <w:rPr>
          <w:color w:val="0000FF"/>
          <w:sz w:val="24"/>
          <w:szCs w:val="24"/>
        </w:rPr>
        <w:t>2010/2011: 590,120 index IRF stays in 1,171 IRFs</w:t>
      </w:r>
    </w:p>
    <w:p w:rsidR="00E361E9" w:rsidRPr="00E361E9" w:rsidRDefault="00E361E9" w:rsidP="00FD7AB1">
      <w:pPr>
        <w:rPr>
          <w:color w:val="0000FF"/>
          <w:sz w:val="24"/>
          <w:szCs w:val="24"/>
        </w:rPr>
      </w:pPr>
      <w:r w:rsidRPr="00E361E9">
        <w:rPr>
          <w:rFonts w:cs="Calibri"/>
          <w:color w:val="0000FF"/>
          <w:sz w:val="24"/>
          <w:szCs w:val="24"/>
        </w:rPr>
        <w:t>Next, consistent</w:t>
      </w:r>
      <w:r w:rsidRPr="00E361E9">
        <w:rPr>
          <w:color w:val="0000FF"/>
          <w:sz w:val="24"/>
          <w:szCs w:val="24"/>
        </w:rPr>
        <w:t xml:space="preserve"> with the reliability testing done for the Hospital Wide Readmission (HWR) QM (NQF #1789), we conducted an analysis based on a random split of the data to assess reliability and consistency of the measure. We pooled stay-level data from 2009, 2010, and 2011 across all facilities and split the file randomly into two data sets. The two data sets derived from the three years of pooled data were then used for reliability testing. The final analytic files had the following counts of stays and facilities:</w:t>
      </w:r>
    </w:p>
    <w:p w:rsidR="00E361E9" w:rsidRPr="00E361E9" w:rsidRDefault="00E361E9" w:rsidP="00E361E9">
      <w:pPr>
        <w:tabs>
          <w:tab w:val="left" w:pos="1080"/>
        </w:tabs>
        <w:spacing w:after="0"/>
        <w:ind w:left="1080"/>
        <w:rPr>
          <w:color w:val="0000FF"/>
          <w:sz w:val="24"/>
          <w:szCs w:val="24"/>
        </w:rPr>
      </w:pPr>
      <w:r w:rsidRPr="00E361E9">
        <w:rPr>
          <w:color w:val="0000FF"/>
          <w:sz w:val="24"/>
          <w:szCs w:val="24"/>
        </w:rPr>
        <w:t>Sample 1: 442,555 index IRF stays in 1,206 facilities</w:t>
      </w:r>
    </w:p>
    <w:p w:rsidR="00E361E9" w:rsidRPr="00E361E9" w:rsidRDefault="00E361E9" w:rsidP="00E361E9">
      <w:pPr>
        <w:tabs>
          <w:tab w:val="left" w:pos="1080"/>
        </w:tabs>
        <w:ind w:left="1080"/>
        <w:rPr>
          <w:color w:val="0000FF"/>
          <w:sz w:val="24"/>
          <w:szCs w:val="24"/>
        </w:rPr>
      </w:pPr>
      <w:r w:rsidRPr="00E361E9">
        <w:rPr>
          <w:color w:val="0000FF"/>
          <w:sz w:val="24"/>
          <w:szCs w:val="24"/>
        </w:rPr>
        <w:t>Sample 2: 443,493 index IRF stays in 1,206 facilities</w:t>
      </w:r>
    </w:p>
    <w:p w:rsidR="00BA100D" w:rsidRDefault="008525BA" w:rsidP="008525BA">
      <w:pPr>
        <w:tabs>
          <w:tab w:val="left" w:pos="1080"/>
        </w:tabs>
        <w:rPr>
          <w:color w:val="0000FF"/>
          <w:sz w:val="24"/>
          <w:szCs w:val="24"/>
        </w:rPr>
      </w:pPr>
      <w:r>
        <w:rPr>
          <w:color w:val="0000FF"/>
          <w:sz w:val="24"/>
          <w:szCs w:val="24"/>
        </w:rPr>
        <w:t xml:space="preserve">Note: The number of facilities included in the split sample files exceeds the number reported above because a small number of facilities are not included in all three years. When the file is randomly split, stays from these facilities are split across both files.  </w:t>
      </w:r>
    </w:p>
    <w:p w:rsidR="00E361E9" w:rsidRPr="00E361E9" w:rsidRDefault="00E361E9" w:rsidP="00E361E9">
      <w:pPr>
        <w:tabs>
          <w:tab w:val="left" w:pos="1080"/>
        </w:tabs>
        <w:rPr>
          <w:color w:val="0000FF"/>
          <w:sz w:val="24"/>
          <w:szCs w:val="24"/>
        </w:rPr>
      </w:pPr>
      <w:r w:rsidRPr="00E361E9">
        <w:rPr>
          <w:color w:val="0000FF"/>
          <w:sz w:val="24"/>
          <w:szCs w:val="24"/>
        </w:rPr>
        <w:lastRenderedPageBreak/>
        <w:t xml:space="preserve">The split samples are each smaller than the samples that would be used in the proposed measure, which </w:t>
      </w:r>
      <w:r w:rsidR="00BE1D19" w:rsidRPr="00E361E9">
        <w:rPr>
          <w:color w:val="0000FF"/>
          <w:sz w:val="24"/>
          <w:szCs w:val="24"/>
        </w:rPr>
        <w:t>ha</w:t>
      </w:r>
      <w:r w:rsidR="00BE1D19">
        <w:rPr>
          <w:color w:val="0000FF"/>
          <w:sz w:val="24"/>
          <w:szCs w:val="24"/>
        </w:rPr>
        <w:t>ve</w:t>
      </w:r>
      <w:r w:rsidR="00BE1D19" w:rsidRPr="00E361E9">
        <w:rPr>
          <w:color w:val="0000FF"/>
          <w:sz w:val="24"/>
          <w:szCs w:val="24"/>
        </w:rPr>
        <w:t xml:space="preserve"> </w:t>
      </w:r>
      <w:r w:rsidRPr="00E361E9">
        <w:rPr>
          <w:color w:val="0000FF"/>
          <w:sz w:val="24"/>
          <w:szCs w:val="24"/>
        </w:rPr>
        <w:t>2 years of data in each measurement period. A fourth recent year was not available to allow split samples each of a size equal to 2 data years.</w:t>
      </w:r>
    </w:p>
    <w:p w:rsidR="00E361E9" w:rsidRPr="00E361E9" w:rsidRDefault="00E361E9" w:rsidP="00E361E9">
      <w:pPr>
        <w:rPr>
          <w:color w:val="0000FF"/>
          <w:sz w:val="24"/>
          <w:szCs w:val="24"/>
        </w:rPr>
      </w:pPr>
      <w:r w:rsidRPr="00E361E9">
        <w:rPr>
          <w:rFonts w:cstheme="majorBidi"/>
          <w:color w:val="0000FF"/>
          <w:sz w:val="24"/>
          <w:szCs w:val="24"/>
        </w:rPr>
        <w:t>Source: RTI analysis of Medicare claims data, 2007-2012. (RTI program references: l</w:t>
      </w:r>
      <w:r w:rsidRPr="00E361E9">
        <w:rPr>
          <w:color w:val="0000FF"/>
          <w:sz w:val="24"/>
          <w:szCs w:val="24"/>
        </w:rPr>
        <w:t xml:space="preserve">c22_irf_gv150910.xlsx; lc22_irf_gv151011.xlsx; lc26_glim_irfv150.xlsx; and lc26_glim_irfv151.xlsx) </w:t>
      </w:r>
    </w:p>
    <w:p w:rsidR="002B5016" w:rsidRPr="00A25024" w:rsidRDefault="002B5016" w:rsidP="00DB3627">
      <w:pPr>
        <w:autoSpaceDE w:val="0"/>
        <w:autoSpaceDN w:val="0"/>
        <w:adjustRightInd w:val="0"/>
        <w:spacing w:after="0" w:line="240" w:lineRule="auto"/>
        <w:rPr>
          <w:rFonts w:cstheme="minorHAnsi"/>
          <w:bCs/>
        </w:rPr>
      </w:pPr>
    </w:p>
    <w:p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rsidR="00E361E9" w:rsidRPr="00E361E9" w:rsidRDefault="00E361E9" w:rsidP="00E361E9">
      <w:pPr>
        <w:autoSpaceDE w:val="0"/>
        <w:autoSpaceDN w:val="0"/>
        <w:adjustRightInd w:val="0"/>
        <w:spacing w:after="0" w:line="240" w:lineRule="auto"/>
        <w:rPr>
          <w:rFonts w:cstheme="minorHAnsi"/>
          <w:bCs/>
          <w:color w:val="0000FF"/>
          <w:sz w:val="24"/>
          <w:szCs w:val="24"/>
        </w:rPr>
      </w:pPr>
      <w:r>
        <w:rPr>
          <w:rFonts w:cstheme="minorHAnsi"/>
          <w:bCs/>
          <w:color w:val="0000FF"/>
          <w:sz w:val="24"/>
          <w:szCs w:val="24"/>
        </w:rPr>
        <w:t>This measure is based on the 100% claims data and includes all IRF users during these years</w:t>
      </w:r>
      <w:r w:rsidR="00BE1D19">
        <w:rPr>
          <w:rFonts w:cstheme="minorHAnsi"/>
          <w:bCs/>
          <w:color w:val="0000FF"/>
          <w:sz w:val="24"/>
          <w:szCs w:val="24"/>
        </w:rPr>
        <w:t xml:space="preserve"> </w:t>
      </w:r>
      <w:r w:rsidR="0099561F">
        <w:rPr>
          <w:rFonts w:cstheme="minorHAnsi"/>
          <w:bCs/>
          <w:color w:val="0000FF"/>
          <w:sz w:val="24"/>
          <w:szCs w:val="24"/>
        </w:rPr>
        <w:t xml:space="preserve">at least age 18, </w:t>
      </w:r>
      <w:r w:rsidR="00BE1D19">
        <w:rPr>
          <w:rFonts w:cstheme="minorHAnsi"/>
          <w:bCs/>
          <w:color w:val="0000FF"/>
          <w:sz w:val="24"/>
          <w:szCs w:val="24"/>
        </w:rPr>
        <w:t>who had the</w:t>
      </w:r>
      <w:r w:rsidR="0099561F">
        <w:rPr>
          <w:rFonts w:cstheme="minorHAnsi"/>
          <w:bCs/>
          <w:color w:val="0000FF"/>
          <w:sz w:val="24"/>
          <w:szCs w:val="24"/>
        </w:rPr>
        <w:t xml:space="preserve"> Medicare Part A coverage needed and had a prior acute care stay within 30 days</w:t>
      </w:r>
      <w:r w:rsidR="00EB4ED0">
        <w:rPr>
          <w:rFonts w:cstheme="minorHAnsi"/>
          <w:bCs/>
          <w:color w:val="0000FF"/>
          <w:sz w:val="24"/>
          <w:szCs w:val="24"/>
        </w:rPr>
        <w:t>.</w:t>
      </w:r>
      <w:r w:rsidR="0099561F">
        <w:rPr>
          <w:rFonts w:cstheme="minorHAnsi"/>
          <w:bCs/>
          <w:color w:val="0000FF"/>
          <w:sz w:val="24"/>
          <w:szCs w:val="24"/>
        </w:rPr>
        <w:t xml:space="preserve"> </w:t>
      </w:r>
      <w:r w:rsidR="00D23426">
        <w:rPr>
          <w:rFonts w:cstheme="minorHAnsi"/>
          <w:bCs/>
          <w:color w:val="0000FF"/>
          <w:sz w:val="24"/>
          <w:szCs w:val="24"/>
        </w:rPr>
        <w:t>A</w:t>
      </w:r>
      <w:r w:rsidR="00C402F9">
        <w:rPr>
          <w:rFonts w:cstheme="minorHAnsi"/>
          <w:bCs/>
          <w:color w:val="0000FF"/>
          <w:sz w:val="24"/>
          <w:szCs w:val="24"/>
        </w:rPr>
        <w:t xml:space="preserve"> </w:t>
      </w:r>
      <w:r w:rsidR="00D23426">
        <w:rPr>
          <w:rFonts w:cstheme="minorHAnsi"/>
          <w:bCs/>
          <w:color w:val="0000FF"/>
          <w:sz w:val="24"/>
          <w:szCs w:val="24"/>
        </w:rPr>
        <w:t xml:space="preserve">patient </w:t>
      </w:r>
      <w:r w:rsidR="00C402F9">
        <w:rPr>
          <w:rFonts w:cstheme="minorHAnsi"/>
          <w:bCs/>
          <w:color w:val="0000FF"/>
          <w:sz w:val="24"/>
          <w:szCs w:val="24"/>
        </w:rPr>
        <w:t>exclusion</w:t>
      </w:r>
      <w:r w:rsidR="00D23426">
        <w:rPr>
          <w:rFonts w:cstheme="minorHAnsi"/>
          <w:bCs/>
          <w:color w:val="0000FF"/>
          <w:sz w:val="24"/>
          <w:szCs w:val="24"/>
        </w:rPr>
        <w:t xml:space="preserve"> from the measure</w:t>
      </w:r>
      <w:r w:rsidR="00C402F9">
        <w:rPr>
          <w:rFonts w:cstheme="minorHAnsi"/>
          <w:bCs/>
          <w:color w:val="0000FF"/>
          <w:sz w:val="24"/>
          <w:szCs w:val="24"/>
        </w:rPr>
        <w:t xml:space="preserve"> is th</w:t>
      </w:r>
      <w:r w:rsidR="00D23426">
        <w:rPr>
          <w:rFonts w:cstheme="minorHAnsi"/>
          <w:bCs/>
          <w:color w:val="0000FF"/>
          <w:sz w:val="24"/>
          <w:szCs w:val="24"/>
        </w:rPr>
        <w:t xml:space="preserve">at </w:t>
      </w:r>
      <w:r w:rsidR="00C402F9">
        <w:rPr>
          <w:rFonts w:cstheme="minorHAnsi"/>
          <w:bCs/>
          <w:color w:val="0000FF"/>
          <w:sz w:val="24"/>
          <w:szCs w:val="24"/>
        </w:rPr>
        <w:t>of cancer patients who were not treated surgically</w:t>
      </w:r>
      <w:r w:rsidR="00D23426">
        <w:rPr>
          <w:rFonts w:cstheme="minorHAnsi"/>
          <w:bCs/>
          <w:color w:val="0000FF"/>
          <w:sz w:val="24"/>
          <w:szCs w:val="24"/>
        </w:rPr>
        <w:t xml:space="preserve"> in the prior acute stay</w:t>
      </w:r>
      <w:r w:rsidR="00EB4ED0">
        <w:rPr>
          <w:rFonts w:cstheme="minorHAnsi"/>
          <w:bCs/>
          <w:color w:val="0000FF"/>
          <w:sz w:val="24"/>
          <w:szCs w:val="24"/>
        </w:rPr>
        <w:t>.</w:t>
      </w:r>
      <w:r w:rsidR="00C402F9">
        <w:rPr>
          <w:rFonts w:cstheme="minorHAnsi"/>
          <w:bCs/>
          <w:color w:val="0000FF"/>
          <w:sz w:val="24"/>
          <w:szCs w:val="24"/>
        </w:rPr>
        <w:t xml:space="preserve"> All these and technical exclusions are </w:t>
      </w:r>
      <w:r w:rsidR="00D23426">
        <w:rPr>
          <w:rFonts w:cstheme="minorHAnsi"/>
          <w:bCs/>
          <w:color w:val="0000FF"/>
          <w:sz w:val="24"/>
          <w:szCs w:val="24"/>
        </w:rPr>
        <w:t>explained</w:t>
      </w:r>
      <w:r w:rsidR="001509B6">
        <w:rPr>
          <w:rFonts w:cstheme="minorHAnsi"/>
          <w:bCs/>
          <w:color w:val="0000FF"/>
          <w:sz w:val="24"/>
          <w:szCs w:val="24"/>
        </w:rPr>
        <w:t xml:space="preserve"> </w:t>
      </w:r>
      <w:r w:rsidR="00C402F9">
        <w:rPr>
          <w:rFonts w:cstheme="minorHAnsi"/>
          <w:bCs/>
          <w:color w:val="0000FF"/>
          <w:sz w:val="24"/>
          <w:szCs w:val="24"/>
        </w:rPr>
        <w:t>in section S</w:t>
      </w:r>
      <w:r w:rsidR="001509B6">
        <w:rPr>
          <w:rFonts w:cstheme="minorHAnsi"/>
          <w:bCs/>
          <w:color w:val="0000FF"/>
          <w:sz w:val="24"/>
          <w:szCs w:val="24"/>
        </w:rPr>
        <w:t xml:space="preserve">.10 and listed in </w:t>
      </w:r>
      <w:r w:rsidR="00EB4ED0" w:rsidRPr="00EB4ED0">
        <w:rPr>
          <w:rFonts w:cstheme="minorHAnsi"/>
          <w:b/>
          <w:color w:val="0000FF"/>
          <w:sz w:val="24"/>
          <w:szCs w:val="24"/>
        </w:rPr>
        <w:t xml:space="preserve">Testing </w:t>
      </w:r>
      <w:r w:rsidR="001509B6" w:rsidRPr="00EB4ED0">
        <w:rPr>
          <w:rFonts w:cstheme="minorHAnsi"/>
          <w:b/>
          <w:color w:val="0000FF"/>
          <w:sz w:val="24"/>
          <w:szCs w:val="24"/>
        </w:rPr>
        <w:t>Figure 1</w:t>
      </w:r>
      <w:r w:rsidR="001509B6">
        <w:rPr>
          <w:rFonts w:cstheme="minorHAnsi"/>
          <w:bCs/>
          <w:color w:val="0000FF"/>
          <w:sz w:val="24"/>
          <w:szCs w:val="24"/>
        </w:rPr>
        <w:t xml:space="preserve"> below.</w:t>
      </w:r>
      <w:r w:rsidR="00C402F9">
        <w:rPr>
          <w:rFonts w:cstheme="minorHAnsi"/>
          <w:bCs/>
          <w:color w:val="0000FF"/>
          <w:sz w:val="24"/>
          <w:szCs w:val="24"/>
        </w:rPr>
        <w:t xml:space="preserve"> </w:t>
      </w:r>
    </w:p>
    <w:p w:rsidR="00E361E9" w:rsidRDefault="00E361E9" w:rsidP="00DB3627">
      <w:pPr>
        <w:autoSpaceDE w:val="0"/>
        <w:autoSpaceDN w:val="0"/>
        <w:adjustRightInd w:val="0"/>
        <w:spacing w:after="0" w:line="240" w:lineRule="auto"/>
        <w:rPr>
          <w:rFonts w:cstheme="minorHAnsi"/>
          <w:bCs/>
        </w:rPr>
      </w:pP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E37E1B" w:rsidP="00E37E1B">
      <w:pPr>
        <w:autoSpaceDE w:val="0"/>
        <w:autoSpaceDN w:val="0"/>
        <w:adjustRightInd w:val="0"/>
        <w:spacing w:after="0" w:line="240" w:lineRule="auto"/>
        <w:rPr>
          <w:rFonts w:cstheme="minorHAnsi"/>
          <w:bCs/>
        </w:rPr>
      </w:pPr>
    </w:p>
    <w:p w:rsidR="00E361E9" w:rsidRPr="00E361E9" w:rsidRDefault="00E361E9" w:rsidP="00E37E1B">
      <w:pPr>
        <w:autoSpaceDE w:val="0"/>
        <w:autoSpaceDN w:val="0"/>
        <w:adjustRightInd w:val="0"/>
        <w:spacing w:after="0" w:line="240" w:lineRule="auto"/>
        <w:rPr>
          <w:rFonts w:cstheme="minorHAnsi"/>
          <w:bCs/>
          <w:color w:val="0000FF"/>
          <w:sz w:val="24"/>
          <w:szCs w:val="24"/>
        </w:rPr>
      </w:pPr>
      <w:r w:rsidRPr="00E361E9">
        <w:rPr>
          <w:rFonts w:cstheme="minorHAnsi"/>
          <w:bCs/>
          <w:color w:val="0000FF"/>
          <w:sz w:val="24"/>
          <w:szCs w:val="24"/>
        </w:rPr>
        <w:t>No differences beyond what is described in 1.5.</w:t>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E361E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sz w:val="24"/>
            <w:szCs w:val="24"/>
          </w:rPr>
          <w:id w:val="423926269"/>
        </w:sdtPr>
        <w:sdtEndPr>
          <w:rPr>
            <w:sz w:val="22"/>
            <w:szCs w:val="22"/>
          </w:rPr>
        </w:sdtEndPr>
        <w:sdtContent>
          <w:r w:rsidR="00E361E9" w:rsidRPr="00FD7AB1">
            <w:rPr>
              <w:rFonts w:cstheme="minorHAnsi"/>
              <w:bCs/>
              <w:color w:val="0000FF"/>
              <w:sz w:val="24"/>
              <w:szCs w:val="24"/>
            </w:rPr>
            <w:t>X</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D36489" w:rsidRPr="00A25024">
        <w:rPr>
          <w:rFonts w:cstheme="minorHAnsi"/>
          <w:b/>
          <w:bCs/>
        </w:rPr>
        <w:t>data</w:t>
      </w:r>
      <w:r w:rsidR="007422FD" w:rsidRPr="00A25024">
        <w:rPr>
          <w:rFonts w:cstheme="minorHAnsi"/>
          <w:b/>
          <w:bCs/>
        </w:rPr>
        <w:t xml:space="preserve"> elements</w:t>
      </w:r>
      <w:r w:rsidR="00E310B9" w:rsidRPr="00A25024">
        <w:rPr>
          <w:rFonts w:cstheme="minorHAnsi"/>
          <w:b/>
          <w:bCs/>
        </w:rPr>
        <w:t xml:space="preserve"> used in the measure</w:t>
      </w:r>
      <w:r w:rsidR="00E310B9" w:rsidRPr="00A25024">
        <w:rPr>
          <w:rFonts w:cstheme="minorHAnsi"/>
          <w:bCs/>
        </w:rPr>
        <w:t xml:space="preserve"> (</w:t>
      </w:r>
      <w:r w:rsidR="00E310B9" w:rsidRPr="00756FDB">
        <w:rPr>
          <w:rFonts w:cstheme="minorHAnsi"/>
          <w:bCs/>
          <w:i/>
        </w:rPr>
        <w:t>e.g., inter-abstractor reliability</w:t>
      </w:r>
      <w:r w:rsidR="000414E8">
        <w:rPr>
          <w:rFonts w:cstheme="minorHAnsi"/>
          <w:bCs/>
          <w:i/>
        </w:rPr>
        <w:t>; data element reliability</w:t>
      </w:r>
      <w:r w:rsidR="000414E8" w:rsidRPr="000414E8">
        <w:rPr>
          <w:rFonts w:cstheme="minorHAnsi"/>
          <w:bCs/>
          <w:i/>
        </w:rPr>
        <w:t xml:space="preserve"> must address ALL critical data elements</w:t>
      </w:r>
      <w:r w:rsidR="000414E8">
        <w:rPr>
          <w:rFonts w:cstheme="minorHAnsi"/>
          <w:bCs/>
        </w:rPr>
        <w:t>)</w:t>
      </w:r>
      <w:r w:rsidR="00CA06D8" w:rsidRPr="00A25024">
        <w:rPr>
          <w:rFonts w:cstheme="minorHAnsi"/>
          <w:bCs/>
        </w:rPr>
        <w:t xml:space="preserve">  </w:t>
      </w:r>
      <w:r w:rsidR="00D1754D" w:rsidRPr="00A25024">
        <w:rPr>
          <w:rFonts w:cstheme="minorHAnsi"/>
          <w:bCs/>
        </w:rPr>
        <w:br/>
      </w:r>
      <w:sdt>
        <w:sdtPr>
          <w:rPr>
            <w:rFonts w:cstheme="minorHAnsi"/>
            <w:bCs/>
            <w:color w:val="0000FF"/>
          </w:rPr>
          <w:id w:val="1807820231"/>
        </w:sdtPr>
        <w:sdtEndPr/>
        <w:sdtContent>
          <w:r w:rsidR="00E361E9" w:rsidRPr="00FD7AB1">
            <w:rPr>
              <w:rFonts w:cstheme="minorHAnsi"/>
              <w:bCs/>
              <w:color w:val="0000FF"/>
              <w:sz w:val="24"/>
              <w:szCs w:val="24"/>
            </w:rPr>
            <w:t>X</w:t>
          </w:r>
        </w:sdtContent>
      </w:sdt>
      <w:r w:rsidR="00A25024" w:rsidRPr="00A25024">
        <w:rPr>
          <w:rFonts w:eastAsia="MS Mincho" w:cstheme="minorHAnsi"/>
          <w:b/>
          <w:bCs/>
          <w:color w:val="0000FF"/>
        </w:rPr>
        <w:t xml:space="preserve"> </w:t>
      </w:r>
      <w:r w:rsidR="005232D6">
        <w:rPr>
          <w:rFonts w:cstheme="minorHAnsi"/>
          <w:b/>
          <w:bCs/>
        </w:rPr>
        <w:t>P</w:t>
      </w:r>
      <w:r w:rsidR="00D1754D" w:rsidRPr="00A25024">
        <w:rPr>
          <w:rFonts w:cstheme="minorHAnsi"/>
          <w:b/>
          <w:bCs/>
        </w:rPr>
        <w:t xml:space="preserve">erformance </w:t>
      </w:r>
      <w:r w:rsidR="00CA06D8" w:rsidRPr="00A25024">
        <w:rPr>
          <w:rFonts w:cstheme="minorHAnsi"/>
          <w:b/>
          <w:bCs/>
        </w:rPr>
        <w:t>measure score</w:t>
      </w:r>
      <w:r w:rsidR="0011342F" w:rsidRPr="00A25024">
        <w:rPr>
          <w:rFonts w:cstheme="minorHAnsi"/>
          <w:bCs/>
        </w:rPr>
        <w:t xml:space="preserve"> (</w:t>
      </w:r>
      <w:r w:rsidR="00E310B9" w:rsidRPr="00A25024">
        <w:rPr>
          <w:rFonts w:cstheme="minorHAnsi"/>
          <w:bCs/>
        </w:rPr>
        <w:t xml:space="preserve">e.g., </w:t>
      </w:r>
      <w:r w:rsidR="0011342F" w:rsidRPr="00A25024">
        <w:rPr>
          <w:rFonts w:cstheme="minorHAnsi"/>
          <w:bCs/>
          <w:i/>
        </w:rPr>
        <w:t>signal-to-noise</w:t>
      </w:r>
      <w:r w:rsidR="000414E8">
        <w:rPr>
          <w:rFonts w:cstheme="minorHAnsi"/>
          <w:bCs/>
          <w:i/>
        </w:rPr>
        <w:t xml:space="preserve"> analysis</w:t>
      </w:r>
      <w:r w:rsidR="0011342F" w:rsidRPr="00A25024">
        <w:rPr>
          <w:rFonts w:cstheme="minorHAnsi"/>
          <w:bCs/>
        </w:rPr>
        <w:t>)</w:t>
      </w:r>
      <w:r w:rsidR="00DA7277" w:rsidRPr="00A25024">
        <w:rPr>
          <w:rFonts w:cstheme="minorHAnsi"/>
          <w:bCs/>
        </w:rPr>
        <w:br/>
      </w:r>
      <w:r w:rsidR="00D50704" w:rsidRPr="00A25024">
        <w:rPr>
          <w:rFonts w:cstheme="minorHAnsi"/>
          <w:bCs/>
          <w:u w:val="single"/>
        </w:rPr>
        <w:br/>
      </w:r>
      <w:r>
        <w:rPr>
          <w:rFonts w:cstheme="minorHAnsi"/>
          <w:b/>
          <w:bCs/>
        </w:rPr>
        <w:t>2a2.</w:t>
      </w:r>
      <w:r w:rsidR="008C54A9" w:rsidRPr="00A25024">
        <w:rPr>
          <w:rFonts w:cstheme="minorHAnsi"/>
          <w:b/>
          <w:bCs/>
        </w:rPr>
        <w:t xml:space="preserve">2. 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8C54A9" w:rsidRDefault="008C54A9" w:rsidP="008C54A9">
      <w:pPr>
        <w:autoSpaceDE w:val="0"/>
        <w:autoSpaceDN w:val="0"/>
        <w:adjustRightInd w:val="0"/>
        <w:spacing w:after="0" w:line="240" w:lineRule="auto"/>
        <w:rPr>
          <w:rFonts w:cstheme="minorHAnsi"/>
          <w:bCs/>
        </w:rPr>
      </w:pPr>
    </w:p>
    <w:p w:rsidR="00EF2A18" w:rsidRPr="00EF2A18" w:rsidRDefault="00EF2A18" w:rsidP="00EF2A18">
      <w:pPr>
        <w:spacing w:after="0"/>
        <w:rPr>
          <w:b/>
          <w:bCs/>
          <w:i/>
          <w:iCs/>
          <w:color w:val="0000FF"/>
          <w:sz w:val="24"/>
          <w:szCs w:val="24"/>
        </w:rPr>
      </w:pPr>
      <w:r w:rsidRPr="00EF2A18">
        <w:rPr>
          <w:b/>
          <w:bCs/>
          <w:i/>
          <w:iCs/>
          <w:color w:val="0000FF"/>
          <w:sz w:val="24"/>
          <w:szCs w:val="24"/>
        </w:rPr>
        <w:t>Data Item Reliability</w:t>
      </w:r>
    </w:p>
    <w:p w:rsidR="00EF2A18" w:rsidRPr="00EF2A18" w:rsidRDefault="00EF2A18" w:rsidP="003F3E6F">
      <w:pPr>
        <w:rPr>
          <w:color w:val="0000FF"/>
          <w:sz w:val="24"/>
          <w:szCs w:val="24"/>
        </w:rPr>
      </w:pPr>
      <w:r w:rsidRPr="00EF2A18">
        <w:rPr>
          <w:color w:val="0000FF"/>
          <w:sz w:val="24"/>
          <w:szCs w:val="24"/>
        </w:rPr>
        <w:t xml:space="preserve">To enhance the reliability of the model, RTI selected data elements considered most robust and reliable from prior research using the source data to build the sample and include in the model. Where possible, we approached variable selection for the development of this measure to be harmonized with the construction of the HWR (NQF #1789). In employing this approach we cite </w:t>
      </w:r>
      <w:r w:rsidRPr="00EF2A18">
        <w:rPr>
          <w:color w:val="0000FF"/>
          <w:sz w:val="24"/>
          <w:szCs w:val="24"/>
        </w:rPr>
        <w:lastRenderedPageBreak/>
        <w:t xml:space="preserve">the same justification used for the HWR with regard to reliability of data elements used. Similar to NQF #1789, we selected data elements focusing on variables that are likely to be coded more consistently across hospitals and IRFs because they are used for payment or are audited. For example, consistent with the HWR, we used admission and discharge dates on IRF and hospital claims to identify transfers and readmissions, rather than relying on the claim “discharge status” data elements. (We do use the discharge status value “expired,” however. Death dates in the </w:t>
      </w:r>
      <w:r w:rsidR="00AF6233">
        <w:rPr>
          <w:color w:val="0000FF"/>
          <w:sz w:val="24"/>
          <w:szCs w:val="24"/>
        </w:rPr>
        <w:t xml:space="preserve">Medicare </w:t>
      </w:r>
      <w:r w:rsidRPr="00EF2A18">
        <w:rPr>
          <w:color w:val="0000FF"/>
          <w:sz w:val="24"/>
          <w:szCs w:val="24"/>
        </w:rPr>
        <w:t xml:space="preserve">eligibility files are </w:t>
      </w:r>
      <w:r w:rsidR="003F3E6F">
        <w:rPr>
          <w:color w:val="0000FF"/>
          <w:sz w:val="24"/>
          <w:szCs w:val="24"/>
        </w:rPr>
        <w:t>not always accurate</w:t>
      </w:r>
      <w:r w:rsidRPr="00EF2A18">
        <w:rPr>
          <w:color w:val="0000FF"/>
          <w:sz w:val="24"/>
          <w:szCs w:val="24"/>
        </w:rPr>
        <w:t>, especially for beneficiaries eligible through the Railroad Board; these beneficiaries usually have the last day of a month as a recorded death date.) We also note that CMS has an audit process in place for hospitals which includes review of diagnosis and procedure codes.</w:t>
      </w:r>
    </w:p>
    <w:p w:rsidR="00EF2A18" w:rsidRPr="00EF2A18" w:rsidRDefault="00EF2A18" w:rsidP="00EF2A18">
      <w:pPr>
        <w:rPr>
          <w:color w:val="0000FF"/>
          <w:sz w:val="24"/>
          <w:szCs w:val="24"/>
        </w:rPr>
      </w:pPr>
      <w:r w:rsidRPr="00EF2A18">
        <w:rPr>
          <w:color w:val="0000FF"/>
          <w:sz w:val="24"/>
          <w:szCs w:val="24"/>
        </w:rPr>
        <w:t>In addition to our approach to harmonize this measure based on an existing measure and research, we also analyzed the reliability of the data items included in our models. First, we examined the consistency of covariate prevalence across model years (2009/2010 compared to 2010/2011). Next, we assessed the coefficient estimates and precision of these estimates (i.e., confidence intervals) across model years in order to assess model stability. We also assessed the prevalence, estimates, and precision of the covariates estimated from the split sample analysis described below.</w:t>
      </w:r>
    </w:p>
    <w:p w:rsidR="00EF2A18" w:rsidRPr="00EF2A18" w:rsidRDefault="00EF2A18" w:rsidP="00EF2A18">
      <w:pPr>
        <w:spacing w:after="0"/>
        <w:rPr>
          <w:b/>
          <w:bCs/>
          <w:i/>
          <w:iCs/>
          <w:color w:val="0000FF"/>
          <w:sz w:val="24"/>
          <w:szCs w:val="24"/>
        </w:rPr>
      </w:pPr>
      <w:r w:rsidRPr="00EF2A18">
        <w:rPr>
          <w:b/>
          <w:bCs/>
          <w:i/>
          <w:iCs/>
          <w:color w:val="0000FF"/>
          <w:sz w:val="24"/>
          <w:szCs w:val="24"/>
        </w:rPr>
        <w:t>Quality Measure Reliability</w:t>
      </w:r>
    </w:p>
    <w:p w:rsidR="00EF2A18" w:rsidRPr="00EF2A18" w:rsidRDefault="00EF2A18" w:rsidP="008525BA">
      <w:pPr>
        <w:rPr>
          <w:color w:val="0000FF"/>
          <w:sz w:val="24"/>
          <w:szCs w:val="24"/>
        </w:rPr>
      </w:pPr>
      <w:r w:rsidRPr="00EF2A18">
        <w:rPr>
          <w:color w:val="0000FF"/>
          <w:sz w:val="24"/>
          <w:szCs w:val="24"/>
        </w:rPr>
        <w:t>To evaluate the reliability of the quality measure we followed the test-retest approach used in the evaluation of the HWR (NQF #1789), which involved examining the level of agreement between facilities’ scores when calculated based on two mutually exclusive random samples of stays within each facility. We combined the 2009, 2010, and 2011 files and took a random sample of stays, splitting the combined years for each facility into halves</w:t>
      </w:r>
      <w:r w:rsidR="006B79C8">
        <w:rPr>
          <w:color w:val="0000FF"/>
          <w:sz w:val="24"/>
          <w:szCs w:val="24"/>
        </w:rPr>
        <w:t xml:space="preserve"> with approximately equal numbers </w:t>
      </w:r>
      <w:r w:rsidR="007F2DCE">
        <w:rPr>
          <w:color w:val="0000FF"/>
          <w:sz w:val="24"/>
          <w:szCs w:val="24"/>
        </w:rPr>
        <w:t>from</w:t>
      </w:r>
      <w:r w:rsidR="006B79C8">
        <w:rPr>
          <w:color w:val="0000FF"/>
          <w:sz w:val="24"/>
          <w:szCs w:val="24"/>
        </w:rPr>
        <w:t xml:space="preserve"> each year</w:t>
      </w:r>
      <w:r w:rsidRPr="00EF2A18">
        <w:rPr>
          <w:color w:val="0000FF"/>
          <w:sz w:val="24"/>
          <w:szCs w:val="24"/>
        </w:rPr>
        <w:t xml:space="preserve">. We recalculated the standardized risk ratio (SRR) for each facility based on each data set. The level of agreement between the SRRs calculated on the two different samples gives us a test of the repeatability of the measure. Agreement was evaluated using </w:t>
      </w:r>
      <w:proofErr w:type="spellStart"/>
      <w:r w:rsidRPr="00EF2A18">
        <w:rPr>
          <w:color w:val="0000FF"/>
          <w:sz w:val="24"/>
          <w:szCs w:val="24"/>
        </w:rPr>
        <w:t>intraclass</w:t>
      </w:r>
      <w:proofErr w:type="spellEnd"/>
      <w:r w:rsidRPr="00EF2A18">
        <w:rPr>
          <w:color w:val="0000FF"/>
          <w:sz w:val="24"/>
          <w:szCs w:val="24"/>
        </w:rPr>
        <w:t xml:space="preserve"> correlations (ICC) with the facility as the cluster, calculated assuming a random subset of all possible raters (</w:t>
      </w:r>
      <w:proofErr w:type="spellStart"/>
      <w:r w:rsidRPr="00EF2A18">
        <w:rPr>
          <w:color w:val="0000FF"/>
          <w:sz w:val="24"/>
          <w:szCs w:val="24"/>
        </w:rPr>
        <w:t>Shrout</w:t>
      </w:r>
      <w:proofErr w:type="spellEnd"/>
      <w:r w:rsidRPr="00EF2A18">
        <w:rPr>
          <w:color w:val="0000FF"/>
          <w:sz w:val="24"/>
          <w:szCs w:val="24"/>
        </w:rPr>
        <w:t xml:space="preserve"> and Fleiss 1979). ICCs are reported overall and by quartiles of facility size. </w:t>
      </w:r>
    </w:p>
    <w:p w:rsidR="00EF2A18" w:rsidRPr="00EF2A18" w:rsidRDefault="00EF2A18" w:rsidP="00EF2A18">
      <w:pPr>
        <w:rPr>
          <w:color w:val="0000FF"/>
          <w:sz w:val="24"/>
          <w:szCs w:val="24"/>
        </w:rPr>
      </w:pPr>
      <w:r w:rsidRPr="00EF2A18">
        <w:rPr>
          <w:color w:val="0000FF"/>
          <w:sz w:val="24"/>
          <w:szCs w:val="24"/>
        </w:rPr>
        <w:t xml:space="preserve">Another test to evaluate model stability is to analyze the correlation among SRRs across the two consecutive measurement periods using a Pearson correlation. We also calculated the correlation coefficient on the original files to assess consistency of facilities’ SRRs across models. </w:t>
      </w:r>
    </w:p>
    <w:p w:rsidR="00832EE3" w:rsidRDefault="00565025" w:rsidP="00832EE3">
      <w:pPr>
        <w:autoSpaceDE w:val="0"/>
        <w:autoSpaceDN w:val="0"/>
        <w:adjustRightInd w:val="0"/>
        <w:spacing w:before="120" w:after="120"/>
        <w:rPr>
          <w:b/>
          <w:bCs/>
          <w:i/>
          <w:iCs/>
          <w:color w:val="0000FF"/>
          <w:sz w:val="24"/>
          <w:szCs w:val="24"/>
        </w:rPr>
      </w:pPr>
      <w:r w:rsidRPr="00565025">
        <w:rPr>
          <w:b/>
          <w:bCs/>
          <w:i/>
          <w:iCs/>
          <w:color w:val="0000FF"/>
          <w:sz w:val="24"/>
          <w:szCs w:val="24"/>
        </w:rPr>
        <w:t>Reference</w:t>
      </w:r>
      <w:r>
        <w:rPr>
          <w:b/>
          <w:bCs/>
          <w:i/>
          <w:iCs/>
          <w:color w:val="0000FF"/>
          <w:sz w:val="24"/>
          <w:szCs w:val="24"/>
        </w:rPr>
        <w:t>:</w:t>
      </w:r>
    </w:p>
    <w:p w:rsidR="00EF2A18" w:rsidRPr="00EF2A18" w:rsidRDefault="00EF2A18" w:rsidP="00832EE3">
      <w:pPr>
        <w:autoSpaceDE w:val="0"/>
        <w:autoSpaceDN w:val="0"/>
        <w:adjustRightInd w:val="0"/>
        <w:spacing w:before="120" w:after="120"/>
        <w:rPr>
          <w:color w:val="0000FF"/>
          <w:sz w:val="24"/>
          <w:szCs w:val="24"/>
        </w:rPr>
      </w:pPr>
      <w:proofErr w:type="spellStart"/>
      <w:r w:rsidRPr="00EF2A18">
        <w:rPr>
          <w:color w:val="0000FF"/>
          <w:sz w:val="24"/>
          <w:szCs w:val="24"/>
        </w:rPr>
        <w:lastRenderedPageBreak/>
        <w:t>Shrout</w:t>
      </w:r>
      <w:proofErr w:type="spellEnd"/>
      <w:r w:rsidRPr="00EF2A18">
        <w:rPr>
          <w:color w:val="0000FF"/>
          <w:sz w:val="24"/>
          <w:szCs w:val="24"/>
        </w:rPr>
        <w:t xml:space="preserve"> PE, and Fleiss JL </w:t>
      </w:r>
      <w:proofErr w:type="spellStart"/>
      <w:r w:rsidRPr="00EF2A18">
        <w:rPr>
          <w:color w:val="0000FF"/>
          <w:sz w:val="24"/>
          <w:szCs w:val="24"/>
        </w:rPr>
        <w:t>Intraclass</w:t>
      </w:r>
      <w:proofErr w:type="spellEnd"/>
      <w:r w:rsidRPr="00EF2A18">
        <w:rPr>
          <w:color w:val="0000FF"/>
          <w:sz w:val="24"/>
          <w:szCs w:val="24"/>
        </w:rPr>
        <w:t xml:space="preserve"> correlations: uses in assessing rater reliability. </w:t>
      </w:r>
      <w:proofErr w:type="gramStart"/>
      <w:r w:rsidRPr="00EF2A18">
        <w:rPr>
          <w:i/>
          <w:iCs/>
          <w:color w:val="0000FF"/>
          <w:sz w:val="24"/>
          <w:szCs w:val="24"/>
        </w:rPr>
        <w:t>Psychological Bulletin</w:t>
      </w:r>
      <w:r w:rsidRPr="00EF2A18">
        <w:rPr>
          <w:color w:val="0000FF"/>
          <w:sz w:val="24"/>
          <w:szCs w:val="24"/>
        </w:rPr>
        <w:t>.</w:t>
      </w:r>
      <w:proofErr w:type="gramEnd"/>
      <w:r w:rsidRPr="00EF2A18">
        <w:rPr>
          <w:color w:val="0000FF"/>
          <w:sz w:val="24"/>
          <w:szCs w:val="24"/>
        </w:rPr>
        <w:t xml:space="preserve"> 1979, 86, 420-428. </w:t>
      </w:r>
    </w:p>
    <w:p w:rsidR="00E361E9" w:rsidRPr="00A25024" w:rsidRDefault="00E361E9" w:rsidP="008C54A9">
      <w:pPr>
        <w:autoSpaceDE w:val="0"/>
        <w:autoSpaceDN w:val="0"/>
        <w:adjustRightInd w:val="0"/>
        <w:spacing w:after="0" w:line="240" w:lineRule="auto"/>
        <w:rPr>
          <w:rFonts w:cstheme="minorHAnsi"/>
          <w:bCs/>
        </w:rPr>
      </w:pPr>
    </w:p>
    <w:p w:rsidR="00565025" w:rsidRDefault="00092566" w:rsidP="009031A9">
      <w:pPr>
        <w:autoSpaceDE w:val="0"/>
        <w:autoSpaceDN w:val="0"/>
        <w:adjustRightInd w:val="0"/>
        <w:spacing w:after="0" w:line="240" w:lineRule="auto"/>
        <w:rPr>
          <w:b/>
          <w:bCs/>
          <w:i/>
          <w:iCs/>
          <w:color w:val="0000FF"/>
          <w:sz w:val="24"/>
          <w:szCs w:val="24"/>
        </w:rPr>
      </w:pPr>
      <w:r>
        <w:rPr>
          <w:rFonts w:cstheme="minorHAnsi"/>
          <w:b/>
          <w:bCs/>
        </w:rPr>
        <w:t>2a2.</w:t>
      </w:r>
      <w:r w:rsidR="008C54A9" w:rsidRPr="00A25024">
        <w:rPr>
          <w:rFonts w:cstheme="minorHAnsi"/>
          <w:b/>
          <w:bCs/>
        </w:rPr>
        <w:t>3. For each level 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rsidR="00EF2A18" w:rsidRPr="00EF2A18" w:rsidRDefault="00EF2A18" w:rsidP="00EF2A18">
      <w:pPr>
        <w:spacing w:after="0"/>
        <w:rPr>
          <w:b/>
          <w:bCs/>
          <w:i/>
          <w:iCs/>
          <w:color w:val="0000FF"/>
          <w:sz w:val="24"/>
          <w:szCs w:val="24"/>
        </w:rPr>
      </w:pPr>
      <w:r w:rsidRPr="00EF2A18">
        <w:rPr>
          <w:b/>
          <w:bCs/>
          <w:i/>
          <w:iCs/>
          <w:color w:val="0000FF"/>
          <w:sz w:val="24"/>
          <w:szCs w:val="24"/>
        </w:rPr>
        <w:t>Data Element Reliability</w:t>
      </w:r>
    </w:p>
    <w:p w:rsidR="00EF2A18" w:rsidRPr="00EF2A18" w:rsidRDefault="00EF2A18" w:rsidP="00EF2A18">
      <w:pPr>
        <w:rPr>
          <w:color w:val="0000FF"/>
          <w:sz w:val="24"/>
          <w:szCs w:val="24"/>
        </w:rPr>
      </w:pPr>
      <w:r w:rsidRPr="00EF2A18">
        <w:rPr>
          <w:color w:val="0000FF"/>
          <w:sz w:val="24"/>
          <w:szCs w:val="24"/>
        </w:rPr>
        <w:t xml:space="preserve">We examined the consistency of the prevalence of covariates and odds ratio estimates between the model constructed using 2009/2010 data and the model constructed using 2010/2011 data. </w:t>
      </w:r>
      <w:r w:rsidRPr="00EF2A18">
        <w:rPr>
          <w:b/>
          <w:bCs/>
          <w:color w:val="0000FF"/>
          <w:sz w:val="24"/>
          <w:szCs w:val="24"/>
        </w:rPr>
        <w:t xml:space="preserve">Appendix C </w:t>
      </w:r>
      <w:r w:rsidRPr="00EF2A18">
        <w:rPr>
          <w:color w:val="0000FF"/>
          <w:sz w:val="24"/>
          <w:szCs w:val="24"/>
        </w:rPr>
        <w:t>includes the results from both models. The vast majority of covariates had similar prevalence from model to model; for example, 86 percent</w:t>
      </w:r>
      <w:r w:rsidR="00226FFC">
        <w:rPr>
          <w:color w:val="0000FF"/>
          <w:sz w:val="24"/>
          <w:szCs w:val="24"/>
        </w:rPr>
        <w:t>,</w:t>
      </w:r>
      <w:r w:rsidRPr="00EF2A18">
        <w:rPr>
          <w:color w:val="0000FF"/>
          <w:sz w:val="24"/>
          <w:szCs w:val="24"/>
        </w:rPr>
        <w:t>176</w:t>
      </w:r>
      <w:r w:rsidR="00226FFC">
        <w:rPr>
          <w:color w:val="0000FF"/>
          <w:sz w:val="24"/>
          <w:szCs w:val="24"/>
        </w:rPr>
        <w:t>,</w:t>
      </w:r>
      <w:r w:rsidRPr="00EF2A18">
        <w:rPr>
          <w:color w:val="0000FF"/>
          <w:sz w:val="24"/>
          <w:szCs w:val="24"/>
        </w:rPr>
        <w:t xml:space="preserve"> of the 204 covariates had changes in prevalence of 20 percent or less. Twenty-three covariates (11%) had changes in prevalence between 20-50 percent, 4 (2%) had changes between 50-100 percent, and 1 covariate (the marker for supplemental oxygen) increased by more than 100 percent between 2009/2010 and 2010/2011. Odds ratios for these covariates were very similar between models. We used the 95% confidence intervals for each covariate to assess overlap</w:t>
      </w:r>
      <w:r w:rsidR="00226FFC">
        <w:rPr>
          <w:color w:val="0000FF"/>
          <w:sz w:val="24"/>
          <w:szCs w:val="24"/>
        </w:rPr>
        <w:t xml:space="preserve"> of the odds ratios</w:t>
      </w:r>
      <w:r w:rsidRPr="00EF2A18">
        <w:rPr>
          <w:color w:val="0000FF"/>
          <w:sz w:val="24"/>
          <w:szCs w:val="24"/>
        </w:rPr>
        <w:t xml:space="preserve"> and found that there was overlap for all confidence intervals between models. </w:t>
      </w:r>
    </w:p>
    <w:p w:rsidR="00EF2A18" w:rsidRPr="00EF2A18" w:rsidRDefault="00EF2A18" w:rsidP="00EF2A18">
      <w:pPr>
        <w:rPr>
          <w:color w:val="0000FF"/>
          <w:sz w:val="24"/>
          <w:szCs w:val="24"/>
        </w:rPr>
      </w:pPr>
      <w:r w:rsidRPr="00EF2A18">
        <w:rPr>
          <w:color w:val="0000FF"/>
          <w:sz w:val="24"/>
          <w:szCs w:val="24"/>
        </w:rPr>
        <w:t>In summary, the findings from these comparisons suggest that there were some changes in the prevalence rates over time, but there were no significant differences in the estimate</w:t>
      </w:r>
      <w:r w:rsidR="00226FFC">
        <w:rPr>
          <w:color w:val="0000FF"/>
          <w:sz w:val="24"/>
          <w:szCs w:val="24"/>
        </w:rPr>
        <w:t>d coefficients</w:t>
      </w:r>
      <w:r w:rsidRPr="00EF2A18">
        <w:rPr>
          <w:color w:val="0000FF"/>
          <w:sz w:val="24"/>
          <w:szCs w:val="24"/>
        </w:rPr>
        <w:t xml:space="preserve"> for the covariates between the models. </w:t>
      </w:r>
    </w:p>
    <w:p w:rsidR="00EF2A18" w:rsidRPr="00EF2A18" w:rsidRDefault="00EF2A18" w:rsidP="00EF2A18">
      <w:pPr>
        <w:pStyle w:val="PlainText"/>
        <w:rPr>
          <w:rFonts w:ascii="Calibri" w:hAnsi="Calibri"/>
          <w:strike/>
          <w:color w:val="0000FF"/>
          <w:sz w:val="24"/>
          <w:szCs w:val="24"/>
        </w:rPr>
      </w:pPr>
      <w:r w:rsidRPr="00EF2A18">
        <w:rPr>
          <w:rFonts w:ascii="Calibri" w:hAnsi="Calibri"/>
          <w:color w:val="0000FF"/>
          <w:sz w:val="24"/>
          <w:szCs w:val="24"/>
        </w:rPr>
        <w:t xml:space="preserve">We also compared the consistency of covariate prevalence and estimates for the two split sample files. The two models based on the split sample were internally similar. Specifically, the prevalence of all 204 covariates included in the first split sample were within 7.5 percent of the covariates in the second split sample. Odds ratios estimated from each split sample model showed similar consistency: 95% confidence intervals overlapped for all but two of the covariates. The HCC groups for diabetes and neuropathy were the only covariates to show a significant difference by comparison of </w:t>
      </w:r>
      <w:r w:rsidR="00226FFC">
        <w:rPr>
          <w:rFonts w:ascii="Calibri" w:hAnsi="Calibri"/>
          <w:color w:val="0000FF"/>
          <w:sz w:val="24"/>
          <w:szCs w:val="24"/>
        </w:rPr>
        <w:t xml:space="preserve">the </w:t>
      </w:r>
      <w:r w:rsidRPr="00EF2A18">
        <w:rPr>
          <w:rFonts w:ascii="Calibri" w:hAnsi="Calibri"/>
          <w:color w:val="0000FF"/>
          <w:sz w:val="24"/>
          <w:szCs w:val="24"/>
        </w:rPr>
        <w:t xml:space="preserve">95% confidence intervals. These differences are likely due to random variation. </w:t>
      </w:r>
    </w:p>
    <w:p w:rsidR="00FD7AB1" w:rsidRDefault="00FD7AB1" w:rsidP="00EF2A18">
      <w:pPr>
        <w:spacing w:after="0"/>
        <w:rPr>
          <w:b/>
          <w:bCs/>
          <w:i/>
          <w:iCs/>
          <w:color w:val="0000FF"/>
          <w:sz w:val="24"/>
          <w:szCs w:val="24"/>
        </w:rPr>
      </w:pPr>
    </w:p>
    <w:p w:rsidR="00EF2A18" w:rsidRPr="00EF2A18" w:rsidRDefault="00EF2A18" w:rsidP="00EF2A18">
      <w:pPr>
        <w:spacing w:after="0"/>
        <w:rPr>
          <w:b/>
          <w:bCs/>
          <w:i/>
          <w:iCs/>
          <w:color w:val="0000FF"/>
          <w:sz w:val="24"/>
          <w:szCs w:val="24"/>
        </w:rPr>
      </w:pPr>
      <w:r w:rsidRPr="00EF2A18">
        <w:rPr>
          <w:b/>
          <w:bCs/>
          <w:i/>
          <w:iCs/>
          <w:color w:val="0000FF"/>
          <w:sz w:val="24"/>
          <w:szCs w:val="24"/>
        </w:rPr>
        <w:t>Quality Measure Reliability</w:t>
      </w:r>
    </w:p>
    <w:p w:rsidR="00EF2A18" w:rsidRPr="00EF2A18" w:rsidRDefault="00EF2A18" w:rsidP="00EF2A18">
      <w:pPr>
        <w:rPr>
          <w:color w:val="0000FF"/>
          <w:sz w:val="24"/>
          <w:szCs w:val="24"/>
        </w:rPr>
      </w:pPr>
      <w:r w:rsidRPr="00EF2A18">
        <w:rPr>
          <w:color w:val="0000FF"/>
          <w:sz w:val="24"/>
          <w:szCs w:val="24"/>
        </w:rPr>
        <w:t xml:space="preserve">Examining the level of agreement between SRR scores calculated on each of the split files, we found an ICC of 0.39, indicating a modest level of agreement between facilities’ SRRs. When stratified by quartile of IRF count of stays across the three years, the observed ICCs on the split sample comparison were as reported in the </w:t>
      </w:r>
      <w:r w:rsidRPr="00EF2A18">
        <w:rPr>
          <w:b/>
          <w:bCs/>
          <w:color w:val="0000FF"/>
          <w:sz w:val="24"/>
          <w:szCs w:val="24"/>
        </w:rPr>
        <w:t>T</w:t>
      </w:r>
      <w:r w:rsidR="00FD7AB1">
        <w:rPr>
          <w:b/>
          <w:bCs/>
          <w:color w:val="0000FF"/>
          <w:sz w:val="24"/>
          <w:szCs w:val="24"/>
        </w:rPr>
        <w:t>esting T</w:t>
      </w:r>
      <w:r w:rsidRPr="00EF2A18">
        <w:rPr>
          <w:b/>
          <w:bCs/>
          <w:color w:val="0000FF"/>
          <w:sz w:val="24"/>
          <w:szCs w:val="24"/>
        </w:rPr>
        <w:t>able 1</w:t>
      </w:r>
      <w:r w:rsidRPr="00EF2A18">
        <w:rPr>
          <w:color w:val="0000FF"/>
          <w:sz w:val="24"/>
          <w:szCs w:val="24"/>
        </w:rPr>
        <w:t xml:space="preserve"> below:</w:t>
      </w:r>
    </w:p>
    <w:p w:rsidR="00FD7AB1" w:rsidRDefault="00FD7AB1">
      <w:pPr>
        <w:rPr>
          <w:rFonts w:cstheme="majorBidi"/>
          <w:b/>
          <w:bCs/>
          <w:color w:val="0000FF"/>
          <w:sz w:val="24"/>
          <w:szCs w:val="24"/>
        </w:rPr>
      </w:pPr>
      <w:r>
        <w:rPr>
          <w:rFonts w:cstheme="majorBidi"/>
          <w:b/>
          <w:bCs/>
          <w:color w:val="0000FF"/>
          <w:sz w:val="24"/>
          <w:szCs w:val="24"/>
        </w:rPr>
        <w:br w:type="page"/>
      </w:r>
    </w:p>
    <w:p w:rsidR="00EF2A18" w:rsidRPr="00EF2A18" w:rsidRDefault="00FD7AB1" w:rsidP="00EF2A18">
      <w:pPr>
        <w:rPr>
          <w:rFonts w:cstheme="majorBidi"/>
          <w:b/>
          <w:bCs/>
          <w:color w:val="0000FF"/>
          <w:sz w:val="24"/>
          <w:szCs w:val="24"/>
        </w:rPr>
      </w:pPr>
      <w:r>
        <w:rPr>
          <w:rFonts w:cstheme="majorBidi"/>
          <w:b/>
          <w:bCs/>
          <w:color w:val="0000FF"/>
          <w:sz w:val="24"/>
          <w:szCs w:val="24"/>
        </w:rPr>
        <w:lastRenderedPageBreak/>
        <w:t>Testing Table 1:</w:t>
      </w:r>
      <w:r w:rsidR="00EF2A18" w:rsidRPr="00EF2A18">
        <w:rPr>
          <w:rFonts w:cstheme="majorBidi"/>
          <w:b/>
          <w:bCs/>
          <w:color w:val="0000FF"/>
          <w:sz w:val="24"/>
          <w:szCs w:val="24"/>
        </w:rPr>
        <w:t xml:space="preserve"> Reliability Analysis: Intra-Class Correlations (ICC) for IRFs based on Facility Size Quartiles, 2009-2011</w:t>
      </w:r>
    </w:p>
    <w:tbl>
      <w:tblPr>
        <w:tblStyle w:val="TableGrid"/>
        <w:tblW w:w="0" w:type="auto"/>
        <w:tblInd w:w="108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6"/>
        <w:gridCol w:w="2828"/>
        <w:gridCol w:w="2762"/>
      </w:tblGrid>
      <w:tr w:rsidR="00EF2A18" w:rsidRPr="00EF2A18" w:rsidTr="00B067EA">
        <w:tc>
          <w:tcPr>
            <w:tcW w:w="3192" w:type="dxa"/>
            <w:tcBorders>
              <w:top w:val="single" w:sz="4" w:space="0" w:color="auto"/>
              <w:bottom w:val="single" w:sz="4" w:space="0" w:color="auto"/>
            </w:tcBorders>
          </w:tcPr>
          <w:p w:rsidR="00EF2A18" w:rsidRPr="00EF2A18" w:rsidRDefault="00EF2A18" w:rsidP="00B067EA">
            <w:pPr>
              <w:tabs>
                <w:tab w:val="left" w:pos="1080"/>
              </w:tabs>
              <w:spacing w:line="276" w:lineRule="auto"/>
              <w:rPr>
                <w:rFonts w:cstheme="majorBidi"/>
                <w:b/>
                <w:bCs/>
                <w:color w:val="0000FF"/>
                <w:sz w:val="24"/>
                <w:szCs w:val="24"/>
              </w:rPr>
            </w:pPr>
            <w:r w:rsidRPr="00EF2A18">
              <w:rPr>
                <w:rFonts w:cstheme="majorBidi"/>
                <w:b/>
                <w:bCs/>
                <w:color w:val="0000FF"/>
                <w:sz w:val="24"/>
                <w:szCs w:val="24"/>
              </w:rPr>
              <w:t>Quartiles: Facility sample size in each subsample – approximate</w:t>
            </w:r>
          </w:p>
        </w:tc>
        <w:tc>
          <w:tcPr>
            <w:tcW w:w="3192" w:type="dxa"/>
            <w:tcBorders>
              <w:top w:val="single" w:sz="4" w:space="0" w:color="auto"/>
              <w:bottom w:val="single" w:sz="4" w:space="0" w:color="auto"/>
            </w:tcBorders>
          </w:tcPr>
          <w:p w:rsidR="00EF2A18" w:rsidRPr="00EF2A18" w:rsidRDefault="00EF2A18" w:rsidP="00B067EA">
            <w:pPr>
              <w:tabs>
                <w:tab w:val="left" w:pos="1080"/>
              </w:tabs>
              <w:spacing w:line="276" w:lineRule="auto"/>
              <w:rPr>
                <w:rFonts w:cstheme="majorBidi"/>
                <w:b/>
                <w:bCs/>
                <w:color w:val="0000FF"/>
                <w:sz w:val="24"/>
                <w:szCs w:val="24"/>
              </w:rPr>
            </w:pPr>
            <w:r w:rsidRPr="00EF2A18">
              <w:rPr>
                <w:rFonts w:cstheme="majorBidi"/>
                <w:b/>
                <w:bCs/>
                <w:color w:val="0000FF"/>
                <w:sz w:val="24"/>
                <w:szCs w:val="24"/>
              </w:rPr>
              <w:t>Number of IRFs</w:t>
            </w:r>
          </w:p>
        </w:tc>
        <w:tc>
          <w:tcPr>
            <w:tcW w:w="3192" w:type="dxa"/>
            <w:tcBorders>
              <w:top w:val="single" w:sz="4" w:space="0" w:color="auto"/>
              <w:bottom w:val="single" w:sz="4" w:space="0" w:color="auto"/>
            </w:tcBorders>
          </w:tcPr>
          <w:p w:rsidR="00EF2A18" w:rsidRPr="00EF2A18" w:rsidRDefault="00EF2A18" w:rsidP="00B067EA">
            <w:pPr>
              <w:tabs>
                <w:tab w:val="left" w:pos="1080"/>
              </w:tabs>
              <w:spacing w:line="276" w:lineRule="auto"/>
              <w:rPr>
                <w:rFonts w:cstheme="majorBidi"/>
                <w:b/>
                <w:bCs/>
                <w:color w:val="0000FF"/>
                <w:sz w:val="24"/>
                <w:szCs w:val="24"/>
              </w:rPr>
            </w:pPr>
            <w:r w:rsidRPr="00EF2A18">
              <w:rPr>
                <w:rFonts w:cstheme="majorBidi"/>
                <w:b/>
                <w:bCs/>
                <w:color w:val="0000FF"/>
                <w:sz w:val="24"/>
                <w:szCs w:val="24"/>
              </w:rPr>
              <w:t>ICC</w:t>
            </w:r>
          </w:p>
        </w:tc>
      </w:tr>
      <w:tr w:rsidR="00EF2A18" w:rsidRPr="00EF2A18" w:rsidTr="00B067EA">
        <w:tc>
          <w:tcPr>
            <w:tcW w:w="3192" w:type="dxa"/>
            <w:tcBorders>
              <w:top w:val="single" w:sz="4" w:space="0" w:color="auto"/>
            </w:tcBorders>
          </w:tcPr>
          <w:p w:rsidR="00EF2A18" w:rsidRPr="00EF2A18" w:rsidRDefault="00EF2A18" w:rsidP="00B067EA">
            <w:pPr>
              <w:tabs>
                <w:tab w:val="left" w:pos="1080"/>
              </w:tabs>
              <w:spacing w:line="276" w:lineRule="auto"/>
              <w:rPr>
                <w:rFonts w:cstheme="majorBidi"/>
                <w:color w:val="0000FF"/>
                <w:sz w:val="24"/>
                <w:szCs w:val="24"/>
              </w:rPr>
            </w:pPr>
            <w:r w:rsidRPr="00EF2A18">
              <w:rPr>
                <w:rFonts w:cstheme="majorBidi"/>
                <w:color w:val="0000FF"/>
                <w:sz w:val="24"/>
                <w:szCs w:val="24"/>
              </w:rPr>
              <w:t>Quartile 1: 1-141</w:t>
            </w:r>
          </w:p>
        </w:tc>
        <w:tc>
          <w:tcPr>
            <w:tcW w:w="3192" w:type="dxa"/>
            <w:tcBorders>
              <w:top w:val="single" w:sz="4" w:space="0" w:color="auto"/>
            </w:tcBorders>
          </w:tcPr>
          <w:p w:rsidR="00EF2A18" w:rsidRPr="00EF2A18" w:rsidRDefault="00EF2A18" w:rsidP="00B067EA">
            <w:pPr>
              <w:tabs>
                <w:tab w:val="left" w:pos="1080"/>
              </w:tabs>
              <w:spacing w:line="276" w:lineRule="auto"/>
              <w:rPr>
                <w:rFonts w:cstheme="majorBidi"/>
                <w:color w:val="0000FF"/>
                <w:sz w:val="24"/>
                <w:szCs w:val="24"/>
              </w:rPr>
            </w:pPr>
            <w:r w:rsidRPr="00EF2A18">
              <w:rPr>
                <w:rFonts w:cstheme="majorBidi"/>
                <w:color w:val="0000FF"/>
                <w:sz w:val="24"/>
                <w:szCs w:val="24"/>
              </w:rPr>
              <w:t>301</w:t>
            </w:r>
          </w:p>
        </w:tc>
        <w:tc>
          <w:tcPr>
            <w:tcW w:w="3192" w:type="dxa"/>
            <w:tcBorders>
              <w:top w:val="single" w:sz="4" w:space="0" w:color="auto"/>
            </w:tcBorders>
          </w:tcPr>
          <w:p w:rsidR="00EF2A18" w:rsidRPr="00EF2A18" w:rsidRDefault="00EF2A18" w:rsidP="00B067EA">
            <w:pPr>
              <w:tabs>
                <w:tab w:val="left" w:pos="1080"/>
              </w:tabs>
              <w:spacing w:line="276" w:lineRule="auto"/>
              <w:rPr>
                <w:rFonts w:cstheme="majorBidi"/>
                <w:color w:val="0000FF"/>
                <w:sz w:val="24"/>
                <w:szCs w:val="24"/>
              </w:rPr>
            </w:pPr>
            <w:r w:rsidRPr="00EF2A18">
              <w:rPr>
                <w:rFonts w:cstheme="majorBidi"/>
                <w:color w:val="0000FF"/>
                <w:sz w:val="24"/>
                <w:szCs w:val="24"/>
              </w:rPr>
              <w:t>0.24</w:t>
            </w:r>
          </w:p>
        </w:tc>
      </w:tr>
      <w:tr w:rsidR="00EF2A18" w:rsidRPr="00EF2A18" w:rsidTr="00B067EA">
        <w:tc>
          <w:tcPr>
            <w:tcW w:w="3192" w:type="dxa"/>
          </w:tcPr>
          <w:p w:rsidR="00EF2A18" w:rsidRPr="00EF2A18" w:rsidRDefault="00EF2A18" w:rsidP="00B067EA">
            <w:pPr>
              <w:tabs>
                <w:tab w:val="left" w:pos="1080"/>
              </w:tabs>
              <w:spacing w:line="276" w:lineRule="auto"/>
              <w:rPr>
                <w:rFonts w:cstheme="majorBidi"/>
                <w:color w:val="0000FF"/>
                <w:sz w:val="24"/>
                <w:szCs w:val="24"/>
              </w:rPr>
            </w:pPr>
            <w:r w:rsidRPr="00EF2A18">
              <w:rPr>
                <w:rFonts w:cstheme="majorBidi"/>
                <w:color w:val="0000FF"/>
                <w:sz w:val="24"/>
                <w:szCs w:val="24"/>
              </w:rPr>
              <w:t>Quartile 2: 142-248</w:t>
            </w:r>
          </w:p>
        </w:tc>
        <w:tc>
          <w:tcPr>
            <w:tcW w:w="3192" w:type="dxa"/>
          </w:tcPr>
          <w:p w:rsidR="00EF2A18" w:rsidRPr="00EF2A18" w:rsidRDefault="00EF2A18" w:rsidP="00B067EA">
            <w:pPr>
              <w:tabs>
                <w:tab w:val="left" w:pos="1080"/>
              </w:tabs>
              <w:spacing w:line="276" w:lineRule="auto"/>
              <w:rPr>
                <w:rFonts w:cstheme="majorBidi"/>
                <w:color w:val="0000FF"/>
                <w:sz w:val="24"/>
                <w:szCs w:val="24"/>
              </w:rPr>
            </w:pPr>
            <w:r w:rsidRPr="00EF2A18">
              <w:rPr>
                <w:rFonts w:cstheme="majorBidi"/>
                <w:color w:val="0000FF"/>
                <w:sz w:val="24"/>
                <w:szCs w:val="24"/>
              </w:rPr>
              <w:t>300</w:t>
            </w:r>
          </w:p>
        </w:tc>
        <w:tc>
          <w:tcPr>
            <w:tcW w:w="3192" w:type="dxa"/>
          </w:tcPr>
          <w:p w:rsidR="00EF2A18" w:rsidRPr="00EF2A18" w:rsidRDefault="00EF2A18" w:rsidP="00B067EA">
            <w:pPr>
              <w:tabs>
                <w:tab w:val="left" w:pos="1080"/>
              </w:tabs>
              <w:spacing w:line="276" w:lineRule="auto"/>
              <w:rPr>
                <w:rFonts w:cstheme="majorBidi"/>
                <w:color w:val="0000FF"/>
                <w:sz w:val="24"/>
                <w:szCs w:val="24"/>
              </w:rPr>
            </w:pPr>
            <w:r w:rsidRPr="00EF2A18">
              <w:rPr>
                <w:rFonts w:cstheme="majorBidi"/>
                <w:color w:val="0000FF"/>
                <w:sz w:val="24"/>
                <w:szCs w:val="24"/>
              </w:rPr>
              <w:t>0.18</w:t>
            </w:r>
          </w:p>
        </w:tc>
      </w:tr>
      <w:tr w:rsidR="00EF2A18" w:rsidRPr="00EF2A18" w:rsidTr="00B067EA">
        <w:trPr>
          <w:trHeight w:val="80"/>
        </w:trPr>
        <w:tc>
          <w:tcPr>
            <w:tcW w:w="3192" w:type="dxa"/>
          </w:tcPr>
          <w:p w:rsidR="00EF2A18" w:rsidRPr="00EF2A18" w:rsidRDefault="00EF2A18" w:rsidP="00B067EA">
            <w:pPr>
              <w:tabs>
                <w:tab w:val="left" w:pos="1080"/>
              </w:tabs>
              <w:spacing w:line="276" w:lineRule="auto"/>
              <w:rPr>
                <w:rFonts w:cstheme="majorBidi"/>
                <w:color w:val="0000FF"/>
                <w:sz w:val="24"/>
                <w:szCs w:val="24"/>
              </w:rPr>
            </w:pPr>
            <w:r w:rsidRPr="00EF2A18">
              <w:rPr>
                <w:rFonts w:cstheme="majorBidi"/>
                <w:color w:val="0000FF"/>
                <w:sz w:val="24"/>
                <w:szCs w:val="24"/>
              </w:rPr>
              <w:t>Quartile 3: 249-460</w:t>
            </w:r>
          </w:p>
        </w:tc>
        <w:tc>
          <w:tcPr>
            <w:tcW w:w="3192" w:type="dxa"/>
          </w:tcPr>
          <w:p w:rsidR="00EF2A18" w:rsidRPr="00EF2A18" w:rsidRDefault="00EF2A18" w:rsidP="00B067EA">
            <w:pPr>
              <w:tabs>
                <w:tab w:val="left" w:pos="1080"/>
              </w:tabs>
              <w:spacing w:line="276" w:lineRule="auto"/>
              <w:rPr>
                <w:rFonts w:cstheme="majorBidi"/>
                <w:color w:val="0000FF"/>
                <w:sz w:val="24"/>
                <w:szCs w:val="24"/>
              </w:rPr>
            </w:pPr>
            <w:r w:rsidRPr="00EF2A18">
              <w:rPr>
                <w:rFonts w:cstheme="majorBidi"/>
                <w:color w:val="0000FF"/>
                <w:sz w:val="24"/>
                <w:szCs w:val="24"/>
              </w:rPr>
              <w:t>304</w:t>
            </w:r>
          </w:p>
        </w:tc>
        <w:tc>
          <w:tcPr>
            <w:tcW w:w="3192" w:type="dxa"/>
          </w:tcPr>
          <w:p w:rsidR="00EF2A18" w:rsidRPr="00EF2A18" w:rsidRDefault="00EF2A18" w:rsidP="00B067EA">
            <w:pPr>
              <w:tabs>
                <w:tab w:val="left" w:pos="1080"/>
              </w:tabs>
              <w:spacing w:line="276" w:lineRule="auto"/>
              <w:rPr>
                <w:rFonts w:cstheme="majorBidi"/>
                <w:color w:val="0000FF"/>
                <w:sz w:val="24"/>
                <w:szCs w:val="24"/>
              </w:rPr>
            </w:pPr>
            <w:r w:rsidRPr="00EF2A18">
              <w:rPr>
                <w:rFonts w:cstheme="majorBidi"/>
                <w:color w:val="0000FF"/>
                <w:sz w:val="24"/>
                <w:szCs w:val="24"/>
              </w:rPr>
              <w:t>0.36</w:t>
            </w:r>
          </w:p>
        </w:tc>
      </w:tr>
      <w:tr w:rsidR="00EF2A18" w:rsidRPr="00EF2A18" w:rsidTr="00B067EA">
        <w:tc>
          <w:tcPr>
            <w:tcW w:w="3192" w:type="dxa"/>
          </w:tcPr>
          <w:p w:rsidR="00EF2A18" w:rsidRPr="00EF2A18" w:rsidRDefault="00EF2A18" w:rsidP="00B067EA">
            <w:pPr>
              <w:tabs>
                <w:tab w:val="left" w:pos="1080"/>
              </w:tabs>
              <w:spacing w:line="276" w:lineRule="auto"/>
              <w:rPr>
                <w:rFonts w:cstheme="majorBidi"/>
                <w:color w:val="0000FF"/>
                <w:sz w:val="24"/>
                <w:szCs w:val="24"/>
              </w:rPr>
            </w:pPr>
            <w:r w:rsidRPr="00EF2A18">
              <w:rPr>
                <w:rFonts w:cstheme="majorBidi"/>
                <w:color w:val="0000FF"/>
                <w:sz w:val="24"/>
                <w:szCs w:val="24"/>
              </w:rPr>
              <w:t>Quartile 4: 462-5,066</w:t>
            </w:r>
          </w:p>
        </w:tc>
        <w:tc>
          <w:tcPr>
            <w:tcW w:w="3192" w:type="dxa"/>
          </w:tcPr>
          <w:p w:rsidR="00EF2A18" w:rsidRPr="00EF2A18" w:rsidRDefault="00EF2A18" w:rsidP="00B067EA">
            <w:pPr>
              <w:tabs>
                <w:tab w:val="left" w:pos="1080"/>
              </w:tabs>
              <w:spacing w:line="276" w:lineRule="auto"/>
              <w:rPr>
                <w:rFonts w:cstheme="majorBidi"/>
                <w:color w:val="0000FF"/>
                <w:sz w:val="24"/>
                <w:szCs w:val="24"/>
              </w:rPr>
            </w:pPr>
            <w:r w:rsidRPr="00EF2A18">
              <w:rPr>
                <w:rFonts w:cstheme="majorBidi"/>
                <w:color w:val="0000FF"/>
                <w:sz w:val="24"/>
                <w:szCs w:val="24"/>
              </w:rPr>
              <w:t>301</w:t>
            </w:r>
          </w:p>
        </w:tc>
        <w:tc>
          <w:tcPr>
            <w:tcW w:w="3192" w:type="dxa"/>
          </w:tcPr>
          <w:p w:rsidR="00EF2A18" w:rsidRPr="00EF2A18" w:rsidRDefault="00EF2A18" w:rsidP="00B067EA">
            <w:pPr>
              <w:tabs>
                <w:tab w:val="left" w:pos="1080"/>
              </w:tabs>
              <w:spacing w:line="276" w:lineRule="auto"/>
              <w:rPr>
                <w:rFonts w:cstheme="majorBidi"/>
                <w:color w:val="0000FF"/>
                <w:sz w:val="24"/>
                <w:szCs w:val="24"/>
              </w:rPr>
            </w:pPr>
            <w:r w:rsidRPr="00EF2A18">
              <w:rPr>
                <w:rFonts w:cstheme="majorBidi"/>
                <w:color w:val="0000FF"/>
                <w:sz w:val="24"/>
                <w:szCs w:val="24"/>
              </w:rPr>
              <w:t>0.54</w:t>
            </w:r>
          </w:p>
        </w:tc>
      </w:tr>
    </w:tbl>
    <w:p w:rsidR="00EF2A18" w:rsidRDefault="00EF2A18" w:rsidP="00EF2A18">
      <w:pPr>
        <w:tabs>
          <w:tab w:val="left" w:pos="1080"/>
        </w:tabs>
        <w:spacing w:after="0"/>
        <w:rPr>
          <w:rFonts w:cstheme="majorBidi"/>
          <w:color w:val="0000FF"/>
          <w:sz w:val="24"/>
          <w:szCs w:val="24"/>
        </w:rPr>
      </w:pPr>
      <w:r w:rsidRPr="00EF2A18">
        <w:rPr>
          <w:rFonts w:cstheme="majorBidi"/>
          <w:color w:val="0000FF"/>
          <w:sz w:val="24"/>
          <w:szCs w:val="24"/>
        </w:rPr>
        <w:t>Source: RTI analysis of Medicare claims data, 2007-2012. (RTI program references: lc26_corrirfv15_IRF_SRR.xls; lc26_corrirfq15_.lst; lc26_corrirfq15_IRF_SRR_quart1.xlsx; lc26_corrirfq15_IRF_SRR_quart2.xlsx; lc26_corrirfq15_IRF_SRR_quart3.xlsx; lc26_corrirfq15_IRF_SRR_quart4.xlsx)</w:t>
      </w:r>
    </w:p>
    <w:p w:rsidR="00975545" w:rsidRPr="00EF2A18" w:rsidRDefault="00975545" w:rsidP="00EF2A18">
      <w:pPr>
        <w:tabs>
          <w:tab w:val="left" w:pos="1080"/>
        </w:tabs>
        <w:spacing w:after="0"/>
        <w:rPr>
          <w:rFonts w:cstheme="majorBidi"/>
          <w:color w:val="0000FF"/>
          <w:sz w:val="24"/>
          <w:szCs w:val="24"/>
        </w:rPr>
      </w:pPr>
    </w:p>
    <w:p w:rsidR="00EF2A18" w:rsidRPr="00EF2A18" w:rsidRDefault="00EF2A18" w:rsidP="00EF2A18">
      <w:pPr>
        <w:rPr>
          <w:color w:val="0000FF"/>
          <w:sz w:val="24"/>
          <w:szCs w:val="24"/>
        </w:rPr>
      </w:pPr>
      <w:r w:rsidRPr="00EF2A18">
        <w:rPr>
          <w:color w:val="0000FF"/>
          <w:sz w:val="24"/>
          <w:szCs w:val="24"/>
        </w:rPr>
        <w:t>These results indicate that as facility size increases, the level of agreement among SRRs is more stable.</w:t>
      </w:r>
      <w:r w:rsidR="00DA4E70">
        <w:rPr>
          <w:color w:val="0000FF"/>
          <w:sz w:val="24"/>
          <w:szCs w:val="24"/>
        </w:rPr>
        <w:t xml:space="preserve"> </w:t>
      </w:r>
      <w:r w:rsidR="00642997">
        <w:rPr>
          <w:color w:val="0000FF"/>
          <w:sz w:val="24"/>
          <w:szCs w:val="24"/>
        </w:rPr>
        <w:t>We investigated the degree of similarity of patients in the two samples at the facility level. With small samples there is a strong likelihood that the two groups could look quite different. We computed the difference of the mean expected probabilities of readmission for each facility’s split samples. The mean of absolute values of the differences was .0025 for facilities with more than 1000 stays, 0.0053 for facilities with 200 – 400 stays and 0.</w:t>
      </w:r>
      <w:r w:rsidR="00304F61">
        <w:rPr>
          <w:color w:val="0000FF"/>
          <w:sz w:val="24"/>
          <w:szCs w:val="24"/>
        </w:rPr>
        <w:t>0</w:t>
      </w:r>
      <w:r w:rsidR="00642997">
        <w:rPr>
          <w:color w:val="0000FF"/>
          <w:sz w:val="24"/>
          <w:szCs w:val="24"/>
        </w:rPr>
        <w:t xml:space="preserve">208 for facilities with less than 55 stays. </w:t>
      </w:r>
      <w:proofErr w:type="gramStart"/>
      <w:r w:rsidR="00642997">
        <w:rPr>
          <w:color w:val="0000FF"/>
          <w:sz w:val="24"/>
          <w:szCs w:val="24"/>
        </w:rPr>
        <w:t>This measure of the patient profile shows large differences in patient characteristic</w:t>
      </w:r>
      <w:r w:rsidR="00846ED3">
        <w:rPr>
          <w:color w:val="0000FF"/>
          <w:sz w:val="24"/>
          <w:szCs w:val="24"/>
        </w:rPr>
        <w:t xml:space="preserve">s when </w:t>
      </w:r>
      <w:r w:rsidR="008774FE">
        <w:rPr>
          <w:color w:val="0000FF"/>
          <w:sz w:val="24"/>
          <w:szCs w:val="24"/>
        </w:rPr>
        <w:t>the</w:t>
      </w:r>
      <w:r w:rsidR="00846ED3">
        <w:rPr>
          <w:color w:val="0000FF"/>
          <w:sz w:val="24"/>
          <w:szCs w:val="24"/>
        </w:rPr>
        <w:t xml:space="preserve"> test is made with small samples.</w:t>
      </w:r>
      <w:proofErr w:type="gramEnd"/>
      <w:r w:rsidR="00642997">
        <w:rPr>
          <w:color w:val="0000FF"/>
          <w:sz w:val="24"/>
          <w:szCs w:val="24"/>
        </w:rPr>
        <w:t xml:space="preserve"> </w:t>
      </w:r>
      <w:r w:rsidR="004D3DD2">
        <w:rPr>
          <w:color w:val="0000FF"/>
          <w:sz w:val="24"/>
          <w:szCs w:val="24"/>
        </w:rPr>
        <w:t>The</w:t>
      </w:r>
      <w:r w:rsidR="008774FE">
        <w:rPr>
          <w:color w:val="0000FF"/>
          <w:sz w:val="24"/>
          <w:szCs w:val="24"/>
        </w:rPr>
        <w:t xml:space="preserve"> 2 percentage point difference in risk adjusted probabilities for the small facilities is quite large</w:t>
      </w:r>
      <w:r w:rsidR="00304F61">
        <w:rPr>
          <w:color w:val="0000FF"/>
          <w:sz w:val="24"/>
          <w:szCs w:val="24"/>
        </w:rPr>
        <w:t>, 10 times that found in the large facilities</w:t>
      </w:r>
      <w:r w:rsidR="008774FE">
        <w:rPr>
          <w:color w:val="0000FF"/>
          <w:sz w:val="24"/>
          <w:szCs w:val="24"/>
        </w:rPr>
        <w:t>.</w:t>
      </w:r>
    </w:p>
    <w:p w:rsidR="008525BA" w:rsidRDefault="00EF2A18" w:rsidP="008525BA">
      <w:pPr>
        <w:rPr>
          <w:color w:val="0000FF"/>
          <w:sz w:val="24"/>
          <w:szCs w:val="24"/>
        </w:rPr>
      </w:pPr>
      <w:r w:rsidRPr="00EF2A18">
        <w:rPr>
          <w:color w:val="0000FF"/>
          <w:sz w:val="24"/>
          <w:szCs w:val="24"/>
        </w:rPr>
        <w:t>Our next reliability test to evaluate model stability calculates the Pearson correlation between SRRs across the two consecutive measurement periods. We found a correlation coefficient of 0.70 (p&lt;0.001) which suggests very high correlation between facilities’ SRR scores across measurement periods.</w:t>
      </w:r>
      <w:r w:rsidR="008525BA">
        <w:rPr>
          <w:color w:val="0000FF"/>
          <w:sz w:val="24"/>
          <w:szCs w:val="24"/>
        </w:rPr>
        <w:t xml:space="preserve"> After stratifying the sample based on </w:t>
      </w:r>
      <w:r w:rsidR="00846ED3">
        <w:rPr>
          <w:color w:val="0000FF"/>
          <w:sz w:val="24"/>
          <w:szCs w:val="24"/>
        </w:rPr>
        <w:t xml:space="preserve">quartiles of </w:t>
      </w:r>
      <w:r w:rsidR="008525BA">
        <w:rPr>
          <w:color w:val="0000FF"/>
          <w:sz w:val="24"/>
          <w:szCs w:val="24"/>
        </w:rPr>
        <w:t xml:space="preserve">facility size, similar to the approach above, we found Pearson correlation coefficients of 0.63, 0.65, 0.68, and 0.77 (all p&lt;0.001) for quartiles 1, 2, 3, and 4, respectively. This suggests high correlations across measurement periods, and greater consistency in the measure as facility size increases. </w:t>
      </w:r>
    </w:p>
    <w:p w:rsidR="00FB4F32" w:rsidRPr="00EF2A18" w:rsidRDefault="00FB4F32" w:rsidP="00EF2A18">
      <w:pPr>
        <w:rPr>
          <w:color w:val="0000FF"/>
          <w:sz w:val="24"/>
          <w:szCs w:val="24"/>
        </w:rPr>
      </w:pPr>
    </w:p>
    <w:p w:rsidR="00EF2A18" w:rsidRPr="00EF2A18" w:rsidRDefault="00EF2A18" w:rsidP="008525BA">
      <w:pPr>
        <w:rPr>
          <w:color w:val="0000FF"/>
          <w:sz w:val="24"/>
          <w:szCs w:val="24"/>
        </w:rPr>
      </w:pPr>
      <w:r w:rsidRPr="00EF2A18">
        <w:rPr>
          <w:color w:val="0000FF"/>
          <w:sz w:val="24"/>
          <w:szCs w:val="24"/>
        </w:rPr>
        <w:t>Source: RTI analysis of Medicare claims data, 2007-2012. (RTI program reference: lc</w:t>
      </w:r>
      <w:r w:rsidR="008525BA">
        <w:rPr>
          <w:color w:val="0000FF"/>
          <w:sz w:val="24"/>
          <w:szCs w:val="24"/>
        </w:rPr>
        <w:t>37</w:t>
      </w:r>
      <w:r w:rsidRPr="00EF2A18">
        <w:rPr>
          <w:color w:val="0000FF"/>
          <w:sz w:val="24"/>
          <w:szCs w:val="24"/>
        </w:rPr>
        <w:t xml:space="preserve">) </w:t>
      </w:r>
    </w:p>
    <w:p w:rsidR="00EF2A18" w:rsidRPr="00A25024" w:rsidRDefault="00EF2A18" w:rsidP="008C54A9">
      <w:pPr>
        <w:autoSpaceDE w:val="0"/>
        <w:autoSpaceDN w:val="0"/>
        <w:adjustRightInd w:val="0"/>
        <w:spacing w:after="0" w:line="240" w:lineRule="auto"/>
        <w:rPr>
          <w:rFonts w:cstheme="minorHAnsi"/>
          <w:bCs/>
        </w:rPr>
      </w:pPr>
    </w:p>
    <w:p w:rsidR="00AD2A15" w:rsidRPr="00EF2A18" w:rsidRDefault="00092566" w:rsidP="00FE28A0">
      <w:pPr>
        <w:rPr>
          <w:color w:val="0000FF"/>
          <w:sz w:val="24"/>
          <w:szCs w:val="24"/>
        </w:rPr>
      </w:pPr>
      <w:r>
        <w:rPr>
          <w:rFonts w:cstheme="minorHAnsi"/>
          <w:b/>
          <w:bCs/>
        </w:rPr>
        <w:lastRenderedPageBreak/>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AD2A15">
        <w:rPr>
          <w:color w:val="0000FF"/>
          <w:sz w:val="24"/>
          <w:szCs w:val="24"/>
        </w:rPr>
        <w:t xml:space="preserve">In evaluating the results of the </w:t>
      </w:r>
      <w:r w:rsidR="008774FE">
        <w:rPr>
          <w:color w:val="0000FF"/>
          <w:sz w:val="24"/>
          <w:szCs w:val="24"/>
        </w:rPr>
        <w:t xml:space="preserve">split samples we have to consider that a smaller than the 2-year required sample size was used. This affected results for all facility sizes. Also the smallest facilities had very different population profiles in the </w:t>
      </w:r>
      <w:r w:rsidR="00FE28A0">
        <w:rPr>
          <w:color w:val="0000FF"/>
          <w:sz w:val="24"/>
          <w:szCs w:val="24"/>
        </w:rPr>
        <w:t>two</w:t>
      </w:r>
      <w:r w:rsidR="008774FE">
        <w:rPr>
          <w:color w:val="0000FF"/>
          <w:sz w:val="24"/>
          <w:szCs w:val="24"/>
        </w:rPr>
        <w:t xml:space="preserve"> splits and that reduced the correlations. The larger facilities did have more reasonable correlations. When looking at the measure as it is to be used, over consecutive years with a full 2-year sample, the correlation is much better.</w:t>
      </w:r>
    </w:p>
    <w:p w:rsidR="007422FD" w:rsidRPr="00A25024" w:rsidRDefault="007422FD" w:rsidP="00DB3627">
      <w:pPr>
        <w:autoSpaceDE w:val="0"/>
        <w:autoSpaceDN w:val="0"/>
        <w:adjustRightInd w:val="0"/>
        <w:spacing w:after="0" w:line="240" w:lineRule="auto"/>
        <w:rPr>
          <w:rFonts w:cstheme="minorHAnsi"/>
          <w:bCs/>
        </w:rPr>
      </w:pP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F76F8C" w:rsidP="00696262">
      <w:pPr>
        <w:autoSpaceDE w:val="0"/>
        <w:autoSpaceDN w:val="0"/>
        <w:adjustRightInd w:val="0"/>
        <w:spacing w:after="0" w:line="240" w:lineRule="auto"/>
        <w:rPr>
          <w:rFonts w:cstheme="minorHAnsi"/>
          <w:b/>
          <w:bCs/>
        </w:rPr>
      </w:pPr>
      <w:sdt>
        <w:sdtPr>
          <w:rPr>
            <w:rFonts w:cstheme="minorHAnsi"/>
            <w:bCs/>
            <w:color w:val="0000FF"/>
          </w:rPr>
          <w:id w:val="-1767844731"/>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F76F8C" w:rsidP="00EF2A18">
      <w:pPr>
        <w:autoSpaceDE w:val="0"/>
        <w:autoSpaceDN w:val="0"/>
        <w:adjustRightInd w:val="0"/>
        <w:spacing w:after="0" w:line="240" w:lineRule="auto"/>
        <w:ind w:left="255"/>
        <w:rPr>
          <w:rFonts w:cstheme="minorHAnsi"/>
          <w:bCs/>
        </w:rPr>
      </w:pPr>
      <w:sdt>
        <w:sdtPr>
          <w:rPr>
            <w:rFonts w:cstheme="minorHAnsi"/>
            <w:bCs/>
            <w:color w:val="0000FF"/>
          </w:rPr>
          <w:id w:val="-114983144"/>
        </w:sdtPr>
        <w:sdtEndPr/>
        <w:sdtContent>
          <w:sdt>
            <w:sdtPr>
              <w:rPr>
                <w:rFonts w:cstheme="minorHAnsi"/>
                <w:bCs/>
                <w:color w:val="0000FF"/>
              </w:rPr>
              <w:id w:val="30006464"/>
            </w:sdtPr>
            <w:sdtEndPr/>
            <w:sdtContent>
              <w:r w:rsidR="00EF2A18" w:rsidRPr="006574D2">
                <w:rPr>
                  <w:rFonts w:ascii="MS Gothic" w:eastAsia="MS Gothic" w:cstheme="minorHAnsi" w:hint="eastAsia"/>
                  <w:bCs/>
                  <w:color w:val="0000FF"/>
                </w:rPr>
                <w:t>☐</w:t>
              </w:r>
            </w:sdtContent>
          </w:sdt>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sdtPr>
        <w:sdtEndPr/>
        <w:sdtContent>
          <w:r w:rsidR="00EF2A18" w:rsidRPr="00EF2A18">
            <w:rPr>
              <w:rFonts w:cstheme="minorHAnsi"/>
              <w:bCs/>
              <w:color w:val="0000FF"/>
              <w:sz w:val="24"/>
              <w:szCs w:val="24"/>
            </w:rPr>
            <w:t>X</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833325"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2. For each level 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rsidR="00C4637A" w:rsidRPr="00544137" w:rsidRDefault="00EF2A18" w:rsidP="00EF2A18">
      <w:pPr>
        <w:rPr>
          <w:color w:val="0000FF"/>
          <w:sz w:val="24"/>
          <w:szCs w:val="24"/>
        </w:rPr>
      </w:pPr>
      <w:r w:rsidRPr="00544137">
        <w:rPr>
          <w:color w:val="0000FF"/>
          <w:sz w:val="24"/>
          <w:szCs w:val="24"/>
        </w:rPr>
        <w:t xml:space="preserve">The focus of the measure is readmission rates for fee-for-service Medicare patients after discharge from an IRF within a window of 30 days. As discussed earlier, there is evidence from short-term hospital studies that readmission rates can be reduced by improved discharge planning and transitions. A risk adjusted measure of the rate will provide information not available to providers currently. Medicare administrative data and eligibility data are used to define the denominator, the readmission and the risk adjusters.  </w:t>
      </w:r>
    </w:p>
    <w:p w:rsidR="00C4637A" w:rsidRPr="00544137" w:rsidRDefault="00C4637A" w:rsidP="00C4637A">
      <w:pPr>
        <w:rPr>
          <w:color w:val="0000FF"/>
          <w:sz w:val="24"/>
          <w:szCs w:val="24"/>
        </w:rPr>
      </w:pPr>
      <w:r w:rsidRPr="00544137">
        <w:rPr>
          <w:color w:val="0000FF"/>
          <w:sz w:val="24"/>
          <w:szCs w:val="24"/>
        </w:rPr>
        <w:t>There are patients not included in the measure because they are not FFS Medicare. This group includes patients covered by other payers and those in Medicare MA plans. There is insufficient data on these patients to include them in this measure. Neither their IRF claims nor acute hospital claims are currently available. Whether these patients differ in care and discharge patterns is not known. Payment methods will differ from FFS Medicare and from one another and payment can influence patient care patterns.</w:t>
      </w:r>
    </w:p>
    <w:p w:rsidR="005307E2" w:rsidRPr="00544137" w:rsidRDefault="005307E2" w:rsidP="003F3E6F">
      <w:pPr>
        <w:rPr>
          <w:color w:val="0000FF"/>
          <w:sz w:val="24"/>
          <w:szCs w:val="24"/>
        </w:rPr>
      </w:pPr>
      <w:r w:rsidRPr="00544137">
        <w:rPr>
          <w:color w:val="0000FF"/>
          <w:sz w:val="24"/>
          <w:szCs w:val="24"/>
        </w:rPr>
        <w:t xml:space="preserve">Starting with the FFS population, many exclusions (see above) cover stays with </w:t>
      </w:r>
      <w:r w:rsidR="003F3E6F">
        <w:rPr>
          <w:color w:val="0000FF"/>
          <w:sz w:val="24"/>
          <w:szCs w:val="24"/>
        </w:rPr>
        <w:t xml:space="preserve">anomalous </w:t>
      </w:r>
      <w:r w:rsidRPr="00544137">
        <w:rPr>
          <w:color w:val="0000FF"/>
          <w:sz w:val="24"/>
          <w:szCs w:val="24"/>
        </w:rPr>
        <w:t>data, patients without sufficient time in Medicare to have a full look-back period, pediatric patients etc.</w:t>
      </w:r>
      <w:r w:rsidR="00EF2A18" w:rsidRPr="00544137">
        <w:rPr>
          <w:color w:val="0000FF"/>
          <w:sz w:val="24"/>
          <w:szCs w:val="24"/>
        </w:rPr>
        <w:t xml:space="preserve"> A</w:t>
      </w:r>
      <w:r w:rsidRPr="00544137">
        <w:rPr>
          <w:color w:val="0000FF"/>
          <w:sz w:val="24"/>
          <w:szCs w:val="24"/>
        </w:rPr>
        <w:t xml:space="preserve">nother </w:t>
      </w:r>
      <w:r w:rsidR="00EF2A18" w:rsidRPr="00544137">
        <w:rPr>
          <w:color w:val="0000FF"/>
          <w:sz w:val="24"/>
          <w:szCs w:val="24"/>
        </w:rPr>
        <w:t xml:space="preserve">group of exclusions is the set of patients who </w:t>
      </w:r>
      <w:r w:rsidR="00ED4693" w:rsidRPr="00544137">
        <w:rPr>
          <w:color w:val="0000FF"/>
          <w:sz w:val="24"/>
          <w:szCs w:val="24"/>
        </w:rPr>
        <w:t xml:space="preserve">had </w:t>
      </w:r>
      <w:r w:rsidR="00EF2A18" w:rsidRPr="00544137">
        <w:rPr>
          <w:color w:val="0000FF"/>
          <w:sz w:val="24"/>
          <w:szCs w:val="24"/>
        </w:rPr>
        <w:t>not been admitted to a short-</w:t>
      </w:r>
      <w:r w:rsidR="00EF2A18" w:rsidRPr="00544137">
        <w:rPr>
          <w:color w:val="0000FF"/>
          <w:sz w:val="24"/>
          <w:szCs w:val="24"/>
        </w:rPr>
        <w:lastRenderedPageBreak/>
        <w:t>term</w:t>
      </w:r>
      <w:r w:rsidR="00CA7448">
        <w:rPr>
          <w:color w:val="0000FF"/>
          <w:sz w:val="24"/>
          <w:szCs w:val="24"/>
        </w:rPr>
        <w:t xml:space="preserve"> acute care</w:t>
      </w:r>
      <w:r w:rsidR="00EF2A18" w:rsidRPr="00544137">
        <w:rPr>
          <w:color w:val="0000FF"/>
          <w:sz w:val="24"/>
          <w:szCs w:val="24"/>
        </w:rPr>
        <w:t xml:space="preserve"> or psych</w:t>
      </w:r>
      <w:r w:rsidR="00CA7448">
        <w:rPr>
          <w:color w:val="0000FF"/>
          <w:sz w:val="24"/>
          <w:szCs w:val="24"/>
        </w:rPr>
        <w:t>iatric</w:t>
      </w:r>
      <w:r w:rsidR="00EF2A18" w:rsidRPr="00544137">
        <w:rPr>
          <w:color w:val="0000FF"/>
          <w:sz w:val="24"/>
          <w:szCs w:val="24"/>
        </w:rPr>
        <w:t xml:space="preserve"> hospital within 30 days prior to the IRF admission. This omission, applied to all facilities, might change the absolute value of the readmission rates, but the readmission rates do not have an absolute target. The measure is designed to look at variation around the mea</w:t>
      </w:r>
      <w:r w:rsidR="00544137">
        <w:rPr>
          <w:color w:val="0000FF"/>
          <w:sz w:val="24"/>
          <w:szCs w:val="24"/>
        </w:rPr>
        <w:t xml:space="preserve">n for the population included. </w:t>
      </w:r>
      <w:r w:rsidR="00EF2A18" w:rsidRPr="00544137">
        <w:rPr>
          <w:color w:val="0000FF"/>
          <w:sz w:val="24"/>
          <w:szCs w:val="24"/>
        </w:rPr>
        <w:t>About 90% of FFS Medicare patients are included in the measure.</w:t>
      </w:r>
      <w:r w:rsidRPr="00544137">
        <w:rPr>
          <w:color w:val="0000FF"/>
          <w:sz w:val="24"/>
          <w:szCs w:val="24"/>
        </w:rPr>
        <w:t xml:space="preserve"> </w:t>
      </w:r>
      <w:r w:rsidR="00ED4693" w:rsidRPr="00544137">
        <w:rPr>
          <w:color w:val="0000FF"/>
          <w:sz w:val="24"/>
          <w:szCs w:val="24"/>
        </w:rPr>
        <w:t xml:space="preserve">The </w:t>
      </w:r>
      <w:r w:rsidRPr="00544137">
        <w:rPr>
          <w:color w:val="0000FF"/>
          <w:sz w:val="24"/>
          <w:szCs w:val="24"/>
        </w:rPr>
        <w:t xml:space="preserve">FFS </w:t>
      </w:r>
      <w:r w:rsidR="00ED4693" w:rsidRPr="00544137">
        <w:rPr>
          <w:color w:val="0000FF"/>
          <w:sz w:val="24"/>
          <w:szCs w:val="24"/>
        </w:rPr>
        <w:t xml:space="preserve">Medicare patient population is both a large proportion of </w:t>
      </w:r>
      <w:r w:rsidRPr="00544137">
        <w:rPr>
          <w:color w:val="0000FF"/>
          <w:sz w:val="24"/>
          <w:szCs w:val="24"/>
        </w:rPr>
        <w:t xml:space="preserve">IRF </w:t>
      </w:r>
      <w:r w:rsidR="00ED4693" w:rsidRPr="00544137">
        <w:rPr>
          <w:color w:val="0000FF"/>
          <w:sz w:val="24"/>
          <w:szCs w:val="24"/>
        </w:rPr>
        <w:t xml:space="preserve">patients and a group of interest in their own right. </w:t>
      </w:r>
      <w:r w:rsidR="00FC69E8" w:rsidRPr="00544137">
        <w:rPr>
          <w:color w:val="0000FF"/>
          <w:sz w:val="24"/>
          <w:szCs w:val="24"/>
        </w:rPr>
        <w:t xml:space="preserve">We expect that Medicare beneficiaries in Medicare Advantage private plans will be includable in the measure when the encounter data submitted by plans are reliably collected. </w:t>
      </w:r>
    </w:p>
    <w:p w:rsidR="00EF2A18" w:rsidRPr="00544137" w:rsidRDefault="00ED4693" w:rsidP="006A0070">
      <w:pPr>
        <w:rPr>
          <w:color w:val="0000FF"/>
          <w:sz w:val="24"/>
          <w:szCs w:val="24"/>
        </w:rPr>
      </w:pPr>
      <w:r w:rsidRPr="00544137">
        <w:rPr>
          <w:color w:val="0000FF"/>
          <w:sz w:val="24"/>
          <w:szCs w:val="24"/>
        </w:rPr>
        <w:t>As an outcome measure, readmissions have been considered to have value applied to oth</w:t>
      </w:r>
      <w:r w:rsidR="00544137">
        <w:rPr>
          <w:color w:val="0000FF"/>
          <w:sz w:val="24"/>
          <w:szCs w:val="24"/>
        </w:rPr>
        <w:t>er settings and patient groups.</w:t>
      </w:r>
      <w:r w:rsidRPr="00544137">
        <w:rPr>
          <w:color w:val="0000FF"/>
          <w:sz w:val="24"/>
          <w:szCs w:val="24"/>
        </w:rPr>
        <w:t xml:space="preserve"> Our technical expert panels, including</w:t>
      </w:r>
      <w:r w:rsidR="00C4637A" w:rsidRPr="00544137">
        <w:rPr>
          <w:color w:val="0000FF"/>
          <w:sz w:val="24"/>
          <w:szCs w:val="24"/>
        </w:rPr>
        <w:t xml:space="preserve"> industry representatives and researchers are in agreement with the approach.</w:t>
      </w:r>
      <w:r w:rsidR="00EF2A18" w:rsidRPr="00544137">
        <w:rPr>
          <w:color w:val="0000FF"/>
          <w:sz w:val="24"/>
          <w:szCs w:val="24"/>
        </w:rPr>
        <w:t xml:space="preserve"> Validity is partially tested by statistical tests of the model on multiple years of data to predict readmissions</w:t>
      </w:r>
      <w:r w:rsidR="005307E2" w:rsidRPr="00544137">
        <w:rPr>
          <w:color w:val="0000FF"/>
          <w:sz w:val="24"/>
          <w:szCs w:val="24"/>
        </w:rPr>
        <w:t xml:space="preserve"> and through the assistan</w:t>
      </w:r>
      <w:r w:rsidR="00544137">
        <w:rPr>
          <w:color w:val="0000FF"/>
          <w:sz w:val="24"/>
          <w:szCs w:val="24"/>
        </w:rPr>
        <w:t>ce of a Technical Expert Panel.</w:t>
      </w:r>
      <w:r w:rsidR="00EF2A18" w:rsidRPr="00544137">
        <w:rPr>
          <w:color w:val="0000FF"/>
          <w:sz w:val="24"/>
          <w:szCs w:val="24"/>
        </w:rPr>
        <w:t xml:space="preserve"> </w:t>
      </w:r>
      <w:r w:rsidR="005307E2" w:rsidRPr="00544137">
        <w:rPr>
          <w:color w:val="0000FF"/>
          <w:sz w:val="24"/>
          <w:szCs w:val="24"/>
        </w:rPr>
        <w:t xml:space="preserve">The risk adjusters are of the type used to predict other measures of utilization (e.g. hospitalizations), Medicare, Medicaid and private payer spending for medical </w:t>
      </w:r>
      <w:r w:rsidR="00544137">
        <w:rPr>
          <w:color w:val="0000FF"/>
          <w:sz w:val="24"/>
          <w:szCs w:val="24"/>
        </w:rPr>
        <w:t>services, and mortality.</w:t>
      </w:r>
      <w:r w:rsidR="005307E2" w:rsidRPr="00544137">
        <w:rPr>
          <w:color w:val="0000FF"/>
          <w:sz w:val="24"/>
          <w:szCs w:val="24"/>
        </w:rPr>
        <w:t xml:space="preserve"> The spending models are used by the Federal and State governments to determine payments.</w:t>
      </w:r>
      <w:r w:rsidR="00FC69E8" w:rsidRPr="00544137">
        <w:rPr>
          <w:color w:val="0000FF"/>
          <w:sz w:val="24"/>
          <w:szCs w:val="24"/>
        </w:rPr>
        <w:t xml:space="preserve"> </w:t>
      </w:r>
      <w:r w:rsidR="00EF2A18" w:rsidRPr="00544137">
        <w:rPr>
          <w:color w:val="0000FF"/>
          <w:sz w:val="24"/>
          <w:szCs w:val="24"/>
        </w:rPr>
        <w:t xml:space="preserve">The model structure and many of the variables are similar to those in the Hospital Wide </w:t>
      </w:r>
      <w:r w:rsidR="006A0070">
        <w:rPr>
          <w:color w:val="0000FF"/>
          <w:sz w:val="24"/>
          <w:szCs w:val="24"/>
        </w:rPr>
        <w:t>All-C</w:t>
      </w:r>
      <w:r w:rsidR="006A0070" w:rsidRPr="00544137">
        <w:rPr>
          <w:color w:val="0000FF"/>
          <w:sz w:val="24"/>
          <w:szCs w:val="24"/>
        </w:rPr>
        <w:t xml:space="preserve">ause </w:t>
      </w:r>
      <w:r w:rsidR="00FD7AB1" w:rsidRPr="00544137">
        <w:rPr>
          <w:color w:val="0000FF"/>
          <w:sz w:val="24"/>
          <w:szCs w:val="24"/>
        </w:rPr>
        <w:t>R</w:t>
      </w:r>
      <w:r w:rsidR="00EF2A18" w:rsidRPr="00544137">
        <w:rPr>
          <w:color w:val="0000FF"/>
          <w:sz w:val="24"/>
          <w:szCs w:val="24"/>
        </w:rPr>
        <w:t xml:space="preserve">eadmission measure approved by NQF (#1789).  </w:t>
      </w:r>
    </w:p>
    <w:p w:rsidR="00833325" w:rsidRPr="00A25024" w:rsidRDefault="00833325" w:rsidP="00DB3627">
      <w:pPr>
        <w:autoSpaceDE w:val="0"/>
        <w:autoSpaceDN w:val="0"/>
        <w:adjustRightInd w:val="0"/>
        <w:spacing w:after="0" w:line="240" w:lineRule="auto"/>
        <w:rPr>
          <w:rFonts w:cstheme="minorHAnsi"/>
          <w:bCs/>
        </w:rPr>
      </w:pPr>
    </w:p>
    <w:p w:rsidR="00FA09F3" w:rsidRPr="00FA09F3" w:rsidRDefault="00092566" w:rsidP="00FA09F3">
      <w:pPr>
        <w:rPr>
          <w:color w:val="0000FF"/>
          <w:sz w:val="24"/>
          <w:szCs w:val="24"/>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rsidR="00FA09F3" w:rsidRPr="00FA09F3" w:rsidRDefault="00FA09F3" w:rsidP="00FA09F3">
      <w:pPr>
        <w:rPr>
          <w:color w:val="0000FF"/>
          <w:sz w:val="24"/>
          <w:szCs w:val="24"/>
        </w:rPr>
      </w:pPr>
      <w:r w:rsidRPr="00FA09F3">
        <w:rPr>
          <w:color w:val="0000FF"/>
          <w:sz w:val="24"/>
          <w:szCs w:val="24"/>
        </w:rPr>
        <w:t>With regard to the ICD-10 transition for the data elements currently specified using ICD-9 codes, our goal was to convert this measure to a new code set, fully consistent with the intent of the original measure. AHRQ has posted a beta version of the mapping between ICD-10 procedure codes and the CCS codes on their website (</w:t>
      </w:r>
      <w:hyperlink r:id="rId14" w:history="1">
        <w:r w:rsidRPr="00FA09F3">
          <w:rPr>
            <w:rStyle w:val="Hyperlink"/>
            <w:sz w:val="24"/>
            <w:szCs w:val="24"/>
          </w:rPr>
          <w:t>http://www.hcup-us.ahrq.gov/toolssoftware/beta/icd_10_beta.jsp</w:t>
        </w:r>
      </w:hyperlink>
      <w:r w:rsidRPr="00FA09F3">
        <w:rPr>
          <w:color w:val="0000FF"/>
          <w:sz w:val="24"/>
          <w:szCs w:val="24"/>
        </w:rPr>
        <w:t xml:space="preserve">). We plan to use the same CCS groupings in our models after the transition to ICD-10. The final grouper is expected in October 2014. We will continue to monitor and review these mappings of CCS codes to ICD-10 in order to identify any potential changes that may impact this measure. The CMS contractor for the HCCs is currently finalizing the ICD-10 mapping into the HCCs. We plan to use the same set of HCCs, and will review the mapping to ensure that there are no changes that impact this measure. The definition of planned readmissions is currently defined by ICD-9 procedure and diagnosis codes grouped by the Clinical Classification Software (CCS), developed by the AHRQ, where large clusters were appropriate and by individual codes, if necessary. We are awaiting the ICD-10 versions of the HWR planned readmissions codes and we have provided a provisional mapping of these ICD-9s to ICD-10s in </w:t>
      </w:r>
      <w:r w:rsidRPr="00FA09F3">
        <w:rPr>
          <w:b/>
          <w:bCs/>
          <w:color w:val="0000FF"/>
          <w:sz w:val="24"/>
          <w:szCs w:val="24"/>
        </w:rPr>
        <w:t>Appendix Table A6</w:t>
      </w:r>
      <w:r w:rsidRPr="00FA09F3">
        <w:rPr>
          <w:color w:val="0000FF"/>
          <w:sz w:val="24"/>
          <w:szCs w:val="24"/>
        </w:rPr>
        <w:t xml:space="preserve">. This mapping was based on the General Equivalence Mappings made available by CMS at </w:t>
      </w:r>
      <w:hyperlink r:id="rId15" w:history="1">
        <w:r w:rsidRPr="00FA09F3">
          <w:rPr>
            <w:rStyle w:val="Hyperlink"/>
            <w:sz w:val="24"/>
            <w:szCs w:val="24"/>
          </w:rPr>
          <w:t>http://www.cms.gov/Medicare/Coding/ICD10/2014-ICD-10-PCS.html</w:t>
        </w:r>
      </w:hyperlink>
      <w:r w:rsidRPr="00FA09F3">
        <w:rPr>
          <w:color w:val="0000FF"/>
          <w:sz w:val="24"/>
          <w:szCs w:val="24"/>
        </w:rPr>
        <w:t>.</w:t>
      </w:r>
    </w:p>
    <w:p w:rsidR="00EF2A18" w:rsidRPr="00544137" w:rsidRDefault="00EF2A18" w:rsidP="00EF2A18">
      <w:pPr>
        <w:rPr>
          <w:color w:val="0000FF"/>
          <w:sz w:val="24"/>
          <w:szCs w:val="24"/>
        </w:rPr>
      </w:pPr>
    </w:p>
    <w:p w:rsidR="007422FD" w:rsidRPr="00092566" w:rsidRDefault="007422FD" w:rsidP="00092566">
      <w:pPr>
        <w:autoSpaceDE w:val="0"/>
        <w:autoSpaceDN w:val="0"/>
        <w:adjustRightInd w:val="0"/>
        <w:spacing w:after="0" w:line="240" w:lineRule="auto"/>
        <w:rPr>
          <w:rFonts w:cstheme="minorHAnsi"/>
          <w:bCs/>
        </w:rPr>
      </w:pPr>
    </w:p>
    <w:p w:rsidR="00EF2A18" w:rsidRPr="00544137" w:rsidRDefault="00092566" w:rsidP="00EF2A18">
      <w:pPr>
        <w:rPr>
          <w:color w:val="0000FF"/>
          <w:sz w:val="24"/>
          <w:szCs w:val="24"/>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EF2A18" w:rsidRPr="00544137">
        <w:rPr>
          <w:color w:val="0000FF"/>
          <w:sz w:val="24"/>
          <w:szCs w:val="24"/>
        </w:rPr>
        <w:t>Not applicable.</w:t>
      </w:r>
    </w:p>
    <w:p w:rsidR="007422FD" w:rsidRPr="00A25024" w:rsidRDefault="007422FD" w:rsidP="00DB3627">
      <w:pPr>
        <w:autoSpaceDE w:val="0"/>
        <w:autoSpaceDN w:val="0"/>
        <w:adjustRightInd w:val="0"/>
        <w:spacing w:after="0" w:line="240" w:lineRule="auto"/>
        <w:rPr>
          <w:rFonts w:cstheme="minorHAnsi"/>
          <w:bCs/>
        </w:rPr>
      </w:pP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554886" w:rsidRPr="00544137" w:rsidRDefault="00092566" w:rsidP="00FD7AB1">
      <w:pPr>
        <w:rPr>
          <w:color w:val="0000FF"/>
          <w:sz w:val="24"/>
          <w:szCs w:val="24"/>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EF2A18">
        <w:rPr>
          <w:rFonts w:cstheme="minorHAnsi"/>
          <w:bCs/>
        </w:rPr>
        <w:t>)</w:t>
      </w:r>
      <w:r w:rsidR="00EF2A18">
        <w:rPr>
          <w:rFonts w:cstheme="minorHAnsi"/>
          <w:bCs/>
        </w:rPr>
        <w:br/>
      </w:r>
      <w:r w:rsidR="00554886" w:rsidRPr="00544137">
        <w:rPr>
          <w:color w:val="0000FF"/>
          <w:sz w:val="24"/>
          <w:szCs w:val="24"/>
        </w:rPr>
        <w:t xml:space="preserve">Because the measure exclusions on the FFS sample are largely based on data limitations that would prevent proper analysis, no further analyses were conducted to assess the impacts of these exclusions. In many cases, the lack of available claims data means that further analysis is not feasible. </w:t>
      </w:r>
      <w:r w:rsidR="00FC69E8" w:rsidRPr="00544137">
        <w:rPr>
          <w:color w:val="0000FF"/>
          <w:sz w:val="24"/>
          <w:szCs w:val="24"/>
        </w:rPr>
        <w:t xml:space="preserve">The exclusion of the group of patients who had non-surgical cancer treatment in the prior acute stay was based on the work done in the developing the </w:t>
      </w:r>
      <w:r w:rsidR="00FD7AB1" w:rsidRPr="00544137">
        <w:rPr>
          <w:color w:val="0000FF"/>
          <w:sz w:val="24"/>
          <w:szCs w:val="24"/>
        </w:rPr>
        <w:t>H</w:t>
      </w:r>
      <w:r w:rsidR="00FC69E8" w:rsidRPr="00544137">
        <w:rPr>
          <w:color w:val="0000FF"/>
          <w:sz w:val="24"/>
          <w:szCs w:val="24"/>
        </w:rPr>
        <w:t>ospital-</w:t>
      </w:r>
      <w:r w:rsidR="00FD7AB1" w:rsidRPr="00544137">
        <w:rPr>
          <w:color w:val="0000FF"/>
          <w:sz w:val="24"/>
          <w:szCs w:val="24"/>
        </w:rPr>
        <w:t>W</w:t>
      </w:r>
      <w:r w:rsidR="00FC69E8" w:rsidRPr="00544137">
        <w:rPr>
          <w:color w:val="0000FF"/>
          <w:sz w:val="24"/>
          <w:szCs w:val="24"/>
        </w:rPr>
        <w:t xml:space="preserve">ide </w:t>
      </w:r>
      <w:r w:rsidR="00FD7AB1" w:rsidRPr="00544137">
        <w:rPr>
          <w:color w:val="0000FF"/>
          <w:sz w:val="24"/>
          <w:szCs w:val="24"/>
        </w:rPr>
        <w:t>R</w:t>
      </w:r>
      <w:r w:rsidR="00FC69E8" w:rsidRPr="00544137">
        <w:rPr>
          <w:color w:val="0000FF"/>
          <w:sz w:val="24"/>
          <w:szCs w:val="24"/>
        </w:rPr>
        <w:t xml:space="preserve">eadmission measure (NQF </w:t>
      </w:r>
      <w:r w:rsidR="00544137">
        <w:rPr>
          <w:color w:val="0000FF"/>
          <w:sz w:val="24"/>
          <w:szCs w:val="24"/>
        </w:rPr>
        <w:t>#</w:t>
      </w:r>
      <w:r w:rsidR="00FC69E8" w:rsidRPr="00544137">
        <w:rPr>
          <w:color w:val="0000FF"/>
          <w:sz w:val="24"/>
          <w:szCs w:val="24"/>
        </w:rPr>
        <w:t>1789). Their post-discharge trajectory of readmissions was not consistent with other patient groups.</w:t>
      </w:r>
    </w:p>
    <w:p w:rsidR="00554886" w:rsidRPr="00457E1B" w:rsidRDefault="00554886" w:rsidP="00554886">
      <w:pPr>
        <w:rPr>
          <w:i/>
          <w:color w:val="0000FF"/>
          <w:szCs w:val="24"/>
        </w:rPr>
      </w:pPr>
    </w:p>
    <w:p w:rsidR="00554886" w:rsidRDefault="00092566" w:rsidP="00554886">
      <w:pPr>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rsidR="00554886" w:rsidRPr="00544137" w:rsidRDefault="00FD7AB1" w:rsidP="00554886">
      <w:pPr>
        <w:rPr>
          <w:color w:val="0000FF"/>
          <w:sz w:val="24"/>
          <w:szCs w:val="24"/>
        </w:rPr>
      </w:pPr>
      <w:r w:rsidRPr="00544137">
        <w:rPr>
          <w:b/>
          <w:bCs/>
          <w:color w:val="0000FF"/>
          <w:sz w:val="24"/>
          <w:szCs w:val="24"/>
        </w:rPr>
        <w:t xml:space="preserve">Testing </w:t>
      </w:r>
      <w:r w:rsidR="00554886" w:rsidRPr="00544137">
        <w:rPr>
          <w:b/>
          <w:bCs/>
          <w:color w:val="0000FF"/>
          <w:sz w:val="24"/>
          <w:szCs w:val="24"/>
        </w:rPr>
        <w:t>Figure 1</w:t>
      </w:r>
      <w:r w:rsidR="00554886" w:rsidRPr="00544137">
        <w:rPr>
          <w:color w:val="0000FF"/>
          <w:sz w:val="24"/>
          <w:szCs w:val="24"/>
        </w:rPr>
        <w:t xml:space="preserve"> below summarizes the frequency of exclusions from the denominator of this measure. This flowchart illustrates the various steps in which observations were excluded. As noted, the majority of the exclusions are due to data limitations; for example, nearly 33,000 IRF stays were excluded due to no prior acute claim. Note that the following exclusions were made </w:t>
      </w:r>
      <w:r w:rsidR="003F3E6F">
        <w:rPr>
          <w:color w:val="0000FF"/>
          <w:sz w:val="24"/>
          <w:szCs w:val="24"/>
        </w:rPr>
        <w:t xml:space="preserve">on all inpatient records, and </w:t>
      </w:r>
      <w:r w:rsidR="00554886" w:rsidRPr="00544137">
        <w:rPr>
          <w:color w:val="0000FF"/>
          <w:sz w:val="24"/>
          <w:szCs w:val="24"/>
        </w:rPr>
        <w:t xml:space="preserve">prior to identifying the IRF claims: excluded claims with no payment information; excluded claims from HMO stays; excluded claims where the patient left against medical advice (AMA); and excluded federal hospital transfers. </w:t>
      </w:r>
    </w:p>
    <w:p w:rsidR="00554886" w:rsidRDefault="00FD7AB1" w:rsidP="00BB5116">
      <w:pPr>
        <w:pStyle w:val="TableTitle"/>
        <w:spacing w:after="0"/>
        <w:ind w:left="810" w:hanging="810"/>
        <w:jc w:val="left"/>
        <w:rPr>
          <w:rFonts w:ascii="Calibri" w:hAnsi="Calibri"/>
          <w:color w:val="0000FF"/>
        </w:rPr>
      </w:pPr>
      <w:r>
        <w:rPr>
          <w:rFonts w:ascii="Calibri" w:hAnsi="Calibri"/>
          <w:color w:val="0000FF"/>
        </w:rPr>
        <w:lastRenderedPageBreak/>
        <w:t xml:space="preserve">Testing </w:t>
      </w:r>
      <w:r w:rsidR="00554886" w:rsidRPr="000F2B03">
        <w:rPr>
          <w:rFonts w:ascii="Calibri" w:hAnsi="Calibri"/>
          <w:color w:val="0000FF"/>
        </w:rPr>
        <w:t>Figure 1:    Flowchart of measure exclusions</w:t>
      </w:r>
      <w:r w:rsidR="00554886">
        <w:rPr>
          <w:rFonts w:ascii="Calibri" w:hAnsi="Calibri"/>
          <w:color w:val="0000FF"/>
        </w:rPr>
        <w:t xml:space="preserve">, 2011 </w:t>
      </w:r>
    </w:p>
    <w:p w:rsidR="00544137" w:rsidRDefault="001E56D6" w:rsidP="00FD7AB1">
      <w:pPr>
        <w:pStyle w:val="TableTitle"/>
        <w:spacing w:after="120"/>
        <w:jc w:val="left"/>
        <w:rPr>
          <w:rFonts w:ascii="Calibri" w:hAnsi="Calibri"/>
          <w:color w:val="0000FF"/>
        </w:rPr>
      </w:pPr>
      <w:r>
        <w:object w:dxaOrig="10841" w:dyaOrig="13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8in" o:ole="">
            <v:imagedata r:id="rId16" o:title=""/>
          </v:shape>
          <o:OLEObject Type="Embed" ProgID="Visio.Drawing.11" ShapeID="_x0000_i1025" DrawAspect="Content" ObjectID="_1453626540" r:id="rId17"/>
        </w:object>
      </w:r>
    </w:p>
    <w:p w:rsidR="00554886" w:rsidRPr="00FD7AB1" w:rsidRDefault="00554886" w:rsidP="00FD7AB1">
      <w:pPr>
        <w:tabs>
          <w:tab w:val="left" w:pos="1080"/>
        </w:tabs>
        <w:spacing w:after="0"/>
        <w:rPr>
          <w:rFonts w:cstheme="majorBidi"/>
          <w:color w:val="0000FF"/>
          <w:sz w:val="24"/>
          <w:szCs w:val="24"/>
        </w:rPr>
      </w:pPr>
      <w:r w:rsidRPr="00FD7AB1">
        <w:rPr>
          <w:rFonts w:cstheme="majorBidi"/>
          <w:color w:val="0000FF"/>
          <w:sz w:val="24"/>
          <w:szCs w:val="24"/>
        </w:rPr>
        <w:t>Source: RTI analysis of Medicare claims data, 2007-2012. (RTI program references: lc30irf2011v1</w:t>
      </w:r>
      <w:r w:rsidR="00FD7AB1">
        <w:rPr>
          <w:rFonts w:cstheme="majorBidi"/>
          <w:color w:val="0000FF"/>
          <w:sz w:val="24"/>
          <w:szCs w:val="24"/>
        </w:rPr>
        <w:t>5</w:t>
      </w:r>
      <w:r w:rsidRPr="00FD7AB1">
        <w:rPr>
          <w:rFonts w:cstheme="majorBidi"/>
          <w:color w:val="0000FF"/>
          <w:sz w:val="24"/>
          <w:szCs w:val="24"/>
        </w:rPr>
        <w:t>.doc)</w:t>
      </w:r>
    </w:p>
    <w:p w:rsidR="007422FD" w:rsidRDefault="00092566" w:rsidP="00DB3627">
      <w:pPr>
        <w:autoSpaceDE w:val="0"/>
        <w:autoSpaceDN w:val="0"/>
        <w:adjustRightInd w:val="0"/>
        <w:spacing w:after="0" w:line="240" w:lineRule="auto"/>
        <w:rPr>
          <w:rFonts w:cstheme="minorHAnsi"/>
          <w:bCs/>
        </w:rPr>
      </w:pPr>
      <w:r>
        <w:rPr>
          <w:rFonts w:cstheme="minorHAnsi"/>
          <w:b/>
          <w:bCs/>
        </w:rPr>
        <w:lastRenderedPageBreak/>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554886" w:rsidRDefault="00554886" w:rsidP="00554886">
      <w:pPr>
        <w:autoSpaceDE w:val="0"/>
        <w:autoSpaceDN w:val="0"/>
        <w:adjustRightInd w:val="0"/>
        <w:spacing w:after="0" w:line="240" w:lineRule="auto"/>
        <w:rPr>
          <w:color w:val="0000FF"/>
          <w:sz w:val="24"/>
          <w:szCs w:val="24"/>
        </w:rPr>
      </w:pPr>
      <w:r w:rsidRPr="00C3430A">
        <w:rPr>
          <w:color w:val="0000FF"/>
          <w:sz w:val="24"/>
          <w:szCs w:val="24"/>
        </w:rPr>
        <w:t xml:space="preserve">As noted, the majority of the exclusions are due to data limitations. Given that this measure utilizes administrative claims data, we have no concerns about missing data distorting provider performance. </w:t>
      </w:r>
    </w:p>
    <w:p w:rsidR="00BB5116" w:rsidRPr="00C3430A" w:rsidRDefault="00BB5116" w:rsidP="00554886">
      <w:pPr>
        <w:autoSpaceDE w:val="0"/>
        <w:autoSpaceDN w:val="0"/>
        <w:adjustRightInd w:val="0"/>
        <w:spacing w:after="0" w:line="240" w:lineRule="auto"/>
        <w:rPr>
          <w:rFonts w:cstheme="minorHAnsi"/>
          <w:bCs/>
          <w:sz w:val="24"/>
          <w:szCs w:val="24"/>
        </w:rPr>
      </w:pP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F76F8C" w:rsidP="00092566">
      <w:pPr>
        <w:autoSpaceDE w:val="0"/>
        <w:autoSpaceDN w:val="0"/>
        <w:adjustRightInd w:val="0"/>
        <w:spacing w:after="0" w:line="240" w:lineRule="auto"/>
        <w:rPr>
          <w:rFonts w:cstheme="minorHAnsi"/>
          <w:b/>
          <w:bCs/>
        </w:rPr>
      </w:pPr>
      <w:sdt>
        <w:sdtPr>
          <w:rPr>
            <w:rFonts w:cstheme="minorHAnsi"/>
            <w:bCs/>
            <w:color w:val="0000FF"/>
          </w:rPr>
          <w:id w:val="-1450705013"/>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F76F8C" w:rsidP="00554886">
      <w:pPr>
        <w:autoSpaceDE w:val="0"/>
        <w:autoSpaceDN w:val="0"/>
        <w:adjustRightInd w:val="0"/>
        <w:spacing w:after="0" w:line="240" w:lineRule="auto"/>
        <w:rPr>
          <w:rFonts w:cstheme="minorHAnsi"/>
          <w:b/>
          <w:bCs/>
        </w:rPr>
      </w:pPr>
      <w:sdt>
        <w:sdtPr>
          <w:rPr>
            <w:rFonts w:cstheme="minorHAnsi"/>
            <w:bCs/>
            <w:color w:val="0000FF"/>
            <w:highlight w:val="lightGray"/>
          </w:rPr>
          <w:id w:val="-912162535"/>
        </w:sdtPr>
        <w:sdtEndPr/>
        <w:sdtContent>
          <w:r w:rsidR="00554886" w:rsidRPr="00554886">
            <w:rPr>
              <w:rFonts w:cstheme="minorHAnsi"/>
              <w:bCs/>
              <w:color w:val="0000FF"/>
              <w:sz w:val="24"/>
              <w:szCs w:val="24"/>
              <w:highlight w:val="lightGray"/>
            </w:rPr>
            <w:t>X</w:t>
          </w:r>
        </w:sdtContent>
      </w:sdt>
      <w:r w:rsidR="006574D2" w:rsidRPr="00554886">
        <w:rPr>
          <w:rFonts w:cstheme="minorHAnsi"/>
          <w:bCs/>
          <w:color w:val="0000FF"/>
          <w:highlight w:val="lightGray"/>
        </w:rPr>
        <w:t xml:space="preserve"> </w:t>
      </w:r>
      <w:r w:rsidR="00743E46" w:rsidRPr="00554886">
        <w:rPr>
          <w:rFonts w:cstheme="minorHAnsi"/>
          <w:b/>
          <w:bCs/>
          <w:highlight w:val="lightGray"/>
        </w:rPr>
        <w:t xml:space="preserve">Statistical risk model with </w:t>
      </w:r>
      <w:sdt>
        <w:sdtPr>
          <w:rPr>
            <w:rStyle w:val="Style4"/>
            <w:highlight w:val="lightGray"/>
            <w:u w:val="none"/>
          </w:rPr>
          <w:id w:val="309760327"/>
          <w:text/>
        </w:sdtPr>
        <w:sdtEndPr>
          <w:rPr>
            <w:rStyle w:val="DefaultParagraphFont"/>
            <w:rFonts w:asciiTheme="minorHAnsi" w:hAnsiTheme="minorHAnsi" w:cstheme="minorHAnsi"/>
            <w:b w:val="0"/>
            <w:bCs/>
            <w:color w:val="auto"/>
          </w:rPr>
        </w:sdtEndPr>
        <w:sdtContent>
          <w:r w:rsidR="00554886">
            <w:rPr>
              <w:rStyle w:val="Style4"/>
              <w:highlight w:val="lightGray"/>
              <w:u w:val="none"/>
            </w:rPr>
            <w:t>204</w:t>
          </w:r>
        </w:sdtContent>
      </w:sdt>
      <w:r w:rsidR="00E562C0" w:rsidRPr="00554886">
        <w:rPr>
          <w:rStyle w:val="Style4"/>
          <w:highlight w:val="lightGray"/>
          <w:u w:val="none"/>
        </w:rPr>
        <w:t xml:space="preserve"> </w:t>
      </w:r>
      <w:r w:rsidR="00743E46" w:rsidRPr="00554886">
        <w:rPr>
          <w:rFonts w:cstheme="minorHAnsi"/>
          <w:b/>
          <w:bCs/>
          <w:highlight w:val="lightGray"/>
        </w:rPr>
        <w:t>risk factors</w:t>
      </w:r>
    </w:p>
    <w:p w:rsidR="00743E46" w:rsidRPr="005232D6" w:rsidRDefault="00F76F8C" w:rsidP="00092566">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F76F8C" w:rsidP="00092566">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554886" w:rsidRPr="00554886">
        <w:rPr>
          <w:rFonts w:cstheme="minorHAnsi"/>
          <w:bCs/>
          <w:color w:val="0000FF"/>
          <w:sz w:val="24"/>
          <w:szCs w:val="24"/>
        </w:rPr>
        <w:t>N/A</w:t>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554886" w:rsidRPr="00554886" w:rsidRDefault="00554886" w:rsidP="00554886">
      <w:pPr>
        <w:rPr>
          <w:color w:val="0000FF"/>
          <w:sz w:val="24"/>
          <w:szCs w:val="24"/>
        </w:rPr>
      </w:pPr>
      <w:r w:rsidRPr="00554886">
        <w:rPr>
          <w:color w:val="0000FF"/>
          <w:sz w:val="24"/>
          <w:szCs w:val="24"/>
        </w:rPr>
        <w:t xml:space="preserve">To develop the risk adjustment model for this measure, we analyzed Medicare claims, Denominator, and EDB files for 2009, 2010, and 2011, identifying IRF admissions preceded by an acute-care hospitalization (IPPS, CAH, and psychiatric hospitals). Because this measure is based on 2 consecutive years of data, these analyses used data pooled from 2009/2010 and 2010/2011. After applying the exclusion criteria, as described in Section 2b3, the final analytic files included the following counts of stays and facilities: </w:t>
      </w:r>
    </w:p>
    <w:p w:rsidR="00554886" w:rsidRPr="00554886" w:rsidRDefault="00554886" w:rsidP="00554886">
      <w:pPr>
        <w:tabs>
          <w:tab w:val="left" w:pos="1080"/>
        </w:tabs>
        <w:spacing w:after="0"/>
        <w:ind w:left="1080"/>
        <w:rPr>
          <w:color w:val="0000FF"/>
          <w:sz w:val="24"/>
          <w:szCs w:val="24"/>
        </w:rPr>
      </w:pPr>
      <w:r w:rsidRPr="00554886">
        <w:rPr>
          <w:color w:val="0000FF"/>
          <w:sz w:val="24"/>
          <w:szCs w:val="24"/>
        </w:rPr>
        <w:t>2009/2010: 587,810 index IRF stays in 1,185 IRFs</w:t>
      </w:r>
    </w:p>
    <w:p w:rsidR="00554886" w:rsidRPr="00554886" w:rsidRDefault="00554886" w:rsidP="00554886">
      <w:pPr>
        <w:tabs>
          <w:tab w:val="left" w:pos="1080"/>
        </w:tabs>
        <w:spacing w:after="0"/>
        <w:ind w:left="1080"/>
        <w:rPr>
          <w:color w:val="0000FF"/>
          <w:sz w:val="24"/>
          <w:szCs w:val="24"/>
        </w:rPr>
      </w:pPr>
      <w:r w:rsidRPr="00554886">
        <w:rPr>
          <w:color w:val="0000FF"/>
          <w:sz w:val="24"/>
          <w:szCs w:val="24"/>
        </w:rPr>
        <w:t>2010/2011: 590,120 index IRF stays in 1,171 IRFs</w:t>
      </w:r>
    </w:p>
    <w:p w:rsidR="00554886" w:rsidRPr="00554886" w:rsidRDefault="00554886" w:rsidP="00554886">
      <w:pPr>
        <w:pStyle w:val="Heading5"/>
      </w:pPr>
      <w:r w:rsidRPr="00554886">
        <w:t>Analytic method</w:t>
      </w:r>
    </w:p>
    <w:p w:rsidR="00554886" w:rsidRPr="00554886" w:rsidRDefault="00554886" w:rsidP="00554886">
      <w:pPr>
        <w:rPr>
          <w:color w:val="0000FF"/>
          <w:sz w:val="24"/>
          <w:szCs w:val="24"/>
        </w:rPr>
      </w:pPr>
      <w:r w:rsidRPr="00554886">
        <w:rPr>
          <w:color w:val="0000FF"/>
          <w:sz w:val="24"/>
          <w:szCs w:val="24"/>
        </w:rPr>
        <w:t xml:space="preserve">This measure estimates the risk-standardized rate of unplanned, all-cause readmissions for patients (Medicare FFS beneficiaries) discharged from an Inpatient Rehabilitation Facilities (IRF) who were readmitted to a short-stay acute-care hospital or a Long-Term Care Hospital (LTCH), within 30 days of an IRF discharge. (Because an acute readmission on the day after discharge is </w:t>
      </w:r>
      <w:r w:rsidRPr="00554886">
        <w:rPr>
          <w:color w:val="0000FF"/>
          <w:sz w:val="24"/>
          <w:szCs w:val="24"/>
        </w:rPr>
        <w:lastRenderedPageBreak/>
        <w:t>treated as a transfer</w:t>
      </w:r>
      <w:r w:rsidR="0045792F">
        <w:rPr>
          <w:color w:val="0000FF"/>
          <w:sz w:val="24"/>
          <w:szCs w:val="24"/>
        </w:rPr>
        <w:t>,</w:t>
      </w:r>
      <w:r w:rsidRPr="00554886">
        <w:rPr>
          <w:color w:val="0000FF"/>
          <w:sz w:val="24"/>
          <w:szCs w:val="24"/>
        </w:rPr>
        <w:t xml:space="preserve"> the 30 day count starts on the second day after discharge.) Excluded from the measure (numerator and denominator) are patients who died during the IRF stay; patients less than 18 years old; patients who were transferred at the end of a stay to another IRF or short-term acute hospital; patients who were not continuously enrolled in Part A fee-for-service (FFS) Medicare for the 12 months prior to the IRF admission date, and at least 30 days after IRF stay discharge date; patients who did not have a short-term acute-care stay within 30 days prior to an IRF stay admission date; patients discharged against medical advice (AMA); patients for whom the prior short-term acute-care stay was for nonsurgical treatment of cancer; and IRF stays with data needed for modeling that are problematic. </w:t>
      </w:r>
    </w:p>
    <w:p w:rsidR="00554886" w:rsidRPr="00554886" w:rsidRDefault="00554886" w:rsidP="00554886">
      <w:pPr>
        <w:rPr>
          <w:rFonts w:cstheme="minorHAnsi"/>
          <w:color w:val="0000FF"/>
          <w:sz w:val="24"/>
          <w:szCs w:val="24"/>
        </w:rPr>
      </w:pPr>
      <w:r w:rsidRPr="00554886">
        <w:rPr>
          <w:rFonts w:cstheme="minorHAnsi"/>
          <w:color w:val="0000FF"/>
          <w:sz w:val="24"/>
          <w:szCs w:val="24"/>
        </w:rPr>
        <w:t xml:space="preserve">In this section we detail the analytic methods used including the steps completed to develop our final risk adjustment model. </w:t>
      </w:r>
    </w:p>
    <w:p w:rsidR="00554886" w:rsidRPr="00554886" w:rsidRDefault="00554886" w:rsidP="00554886">
      <w:pPr>
        <w:shd w:val="clear" w:color="auto" w:fill="FFFFFF"/>
        <w:spacing w:after="0"/>
        <w:rPr>
          <w:rFonts w:cstheme="minorHAnsi"/>
          <w:i/>
          <w:iCs/>
          <w:color w:val="0000FF"/>
          <w:sz w:val="24"/>
          <w:szCs w:val="24"/>
        </w:rPr>
      </w:pPr>
      <w:r w:rsidRPr="00554886">
        <w:rPr>
          <w:rFonts w:cstheme="minorHAnsi"/>
          <w:b/>
          <w:i/>
          <w:iCs/>
          <w:color w:val="0000FF"/>
          <w:spacing w:val="8"/>
          <w:sz w:val="24"/>
          <w:szCs w:val="24"/>
        </w:rPr>
        <w:t>Covariate Selection – Conceptual Rationale</w:t>
      </w:r>
    </w:p>
    <w:p w:rsidR="00554886" w:rsidRPr="00554886" w:rsidRDefault="00554886" w:rsidP="00554886">
      <w:pPr>
        <w:rPr>
          <w:rFonts w:cstheme="minorHAnsi"/>
          <w:color w:val="0000FF"/>
          <w:sz w:val="24"/>
          <w:szCs w:val="24"/>
        </w:rPr>
      </w:pPr>
      <w:r w:rsidRPr="00554886">
        <w:rPr>
          <w:rFonts w:cstheme="minorHAnsi"/>
          <w:color w:val="0000FF"/>
          <w:sz w:val="24"/>
          <w:szCs w:val="24"/>
        </w:rPr>
        <w:t xml:space="preserve">The risk adjustment model for this measure </w:t>
      </w:r>
      <w:r w:rsidRPr="00554886">
        <w:rPr>
          <w:color w:val="0000FF"/>
          <w:sz w:val="24"/>
          <w:szCs w:val="24"/>
        </w:rPr>
        <w:t>accounts</w:t>
      </w:r>
      <w:r w:rsidRPr="00554886">
        <w:rPr>
          <w:rFonts w:cstheme="minorHAnsi"/>
          <w:color w:val="0000FF"/>
          <w:sz w:val="24"/>
          <w:szCs w:val="24"/>
        </w:rPr>
        <w:t xml:space="preserve"> for variation across facilities in patient characteristics predictive of readmission using hierarchical logistic regression. The goal of risk adjustment is to account for differences across facilities in patient demographic </w:t>
      </w:r>
      <w:r w:rsidRPr="00554886">
        <w:rPr>
          <w:rFonts w:cstheme="minorHAnsi"/>
          <w:color w:val="0000FF"/>
          <w:spacing w:val="-1"/>
          <w:sz w:val="24"/>
          <w:szCs w:val="24"/>
        </w:rPr>
        <w:t>and clinical characteristics that might be related to the outcome but pre-exist the admission to the IRF.</w:t>
      </w:r>
      <w:r w:rsidR="00142B6B">
        <w:rPr>
          <w:rStyle w:val="FootnoteReference"/>
          <w:color w:val="0000FF"/>
          <w:spacing w:val="-1"/>
          <w:sz w:val="24"/>
          <w:szCs w:val="24"/>
        </w:rPr>
        <w:footnoteReference w:id="2"/>
      </w:r>
      <w:r w:rsidRPr="00554886">
        <w:rPr>
          <w:rFonts w:cstheme="minorHAnsi"/>
          <w:color w:val="0000FF"/>
          <w:spacing w:val="-1"/>
          <w:sz w:val="24"/>
          <w:szCs w:val="24"/>
        </w:rPr>
        <w:t xml:space="preserve"> For this reason, patient acuity (case mix) is taken into account by including patients’ clinical status including hospital principal diagnosis and comorbidities in the predictive models</w:t>
      </w:r>
      <w:r w:rsidRPr="00554886">
        <w:rPr>
          <w:rFonts w:cstheme="minorHAnsi"/>
          <w:color w:val="0000FF"/>
          <w:sz w:val="24"/>
          <w:szCs w:val="24"/>
        </w:rPr>
        <w:t xml:space="preserve">. In addition, we included demographic variables (age and sex), and other health service factors such as length of stay during the patient’s prior proximal hospitalization and number of prior hospitalizations in the previous 365 days. </w:t>
      </w:r>
    </w:p>
    <w:p w:rsidR="00554886" w:rsidRPr="00554886" w:rsidRDefault="00554886" w:rsidP="00554886">
      <w:pPr>
        <w:autoSpaceDE w:val="0"/>
        <w:autoSpaceDN w:val="0"/>
        <w:adjustRightInd w:val="0"/>
        <w:spacing w:after="0"/>
        <w:rPr>
          <w:color w:val="0000FF"/>
          <w:sz w:val="24"/>
          <w:szCs w:val="24"/>
        </w:rPr>
      </w:pPr>
      <w:r w:rsidRPr="00554886">
        <w:rPr>
          <w:color w:val="0000FF"/>
          <w:sz w:val="24"/>
          <w:szCs w:val="24"/>
        </w:rPr>
        <w:t xml:space="preserve">The specific types of risk adjustment variables include the following: </w:t>
      </w:r>
    </w:p>
    <w:p w:rsidR="00554886" w:rsidRPr="00554886" w:rsidRDefault="00554886" w:rsidP="00554886">
      <w:pPr>
        <w:pStyle w:val="ListBullet"/>
        <w:numPr>
          <w:ilvl w:val="0"/>
          <w:numId w:val="32"/>
        </w:numPr>
        <w:rPr>
          <w:rFonts w:asciiTheme="minorHAnsi" w:hAnsiTheme="minorHAnsi"/>
          <w:color w:val="0000FF"/>
        </w:rPr>
      </w:pPr>
      <w:r w:rsidRPr="00554886">
        <w:rPr>
          <w:rFonts w:asciiTheme="minorHAnsi" w:hAnsiTheme="minorHAnsi"/>
          <w:color w:val="0000FF"/>
        </w:rPr>
        <w:t>Age/sex categories.</w:t>
      </w:r>
    </w:p>
    <w:p w:rsidR="00554886" w:rsidRPr="00554886" w:rsidRDefault="00554886" w:rsidP="00554886">
      <w:pPr>
        <w:pStyle w:val="ListBullet"/>
        <w:numPr>
          <w:ilvl w:val="0"/>
          <w:numId w:val="32"/>
        </w:numPr>
        <w:rPr>
          <w:rFonts w:asciiTheme="minorHAnsi" w:hAnsiTheme="minorHAnsi"/>
          <w:color w:val="0000FF"/>
        </w:rPr>
      </w:pPr>
      <w:r w:rsidRPr="00554886">
        <w:rPr>
          <w:rFonts w:asciiTheme="minorHAnsi" w:hAnsiTheme="minorHAnsi"/>
          <w:color w:val="0000FF"/>
        </w:rPr>
        <w:t>Original reason for entitlement being disability.</w:t>
      </w:r>
    </w:p>
    <w:p w:rsidR="00554886" w:rsidRPr="00554886" w:rsidRDefault="00554886" w:rsidP="00554886">
      <w:pPr>
        <w:pStyle w:val="ListBullet"/>
        <w:numPr>
          <w:ilvl w:val="0"/>
          <w:numId w:val="32"/>
        </w:numPr>
        <w:rPr>
          <w:rFonts w:asciiTheme="minorHAnsi" w:hAnsiTheme="minorHAnsi"/>
          <w:color w:val="0000FF"/>
        </w:rPr>
      </w:pPr>
      <w:r w:rsidRPr="00554886">
        <w:rPr>
          <w:rFonts w:asciiTheme="minorHAnsi" w:hAnsiTheme="minorHAnsi"/>
          <w:color w:val="0000FF"/>
        </w:rPr>
        <w:t>Surgery category if present (e.g., cardiothoracic, orthopedic), defined as in the HWR model; the procedures are grouped using the CCS for ICD-9 procedures developed by AHRQ.</w:t>
      </w:r>
    </w:p>
    <w:p w:rsidR="00554886" w:rsidRPr="00554886" w:rsidRDefault="00554886" w:rsidP="00554886">
      <w:pPr>
        <w:pStyle w:val="ListBullet"/>
        <w:numPr>
          <w:ilvl w:val="0"/>
          <w:numId w:val="32"/>
        </w:numPr>
        <w:rPr>
          <w:rFonts w:asciiTheme="minorHAnsi" w:hAnsiTheme="minorHAnsi"/>
          <w:color w:val="0000FF"/>
        </w:rPr>
      </w:pPr>
      <w:r w:rsidRPr="00554886">
        <w:rPr>
          <w:rFonts w:asciiTheme="minorHAnsi" w:hAnsiTheme="minorHAnsi"/>
          <w:color w:val="0000FF"/>
        </w:rPr>
        <w:t>Receiving dialysis in prior acute stay, defined by presence of revenue code.</w:t>
      </w:r>
    </w:p>
    <w:p w:rsidR="00554886" w:rsidRPr="00554886" w:rsidRDefault="00554886" w:rsidP="00554886">
      <w:pPr>
        <w:pStyle w:val="ListBullet"/>
        <w:numPr>
          <w:ilvl w:val="0"/>
          <w:numId w:val="32"/>
        </w:numPr>
        <w:rPr>
          <w:rFonts w:asciiTheme="minorHAnsi" w:hAnsiTheme="minorHAnsi"/>
          <w:color w:val="0000FF"/>
        </w:rPr>
      </w:pPr>
      <w:r w:rsidRPr="00554886">
        <w:rPr>
          <w:rFonts w:asciiTheme="minorHAnsi" w:hAnsiTheme="minorHAnsi"/>
          <w:color w:val="0000FF"/>
        </w:rPr>
        <w:t xml:space="preserve">Principal diagnosis on prior acute bill (as in the HWR measure, they are grouped clinically using the CCS for ICD-9 diagnoses developed by AHRQ). </w:t>
      </w:r>
    </w:p>
    <w:p w:rsidR="00554886" w:rsidRPr="00554886" w:rsidRDefault="00554886" w:rsidP="00554886">
      <w:pPr>
        <w:pStyle w:val="ListBullet"/>
        <w:numPr>
          <w:ilvl w:val="0"/>
          <w:numId w:val="32"/>
        </w:numPr>
        <w:rPr>
          <w:rFonts w:asciiTheme="minorHAnsi" w:hAnsiTheme="minorHAnsi"/>
          <w:color w:val="0000FF"/>
        </w:rPr>
      </w:pPr>
      <w:r w:rsidRPr="00554886">
        <w:rPr>
          <w:rFonts w:asciiTheme="minorHAnsi" w:hAnsiTheme="minorHAnsi"/>
          <w:color w:val="0000FF"/>
        </w:rPr>
        <w:t>IRF Case-mix groups on the IRF bill.</w:t>
      </w:r>
    </w:p>
    <w:p w:rsidR="00554886" w:rsidRPr="00554886" w:rsidRDefault="00554886" w:rsidP="00554886">
      <w:pPr>
        <w:pStyle w:val="ListBullet"/>
        <w:numPr>
          <w:ilvl w:val="0"/>
          <w:numId w:val="32"/>
        </w:numPr>
        <w:rPr>
          <w:rFonts w:asciiTheme="minorHAnsi" w:hAnsiTheme="minorHAnsi"/>
          <w:color w:val="0000FF"/>
        </w:rPr>
      </w:pPr>
      <w:r w:rsidRPr="00554886">
        <w:rPr>
          <w:rFonts w:asciiTheme="minorHAnsi" w:hAnsiTheme="minorHAnsi"/>
          <w:color w:val="0000FF"/>
        </w:rPr>
        <w:t xml:space="preserve">Comorbidities from secondary diagnoses on the prior acute bill and diagnoses from earlier acute stays up to 1 year before IRF admission (these are clustered using the Hierarchical Condition Categories [HCC] groups used by CMS). Some of the HCCs are </w:t>
      </w:r>
      <w:r w:rsidRPr="00554886">
        <w:rPr>
          <w:rFonts w:asciiTheme="minorHAnsi" w:hAnsiTheme="minorHAnsi"/>
          <w:color w:val="0000FF"/>
        </w:rPr>
        <w:lastRenderedPageBreak/>
        <w:t xml:space="preserve">taken only from the prior acute claim and some </w:t>
      </w:r>
      <w:r w:rsidR="00A3193E">
        <w:rPr>
          <w:rFonts w:asciiTheme="minorHAnsi" w:hAnsiTheme="minorHAnsi"/>
          <w:color w:val="0000FF"/>
        </w:rPr>
        <w:t xml:space="preserve">are taken </w:t>
      </w:r>
      <w:r w:rsidRPr="00554886">
        <w:rPr>
          <w:rFonts w:asciiTheme="minorHAnsi" w:hAnsiTheme="minorHAnsi"/>
          <w:color w:val="0000FF"/>
        </w:rPr>
        <w:t xml:space="preserve">from all </w:t>
      </w:r>
      <w:r w:rsidR="00A3193E">
        <w:rPr>
          <w:rFonts w:asciiTheme="minorHAnsi" w:hAnsiTheme="minorHAnsi"/>
          <w:color w:val="0000FF"/>
        </w:rPr>
        <w:t xml:space="preserve">of </w:t>
      </w:r>
      <w:r w:rsidRPr="00554886">
        <w:rPr>
          <w:rFonts w:asciiTheme="minorHAnsi" w:hAnsiTheme="minorHAnsi"/>
          <w:color w:val="0000FF"/>
        </w:rPr>
        <w:t xml:space="preserve">the prior acute stays in the 1 year </w:t>
      </w:r>
      <w:proofErr w:type="spellStart"/>
      <w:r w:rsidRPr="00554886">
        <w:rPr>
          <w:rFonts w:asciiTheme="minorHAnsi" w:hAnsiTheme="minorHAnsi"/>
          <w:color w:val="0000FF"/>
        </w:rPr>
        <w:t>lookback</w:t>
      </w:r>
      <w:proofErr w:type="spellEnd"/>
      <w:r w:rsidRPr="00554886">
        <w:rPr>
          <w:rFonts w:asciiTheme="minorHAnsi" w:hAnsiTheme="minorHAnsi"/>
          <w:color w:val="0000FF"/>
        </w:rPr>
        <w:t>.</w:t>
      </w:r>
    </w:p>
    <w:p w:rsidR="00554886" w:rsidRPr="00554886" w:rsidRDefault="00554886" w:rsidP="00554886">
      <w:pPr>
        <w:pStyle w:val="ListBullet"/>
        <w:numPr>
          <w:ilvl w:val="0"/>
          <w:numId w:val="32"/>
        </w:numPr>
        <w:rPr>
          <w:rFonts w:asciiTheme="minorHAnsi" w:hAnsiTheme="minorHAnsi"/>
          <w:color w:val="0000FF"/>
        </w:rPr>
      </w:pPr>
      <w:r w:rsidRPr="00554886">
        <w:rPr>
          <w:rFonts w:asciiTheme="minorHAnsi" w:hAnsiTheme="minorHAnsi"/>
          <w:color w:val="0000FF"/>
        </w:rPr>
        <w:t>Length of stay and length of stay in intensive care in the prior acute hospital stay (categorical to allow the effect of an additional day to differ for shorter and longer stays).</w:t>
      </w:r>
    </w:p>
    <w:p w:rsidR="00554886" w:rsidRPr="00554886" w:rsidRDefault="00554886" w:rsidP="00554886">
      <w:pPr>
        <w:pStyle w:val="ListBullet"/>
        <w:numPr>
          <w:ilvl w:val="0"/>
          <w:numId w:val="32"/>
        </w:numPr>
        <w:rPr>
          <w:rFonts w:asciiTheme="minorHAnsi" w:hAnsiTheme="minorHAnsi"/>
          <w:color w:val="0000FF"/>
        </w:rPr>
      </w:pPr>
      <w:r w:rsidRPr="00554886">
        <w:rPr>
          <w:rFonts w:asciiTheme="minorHAnsi" w:hAnsiTheme="minorHAnsi"/>
          <w:color w:val="0000FF"/>
        </w:rPr>
        <w:t xml:space="preserve">Counts of prior acute discharges in the 365 days before the IRF admission (categorical). </w:t>
      </w:r>
    </w:p>
    <w:p w:rsidR="00554886" w:rsidRPr="00554886" w:rsidRDefault="00554886" w:rsidP="009A0017">
      <w:pPr>
        <w:rPr>
          <w:rFonts w:cstheme="minorHAnsi"/>
          <w:color w:val="0000FF"/>
          <w:spacing w:val="-1"/>
          <w:sz w:val="24"/>
          <w:szCs w:val="24"/>
        </w:rPr>
      </w:pPr>
      <w:r w:rsidRPr="00554886">
        <w:rPr>
          <w:rFonts w:cstheme="minorHAnsi"/>
          <w:color w:val="0000FF"/>
          <w:sz w:val="24"/>
          <w:szCs w:val="24"/>
        </w:rPr>
        <w:t xml:space="preserve">Variables such as </w:t>
      </w:r>
      <w:r w:rsidRPr="00554886">
        <w:rPr>
          <w:rFonts w:cstheme="minorHAnsi"/>
          <w:color w:val="0000FF"/>
          <w:spacing w:val="-1"/>
          <w:sz w:val="24"/>
          <w:szCs w:val="24"/>
        </w:rPr>
        <w:t xml:space="preserve">sex, race, or ethnicity are often not included as adjustment variables in models because the standards of care should not vary across demographic markers for vulnerability to disparities in health outcomes and receipt of quality care. However, for some outcomes, an argument can be made that some of these markers (sex and age) are also associated with demonstrated clinical/physiologic differences that can determine risk at the time the patient enters the IRF. </w:t>
      </w:r>
      <w:r w:rsidR="009A0017">
        <w:rPr>
          <w:rFonts w:cstheme="minorHAnsi"/>
          <w:color w:val="0000FF"/>
          <w:spacing w:val="-1"/>
          <w:sz w:val="24"/>
          <w:szCs w:val="24"/>
        </w:rPr>
        <w:t>However, o</w:t>
      </w:r>
      <w:r w:rsidRPr="00554886">
        <w:rPr>
          <w:rFonts w:cstheme="minorHAnsi"/>
          <w:color w:val="0000FF"/>
          <w:spacing w:val="-1"/>
          <w:sz w:val="24"/>
          <w:szCs w:val="24"/>
        </w:rPr>
        <w:t>ur analyses</w:t>
      </w:r>
      <w:r w:rsidR="009A0017">
        <w:rPr>
          <w:rFonts w:cstheme="minorHAnsi"/>
          <w:color w:val="0000FF"/>
          <w:spacing w:val="-1"/>
          <w:sz w:val="24"/>
          <w:szCs w:val="24"/>
        </w:rPr>
        <w:t xml:space="preserve"> did not</w:t>
      </w:r>
      <w:r w:rsidRPr="00554886">
        <w:rPr>
          <w:rFonts w:cstheme="minorHAnsi"/>
          <w:color w:val="0000FF"/>
          <w:spacing w:val="-1"/>
          <w:sz w:val="24"/>
          <w:szCs w:val="24"/>
        </w:rPr>
        <w:t xml:space="preserve"> indicate </w:t>
      </w:r>
      <w:r w:rsidR="009A0017">
        <w:rPr>
          <w:rFonts w:cstheme="minorHAnsi"/>
          <w:color w:val="0000FF"/>
          <w:spacing w:val="-1"/>
          <w:sz w:val="24"/>
          <w:szCs w:val="24"/>
        </w:rPr>
        <w:t xml:space="preserve">any systematic patterns in the </w:t>
      </w:r>
      <w:r w:rsidRPr="00554886">
        <w:rPr>
          <w:rFonts w:cstheme="minorHAnsi"/>
          <w:color w:val="0000FF"/>
          <w:spacing w:val="-1"/>
          <w:sz w:val="24"/>
          <w:szCs w:val="24"/>
        </w:rPr>
        <w:t xml:space="preserve">readmission risk </w:t>
      </w:r>
      <w:r w:rsidR="009A0017">
        <w:rPr>
          <w:rFonts w:cstheme="minorHAnsi"/>
          <w:color w:val="0000FF"/>
          <w:spacing w:val="-1"/>
          <w:sz w:val="24"/>
          <w:szCs w:val="24"/>
        </w:rPr>
        <w:t xml:space="preserve">by </w:t>
      </w:r>
      <w:r w:rsidRPr="00554886">
        <w:rPr>
          <w:rFonts w:cstheme="minorHAnsi"/>
          <w:color w:val="0000FF"/>
          <w:spacing w:val="-1"/>
          <w:sz w:val="24"/>
          <w:szCs w:val="24"/>
        </w:rPr>
        <w:t xml:space="preserve">sex. </w:t>
      </w:r>
    </w:p>
    <w:p w:rsidR="00554886" w:rsidRPr="00554886" w:rsidRDefault="00554886" w:rsidP="00554886">
      <w:pPr>
        <w:rPr>
          <w:rFonts w:cstheme="minorHAnsi"/>
          <w:color w:val="0000FF"/>
          <w:sz w:val="24"/>
          <w:szCs w:val="24"/>
        </w:rPr>
      </w:pPr>
      <w:r w:rsidRPr="00554886">
        <w:rPr>
          <w:rFonts w:cstheme="minorHAnsi"/>
          <w:color w:val="0000FF"/>
          <w:sz w:val="24"/>
          <w:szCs w:val="24"/>
        </w:rPr>
        <w:t xml:space="preserve">To capture </w:t>
      </w:r>
      <w:r w:rsidRPr="00554886">
        <w:rPr>
          <w:rFonts w:cstheme="minorHAnsi"/>
          <w:color w:val="0000FF"/>
          <w:spacing w:val="-1"/>
          <w:sz w:val="24"/>
          <w:szCs w:val="24"/>
        </w:rPr>
        <w:t>comorbidities</w:t>
      </w:r>
      <w:r w:rsidRPr="00554886">
        <w:rPr>
          <w:rFonts w:cstheme="minorHAnsi"/>
          <w:color w:val="0000FF"/>
          <w:sz w:val="24"/>
          <w:szCs w:val="24"/>
        </w:rPr>
        <w:t xml:space="preserve">, we used the secondary medical diagnoses listed on the patient’s prior proximal hospital claim and all diagnoses listed on acute care hospitalizations that occurred in the prior 12 months. We classified these comorbidities using the </w:t>
      </w:r>
      <w:r w:rsidRPr="00554886">
        <w:rPr>
          <w:rFonts w:cstheme="minorHAnsi"/>
          <w:color w:val="0000FF"/>
          <w:spacing w:val="-1"/>
          <w:sz w:val="24"/>
          <w:szCs w:val="24"/>
        </w:rPr>
        <w:t>hierarchical</w:t>
      </w:r>
      <w:r w:rsidRPr="00554886">
        <w:rPr>
          <w:rFonts w:cstheme="minorHAnsi"/>
          <w:color w:val="0000FF"/>
          <w:sz w:val="24"/>
          <w:szCs w:val="24"/>
        </w:rPr>
        <w:t xml:space="preserve"> condition categories (HCCs) that RTI developed for CMS (Pope et al., 2000). The HCCs were developed by grouping the 15,000+ ICD-9-CM codes into approximately 800 diagnosis groupings that were then grouped into roughly 200 hierarchical condition categories. The categories are based on clinical and Medicare cost criteria. </w:t>
      </w:r>
    </w:p>
    <w:p w:rsidR="00554886" w:rsidRPr="00554886" w:rsidRDefault="00554886" w:rsidP="00554886">
      <w:pPr>
        <w:rPr>
          <w:color w:val="0000FF"/>
          <w:sz w:val="24"/>
          <w:szCs w:val="24"/>
        </w:rPr>
      </w:pPr>
      <w:r w:rsidRPr="00554886">
        <w:rPr>
          <w:rFonts w:cstheme="minorHAnsi"/>
          <w:color w:val="0000FF"/>
          <w:spacing w:val="-1"/>
          <w:sz w:val="24"/>
          <w:szCs w:val="24"/>
        </w:rPr>
        <w:t xml:space="preserve">Though we find some small differences by whether an IRF was freestanding or a hospital-based unit, we did not </w:t>
      </w:r>
      <w:r w:rsidRPr="00554886">
        <w:rPr>
          <w:color w:val="0000FF"/>
          <w:sz w:val="24"/>
          <w:szCs w:val="24"/>
        </w:rPr>
        <w:t xml:space="preserve">adjust for these facility characteristics in the model. The standard of care should not depend on variables such as facility type or size. </w:t>
      </w:r>
    </w:p>
    <w:p w:rsidR="00554886" w:rsidRPr="00554886" w:rsidRDefault="00554886" w:rsidP="00554886">
      <w:pPr>
        <w:keepNext/>
        <w:shd w:val="clear" w:color="auto" w:fill="FFFFFF"/>
        <w:spacing w:after="0"/>
        <w:rPr>
          <w:rFonts w:cstheme="minorHAnsi"/>
          <w:b/>
          <w:i/>
          <w:iCs/>
          <w:color w:val="0000FF"/>
          <w:spacing w:val="8"/>
          <w:sz w:val="24"/>
          <w:szCs w:val="24"/>
        </w:rPr>
      </w:pPr>
      <w:r w:rsidRPr="00554886">
        <w:rPr>
          <w:rFonts w:cstheme="minorHAnsi"/>
          <w:b/>
          <w:i/>
          <w:iCs/>
          <w:color w:val="0000FF"/>
          <w:spacing w:val="8"/>
          <w:sz w:val="24"/>
          <w:szCs w:val="24"/>
        </w:rPr>
        <w:t>Specific approach to case mix adjustment using the comorbid risk variables</w:t>
      </w:r>
    </w:p>
    <w:p w:rsidR="00554886" w:rsidRPr="00554886" w:rsidRDefault="00554886" w:rsidP="00554886">
      <w:pPr>
        <w:rPr>
          <w:rFonts w:cstheme="minorHAnsi"/>
          <w:color w:val="0000FF"/>
          <w:sz w:val="24"/>
          <w:szCs w:val="24"/>
        </w:rPr>
      </w:pPr>
      <w:r w:rsidRPr="00554886">
        <w:rPr>
          <w:rFonts w:cstheme="minorHAnsi"/>
          <w:color w:val="0000FF"/>
          <w:sz w:val="24"/>
          <w:szCs w:val="24"/>
        </w:rPr>
        <w:t xml:space="preserve">Our initial risk adjustment models were developed using logistic regression, reducing the need for greater computational intensity of hierarchical modeling while model building. We developed the initial model using 2009/2010 claims data and then refined this model using 2010/ 2011 data. </w:t>
      </w:r>
    </w:p>
    <w:p w:rsidR="00554886" w:rsidRPr="00554886" w:rsidRDefault="00554886" w:rsidP="003F3E6F">
      <w:pPr>
        <w:rPr>
          <w:rFonts w:cstheme="minorHAnsi"/>
          <w:color w:val="0000FF"/>
          <w:spacing w:val="-1"/>
          <w:sz w:val="24"/>
          <w:szCs w:val="24"/>
        </w:rPr>
      </w:pPr>
      <w:r w:rsidRPr="00554886">
        <w:rPr>
          <w:rFonts w:cstheme="minorHAnsi"/>
          <w:color w:val="0000FF"/>
          <w:spacing w:val="-1"/>
          <w:sz w:val="24"/>
          <w:szCs w:val="24"/>
        </w:rPr>
        <w:t xml:space="preserve">Our selection of comorbid risk variables differs from the process used for the HWR, which built on previous work done for the development of condition-specific hospital readmission measures. As the HWR population is different from the IRF population, this necessitates different approaches to stratification, risk adjustment, and the exclusion of </w:t>
      </w:r>
      <w:r w:rsidRPr="00554886">
        <w:rPr>
          <w:color w:val="0000FF"/>
          <w:sz w:val="24"/>
          <w:szCs w:val="24"/>
        </w:rPr>
        <w:t>planned</w:t>
      </w:r>
      <w:r w:rsidRPr="00554886">
        <w:rPr>
          <w:rFonts w:cstheme="minorHAnsi"/>
          <w:color w:val="0000FF"/>
          <w:spacing w:val="-1"/>
          <w:sz w:val="24"/>
          <w:szCs w:val="24"/>
        </w:rPr>
        <w:t xml:space="preserve"> readmissions; however, the overall analytic approach was harmonized </w:t>
      </w:r>
      <w:r w:rsidR="003F3E6F">
        <w:rPr>
          <w:rFonts w:cstheme="minorHAnsi"/>
          <w:color w:val="0000FF"/>
          <w:spacing w:val="-1"/>
          <w:sz w:val="24"/>
          <w:szCs w:val="24"/>
        </w:rPr>
        <w:t>to a great degree</w:t>
      </w:r>
      <w:r w:rsidRPr="00554886">
        <w:rPr>
          <w:rFonts w:cstheme="minorHAnsi"/>
          <w:color w:val="0000FF"/>
          <w:spacing w:val="-1"/>
          <w:sz w:val="24"/>
          <w:szCs w:val="24"/>
        </w:rPr>
        <w:t>. The HWR measure created cohorts based on the principal diagnosis, which correspond to hospital care teams. This allowed the common set of risk adjusters to vary in coefficient magnitudes</w:t>
      </w:r>
      <w:r w:rsidR="00142B6B">
        <w:rPr>
          <w:rFonts w:cstheme="minorHAnsi"/>
          <w:color w:val="0000FF"/>
          <w:spacing w:val="-1"/>
          <w:sz w:val="24"/>
          <w:szCs w:val="24"/>
        </w:rPr>
        <w:t xml:space="preserve"> among the cohorts</w:t>
      </w:r>
      <w:r w:rsidRPr="00554886">
        <w:rPr>
          <w:rFonts w:cstheme="minorHAnsi"/>
          <w:color w:val="0000FF"/>
          <w:spacing w:val="-1"/>
          <w:sz w:val="24"/>
          <w:szCs w:val="24"/>
        </w:rPr>
        <w:t xml:space="preserve">. However, the cohort-based approach is not feasible for this setting due to </w:t>
      </w:r>
      <w:r w:rsidRPr="00554886">
        <w:rPr>
          <w:rFonts w:cstheme="minorHAnsi"/>
          <w:color w:val="0000FF"/>
          <w:spacing w:val="-1"/>
          <w:sz w:val="24"/>
          <w:szCs w:val="24"/>
        </w:rPr>
        <w:lastRenderedPageBreak/>
        <w:t xml:space="preserve">substantially smaller samples sizes. In addition the TEP members generally agreed that the stratification was not necessary. The comorbidities for </w:t>
      </w:r>
      <w:r w:rsidRPr="00554886">
        <w:rPr>
          <w:rFonts w:cstheme="minorHAnsi"/>
          <w:color w:val="0000FF"/>
          <w:sz w:val="24"/>
          <w:szCs w:val="24"/>
        </w:rPr>
        <w:t>this measure are either secondary diagnoses coded for the prior proximal hospitalization or diagnoses from hospitalizations that occurred in the 12 months prior to the index IRF stay</w:t>
      </w:r>
      <w:r w:rsidR="00A3193E">
        <w:rPr>
          <w:rFonts w:cstheme="minorHAnsi"/>
          <w:color w:val="0000FF"/>
          <w:sz w:val="24"/>
          <w:szCs w:val="24"/>
        </w:rPr>
        <w:t>,</w:t>
      </w:r>
      <w:r w:rsidRPr="00554886">
        <w:rPr>
          <w:rFonts w:cstheme="minorHAnsi"/>
          <w:color w:val="0000FF"/>
          <w:sz w:val="24"/>
          <w:szCs w:val="24"/>
        </w:rPr>
        <w:t xml:space="preserve"> to adjust for patient morbidity beyond the primary condition. The decision to use the comorbidities based on the prior proximal hospitalization versus the 365-day </w:t>
      </w:r>
      <w:proofErr w:type="spellStart"/>
      <w:r w:rsidRPr="00554886">
        <w:rPr>
          <w:rFonts w:cstheme="minorHAnsi"/>
          <w:color w:val="0000FF"/>
          <w:sz w:val="24"/>
          <w:szCs w:val="24"/>
        </w:rPr>
        <w:t>lookback</w:t>
      </w:r>
      <w:proofErr w:type="spellEnd"/>
      <w:r w:rsidRPr="00554886">
        <w:rPr>
          <w:rFonts w:cstheme="minorHAnsi"/>
          <w:color w:val="0000FF"/>
          <w:sz w:val="24"/>
          <w:szCs w:val="24"/>
        </w:rPr>
        <w:t xml:space="preserve"> window was based on statistical coefficient results and clinical input in terms of which types of comorbidities are acute exacerbations and more temporary versus conditions that are more chronic and long-term.  </w:t>
      </w:r>
    </w:p>
    <w:p w:rsidR="00554886" w:rsidRPr="00554886" w:rsidRDefault="00554886" w:rsidP="00554886">
      <w:pPr>
        <w:rPr>
          <w:rFonts w:cstheme="minorHAnsi"/>
          <w:color w:val="0000FF"/>
          <w:sz w:val="24"/>
          <w:szCs w:val="24"/>
        </w:rPr>
      </w:pPr>
      <w:r w:rsidRPr="00554886">
        <w:rPr>
          <w:rFonts w:cstheme="minorHAnsi"/>
          <w:color w:val="0000FF"/>
          <w:sz w:val="24"/>
          <w:szCs w:val="24"/>
        </w:rPr>
        <w:t>Below, we describe the steps we employed for variable selection and development with regard to principal diagnoses (measured using AHRQ CCS) and comorbidities (measures using HCCs), which were included in our final risk adjustment model.</w:t>
      </w:r>
    </w:p>
    <w:p w:rsidR="00554886" w:rsidRPr="00554886" w:rsidRDefault="00554886" w:rsidP="00554886">
      <w:pPr>
        <w:keepNext/>
        <w:shd w:val="clear" w:color="auto" w:fill="FFFFFF"/>
        <w:spacing w:after="0"/>
        <w:rPr>
          <w:rFonts w:cstheme="minorHAnsi"/>
          <w:b/>
          <w:i/>
          <w:iCs/>
          <w:color w:val="0000FF"/>
          <w:spacing w:val="8"/>
          <w:sz w:val="24"/>
          <w:szCs w:val="24"/>
        </w:rPr>
      </w:pPr>
      <w:r w:rsidRPr="00554886">
        <w:rPr>
          <w:rFonts w:cstheme="minorHAnsi"/>
          <w:b/>
          <w:i/>
          <w:iCs/>
          <w:color w:val="0000FF"/>
          <w:spacing w:val="8"/>
          <w:sz w:val="24"/>
          <w:szCs w:val="24"/>
        </w:rPr>
        <w:t>Principal diagnosis</w:t>
      </w:r>
    </w:p>
    <w:p w:rsidR="00554886" w:rsidRPr="00554886" w:rsidRDefault="00554886" w:rsidP="00554886">
      <w:pPr>
        <w:pStyle w:val="ListParagraph"/>
        <w:numPr>
          <w:ilvl w:val="0"/>
          <w:numId w:val="30"/>
        </w:numPr>
        <w:shd w:val="clear" w:color="auto" w:fill="FFFFFF"/>
        <w:tabs>
          <w:tab w:val="left" w:pos="720"/>
        </w:tabs>
        <w:spacing w:after="0" w:line="240" w:lineRule="auto"/>
        <w:contextualSpacing w:val="0"/>
        <w:rPr>
          <w:rFonts w:eastAsia="Calibri" w:cstheme="minorHAnsi"/>
          <w:color w:val="0000FF"/>
          <w:sz w:val="24"/>
          <w:szCs w:val="24"/>
        </w:rPr>
      </w:pPr>
      <w:r w:rsidRPr="00554886">
        <w:rPr>
          <w:rFonts w:eastAsia="Calibri" w:cstheme="minorHAnsi"/>
          <w:color w:val="0000FF"/>
          <w:sz w:val="24"/>
          <w:szCs w:val="24"/>
        </w:rPr>
        <w:t xml:space="preserve">Initially we ran a logistic regression model that included all of the AHRQ CCS categories along with the demographic and other clinical covariates listed above, and all individual HCCs. </w:t>
      </w:r>
    </w:p>
    <w:p w:rsidR="00554886" w:rsidRPr="00554886" w:rsidRDefault="00554886" w:rsidP="00554886">
      <w:pPr>
        <w:pStyle w:val="ListParagraph"/>
        <w:numPr>
          <w:ilvl w:val="0"/>
          <w:numId w:val="30"/>
        </w:numPr>
        <w:shd w:val="clear" w:color="auto" w:fill="FFFFFF"/>
        <w:tabs>
          <w:tab w:val="left" w:pos="720"/>
        </w:tabs>
        <w:spacing w:after="120" w:line="240" w:lineRule="auto"/>
        <w:contextualSpacing w:val="0"/>
        <w:rPr>
          <w:rFonts w:eastAsia="Calibri" w:cstheme="minorHAnsi"/>
          <w:color w:val="0000FF"/>
          <w:sz w:val="24"/>
          <w:szCs w:val="24"/>
        </w:rPr>
      </w:pPr>
      <w:r w:rsidRPr="00554886">
        <w:rPr>
          <w:rFonts w:eastAsia="Calibri" w:cstheme="minorHAnsi"/>
          <w:color w:val="0000FF"/>
          <w:sz w:val="24"/>
          <w:szCs w:val="24"/>
        </w:rPr>
        <w:t xml:space="preserve">This initial model kept all CCS categories ungrouped in the model, but we noted that many CCS categories had very low prevalence in our </w:t>
      </w:r>
      <w:r w:rsidR="00A3193E">
        <w:rPr>
          <w:rFonts w:eastAsia="Calibri" w:cstheme="minorHAnsi"/>
          <w:color w:val="0000FF"/>
          <w:sz w:val="24"/>
          <w:szCs w:val="24"/>
        </w:rPr>
        <w:t xml:space="preserve">patient </w:t>
      </w:r>
      <w:r w:rsidRPr="00554886">
        <w:rPr>
          <w:rFonts w:eastAsia="Calibri" w:cstheme="minorHAnsi"/>
          <w:color w:val="0000FF"/>
          <w:sz w:val="24"/>
          <w:szCs w:val="24"/>
        </w:rPr>
        <w:t>population, and individually these diagnoses were not adding to model prediction. To address these issues, we aggregated these codes into 61 larger groupings of CCS codes. These groupings were based on an extensive expert clinical review process of identifying conditions that were similar; for example, several of the circulatory system-related CCS codes were combined given their clinical similarities. The reference group chosen for these princip</w:t>
      </w:r>
      <w:r w:rsidR="00142B6B">
        <w:rPr>
          <w:rFonts w:eastAsia="Calibri" w:cstheme="minorHAnsi"/>
          <w:color w:val="0000FF"/>
          <w:sz w:val="24"/>
          <w:szCs w:val="24"/>
        </w:rPr>
        <w:t>a</w:t>
      </w:r>
      <w:r w:rsidRPr="00554886">
        <w:rPr>
          <w:rFonts w:eastAsia="Calibri" w:cstheme="minorHAnsi"/>
          <w:color w:val="0000FF"/>
          <w:sz w:val="24"/>
          <w:szCs w:val="24"/>
        </w:rPr>
        <w:t xml:space="preserve">l diagnostic categories was a broad grouping of several CCS categories that were all associated with low odds of readmission. </w:t>
      </w:r>
    </w:p>
    <w:p w:rsidR="00554886" w:rsidRPr="00554886" w:rsidRDefault="00554886" w:rsidP="00554886">
      <w:pPr>
        <w:keepNext/>
        <w:shd w:val="clear" w:color="auto" w:fill="FFFFFF"/>
        <w:spacing w:after="0"/>
        <w:rPr>
          <w:rFonts w:cstheme="minorHAnsi"/>
          <w:b/>
          <w:i/>
          <w:iCs/>
          <w:color w:val="0000FF"/>
          <w:spacing w:val="8"/>
          <w:sz w:val="24"/>
          <w:szCs w:val="24"/>
        </w:rPr>
      </w:pPr>
      <w:r w:rsidRPr="00554886">
        <w:rPr>
          <w:rFonts w:cstheme="minorHAnsi"/>
          <w:b/>
          <w:i/>
          <w:iCs/>
          <w:color w:val="0000FF"/>
          <w:spacing w:val="8"/>
          <w:sz w:val="24"/>
          <w:szCs w:val="24"/>
        </w:rPr>
        <w:t>Comorbidities</w:t>
      </w:r>
    </w:p>
    <w:p w:rsidR="00554886" w:rsidRPr="00554886" w:rsidRDefault="00554886" w:rsidP="00554886">
      <w:pPr>
        <w:pStyle w:val="ListParagraph"/>
        <w:numPr>
          <w:ilvl w:val="0"/>
          <w:numId w:val="31"/>
        </w:numPr>
        <w:shd w:val="clear" w:color="auto" w:fill="FFFFFF"/>
        <w:tabs>
          <w:tab w:val="left" w:pos="720"/>
        </w:tabs>
        <w:spacing w:before="120" w:after="120" w:line="240" w:lineRule="auto"/>
        <w:contextualSpacing w:val="0"/>
        <w:rPr>
          <w:rFonts w:cs="Calibri"/>
          <w:color w:val="0000FF"/>
          <w:sz w:val="24"/>
          <w:szCs w:val="24"/>
        </w:rPr>
      </w:pPr>
      <w:r w:rsidRPr="00554886">
        <w:rPr>
          <w:rFonts w:eastAsia="Calibri" w:cstheme="minorHAnsi"/>
          <w:color w:val="0000FF"/>
          <w:sz w:val="24"/>
          <w:szCs w:val="24"/>
        </w:rPr>
        <w:t>We ran the model controlling for the demographic, clinical factors, including the groupings of CCS codes, and evaluated the HCCs individually. We reviewed the coefficients and p-values across the model years (2009/2010 and 2010/2011) for each of the HCCs to determine whether to include the individual HCC, a</w:t>
      </w:r>
      <w:r w:rsidR="00142B6B">
        <w:rPr>
          <w:rFonts w:eastAsia="Calibri" w:cstheme="minorHAnsi"/>
          <w:color w:val="0000FF"/>
          <w:sz w:val="24"/>
          <w:szCs w:val="24"/>
        </w:rPr>
        <w:t xml:space="preserve"> larger cluster of</w:t>
      </w:r>
      <w:r w:rsidRPr="00554886">
        <w:rPr>
          <w:rFonts w:eastAsia="Calibri" w:cstheme="minorHAnsi"/>
          <w:color w:val="0000FF"/>
          <w:sz w:val="24"/>
          <w:szCs w:val="24"/>
        </w:rPr>
        <w:t xml:space="preserve"> HCC</w:t>
      </w:r>
      <w:r w:rsidR="00142B6B">
        <w:rPr>
          <w:rFonts w:eastAsia="Calibri" w:cstheme="minorHAnsi"/>
          <w:color w:val="0000FF"/>
          <w:sz w:val="24"/>
          <w:szCs w:val="24"/>
        </w:rPr>
        <w:t>s</w:t>
      </w:r>
      <w:r w:rsidRPr="00554886">
        <w:rPr>
          <w:rFonts w:eastAsia="Calibri" w:cstheme="minorHAnsi"/>
          <w:color w:val="0000FF"/>
          <w:sz w:val="24"/>
          <w:szCs w:val="24"/>
        </w:rPr>
        <w:t>, or to exclude the HCC from the final model giving consideration to the consistency of effects across the models and the number of patients with the comorbidity. With some exceptions, w</w:t>
      </w:r>
      <w:r w:rsidRPr="00554886">
        <w:rPr>
          <w:rFonts w:cs="Calibri"/>
          <w:color w:val="0000FF"/>
          <w:sz w:val="24"/>
          <w:szCs w:val="24"/>
        </w:rPr>
        <w:t>e selected the final set of HCC variables based on the following general principles:</w:t>
      </w:r>
    </w:p>
    <w:p w:rsidR="00554886" w:rsidRPr="00554886" w:rsidRDefault="00554886" w:rsidP="00554886">
      <w:pPr>
        <w:shd w:val="clear" w:color="auto" w:fill="FFFFFF"/>
        <w:spacing w:after="0"/>
        <w:ind w:left="1440" w:hanging="360"/>
        <w:contextualSpacing/>
        <w:rPr>
          <w:rFonts w:eastAsia="Times New Roman" w:cs="Calibri"/>
          <w:color w:val="0000FF"/>
          <w:sz w:val="24"/>
          <w:szCs w:val="24"/>
        </w:rPr>
      </w:pPr>
      <w:r w:rsidRPr="00554886">
        <w:rPr>
          <w:rFonts w:eastAsia="Times New Roman" w:cs="Calibri"/>
          <w:color w:val="0000FF"/>
          <w:spacing w:val="-1"/>
          <w:sz w:val="24"/>
          <w:szCs w:val="24"/>
        </w:rPr>
        <w:t>i.</w:t>
      </w:r>
      <w:r w:rsidRPr="00554886">
        <w:rPr>
          <w:rFonts w:eastAsia="Times New Roman" w:cs="Calibri"/>
          <w:color w:val="0000FF"/>
          <w:spacing w:val="-1"/>
          <w:sz w:val="24"/>
          <w:szCs w:val="24"/>
        </w:rPr>
        <w:tab/>
        <w:t>We excluded HCCs that were not consistently significant or approaching significance in at least one or more of the three years (p&lt;0.10)</w:t>
      </w:r>
      <w:r w:rsidRPr="00554886">
        <w:rPr>
          <w:rFonts w:eastAsia="Times New Roman" w:cs="Calibri"/>
          <w:color w:val="0000FF"/>
          <w:sz w:val="24"/>
          <w:szCs w:val="24"/>
        </w:rPr>
        <w:t xml:space="preserve">. </w:t>
      </w:r>
    </w:p>
    <w:p w:rsidR="00554886" w:rsidRPr="00554886" w:rsidRDefault="00554886" w:rsidP="00554886">
      <w:pPr>
        <w:shd w:val="clear" w:color="auto" w:fill="FFFFFF"/>
        <w:spacing w:after="0"/>
        <w:ind w:left="1440" w:hanging="360"/>
        <w:rPr>
          <w:rFonts w:cstheme="minorHAnsi"/>
          <w:color w:val="0000FF"/>
          <w:sz w:val="24"/>
          <w:szCs w:val="24"/>
        </w:rPr>
      </w:pPr>
      <w:r w:rsidRPr="00554886">
        <w:rPr>
          <w:rFonts w:cs="Calibri"/>
          <w:color w:val="0000FF"/>
          <w:sz w:val="24"/>
          <w:szCs w:val="24"/>
        </w:rPr>
        <w:t>ii.</w:t>
      </w:r>
      <w:r w:rsidRPr="00554886">
        <w:rPr>
          <w:rFonts w:cs="Calibri"/>
          <w:color w:val="0000FF"/>
          <w:sz w:val="24"/>
          <w:szCs w:val="24"/>
        </w:rPr>
        <w:tab/>
        <w:t xml:space="preserve">We excluded HCC groupings that were predominantly protective or that may have reflected coding practices rather than a patient’s clinical status. We noted that certain comorbidities appeared to be protective because they may have </w:t>
      </w:r>
      <w:r w:rsidRPr="00554886">
        <w:rPr>
          <w:rFonts w:cs="Calibri"/>
          <w:color w:val="0000FF"/>
          <w:sz w:val="24"/>
          <w:szCs w:val="24"/>
        </w:rPr>
        <w:lastRenderedPageBreak/>
        <w:t xml:space="preserve">been coded more often for </w:t>
      </w:r>
      <w:r w:rsidRPr="00554886">
        <w:rPr>
          <w:rFonts w:cs="Calibri"/>
          <w:color w:val="0000FF"/>
          <w:spacing w:val="-1"/>
          <w:sz w:val="24"/>
          <w:szCs w:val="24"/>
        </w:rPr>
        <w:t xml:space="preserve">healthier patients with fewer </w:t>
      </w:r>
      <w:r w:rsidR="002F684E">
        <w:rPr>
          <w:rFonts w:cs="Calibri"/>
          <w:color w:val="0000FF"/>
          <w:spacing w:val="-1"/>
          <w:sz w:val="24"/>
          <w:szCs w:val="24"/>
        </w:rPr>
        <w:t>of</w:t>
      </w:r>
      <w:r w:rsidR="002F684E" w:rsidRPr="00554886">
        <w:rPr>
          <w:rFonts w:cs="Calibri"/>
          <w:color w:val="0000FF"/>
          <w:spacing w:val="-1"/>
          <w:sz w:val="24"/>
          <w:szCs w:val="24"/>
        </w:rPr>
        <w:t xml:space="preserve"> </w:t>
      </w:r>
      <w:r w:rsidRPr="00554886">
        <w:rPr>
          <w:rFonts w:cs="Calibri"/>
          <w:color w:val="0000FF"/>
          <w:spacing w:val="-1"/>
          <w:sz w:val="24"/>
          <w:szCs w:val="24"/>
        </w:rPr>
        <w:t>the more severe comorbidities than for sicker patients who had more competing comorbidities to include in the billing form.</w:t>
      </w:r>
    </w:p>
    <w:p w:rsidR="00554886" w:rsidRPr="00554886" w:rsidRDefault="00554886" w:rsidP="00554886">
      <w:pPr>
        <w:shd w:val="clear" w:color="auto" w:fill="FFFFFF"/>
        <w:tabs>
          <w:tab w:val="left" w:pos="720"/>
        </w:tabs>
        <w:rPr>
          <w:rFonts w:cstheme="minorHAnsi"/>
          <w:color w:val="0000FF"/>
          <w:sz w:val="24"/>
          <w:szCs w:val="24"/>
        </w:rPr>
      </w:pPr>
      <w:r w:rsidRPr="00554886">
        <w:rPr>
          <w:rFonts w:cstheme="minorHAnsi"/>
          <w:color w:val="0000FF"/>
          <w:sz w:val="24"/>
          <w:szCs w:val="24"/>
        </w:rPr>
        <w:t xml:space="preserve">Our final review model includes 59 individual HCCs and 10 groupings of HCCs. </w:t>
      </w:r>
      <w:r w:rsidR="00D4146E">
        <w:rPr>
          <w:rFonts w:cstheme="minorHAnsi"/>
          <w:color w:val="0000FF"/>
          <w:sz w:val="24"/>
          <w:szCs w:val="24"/>
        </w:rPr>
        <w:t xml:space="preserve">Please refer to </w:t>
      </w:r>
      <w:r w:rsidR="00D4146E" w:rsidRPr="00B05218">
        <w:rPr>
          <w:rFonts w:cstheme="minorHAnsi"/>
          <w:b/>
          <w:bCs/>
          <w:color w:val="0000FF"/>
          <w:sz w:val="24"/>
          <w:szCs w:val="24"/>
        </w:rPr>
        <w:t>Appendix D</w:t>
      </w:r>
      <w:r w:rsidR="00D4146E">
        <w:rPr>
          <w:rFonts w:cstheme="minorHAnsi"/>
          <w:color w:val="0000FF"/>
          <w:sz w:val="24"/>
          <w:szCs w:val="24"/>
        </w:rPr>
        <w:t xml:space="preserve"> for documentation on the final HCC groupings. </w:t>
      </w:r>
      <w:r w:rsidRPr="00554886">
        <w:rPr>
          <w:rFonts w:cstheme="minorHAnsi"/>
          <w:color w:val="0000FF"/>
          <w:sz w:val="24"/>
          <w:szCs w:val="24"/>
        </w:rPr>
        <w:t xml:space="preserve">The </w:t>
      </w:r>
      <w:proofErr w:type="gramStart"/>
      <w:r w:rsidRPr="00554886">
        <w:rPr>
          <w:rFonts w:cstheme="minorHAnsi"/>
          <w:color w:val="0000FF"/>
          <w:sz w:val="24"/>
          <w:szCs w:val="24"/>
        </w:rPr>
        <w:t>majority, 40 of the HCCs</w:t>
      </w:r>
      <w:r w:rsidR="00142B6B">
        <w:rPr>
          <w:rFonts w:cstheme="minorHAnsi"/>
          <w:color w:val="0000FF"/>
          <w:sz w:val="24"/>
          <w:szCs w:val="24"/>
        </w:rPr>
        <w:t>,</w:t>
      </w:r>
      <w:r w:rsidRPr="00554886">
        <w:rPr>
          <w:rFonts w:cstheme="minorHAnsi"/>
          <w:color w:val="0000FF"/>
          <w:sz w:val="24"/>
          <w:szCs w:val="24"/>
        </w:rPr>
        <w:t xml:space="preserve"> were</w:t>
      </w:r>
      <w:proofErr w:type="gramEnd"/>
      <w:r w:rsidRPr="00554886">
        <w:rPr>
          <w:rFonts w:cstheme="minorHAnsi"/>
          <w:color w:val="0000FF"/>
          <w:sz w:val="24"/>
          <w:szCs w:val="24"/>
        </w:rPr>
        <w:t xml:space="preserve"> based on the prior acute diagnoses and the remaining HCCs, 29, were based on diagnoses obtained from the 365-day </w:t>
      </w:r>
      <w:proofErr w:type="spellStart"/>
      <w:r w:rsidRPr="00554886">
        <w:rPr>
          <w:rFonts w:cstheme="minorHAnsi"/>
          <w:color w:val="0000FF"/>
          <w:sz w:val="24"/>
          <w:szCs w:val="24"/>
        </w:rPr>
        <w:t>lookback</w:t>
      </w:r>
      <w:proofErr w:type="spellEnd"/>
      <w:r w:rsidRPr="00554886">
        <w:rPr>
          <w:rFonts w:cstheme="minorHAnsi"/>
          <w:color w:val="0000FF"/>
          <w:sz w:val="24"/>
          <w:szCs w:val="24"/>
        </w:rPr>
        <w:t xml:space="preserve"> window.  </w:t>
      </w:r>
    </w:p>
    <w:p w:rsidR="00554886" w:rsidRPr="00554886" w:rsidRDefault="00554886" w:rsidP="00554886">
      <w:pPr>
        <w:keepNext/>
        <w:shd w:val="clear" w:color="auto" w:fill="FFFFFF"/>
        <w:spacing w:after="0"/>
        <w:rPr>
          <w:rFonts w:cstheme="minorHAnsi"/>
          <w:b/>
          <w:i/>
          <w:iCs/>
          <w:color w:val="0000FF"/>
          <w:spacing w:val="8"/>
          <w:sz w:val="24"/>
          <w:szCs w:val="24"/>
        </w:rPr>
      </w:pPr>
      <w:r w:rsidRPr="00554886">
        <w:rPr>
          <w:rFonts w:cstheme="minorHAnsi"/>
          <w:b/>
          <w:i/>
          <w:iCs/>
          <w:color w:val="0000FF"/>
          <w:spacing w:val="8"/>
          <w:sz w:val="24"/>
          <w:szCs w:val="24"/>
        </w:rPr>
        <w:t>Case Mix Groups (CMGs)</w:t>
      </w:r>
    </w:p>
    <w:p w:rsidR="00554886" w:rsidRPr="00554886" w:rsidRDefault="00554886" w:rsidP="00554886">
      <w:pPr>
        <w:keepNext/>
        <w:shd w:val="clear" w:color="auto" w:fill="FFFFFF"/>
        <w:spacing w:after="0"/>
        <w:rPr>
          <w:color w:val="0000FF"/>
          <w:sz w:val="24"/>
          <w:szCs w:val="24"/>
        </w:rPr>
      </w:pPr>
      <w:r w:rsidRPr="00554886">
        <w:rPr>
          <w:color w:val="0000FF"/>
          <w:sz w:val="24"/>
          <w:szCs w:val="24"/>
        </w:rPr>
        <w:t xml:space="preserve">Unique to this readmission measure is the inclusion of the IRF case-mix groups (CMGs), which are assigned to all patients in connection with the IRF payment system. CMGs are mutually exclusive groupings built on the patient’s underlying medical problem related to IRF care, functional motor score, and for some CMGs, cognitive score and age. This variable adds information beyond the acute-care diagnosis. We initially included all CMGs in the models, but ultimately combined CMGs based on sample size, clinical similarity or similar coefficient estimates in the model. Our final model includes 29 groupings of the CMGs. The reference group for the CMGs includes two larger groupings with low marginal probability of readmission, including fracture of lower extremity and replacement of lower extremity joint. </w:t>
      </w:r>
      <w:r w:rsidR="00AA63BB">
        <w:rPr>
          <w:color w:val="0000FF"/>
          <w:sz w:val="24"/>
          <w:szCs w:val="24"/>
        </w:rPr>
        <w:t>The CMGs define the type of IRF patient and capture information on patients for whom the need for rehabilitation is not related to the principal diagnosis in the prior stay.</w:t>
      </w:r>
    </w:p>
    <w:p w:rsidR="00554886" w:rsidRPr="00554886" w:rsidRDefault="00554886" w:rsidP="00554886">
      <w:pPr>
        <w:keepNext/>
        <w:shd w:val="clear" w:color="auto" w:fill="FFFFFF"/>
        <w:spacing w:after="0"/>
        <w:rPr>
          <w:color w:val="0000FF"/>
          <w:sz w:val="24"/>
          <w:szCs w:val="24"/>
        </w:rPr>
      </w:pPr>
    </w:p>
    <w:p w:rsidR="00554886" w:rsidRPr="00F915A3" w:rsidRDefault="00554886" w:rsidP="00F915A3">
      <w:pPr>
        <w:keepNext/>
        <w:shd w:val="clear" w:color="auto" w:fill="FFFFFF"/>
        <w:spacing w:after="0"/>
        <w:rPr>
          <w:rFonts w:cstheme="minorHAnsi"/>
          <w:b/>
          <w:i/>
          <w:iCs/>
          <w:color w:val="0000FF"/>
          <w:spacing w:val="8"/>
          <w:sz w:val="24"/>
          <w:szCs w:val="24"/>
        </w:rPr>
      </w:pPr>
      <w:r w:rsidRPr="00554886">
        <w:rPr>
          <w:rFonts w:cstheme="minorHAnsi"/>
          <w:b/>
          <w:i/>
          <w:iCs/>
          <w:color w:val="0000FF"/>
          <w:spacing w:val="8"/>
          <w:sz w:val="24"/>
          <w:szCs w:val="24"/>
        </w:rPr>
        <w:t>Other variables included</w:t>
      </w:r>
    </w:p>
    <w:p w:rsidR="00554886" w:rsidRPr="00554886" w:rsidRDefault="00554886" w:rsidP="00554886">
      <w:pPr>
        <w:keepNext/>
        <w:shd w:val="clear" w:color="auto" w:fill="FFFFFF"/>
        <w:spacing w:after="0"/>
        <w:rPr>
          <w:color w:val="0000FF"/>
          <w:sz w:val="24"/>
          <w:szCs w:val="24"/>
        </w:rPr>
      </w:pPr>
      <w:r w:rsidRPr="00554886">
        <w:rPr>
          <w:color w:val="0000FF"/>
          <w:sz w:val="24"/>
          <w:szCs w:val="24"/>
        </w:rPr>
        <w:t xml:space="preserve">Markers for having had surgery in the proximal acute stay were tested and found to indicate lower probabilities of readmission than the </w:t>
      </w:r>
      <w:r w:rsidR="005D6158">
        <w:rPr>
          <w:color w:val="0000FF"/>
          <w:sz w:val="24"/>
          <w:szCs w:val="24"/>
        </w:rPr>
        <w:t xml:space="preserve">reference of nonsurgical care. </w:t>
      </w:r>
      <w:r w:rsidRPr="00554886">
        <w:rPr>
          <w:color w:val="0000FF"/>
          <w:sz w:val="24"/>
          <w:szCs w:val="24"/>
        </w:rPr>
        <w:t xml:space="preserve">An indicator for having disability as the original reason for Medicare eligibility increased the readmission probability. We used </w:t>
      </w:r>
      <w:r w:rsidR="007F2DCE">
        <w:rPr>
          <w:color w:val="0000FF"/>
          <w:sz w:val="24"/>
          <w:szCs w:val="24"/>
        </w:rPr>
        <w:t>h</w:t>
      </w:r>
      <w:r w:rsidR="002F684E">
        <w:rPr>
          <w:color w:val="0000FF"/>
          <w:sz w:val="24"/>
          <w:szCs w:val="24"/>
        </w:rPr>
        <w:t>ospital claims</w:t>
      </w:r>
      <w:r w:rsidRPr="00554886">
        <w:rPr>
          <w:color w:val="0000FF"/>
          <w:sz w:val="24"/>
          <w:szCs w:val="24"/>
        </w:rPr>
        <w:t xml:space="preserve"> to detect patients who had dialysis </w:t>
      </w:r>
      <w:r w:rsidR="002F684E" w:rsidRPr="002F684E">
        <w:rPr>
          <w:color w:val="0000FF"/>
          <w:sz w:val="24"/>
          <w:szCs w:val="24"/>
        </w:rPr>
        <w:t>in the facility</w:t>
      </w:r>
      <w:r w:rsidR="002F684E" w:rsidRPr="00554886">
        <w:rPr>
          <w:color w:val="0000FF"/>
          <w:sz w:val="24"/>
          <w:szCs w:val="24"/>
        </w:rPr>
        <w:t xml:space="preserve"> </w:t>
      </w:r>
      <w:r w:rsidR="004D3DD2">
        <w:rPr>
          <w:color w:val="0000FF"/>
          <w:sz w:val="24"/>
          <w:szCs w:val="24"/>
        </w:rPr>
        <w:t xml:space="preserve">but who were not </w:t>
      </w:r>
      <w:r w:rsidR="003F3E6F">
        <w:rPr>
          <w:color w:val="0000FF"/>
          <w:sz w:val="24"/>
          <w:szCs w:val="24"/>
        </w:rPr>
        <w:t xml:space="preserve">in </w:t>
      </w:r>
      <w:r w:rsidR="004D3DD2">
        <w:rPr>
          <w:color w:val="0000FF"/>
          <w:sz w:val="24"/>
          <w:szCs w:val="24"/>
        </w:rPr>
        <w:t xml:space="preserve">ESRD </w:t>
      </w:r>
      <w:r w:rsidR="002F684E">
        <w:rPr>
          <w:color w:val="0000FF"/>
          <w:sz w:val="24"/>
          <w:szCs w:val="24"/>
        </w:rPr>
        <w:t xml:space="preserve">and also captured </w:t>
      </w:r>
      <w:r w:rsidRPr="00554886">
        <w:rPr>
          <w:color w:val="0000FF"/>
          <w:sz w:val="24"/>
          <w:szCs w:val="24"/>
        </w:rPr>
        <w:t>ESRD</w:t>
      </w:r>
      <w:r w:rsidR="002F684E">
        <w:rPr>
          <w:color w:val="0000FF"/>
          <w:sz w:val="24"/>
          <w:szCs w:val="24"/>
        </w:rPr>
        <w:t xml:space="preserve"> </w:t>
      </w:r>
      <w:r w:rsidRPr="00554886">
        <w:rPr>
          <w:color w:val="0000FF"/>
          <w:sz w:val="24"/>
          <w:szCs w:val="24"/>
        </w:rPr>
        <w:t xml:space="preserve">in </w:t>
      </w:r>
      <w:r w:rsidR="004D3DD2">
        <w:rPr>
          <w:color w:val="0000FF"/>
          <w:sz w:val="24"/>
          <w:szCs w:val="24"/>
        </w:rPr>
        <w:t>the comorbidity</w:t>
      </w:r>
      <w:r w:rsidR="004D3DD2" w:rsidRPr="00554886">
        <w:rPr>
          <w:color w:val="0000FF"/>
          <w:sz w:val="24"/>
          <w:szCs w:val="24"/>
        </w:rPr>
        <w:t xml:space="preserve"> </w:t>
      </w:r>
      <w:r w:rsidRPr="00554886">
        <w:rPr>
          <w:color w:val="0000FF"/>
          <w:sz w:val="24"/>
          <w:szCs w:val="24"/>
        </w:rPr>
        <w:t>variables. As expected</w:t>
      </w:r>
      <w:r w:rsidR="002F684E">
        <w:rPr>
          <w:color w:val="0000FF"/>
          <w:sz w:val="24"/>
          <w:szCs w:val="24"/>
        </w:rPr>
        <w:t>, both dialysis and ESRD</w:t>
      </w:r>
      <w:r w:rsidRPr="00554886">
        <w:rPr>
          <w:color w:val="0000FF"/>
          <w:sz w:val="24"/>
          <w:szCs w:val="24"/>
        </w:rPr>
        <w:t xml:space="preserve"> increased readmission probability.</w:t>
      </w:r>
    </w:p>
    <w:p w:rsidR="002F684E" w:rsidRDefault="002F684E" w:rsidP="00554886">
      <w:pPr>
        <w:keepNext/>
        <w:shd w:val="clear" w:color="auto" w:fill="FFFFFF"/>
        <w:spacing w:after="0"/>
        <w:rPr>
          <w:color w:val="0000FF"/>
          <w:sz w:val="24"/>
          <w:szCs w:val="24"/>
        </w:rPr>
      </w:pPr>
    </w:p>
    <w:p w:rsidR="00554886" w:rsidRPr="00554886" w:rsidRDefault="00554886" w:rsidP="007039AA">
      <w:pPr>
        <w:keepNext/>
        <w:shd w:val="clear" w:color="auto" w:fill="FFFFFF"/>
        <w:spacing w:after="0"/>
        <w:rPr>
          <w:color w:val="0000FF"/>
          <w:sz w:val="24"/>
          <w:szCs w:val="24"/>
        </w:rPr>
      </w:pPr>
      <w:r w:rsidRPr="00554886">
        <w:rPr>
          <w:color w:val="0000FF"/>
          <w:sz w:val="24"/>
          <w:szCs w:val="24"/>
        </w:rPr>
        <w:t>We tested and included other variables that were potentially associated with probability of readmission and might capture information that the demographics, diagnoses, procedures and CMGs do not. Information about severity of a condition, for example</w:t>
      </w:r>
      <w:r w:rsidR="002F684E">
        <w:rPr>
          <w:color w:val="0000FF"/>
          <w:sz w:val="24"/>
          <w:szCs w:val="24"/>
        </w:rPr>
        <w:t>,</w:t>
      </w:r>
      <w:r w:rsidRPr="00554886">
        <w:rPr>
          <w:color w:val="0000FF"/>
          <w:sz w:val="24"/>
          <w:szCs w:val="24"/>
        </w:rPr>
        <w:t xml:space="preserve"> is potentially </w:t>
      </w:r>
      <w:r w:rsidR="007039AA">
        <w:rPr>
          <w:color w:val="0000FF"/>
          <w:sz w:val="24"/>
          <w:szCs w:val="24"/>
        </w:rPr>
        <w:t>enhanced</w:t>
      </w:r>
      <w:r w:rsidRPr="00554886">
        <w:rPr>
          <w:color w:val="0000FF"/>
          <w:sz w:val="24"/>
          <w:szCs w:val="24"/>
        </w:rPr>
        <w:t xml:space="preserve"> by other inpatient claims information.</w:t>
      </w:r>
      <w:r w:rsidR="002F684E">
        <w:rPr>
          <w:color w:val="0000FF"/>
          <w:sz w:val="24"/>
          <w:szCs w:val="24"/>
        </w:rPr>
        <w:t xml:space="preserve"> </w:t>
      </w:r>
    </w:p>
    <w:p w:rsidR="00554886" w:rsidRPr="00554886" w:rsidRDefault="00554886" w:rsidP="00554886">
      <w:pPr>
        <w:keepNext/>
        <w:shd w:val="clear" w:color="auto" w:fill="FFFFFF"/>
        <w:spacing w:after="0"/>
        <w:rPr>
          <w:color w:val="0000FF"/>
          <w:sz w:val="24"/>
          <w:szCs w:val="24"/>
        </w:rPr>
      </w:pPr>
    </w:p>
    <w:p w:rsidR="00554886" w:rsidRDefault="002F684E" w:rsidP="00554886">
      <w:pPr>
        <w:keepNext/>
        <w:shd w:val="clear" w:color="auto" w:fill="FFFFFF"/>
        <w:spacing w:after="0"/>
        <w:rPr>
          <w:color w:val="0000FF"/>
          <w:sz w:val="24"/>
          <w:szCs w:val="24"/>
        </w:rPr>
      </w:pPr>
      <w:r>
        <w:rPr>
          <w:color w:val="0000FF"/>
          <w:sz w:val="24"/>
          <w:szCs w:val="24"/>
        </w:rPr>
        <w:t>Other v</w:t>
      </w:r>
      <w:r w:rsidR="00554886" w:rsidRPr="00554886">
        <w:rPr>
          <w:color w:val="0000FF"/>
          <w:sz w:val="24"/>
          <w:szCs w:val="24"/>
        </w:rPr>
        <w:t xml:space="preserve">ariables we tested </w:t>
      </w:r>
      <w:r>
        <w:rPr>
          <w:color w:val="0000FF"/>
          <w:sz w:val="24"/>
          <w:szCs w:val="24"/>
        </w:rPr>
        <w:t>included</w:t>
      </w:r>
      <w:r w:rsidRPr="00554886">
        <w:rPr>
          <w:color w:val="0000FF"/>
          <w:sz w:val="24"/>
          <w:szCs w:val="24"/>
        </w:rPr>
        <w:t xml:space="preserve"> </w:t>
      </w:r>
      <w:r w:rsidR="00554886" w:rsidRPr="00554886">
        <w:rPr>
          <w:color w:val="0000FF"/>
          <w:sz w:val="24"/>
          <w:szCs w:val="24"/>
        </w:rPr>
        <w:t xml:space="preserve">length of stay (LOS) in the prior proximal short stay, LOS in intensive/critical care, and frequency of admissions in the prior year. All </w:t>
      </w:r>
      <w:r>
        <w:rPr>
          <w:color w:val="0000FF"/>
          <w:sz w:val="24"/>
          <w:szCs w:val="24"/>
        </w:rPr>
        <w:t xml:space="preserve">of </w:t>
      </w:r>
      <w:r w:rsidR="00554886" w:rsidRPr="00554886">
        <w:rPr>
          <w:color w:val="0000FF"/>
          <w:sz w:val="24"/>
          <w:szCs w:val="24"/>
        </w:rPr>
        <w:t>these are positive predictors of readmissions</w:t>
      </w:r>
      <w:r>
        <w:rPr>
          <w:color w:val="0000FF"/>
          <w:sz w:val="24"/>
          <w:szCs w:val="24"/>
        </w:rPr>
        <w:t xml:space="preserve"> and </w:t>
      </w:r>
      <w:r w:rsidR="00554886" w:rsidRPr="00554886">
        <w:rPr>
          <w:color w:val="0000FF"/>
          <w:sz w:val="24"/>
          <w:szCs w:val="24"/>
        </w:rPr>
        <w:t>were included as categorical variables</w:t>
      </w:r>
      <w:r>
        <w:rPr>
          <w:color w:val="0000FF"/>
          <w:sz w:val="24"/>
          <w:szCs w:val="24"/>
        </w:rPr>
        <w:t>,</w:t>
      </w:r>
      <w:r w:rsidR="00554886" w:rsidRPr="00554886">
        <w:rPr>
          <w:color w:val="0000FF"/>
          <w:sz w:val="24"/>
          <w:szCs w:val="24"/>
        </w:rPr>
        <w:t xml:space="preserve"> each covering a range of values to capture nonlinearities and protect against distortions related to outlier values. The prior admission counts capture patterns of hospital use that pre-</w:t>
      </w:r>
      <w:r w:rsidR="00CA527E">
        <w:rPr>
          <w:color w:val="0000FF"/>
          <w:sz w:val="24"/>
          <w:szCs w:val="24"/>
        </w:rPr>
        <w:t>date</w:t>
      </w:r>
      <w:r w:rsidR="00CA527E" w:rsidRPr="00554886">
        <w:rPr>
          <w:color w:val="0000FF"/>
          <w:sz w:val="24"/>
          <w:szCs w:val="24"/>
        </w:rPr>
        <w:t xml:space="preserve"> </w:t>
      </w:r>
      <w:r w:rsidR="00554886" w:rsidRPr="00554886">
        <w:rPr>
          <w:color w:val="0000FF"/>
          <w:sz w:val="24"/>
          <w:szCs w:val="24"/>
        </w:rPr>
        <w:t xml:space="preserve">the current IRF stay. As </w:t>
      </w:r>
      <w:r w:rsidR="00554886" w:rsidRPr="00554886">
        <w:rPr>
          <w:color w:val="0000FF"/>
          <w:sz w:val="24"/>
          <w:szCs w:val="24"/>
        </w:rPr>
        <w:lastRenderedPageBreak/>
        <w:t>these may indicate characteristics such as poor patient compliance, poor living conditions, or lack of access, a facility can be credited if its discharge and transition practices reduce the probabilities of repeat stays.</w:t>
      </w:r>
    </w:p>
    <w:p w:rsidR="00AA63BB" w:rsidRPr="00554886" w:rsidRDefault="00AA63BB" w:rsidP="00554886">
      <w:pPr>
        <w:keepNext/>
        <w:shd w:val="clear" w:color="auto" w:fill="FFFFFF"/>
        <w:spacing w:after="0"/>
        <w:rPr>
          <w:rFonts w:cstheme="minorHAnsi"/>
          <w:iCs/>
          <w:color w:val="0000FF"/>
          <w:spacing w:val="8"/>
          <w:sz w:val="24"/>
          <w:szCs w:val="24"/>
        </w:rPr>
      </w:pPr>
    </w:p>
    <w:p w:rsidR="00554886" w:rsidRPr="00554886" w:rsidRDefault="00554886" w:rsidP="00554886">
      <w:pPr>
        <w:keepNext/>
        <w:spacing w:after="0"/>
        <w:rPr>
          <w:rFonts w:cstheme="minorHAnsi"/>
          <w:b/>
          <w:color w:val="0000FF"/>
          <w:sz w:val="24"/>
          <w:szCs w:val="24"/>
        </w:rPr>
      </w:pPr>
      <w:r w:rsidRPr="00554886">
        <w:rPr>
          <w:b/>
          <w:bCs/>
          <w:i/>
          <w:iCs/>
          <w:color w:val="0000FF"/>
          <w:sz w:val="24"/>
          <w:szCs w:val="24"/>
        </w:rPr>
        <w:t>Statistical Approach to Measure Development</w:t>
      </w:r>
    </w:p>
    <w:p w:rsidR="00554886" w:rsidRPr="00554886" w:rsidRDefault="00554886" w:rsidP="00554886">
      <w:pPr>
        <w:rPr>
          <w:rFonts w:cstheme="minorHAnsi"/>
          <w:color w:val="0000FF"/>
          <w:sz w:val="24"/>
          <w:szCs w:val="24"/>
        </w:rPr>
      </w:pPr>
      <w:r w:rsidRPr="00554886">
        <w:rPr>
          <w:rFonts w:cstheme="minorHAnsi"/>
          <w:color w:val="0000FF"/>
          <w:sz w:val="24"/>
          <w:szCs w:val="24"/>
        </w:rPr>
        <w:t>Our approach aligns with the CMS HWR measure design. As such, we use some of the same text to explain our approach (</w:t>
      </w:r>
      <w:proofErr w:type="spellStart"/>
      <w:r w:rsidRPr="00554886">
        <w:rPr>
          <w:rFonts w:cstheme="minorHAnsi"/>
          <w:color w:val="0000FF"/>
          <w:sz w:val="24"/>
          <w:szCs w:val="24"/>
        </w:rPr>
        <w:t>Horwitz</w:t>
      </w:r>
      <w:proofErr w:type="spellEnd"/>
      <w:r w:rsidRPr="00554886">
        <w:rPr>
          <w:rFonts w:cstheme="minorHAnsi"/>
          <w:color w:val="0000FF"/>
          <w:sz w:val="24"/>
          <w:szCs w:val="24"/>
        </w:rPr>
        <w:t xml:space="preserve"> et al. 2011).</w:t>
      </w:r>
    </w:p>
    <w:p w:rsidR="00554886" w:rsidRPr="00554886" w:rsidRDefault="00554886" w:rsidP="00554886">
      <w:pPr>
        <w:keepNext/>
        <w:spacing w:after="0"/>
        <w:rPr>
          <w:b/>
          <w:bCs/>
          <w:i/>
          <w:iCs/>
          <w:color w:val="0000FF"/>
          <w:sz w:val="24"/>
          <w:szCs w:val="24"/>
        </w:rPr>
      </w:pPr>
      <w:r w:rsidRPr="00554886">
        <w:rPr>
          <w:b/>
          <w:bCs/>
          <w:i/>
          <w:iCs/>
          <w:color w:val="0000FF"/>
          <w:sz w:val="24"/>
          <w:szCs w:val="24"/>
        </w:rPr>
        <w:t>Models for each patient’s risk of readmission</w:t>
      </w:r>
    </w:p>
    <w:p w:rsidR="00554886" w:rsidRPr="00554886" w:rsidRDefault="00554886" w:rsidP="00554886">
      <w:pPr>
        <w:rPr>
          <w:rFonts w:cstheme="minorHAnsi"/>
          <w:color w:val="0000FF"/>
          <w:spacing w:val="-1"/>
          <w:sz w:val="24"/>
          <w:szCs w:val="24"/>
        </w:rPr>
      </w:pPr>
      <w:r w:rsidRPr="00554886">
        <w:rPr>
          <w:rFonts w:cstheme="minorHAnsi"/>
          <w:color w:val="0000FF"/>
          <w:spacing w:val="-1"/>
          <w:sz w:val="24"/>
          <w:szCs w:val="24"/>
        </w:rPr>
        <w:t xml:space="preserve">For </w:t>
      </w:r>
      <w:r w:rsidRPr="00554886">
        <w:rPr>
          <w:rFonts w:cstheme="minorHAnsi"/>
          <w:color w:val="0000FF"/>
          <w:sz w:val="24"/>
          <w:szCs w:val="24"/>
        </w:rPr>
        <w:t>model</w:t>
      </w:r>
      <w:r w:rsidRPr="00554886">
        <w:rPr>
          <w:rFonts w:cstheme="minorHAnsi"/>
          <w:color w:val="0000FF"/>
          <w:spacing w:val="-1"/>
          <w:sz w:val="24"/>
          <w:szCs w:val="24"/>
        </w:rPr>
        <w:t xml:space="preserve"> development, we used logistic regression models with a logistic link function, with outcome Y</w:t>
      </w:r>
      <w:r w:rsidRPr="00554886">
        <w:rPr>
          <w:rFonts w:cstheme="minorHAnsi"/>
          <w:color w:val="0000FF"/>
          <w:spacing w:val="-1"/>
          <w:sz w:val="24"/>
          <w:szCs w:val="24"/>
          <w:vertAlign w:val="subscript"/>
        </w:rPr>
        <w:t>i</w:t>
      </w:r>
      <w:r w:rsidRPr="00554886">
        <w:rPr>
          <w:rFonts w:cstheme="minorHAnsi"/>
          <w:color w:val="0000FF"/>
          <w:spacing w:val="-1"/>
          <w:sz w:val="24"/>
          <w:szCs w:val="24"/>
        </w:rPr>
        <w:t xml:space="preserve"> for the </w:t>
      </w:r>
      <w:proofErr w:type="spellStart"/>
      <w:r w:rsidRPr="00554886">
        <w:rPr>
          <w:rFonts w:cstheme="minorHAnsi"/>
          <w:color w:val="0000FF"/>
          <w:spacing w:val="-1"/>
          <w:sz w:val="24"/>
          <w:szCs w:val="24"/>
        </w:rPr>
        <w:t>i</w:t>
      </w:r>
      <w:r w:rsidRPr="00554886">
        <w:rPr>
          <w:rFonts w:cstheme="minorHAnsi"/>
          <w:color w:val="0000FF"/>
          <w:spacing w:val="-1"/>
          <w:sz w:val="24"/>
          <w:szCs w:val="24"/>
          <w:vertAlign w:val="superscript"/>
        </w:rPr>
        <w:t>th</w:t>
      </w:r>
      <w:proofErr w:type="spellEnd"/>
      <w:r w:rsidRPr="00554886">
        <w:rPr>
          <w:rFonts w:cstheme="minorHAnsi"/>
          <w:color w:val="0000FF"/>
          <w:spacing w:val="-1"/>
          <w:sz w:val="24"/>
          <w:szCs w:val="24"/>
        </w:rPr>
        <w:t xml:space="preserve"> patient equal to 1 if the patient was readmitted within 30 days of discharge and 0 otherwise. </w:t>
      </w:r>
    </w:p>
    <w:p w:rsidR="00554886" w:rsidRPr="00554886" w:rsidRDefault="00554886" w:rsidP="00554886">
      <w:pPr>
        <w:rPr>
          <w:rFonts w:cstheme="minorHAnsi"/>
          <w:color w:val="0000FF"/>
          <w:sz w:val="24"/>
          <w:szCs w:val="24"/>
        </w:rPr>
      </w:pPr>
      <w:r w:rsidRPr="00554886">
        <w:rPr>
          <w:rFonts w:cstheme="minorHAnsi"/>
          <w:color w:val="0000FF"/>
          <w:sz w:val="24"/>
          <w:szCs w:val="24"/>
        </w:rPr>
        <w:t>For our final models we extended the logistic regression models to include an additional error term. That is, due to the natural clustering of observations within facilities, we used hierarchical logistic regression to model the log-odds of readmission for each index IRF stay</w:t>
      </w:r>
      <w:r w:rsidRPr="00554886">
        <w:rPr>
          <w:rFonts w:cstheme="minorHAnsi"/>
          <w:color w:val="0000FF"/>
          <w:spacing w:val="-1"/>
          <w:sz w:val="24"/>
          <w:szCs w:val="24"/>
        </w:rPr>
        <w:t xml:space="preserve">. Readmission within 30 days was modeled as a function of patient-level demographic and clinical characteristics and </w:t>
      </w:r>
      <w:r w:rsidR="00CA527E">
        <w:rPr>
          <w:rFonts w:cstheme="minorHAnsi"/>
          <w:color w:val="0000FF"/>
          <w:spacing w:val="-1"/>
          <w:sz w:val="24"/>
          <w:szCs w:val="24"/>
        </w:rPr>
        <w:t xml:space="preserve">as </w:t>
      </w:r>
      <w:r w:rsidRPr="00554886">
        <w:rPr>
          <w:rFonts w:cstheme="minorHAnsi"/>
          <w:color w:val="0000FF"/>
          <w:spacing w:val="-1"/>
          <w:sz w:val="24"/>
          <w:szCs w:val="24"/>
        </w:rPr>
        <w:t>a random IRF-level intercept. This model specification accounts for within-IRF correlation of the observed outcomes and the estimates of the IRF effects capture the facility-specific contribution to the readmission rates</w:t>
      </w:r>
      <w:r w:rsidR="00CA527E">
        <w:rPr>
          <w:rFonts w:cstheme="minorHAnsi"/>
          <w:color w:val="0000FF"/>
          <w:spacing w:val="-1"/>
          <w:sz w:val="24"/>
          <w:szCs w:val="24"/>
        </w:rPr>
        <w:t>,</w:t>
      </w:r>
      <w:r w:rsidRPr="00554886">
        <w:rPr>
          <w:rFonts w:cstheme="minorHAnsi"/>
          <w:color w:val="0000FF"/>
          <w:spacing w:val="-1"/>
          <w:sz w:val="24"/>
          <w:szCs w:val="24"/>
        </w:rPr>
        <w:t xml:space="preserve"> after risk adjustment for the patient characteristics</w:t>
      </w:r>
      <w:r w:rsidRPr="00554886">
        <w:rPr>
          <w:rFonts w:cstheme="minorHAnsi"/>
          <w:color w:val="0000FF"/>
          <w:sz w:val="24"/>
          <w:szCs w:val="24"/>
        </w:rPr>
        <w:t xml:space="preserve">. </w:t>
      </w:r>
    </w:p>
    <w:p w:rsidR="00554886" w:rsidRPr="00554886" w:rsidRDefault="00554886" w:rsidP="00554886">
      <w:pPr>
        <w:rPr>
          <w:rFonts w:cstheme="minorHAnsi"/>
          <w:color w:val="0000FF"/>
          <w:sz w:val="24"/>
          <w:szCs w:val="24"/>
        </w:rPr>
      </w:pPr>
      <w:r w:rsidRPr="00554886">
        <w:rPr>
          <w:rFonts w:cstheme="minorHAnsi"/>
          <w:color w:val="0000FF"/>
          <w:sz w:val="24"/>
          <w:szCs w:val="24"/>
        </w:rPr>
        <w:t xml:space="preserve">Specifically, we estimated a hierarchical logistic regression </w:t>
      </w:r>
      <w:r w:rsidR="005D6158">
        <w:rPr>
          <w:rFonts w:cstheme="minorHAnsi"/>
          <w:color w:val="0000FF"/>
          <w:spacing w:val="-2"/>
          <w:sz w:val="24"/>
          <w:szCs w:val="24"/>
        </w:rPr>
        <w:t xml:space="preserve">model as follows. </w:t>
      </w:r>
      <w:r w:rsidRPr="00554886">
        <w:rPr>
          <w:rFonts w:cstheme="minorHAnsi"/>
          <w:color w:val="0000FF"/>
          <w:spacing w:val="-2"/>
          <w:sz w:val="24"/>
          <w:szCs w:val="24"/>
        </w:rPr>
        <w:t>In the following</w:t>
      </w:r>
      <w:r w:rsidR="00CA527E">
        <w:rPr>
          <w:rFonts w:cstheme="minorHAnsi"/>
          <w:color w:val="0000FF"/>
          <w:spacing w:val="-2"/>
          <w:sz w:val="24"/>
          <w:szCs w:val="24"/>
        </w:rPr>
        <w:t>,</w:t>
      </w:r>
      <w:r w:rsidRPr="00554886">
        <w:rPr>
          <w:rFonts w:cstheme="minorHAnsi"/>
          <w:color w:val="0000FF"/>
          <w:spacing w:val="-2"/>
          <w:sz w:val="24"/>
          <w:szCs w:val="24"/>
        </w:rPr>
        <w:t xml:space="preserve"> the subscript </w:t>
      </w:r>
      <w:r w:rsidR="00AA63BB">
        <w:rPr>
          <w:rFonts w:cstheme="minorHAnsi"/>
          <w:color w:val="0000FF"/>
          <w:spacing w:val="-2"/>
          <w:sz w:val="24"/>
          <w:szCs w:val="24"/>
        </w:rPr>
        <w:t>i</w:t>
      </w:r>
      <w:r w:rsidRPr="00554886">
        <w:rPr>
          <w:rFonts w:cstheme="minorHAnsi"/>
          <w:color w:val="0000FF"/>
          <w:spacing w:val="-2"/>
          <w:sz w:val="24"/>
          <w:szCs w:val="24"/>
        </w:rPr>
        <w:t xml:space="preserve"> indicates a particular patient and subscript j indicates a particular IRF. Let </w:t>
      </w:r>
      <w:proofErr w:type="spellStart"/>
      <w:r w:rsidRPr="00554886">
        <w:rPr>
          <w:rFonts w:cstheme="minorHAnsi"/>
          <w:color w:val="0000FF"/>
          <w:spacing w:val="-2"/>
          <w:sz w:val="24"/>
          <w:szCs w:val="24"/>
        </w:rPr>
        <w:t>Y</w:t>
      </w:r>
      <w:r w:rsidRPr="00554886">
        <w:rPr>
          <w:rFonts w:cstheme="minorHAnsi"/>
          <w:color w:val="0000FF"/>
          <w:spacing w:val="-2"/>
          <w:sz w:val="24"/>
          <w:szCs w:val="24"/>
          <w:vertAlign w:val="subscript"/>
        </w:rPr>
        <w:t>ij</w:t>
      </w:r>
      <w:proofErr w:type="spellEnd"/>
      <w:r w:rsidRPr="00554886">
        <w:rPr>
          <w:rFonts w:cstheme="minorHAnsi"/>
          <w:color w:val="0000FF"/>
          <w:spacing w:val="-2"/>
          <w:sz w:val="24"/>
          <w:szCs w:val="24"/>
        </w:rPr>
        <w:t xml:space="preserve"> denote the outcome (equal to 1 if </w:t>
      </w:r>
      <w:proofErr w:type="spellStart"/>
      <w:r w:rsidRPr="00554886">
        <w:rPr>
          <w:rFonts w:cstheme="minorHAnsi"/>
          <w:color w:val="0000FF"/>
          <w:spacing w:val="-2"/>
          <w:sz w:val="24"/>
          <w:szCs w:val="24"/>
        </w:rPr>
        <w:t>patient</w:t>
      </w:r>
      <w:r w:rsidRPr="00554886">
        <w:rPr>
          <w:rFonts w:cstheme="minorHAnsi"/>
          <w:color w:val="0000FF"/>
          <w:spacing w:val="-2"/>
          <w:sz w:val="24"/>
          <w:szCs w:val="24"/>
          <w:vertAlign w:val="subscript"/>
        </w:rPr>
        <w:t>i</w:t>
      </w:r>
      <w:proofErr w:type="spellEnd"/>
      <w:r w:rsidRPr="00554886">
        <w:rPr>
          <w:rFonts w:cstheme="minorHAnsi"/>
          <w:color w:val="0000FF"/>
          <w:spacing w:val="-2"/>
          <w:sz w:val="24"/>
          <w:szCs w:val="24"/>
        </w:rPr>
        <w:t xml:space="preserve"> is readmitted within 30 </w:t>
      </w:r>
      <w:r w:rsidRPr="00554886">
        <w:rPr>
          <w:rFonts w:cstheme="minorHAnsi"/>
          <w:color w:val="0000FF"/>
          <w:spacing w:val="-1"/>
          <w:sz w:val="24"/>
          <w:szCs w:val="24"/>
        </w:rPr>
        <w:t xml:space="preserve">days, 0 otherwise) for a </w:t>
      </w:r>
      <w:proofErr w:type="spellStart"/>
      <w:r w:rsidRPr="00554886">
        <w:rPr>
          <w:rFonts w:cstheme="minorHAnsi"/>
          <w:color w:val="0000FF"/>
          <w:spacing w:val="-1"/>
          <w:sz w:val="24"/>
          <w:szCs w:val="24"/>
        </w:rPr>
        <w:t>patient</w:t>
      </w:r>
      <w:r w:rsidRPr="00554886">
        <w:rPr>
          <w:rFonts w:cstheme="minorHAnsi"/>
          <w:color w:val="0000FF"/>
          <w:spacing w:val="-1"/>
          <w:sz w:val="24"/>
          <w:szCs w:val="24"/>
          <w:vertAlign w:val="subscript"/>
        </w:rPr>
        <w:t>i</w:t>
      </w:r>
      <w:proofErr w:type="spellEnd"/>
      <w:r w:rsidRPr="00554886">
        <w:rPr>
          <w:rFonts w:cstheme="minorHAnsi"/>
          <w:color w:val="0000FF"/>
          <w:spacing w:val="-1"/>
          <w:sz w:val="24"/>
          <w:szCs w:val="24"/>
        </w:rPr>
        <w:t xml:space="preserve"> at </w:t>
      </w:r>
      <w:proofErr w:type="spellStart"/>
      <w:r w:rsidRPr="00554886">
        <w:rPr>
          <w:rFonts w:cstheme="minorHAnsi"/>
          <w:color w:val="0000FF"/>
          <w:spacing w:val="-1"/>
          <w:sz w:val="24"/>
          <w:szCs w:val="24"/>
        </w:rPr>
        <w:t>IRF</w:t>
      </w:r>
      <w:r w:rsidRPr="00554886">
        <w:rPr>
          <w:rFonts w:cstheme="minorHAnsi"/>
          <w:color w:val="0000FF"/>
          <w:spacing w:val="-1"/>
          <w:sz w:val="24"/>
          <w:szCs w:val="24"/>
          <w:vertAlign w:val="subscript"/>
        </w:rPr>
        <w:t>j</w:t>
      </w:r>
      <w:proofErr w:type="spellEnd"/>
      <w:r w:rsidRPr="00554886">
        <w:rPr>
          <w:rFonts w:cstheme="minorHAnsi"/>
          <w:color w:val="0000FF"/>
          <w:spacing w:val="-1"/>
          <w:sz w:val="24"/>
          <w:szCs w:val="24"/>
        </w:rPr>
        <w:t xml:space="preserve">; </w:t>
      </w:r>
      <w:proofErr w:type="spellStart"/>
      <w:r w:rsidRPr="00554886">
        <w:rPr>
          <w:rFonts w:cstheme="minorHAnsi"/>
          <w:i/>
          <w:iCs/>
          <w:color w:val="0000FF"/>
          <w:spacing w:val="-1"/>
          <w:sz w:val="24"/>
          <w:szCs w:val="24"/>
        </w:rPr>
        <w:t>Z</w:t>
      </w:r>
      <w:r w:rsidRPr="00554886">
        <w:rPr>
          <w:rFonts w:cstheme="minorHAnsi"/>
          <w:color w:val="0000FF"/>
          <w:spacing w:val="-2"/>
          <w:sz w:val="24"/>
          <w:szCs w:val="24"/>
          <w:vertAlign w:val="subscript"/>
        </w:rPr>
        <w:t>ij</w:t>
      </w:r>
      <w:proofErr w:type="spellEnd"/>
      <w:r w:rsidRPr="00554886">
        <w:rPr>
          <w:rFonts w:cstheme="minorHAnsi"/>
          <w:i/>
          <w:iCs/>
          <w:color w:val="0000FF"/>
          <w:spacing w:val="-1"/>
          <w:sz w:val="24"/>
          <w:szCs w:val="24"/>
        </w:rPr>
        <w:t xml:space="preserve"> </w:t>
      </w:r>
      <w:r w:rsidRPr="00554886">
        <w:rPr>
          <w:rFonts w:cstheme="minorHAnsi"/>
          <w:color w:val="0000FF"/>
          <w:spacing w:val="-1"/>
          <w:sz w:val="24"/>
          <w:szCs w:val="24"/>
        </w:rPr>
        <w:t xml:space="preserve">denotes a set of risk factors. </w:t>
      </w:r>
      <w:r w:rsidRPr="00554886">
        <w:rPr>
          <w:rFonts w:cstheme="minorHAnsi"/>
          <w:color w:val="0000FF"/>
          <w:sz w:val="24"/>
          <w:szCs w:val="24"/>
        </w:rPr>
        <w:t xml:space="preserve">We assume the outcome is related linearly to the covariates via a logit </w:t>
      </w:r>
      <w:r w:rsidRPr="00554886">
        <w:rPr>
          <w:rFonts w:cstheme="minorHAnsi"/>
          <w:color w:val="0000FF"/>
          <w:spacing w:val="-1"/>
          <w:sz w:val="24"/>
          <w:szCs w:val="24"/>
        </w:rPr>
        <w:t>function with dispersion:</w:t>
      </w:r>
      <w:r w:rsidRPr="00554886">
        <w:rPr>
          <w:rFonts w:cstheme="minorHAnsi"/>
          <w:color w:val="0000FF"/>
          <w:sz w:val="24"/>
          <w:szCs w:val="24"/>
        </w:rPr>
        <w:t xml:space="preserve"> </w:t>
      </w:r>
    </w:p>
    <w:p w:rsidR="00554886" w:rsidRPr="00554886" w:rsidRDefault="00554886" w:rsidP="00554886">
      <w:pPr>
        <w:shd w:val="clear" w:color="auto" w:fill="FFFFFF"/>
        <w:spacing w:after="0"/>
        <w:ind w:left="1253"/>
        <w:rPr>
          <w:rFonts w:cstheme="minorHAnsi"/>
          <w:color w:val="0000FF"/>
          <w:spacing w:val="-1"/>
          <w:sz w:val="24"/>
          <w:szCs w:val="24"/>
        </w:rPr>
      </w:pPr>
      <w:r w:rsidRPr="00554886">
        <w:rPr>
          <w:rFonts w:cstheme="minorHAnsi"/>
          <w:color w:val="0000FF"/>
          <w:spacing w:val="-1"/>
          <w:sz w:val="24"/>
          <w:szCs w:val="24"/>
        </w:rPr>
        <w:tab/>
      </w:r>
      <w:r w:rsidRPr="00554886">
        <w:rPr>
          <w:rFonts w:cstheme="minorHAnsi"/>
          <w:color w:val="0000FF"/>
          <w:spacing w:val="-1"/>
          <w:sz w:val="24"/>
          <w:szCs w:val="24"/>
        </w:rPr>
        <w:tab/>
      </w:r>
      <w:r w:rsidRPr="00554886">
        <w:rPr>
          <w:rFonts w:cstheme="minorHAnsi"/>
          <w:color w:val="0000FF"/>
          <w:spacing w:val="-1"/>
          <w:sz w:val="24"/>
          <w:szCs w:val="24"/>
        </w:rPr>
        <w:tab/>
      </w:r>
      <w:proofErr w:type="spellStart"/>
      <w:r w:rsidRPr="00554886">
        <w:rPr>
          <w:rFonts w:cstheme="minorHAnsi"/>
          <w:color w:val="0000FF"/>
          <w:spacing w:val="-1"/>
          <w:sz w:val="24"/>
          <w:szCs w:val="24"/>
        </w:rPr>
        <w:t>logit</w:t>
      </w:r>
      <w:proofErr w:type="spellEnd"/>
      <w:r w:rsidRPr="00554886">
        <w:rPr>
          <w:rFonts w:cstheme="minorHAnsi"/>
          <w:color w:val="0000FF"/>
          <w:spacing w:val="-1"/>
          <w:sz w:val="24"/>
          <w:szCs w:val="24"/>
        </w:rPr>
        <w:t>(</w:t>
      </w:r>
      <w:proofErr w:type="spellStart"/>
      <w:r w:rsidRPr="00554886">
        <w:rPr>
          <w:rFonts w:cstheme="minorHAnsi"/>
          <w:color w:val="0000FF"/>
          <w:spacing w:val="-1"/>
          <w:sz w:val="24"/>
          <w:szCs w:val="24"/>
        </w:rPr>
        <w:t>Prob</w:t>
      </w:r>
      <w:proofErr w:type="spellEnd"/>
      <w:r w:rsidRPr="00554886">
        <w:rPr>
          <w:rFonts w:cstheme="minorHAnsi"/>
          <w:color w:val="0000FF"/>
          <w:spacing w:val="-1"/>
          <w:sz w:val="24"/>
          <w:szCs w:val="24"/>
        </w:rPr>
        <w:t>(</w:t>
      </w:r>
      <w:proofErr w:type="spellStart"/>
      <w:r w:rsidRPr="00554886">
        <w:rPr>
          <w:rFonts w:cstheme="minorHAnsi"/>
          <w:color w:val="0000FF"/>
          <w:spacing w:val="-1"/>
          <w:sz w:val="24"/>
          <w:szCs w:val="24"/>
        </w:rPr>
        <w:t>Y</w:t>
      </w:r>
      <w:r w:rsidRPr="00554886">
        <w:rPr>
          <w:rFonts w:cstheme="minorHAnsi"/>
          <w:color w:val="0000FF"/>
          <w:spacing w:val="-1"/>
          <w:sz w:val="24"/>
          <w:szCs w:val="24"/>
          <w:vertAlign w:val="subscript"/>
        </w:rPr>
        <w:t>ij</w:t>
      </w:r>
      <w:proofErr w:type="spellEnd"/>
      <w:r w:rsidRPr="00554886">
        <w:rPr>
          <w:rFonts w:cstheme="minorHAnsi"/>
          <w:color w:val="0000FF"/>
          <w:spacing w:val="-1"/>
          <w:sz w:val="24"/>
          <w:szCs w:val="24"/>
        </w:rPr>
        <w:t xml:space="preserve"> =1)) = </w:t>
      </w:r>
      <w:r w:rsidRPr="00554886">
        <w:rPr>
          <w:rFonts w:cstheme="minorHAnsi"/>
          <w:color w:val="0000FF"/>
          <w:spacing w:val="-1"/>
          <w:sz w:val="24"/>
          <w:szCs w:val="24"/>
        </w:rPr>
        <w:sym w:font="Symbol" w:char="F061"/>
      </w:r>
      <w:r w:rsidRPr="00554886">
        <w:rPr>
          <w:rFonts w:cstheme="minorHAnsi"/>
          <w:color w:val="0000FF"/>
          <w:spacing w:val="-1"/>
          <w:sz w:val="24"/>
          <w:szCs w:val="24"/>
          <w:vertAlign w:val="subscript"/>
        </w:rPr>
        <w:t xml:space="preserve">j  </w:t>
      </w:r>
      <w:r w:rsidRPr="00554886">
        <w:rPr>
          <w:rFonts w:cstheme="minorHAnsi"/>
          <w:color w:val="0000FF"/>
          <w:spacing w:val="-1"/>
          <w:sz w:val="24"/>
          <w:szCs w:val="24"/>
        </w:rPr>
        <w:t xml:space="preserve">+ </w:t>
      </w:r>
      <w:r w:rsidRPr="00554886">
        <w:rPr>
          <w:rFonts w:cstheme="minorHAnsi"/>
          <w:color w:val="0000FF"/>
          <w:spacing w:val="-1"/>
          <w:sz w:val="24"/>
          <w:szCs w:val="24"/>
        </w:rPr>
        <w:sym w:font="Symbol" w:char="F062"/>
      </w:r>
      <w:r w:rsidRPr="00554886">
        <w:rPr>
          <w:rFonts w:cstheme="minorHAnsi"/>
          <w:color w:val="0000FF"/>
          <w:spacing w:val="-1"/>
          <w:sz w:val="24"/>
          <w:szCs w:val="24"/>
        </w:rPr>
        <w:t>*</w:t>
      </w:r>
      <w:proofErr w:type="spellStart"/>
      <w:r w:rsidRPr="00554886">
        <w:rPr>
          <w:rFonts w:cstheme="minorHAnsi"/>
          <w:color w:val="0000FF"/>
          <w:spacing w:val="-1"/>
          <w:sz w:val="24"/>
          <w:szCs w:val="24"/>
        </w:rPr>
        <w:t>Z</w:t>
      </w:r>
      <w:r w:rsidRPr="00554886">
        <w:rPr>
          <w:rFonts w:cstheme="minorHAnsi"/>
          <w:color w:val="0000FF"/>
          <w:spacing w:val="-1"/>
          <w:sz w:val="24"/>
          <w:szCs w:val="24"/>
          <w:vertAlign w:val="subscript"/>
        </w:rPr>
        <w:t>ij</w:t>
      </w:r>
      <w:proofErr w:type="spellEnd"/>
      <w:r w:rsidRPr="00554886">
        <w:rPr>
          <w:rFonts w:cstheme="minorHAnsi"/>
          <w:color w:val="0000FF"/>
          <w:spacing w:val="-1"/>
          <w:sz w:val="24"/>
          <w:szCs w:val="24"/>
          <w:vertAlign w:val="subscript"/>
        </w:rPr>
        <w:t xml:space="preserve">  </w:t>
      </w:r>
      <w:r w:rsidRPr="00554886">
        <w:rPr>
          <w:rFonts w:cstheme="minorHAnsi"/>
          <w:color w:val="0000FF"/>
          <w:spacing w:val="-1"/>
          <w:sz w:val="24"/>
          <w:szCs w:val="24"/>
        </w:rPr>
        <w:t xml:space="preserve">+  </w:t>
      </w:r>
      <w:r w:rsidRPr="00554886">
        <w:rPr>
          <w:rFonts w:cstheme="minorHAnsi"/>
          <w:color w:val="0000FF"/>
          <w:spacing w:val="-1"/>
          <w:sz w:val="24"/>
          <w:szCs w:val="24"/>
        </w:rPr>
        <w:sym w:font="Symbol" w:char="F065"/>
      </w:r>
      <w:proofErr w:type="spellStart"/>
      <w:r w:rsidRPr="00554886">
        <w:rPr>
          <w:rFonts w:cstheme="minorHAnsi"/>
          <w:color w:val="0000FF"/>
          <w:spacing w:val="-1"/>
          <w:sz w:val="24"/>
          <w:szCs w:val="24"/>
          <w:vertAlign w:val="subscript"/>
        </w:rPr>
        <w:t>ij</w:t>
      </w:r>
      <w:proofErr w:type="spellEnd"/>
      <w:r w:rsidRPr="00554886">
        <w:rPr>
          <w:rFonts w:cstheme="minorHAnsi"/>
          <w:color w:val="0000FF"/>
          <w:spacing w:val="-1"/>
          <w:sz w:val="24"/>
          <w:szCs w:val="24"/>
        </w:rPr>
        <w:tab/>
      </w:r>
      <w:r w:rsidRPr="00554886">
        <w:rPr>
          <w:rFonts w:cstheme="minorHAnsi"/>
          <w:color w:val="0000FF"/>
          <w:spacing w:val="-1"/>
          <w:sz w:val="24"/>
          <w:szCs w:val="24"/>
        </w:rPr>
        <w:tab/>
      </w:r>
      <w:r w:rsidRPr="00554886">
        <w:rPr>
          <w:rFonts w:cstheme="minorHAnsi"/>
          <w:color w:val="0000FF"/>
          <w:spacing w:val="-1"/>
          <w:sz w:val="24"/>
          <w:szCs w:val="24"/>
        </w:rPr>
        <w:tab/>
      </w:r>
      <w:r w:rsidRPr="00554886">
        <w:rPr>
          <w:rFonts w:cstheme="minorHAnsi"/>
          <w:color w:val="0000FF"/>
          <w:spacing w:val="-1"/>
          <w:sz w:val="24"/>
          <w:szCs w:val="24"/>
        </w:rPr>
        <w:tab/>
        <w:t>(1)</w:t>
      </w:r>
    </w:p>
    <w:p w:rsidR="00554886" w:rsidRPr="00554886" w:rsidRDefault="00554886" w:rsidP="00554886">
      <w:pPr>
        <w:shd w:val="clear" w:color="auto" w:fill="FFFFFF"/>
        <w:spacing w:after="0"/>
        <w:ind w:left="2875"/>
        <w:rPr>
          <w:rFonts w:cstheme="minorHAnsi"/>
          <w:color w:val="0000FF"/>
          <w:sz w:val="24"/>
          <w:szCs w:val="24"/>
        </w:rPr>
      </w:pPr>
      <w:r w:rsidRPr="00554886">
        <w:rPr>
          <w:rFonts w:cstheme="minorHAnsi"/>
          <w:color w:val="0000FF"/>
          <w:spacing w:val="-1"/>
          <w:sz w:val="24"/>
          <w:szCs w:val="24"/>
        </w:rPr>
        <w:sym w:font="Symbol" w:char="F061"/>
      </w:r>
      <w:r w:rsidRPr="00554886">
        <w:rPr>
          <w:rFonts w:cstheme="minorHAnsi"/>
          <w:color w:val="0000FF"/>
          <w:spacing w:val="-1"/>
          <w:sz w:val="24"/>
          <w:szCs w:val="24"/>
          <w:vertAlign w:val="subscript"/>
        </w:rPr>
        <w:t>j</w:t>
      </w:r>
      <w:r w:rsidRPr="00554886">
        <w:rPr>
          <w:rFonts w:cstheme="minorHAnsi"/>
          <w:color w:val="0000FF"/>
          <w:spacing w:val="4"/>
          <w:sz w:val="24"/>
          <w:szCs w:val="24"/>
        </w:rPr>
        <w:t xml:space="preserve"> = </w:t>
      </w:r>
      <w:r w:rsidRPr="00554886">
        <w:rPr>
          <w:rFonts w:cstheme="minorHAnsi"/>
          <w:color w:val="0000FF"/>
          <w:spacing w:val="4"/>
          <w:sz w:val="24"/>
          <w:szCs w:val="24"/>
        </w:rPr>
        <w:sym w:font="Symbol" w:char="F06D"/>
      </w:r>
      <w:r w:rsidRPr="00554886">
        <w:rPr>
          <w:rFonts w:cstheme="minorHAnsi"/>
          <w:color w:val="0000FF"/>
          <w:spacing w:val="4"/>
          <w:sz w:val="24"/>
          <w:szCs w:val="24"/>
        </w:rPr>
        <w:t xml:space="preserve"> </w:t>
      </w:r>
      <w:r w:rsidRPr="00554886">
        <w:rPr>
          <w:rFonts w:cstheme="minorHAnsi"/>
          <w:color w:val="0000FF"/>
          <w:spacing w:val="-1"/>
          <w:sz w:val="24"/>
          <w:szCs w:val="24"/>
        </w:rPr>
        <w:t>+</w:t>
      </w:r>
      <w:r w:rsidRPr="00554886">
        <w:rPr>
          <w:rFonts w:cstheme="minorHAnsi"/>
          <w:color w:val="0000FF"/>
          <w:spacing w:val="4"/>
          <w:sz w:val="24"/>
          <w:szCs w:val="24"/>
        </w:rPr>
        <w:t xml:space="preserve"> </w:t>
      </w:r>
      <w:r w:rsidRPr="00554886">
        <w:rPr>
          <w:rFonts w:cstheme="minorHAnsi"/>
          <w:color w:val="0000FF"/>
          <w:spacing w:val="4"/>
          <w:sz w:val="24"/>
          <w:szCs w:val="24"/>
        </w:rPr>
        <w:sym w:font="Symbol" w:char="F077"/>
      </w:r>
      <w:r w:rsidRPr="00554886">
        <w:rPr>
          <w:rFonts w:cstheme="minorHAnsi"/>
          <w:color w:val="0000FF"/>
          <w:spacing w:val="4"/>
          <w:sz w:val="24"/>
          <w:szCs w:val="24"/>
          <w:vertAlign w:val="subscript"/>
        </w:rPr>
        <w:t xml:space="preserve">j ; </w:t>
      </w:r>
      <w:r w:rsidRPr="00554886">
        <w:rPr>
          <w:rFonts w:cstheme="minorHAnsi"/>
          <w:color w:val="0000FF"/>
          <w:spacing w:val="4"/>
          <w:sz w:val="24"/>
          <w:szCs w:val="24"/>
        </w:rPr>
        <w:t xml:space="preserve"> </w:t>
      </w:r>
      <w:r w:rsidRPr="00554886">
        <w:rPr>
          <w:rFonts w:cstheme="minorHAnsi"/>
          <w:color w:val="0000FF"/>
          <w:spacing w:val="4"/>
          <w:sz w:val="24"/>
          <w:szCs w:val="24"/>
        </w:rPr>
        <w:sym w:font="Symbol" w:char="F077"/>
      </w:r>
      <w:r w:rsidRPr="00554886">
        <w:rPr>
          <w:rFonts w:cstheme="minorHAnsi"/>
          <w:color w:val="0000FF"/>
          <w:spacing w:val="4"/>
          <w:sz w:val="24"/>
          <w:szCs w:val="24"/>
          <w:vertAlign w:val="subscript"/>
        </w:rPr>
        <w:t>j</w:t>
      </w:r>
      <w:r w:rsidRPr="00554886">
        <w:rPr>
          <w:rFonts w:cstheme="minorHAnsi"/>
          <w:color w:val="0000FF"/>
          <w:spacing w:val="4"/>
          <w:sz w:val="24"/>
          <w:szCs w:val="24"/>
        </w:rPr>
        <w:t xml:space="preserve"> ~ N(0, </w:t>
      </w:r>
      <w:r w:rsidRPr="00554886">
        <w:rPr>
          <w:rFonts w:cstheme="minorHAnsi"/>
          <w:color w:val="0000FF"/>
          <w:spacing w:val="4"/>
          <w:sz w:val="24"/>
          <w:szCs w:val="24"/>
        </w:rPr>
        <w:sym w:font="Symbol" w:char="F074"/>
      </w:r>
      <w:r w:rsidRPr="00554886">
        <w:rPr>
          <w:rFonts w:cstheme="minorHAnsi"/>
          <w:color w:val="0000FF"/>
          <w:spacing w:val="4"/>
          <w:sz w:val="24"/>
          <w:szCs w:val="24"/>
          <w:vertAlign w:val="superscript"/>
        </w:rPr>
        <w:t>2</w:t>
      </w:r>
      <w:r w:rsidRPr="00554886">
        <w:rPr>
          <w:rFonts w:cstheme="minorHAnsi"/>
          <w:color w:val="0000FF"/>
          <w:spacing w:val="4"/>
          <w:sz w:val="24"/>
          <w:szCs w:val="24"/>
        </w:rPr>
        <w:t>)</w:t>
      </w:r>
    </w:p>
    <w:p w:rsidR="00554886" w:rsidRDefault="00554886" w:rsidP="00554886">
      <w:pPr>
        <w:spacing w:after="0"/>
        <w:rPr>
          <w:rFonts w:cstheme="minorHAnsi"/>
          <w:color w:val="0000FF"/>
          <w:sz w:val="24"/>
          <w:szCs w:val="24"/>
        </w:rPr>
      </w:pPr>
      <w:r w:rsidRPr="00554886">
        <w:rPr>
          <w:rFonts w:cstheme="minorHAnsi"/>
          <w:color w:val="0000FF"/>
          <w:spacing w:val="-4"/>
          <w:sz w:val="24"/>
          <w:szCs w:val="24"/>
        </w:rPr>
        <w:t>where Z</w:t>
      </w:r>
      <w:r w:rsidRPr="00554886">
        <w:rPr>
          <w:rFonts w:cstheme="minorHAnsi"/>
          <w:color w:val="0000FF"/>
          <w:spacing w:val="-1"/>
          <w:sz w:val="24"/>
          <w:szCs w:val="24"/>
          <w:vertAlign w:val="subscript"/>
        </w:rPr>
        <w:t xml:space="preserve"> </w:t>
      </w:r>
      <w:proofErr w:type="spellStart"/>
      <w:r w:rsidRPr="00554886">
        <w:rPr>
          <w:rFonts w:cstheme="minorHAnsi"/>
          <w:color w:val="0000FF"/>
          <w:spacing w:val="-1"/>
          <w:sz w:val="24"/>
          <w:szCs w:val="24"/>
          <w:vertAlign w:val="subscript"/>
        </w:rPr>
        <w:t>ij</w:t>
      </w:r>
      <w:proofErr w:type="spellEnd"/>
      <w:r w:rsidRPr="00554886">
        <w:rPr>
          <w:rFonts w:cstheme="minorHAnsi"/>
          <w:i/>
          <w:iCs/>
          <w:color w:val="0000FF"/>
          <w:spacing w:val="-4"/>
          <w:sz w:val="24"/>
          <w:szCs w:val="24"/>
        </w:rPr>
        <w:t xml:space="preserve"> = </w:t>
      </w:r>
      <w:r w:rsidRPr="00554886">
        <w:rPr>
          <w:rFonts w:cstheme="minorHAnsi"/>
          <w:color w:val="0000FF"/>
          <w:spacing w:val="-4"/>
          <w:sz w:val="24"/>
          <w:szCs w:val="24"/>
        </w:rPr>
        <w:t>(Z</w:t>
      </w:r>
      <w:r w:rsidRPr="00554886">
        <w:rPr>
          <w:rFonts w:cstheme="minorHAnsi"/>
          <w:color w:val="0000FF"/>
          <w:spacing w:val="-4"/>
          <w:sz w:val="24"/>
          <w:szCs w:val="24"/>
          <w:vertAlign w:val="subscript"/>
        </w:rPr>
        <w:t>1</w:t>
      </w:r>
      <w:r w:rsidRPr="00554886">
        <w:rPr>
          <w:rFonts w:cstheme="minorHAnsi"/>
          <w:color w:val="0000FF"/>
          <w:spacing w:val="-4"/>
          <w:sz w:val="24"/>
          <w:szCs w:val="24"/>
        </w:rPr>
        <w:t>, Z</w:t>
      </w:r>
      <w:r w:rsidRPr="00554886">
        <w:rPr>
          <w:rFonts w:cstheme="minorHAnsi"/>
          <w:color w:val="0000FF"/>
          <w:spacing w:val="-4"/>
          <w:sz w:val="24"/>
          <w:szCs w:val="24"/>
          <w:vertAlign w:val="subscript"/>
        </w:rPr>
        <w:t>2</w:t>
      </w:r>
      <w:r w:rsidRPr="00554886">
        <w:rPr>
          <w:rFonts w:cstheme="minorHAnsi"/>
          <w:color w:val="0000FF"/>
          <w:spacing w:val="-4"/>
          <w:sz w:val="24"/>
          <w:szCs w:val="24"/>
        </w:rPr>
        <w:t xml:space="preserve">, ... </w:t>
      </w:r>
      <w:proofErr w:type="spellStart"/>
      <w:r w:rsidRPr="00554886">
        <w:rPr>
          <w:rFonts w:cstheme="minorHAnsi"/>
          <w:color w:val="0000FF"/>
          <w:spacing w:val="-4"/>
          <w:sz w:val="24"/>
          <w:szCs w:val="24"/>
        </w:rPr>
        <w:t>Z</w:t>
      </w:r>
      <w:r w:rsidRPr="00554886">
        <w:rPr>
          <w:rFonts w:cstheme="minorHAnsi"/>
          <w:color w:val="0000FF"/>
          <w:spacing w:val="-4"/>
          <w:sz w:val="24"/>
          <w:szCs w:val="24"/>
          <w:vertAlign w:val="subscript"/>
        </w:rPr>
        <w:t>k</w:t>
      </w:r>
      <w:proofErr w:type="spellEnd"/>
      <w:r w:rsidRPr="00554886">
        <w:rPr>
          <w:rFonts w:cstheme="minorHAnsi"/>
          <w:color w:val="0000FF"/>
          <w:spacing w:val="-4"/>
          <w:sz w:val="24"/>
          <w:szCs w:val="24"/>
        </w:rPr>
        <w:t xml:space="preserve">) is a set of </w:t>
      </w:r>
      <w:r w:rsidRPr="00554886">
        <w:rPr>
          <w:rFonts w:cstheme="minorHAnsi"/>
          <w:i/>
          <w:iCs/>
          <w:color w:val="0000FF"/>
          <w:spacing w:val="-4"/>
          <w:sz w:val="24"/>
          <w:szCs w:val="24"/>
        </w:rPr>
        <w:t xml:space="preserve">k </w:t>
      </w:r>
      <w:r w:rsidR="005D6158">
        <w:rPr>
          <w:rFonts w:cstheme="minorHAnsi"/>
          <w:color w:val="0000FF"/>
          <w:spacing w:val="-4"/>
          <w:sz w:val="24"/>
          <w:szCs w:val="24"/>
        </w:rPr>
        <w:t xml:space="preserve">patient-level covariates. </w:t>
      </w:r>
      <w:r w:rsidRPr="00554886">
        <w:rPr>
          <w:rFonts w:cstheme="minorHAnsi"/>
          <w:color w:val="0000FF"/>
          <w:spacing w:val="-4"/>
          <w:sz w:val="24"/>
          <w:szCs w:val="24"/>
        </w:rPr>
        <w:t xml:space="preserve">Each </w:t>
      </w:r>
      <w:r w:rsidRPr="00554886">
        <w:rPr>
          <w:rFonts w:cstheme="minorHAnsi"/>
          <w:color w:val="0000FF"/>
          <w:spacing w:val="-1"/>
          <w:sz w:val="24"/>
          <w:szCs w:val="24"/>
        </w:rPr>
        <w:sym w:font="Symbol" w:char="F061"/>
      </w:r>
      <w:r w:rsidRPr="00554886">
        <w:rPr>
          <w:rFonts w:cstheme="minorHAnsi"/>
          <w:color w:val="0000FF"/>
          <w:spacing w:val="-1"/>
          <w:sz w:val="24"/>
          <w:szCs w:val="24"/>
          <w:vertAlign w:val="subscript"/>
        </w:rPr>
        <w:t>j</w:t>
      </w:r>
      <w:r w:rsidRPr="00554886">
        <w:rPr>
          <w:rFonts w:cstheme="minorHAnsi"/>
          <w:smallCaps/>
          <w:color w:val="0000FF"/>
          <w:spacing w:val="-4"/>
          <w:sz w:val="24"/>
          <w:szCs w:val="24"/>
        </w:rPr>
        <w:t xml:space="preserve"> </w:t>
      </w:r>
      <w:r w:rsidRPr="00554886">
        <w:rPr>
          <w:rFonts w:cstheme="minorHAnsi"/>
          <w:color w:val="0000FF"/>
          <w:spacing w:val="-4"/>
          <w:sz w:val="24"/>
          <w:szCs w:val="24"/>
        </w:rPr>
        <w:t>represents an IRF-</w:t>
      </w:r>
      <w:r w:rsidRPr="00554886">
        <w:rPr>
          <w:rFonts w:cstheme="minorHAnsi"/>
          <w:color w:val="0000FF"/>
          <w:spacing w:val="-1"/>
          <w:sz w:val="24"/>
          <w:szCs w:val="24"/>
        </w:rPr>
        <w:t xml:space="preserve">specific intercept; </w:t>
      </w:r>
      <w:r w:rsidRPr="00554886">
        <w:rPr>
          <w:rFonts w:cstheme="minorHAnsi"/>
          <w:color w:val="0000FF"/>
          <w:spacing w:val="4"/>
          <w:sz w:val="24"/>
          <w:szCs w:val="24"/>
        </w:rPr>
        <w:sym w:font="Symbol" w:char="F06D"/>
      </w:r>
      <w:r w:rsidRPr="00554886">
        <w:rPr>
          <w:rFonts w:cstheme="minorHAnsi"/>
          <w:i/>
          <w:iCs/>
          <w:color w:val="0000FF"/>
          <w:spacing w:val="-1"/>
          <w:sz w:val="24"/>
          <w:szCs w:val="24"/>
        </w:rPr>
        <w:t xml:space="preserve"> </w:t>
      </w:r>
      <w:r w:rsidRPr="00554886">
        <w:rPr>
          <w:rFonts w:cstheme="minorHAnsi"/>
          <w:color w:val="0000FF"/>
          <w:spacing w:val="-1"/>
          <w:sz w:val="24"/>
          <w:szCs w:val="24"/>
        </w:rPr>
        <w:t xml:space="preserve">is the adjusted average outcome over all IRFs; and </w:t>
      </w:r>
      <w:r w:rsidRPr="00554886">
        <w:rPr>
          <w:rFonts w:cstheme="minorHAnsi"/>
          <w:color w:val="0000FF"/>
          <w:spacing w:val="4"/>
          <w:sz w:val="24"/>
          <w:szCs w:val="24"/>
        </w:rPr>
        <w:sym w:font="Symbol" w:char="F074"/>
      </w:r>
      <w:r w:rsidRPr="00554886">
        <w:rPr>
          <w:rFonts w:cstheme="minorHAnsi"/>
          <w:color w:val="0000FF"/>
          <w:spacing w:val="4"/>
          <w:sz w:val="24"/>
          <w:szCs w:val="24"/>
          <w:vertAlign w:val="superscript"/>
        </w:rPr>
        <w:t>2</w:t>
      </w:r>
      <w:r w:rsidRPr="00554886">
        <w:rPr>
          <w:rFonts w:cstheme="minorHAnsi"/>
          <w:color w:val="0000FF"/>
          <w:spacing w:val="-1"/>
          <w:sz w:val="24"/>
          <w:szCs w:val="24"/>
        </w:rPr>
        <w:t xml:space="preserve"> is the between IRF variance component and </w:t>
      </w:r>
      <w:r w:rsidRPr="00554886">
        <w:rPr>
          <w:rFonts w:cstheme="minorHAnsi"/>
          <w:color w:val="0000FF"/>
          <w:spacing w:val="-1"/>
          <w:sz w:val="24"/>
          <w:szCs w:val="24"/>
        </w:rPr>
        <w:sym w:font="Symbol" w:char="F065"/>
      </w:r>
      <w:r w:rsidRPr="00554886">
        <w:rPr>
          <w:rFonts w:cstheme="minorHAnsi"/>
          <w:color w:val="0000FF"/>
          <w:spacing w:val="-1"/>
          <w:sz w:val="24"/>
          <w:szCs w:val="24"/>
        </w:rPr>
        <w:t xml:space="preserve"> ~</w:t>
      </w:r>
      <w:proofErr w:type="gramStart"/>
      <w:r w:rsidRPr="00554886">
        <w:rPr>
          <w:rFonts w:cstheme="minorHAnsi"/>
          <w:color w:val="0000FF"/>
          <w:spacing w:val="-1"/>
          <w:sz w:val="24"/>
          <w:szCs w:val="24"/>
        </w:rPr>
        <w:t>N(</w:t>
      </w:r>
      <w:proofErr w:type="gramEnd"/>
      <w:r w:rsidRPr="00554886">
        <w:rPr>
          <w:rFonts w:cstheme="minorHAnsi"/>
          <w:color w:val="0000FF"/>
          <w:spacing w:val="-1"/>
          <w:sz w:val="24"/>
          <w:szCs w:val="24"/>
        </w:rPr>
        <w:t>0,</w:t>
      </w:r>
      <w:r w:rsidRPr="00554886">
        <w:rPr>
          <w:rFonts w:cstheme="minorHAnsi"/>
          <w:color w:val="0000FF"/>
          <w:spacing w:val="-1"/>
          <w:sz w:val="24"/>
          <w:szCs w:val="24"/>
        </w:rPr>
        <w:sym w:font="Symbol" w:char="F073"/>
      </w:r>
      <w:r w:rsidRPr="00554886">
        <w:rPr>
          <w:rFonts w:cstheme="minorHAnsi"/>
          <w:color w:val="0000FF"/>
          <w:spacing w:val="-1"/>
          <w:sz w:val="24"/>
          <w:szCs w:val="24"/>
          <w:vertAlign w:val="superscript"/>
        </w:rPr>
        <w:t>2</w:t>
      </w:r>
      <w:r w:rsidRPr="00554886">
        <w:rPr>
          <w:rFonts w:cstheme="minorHAnsi"/>
          <w:color w:val="0000FF"/>
          <w:spacing w:val="-1"/>
          <w:sz w:val="24"/>
          <w:szCs w:val="24"/>
        </w:rPr>
        <w:t xml:space="preserve">) captures any over- or under-dispersion. The hierarchical logistic regression model is estimated using </w:t>
      </w:r>
      <w:r w:rsidRPr="00554886">
        <w:rPr>
          <w:rFonts w:cstheme="minorHAnsi"/>
          <w:color w:val="0000FF"/>
          <w:sz w:val="24"/>
          <w:szCs w:val="24"/>
        </w:rPr>
        <w:t xml:space="preserve">the SAS software (SAS GLIMMIX: SAS/STAT User’s Guide, SAS Institute Inc.) </w:t>
      </w:r>
    </w:p>
    <w:p w:rsidR="00F915A3" w:rsidRPr="00554886" w:rsidRDefault="00F915A3" w:rsidP="00554886">
      <w:pPr>
        <w:spacing w:after="0"/>
        <w:rPr>
          <w:rFonts w:cstheme="minorHAnsi"/>
          <w:color w:val="0000FF"/>
          <w:sz w:val="24"/>
          <w:szCs w:val="24"/>
        </w:rPr>
      </w:pPr>
    </w:p>
    <w:p w:rsidR="00554886" w:rsidRPr="00554886" w:rsidRDefault="00554886" w:rsidP="00554886">
      <w:pPr>
        <w:keepNext/>
        <w:spacing w:after="0"/>
        <w:rPr>
          <w:b/>
          <w:bCs/>
          <w:i/>
          <w:iCs/>
          <w:color w:val="0000FF"/>
          <w:sz w:val="24"/>
          <w:szCs w:val="24"/>
        </w:rPr>
      </w:pPr>
      <w:r w:rsidRPr="00554886">
        <w:rPr>
          <w:b/>
          <w:bCs/>
          <w:i/>
          <w:iCs/>
          <w:color w:val="0000FF"/>
          <w:sz w:val="24"/>
          <w:szCs w:val="24"/>
        </w:rPr>
        <w:t>IRF performance reporting</w:t>
      </w:r>
    </w:p>
    <w:p w:rsidR="00554886" w:rsidRPr="00554886" w:rsidRDefault="00554886" w:rsidP="00554886">
      <w:pPr>
        <w:rPr>
          <w:rFonts w:cstheme="minorHAnsi"/>
          <w:color w:val="0000FF"/>
          <w:sz w:val="24"/>
          <w:szCs w:val="24"/>
        </w:rPr>
      </w:pPr>
      <w:r w:rsidRPr="00554886">
        <w:rPr>
          <w:rFonts w:cstheme="minorHAnsi"/>
          <w:color w:val="0000FF"/>
          <w:spacing w:val="-1"/>
          <w:sz w:val="24"/>
          <w:szCs w:val="24"/>
        </w:rPr>
        <w:t xml:space="preserve">The previous section described how the risk adjustment model was specified and </w:t>
      </w:r>
      <w:r w:rsidRPr="00554886">
        <w:rPr>
          <w:rFonts w:cstheme="minorHAnsi"/>
          <w:color w:val="0000FF"/>
          <w:sz w:val="24"/>
          <w:szCs w:val="24"/>
        </w:rPr>
        <w:t>estimated, using a hierarchical logistic regression model. The model was used to calculate a standardized risk ratio (SRR) for each IRF</w:t>
      </w:r>
      <w:r w:rsidRPr="00554886">
        <w:rPr>
          <w:rFonts w:cstheme="minorHAnsi"/>
          <w:color w:val="0000FF"/>
          <w:spacing w:val="-1"/>
          <w:sz w:val="24"/>
          <w:szCs w:val="24"/>
        </w:rPr>
        <w:t xml:space="preserve">. </w:t>
      </w:r>
    </w:p>
    <w:p w:rsidR="00554886" w:rsidRPr="00554886" w:rsidRDefault="00554886" w:rsidP="00554886">
      <w:pPr>
        <w:rPr>
          <w:rFonts w:cstheme="minorHAnsi"/>
          <w:color w:val="0000FF"/>
          <w:sz w:val="24"/>
          <w:szCs w:val="24"/>
        </w:rPr>
      </w:pPr>
      <w:r w:rsidRPr="00554886">
        <w:rPr>
          <w:rFonts w:cstheme="minorHAnsi"/>
          <w:color w:val="0000FF"/>
          <w:spacing w:val="-1"/>
          <w:sz w:val="24"/>
          <w:szCs w:val="24"/>
        </w:rPr>
        <w:lastRenderedPageBreak/>
        <w:t xml:space="preserve">We used the results from the hierarchical logistic regression model to calculate the predicted </w:t>
      </w:r>
      <w:r w:rsidRPr="00554886">
        <w:rPr>
          <w:rFonts w:cstheme="minorHAnsi"/>
          <w:color w:val="0000FF"/>
          <w:sz w:val="24"/>
          <w:szCs w:val="24"/>
        </w:rPr>
        <w:t xml:space="preserve">and the expected number of readmissions for each IRF. The predicted number of readmissions for each IRF was calculated as the sum of the predicted probability of readmission for each patient in the facility, including the IRF-specific (random) effect. Using the notation of the previous section, the model specific risk standardized readmission ratio for each IRF is calculated as follows. To calculate the predicted number of readmissions </w:t>
      </w:r>
      <w:proofErr w:type="spellStart"/>
      <w:r w:rsidRPr="00554886">
        <w:rPr>
          <w:rFonts w:eastAsiaTheme="minorHAnsi" w:cstheme="minorHAnsi"/>
          <w:color w:val="0000FF"/>
          <w:sz w:val="24"/>
          <w:szCs w:val="24"/>
        </w:rPr>
        <w:t>pred</w:t>
      </w:r>
      <w:r w:rsidRPr="00554886">
        <w:rPr>
          <w:rFonts w:eastAsiaTheme="minorHAnsi" w:cstheme="minorHAnsi"/>
          <w:color w:val="0000FF"/>
          <w:sz w:val="24"/>
          <w:szCs w:val="24"/>
          <w:vertAlign w:val="subscript"/>
        </w:rPr>
        <w:t>j</w:t>
      </w:r>
      <w:proofErr w:type="spellEnd"/>
      <w:r w:rsidRPr="00554886">
        <w:rPr>
          <w:rFonts w:cstheme="minorHAnsi"/>
          <w:color w:val="0000FF"/>
          <w:sz w:val="24"/>
          <w:szCs w:val="24"/>
        </w:rPr>
        <w:t xml:space="preserve"> for index IRF stays at </w:t>
      </w:r>
      <w:proofErr w:type="spellStart"/>
      <w:r w:rsidRPr="00554886">
        <w:rPr>
          <w:rFonts w:cstheme="minorHAnsi"/>
          <w:color w:val="0000FF"/>
          <w:sz w:val="24"/>
          <w:szCs w:val="24"/>
        </w:rPr>
        <w:t>IRF</w:t>
      </w:r>
      <w:r w:rsidRPr="00554886">
        <w:rPr>
          <w:rFonts w:cstheme="minorHAnsi"/>
          <w:color w:val="0000FF"/>
          <w:sz w:val="24"/>
          <w:szCs w:val="24"/>
          <w:vertAlign w:val="subscript"/>
        </w:rPr>
        <w:t>j</w:t>
      </w:r>
      <w:proofErr w:type="spellEnd"/>
      <w:r w:rsidRPr="00554886">
        <w:rPr>
          <w:rFonts w:cstheme="minorHAnsi"/>
          <w:color w:val="0000FF"/>
          <w:sz w:val="24"/>
          <w:szCs w:val="24"/>
          <w:vertAlign w:val="subscript"/>
        </w:rPr>
        <w:t>,</w:t>
      </w:r>
      <w:r w:rsidRPr="00554886">
        <w:rPr>
          <w:rFonts w:cstheme="minorHAnsi"/>
          <w:color w:val="0000FF"/>
          <w:sz w:val="24"/>
          <w:szCs w:val="24"/>
        </w:rPr>
        <w:t xml:space="preserve"> we used</w:t>
      </w:r>
    </w:p>
    <w:p w:rsidR="00554886" w:rsidRPr="00554886" w:rsidRDefault="00554886" w:rsidP="00554886">
      <w:pPr>
        <w:shd w:val="clear" w:color="auto" w:fill="FFFFFF"/>
        <w:tabs>
          <w:tab w:val="left" w:pos="8645"/>
        </w:tabs>
        <w:spacing w:after="0"/>
        <w:ind w:left="2760"/>
        <w:rPr>
          <w:rFonts w:cstheme="minorHAnsi"/>
          <w:color w:val="0000FF"/>
          <w:sz w:val="24"/>
          <w:szCs w:val="24"/>
        </w:rPr>
      </w:pPr>
      <w:proofErr w:type="spellStart"/>
      <w:r w:rsidRPr="00554886">
        <w:rPr>
          <w:rFonts w:eastAsiaTheme="minorHAnsi" w:cstheme="minorHAnsi"/>
          <w:color w:val="0000FF"/>
          <w:sz w:val="24"/>
          <w:szCs w:val="24"/>
        </w:rPr>
        <w:t>pred</w:t>
      </w:r>
      <w:r w:rsidRPr="00554886">
        <w:rPr>
          <w:rFonts w:eastAsiaTheme="minorHAnsi" w:cstheme="minorHAnsi"/>
          <w:color w:val="0000FF"/>
          <w:sz w:val="24"/>
          <w:szCs w:val="24"/>
          <w:vertAlign w:val="subscript"/>
        </w:rPr>
        <w:t>j</w:t>
      </w:r>
      <w:proofErr w:type="spellEnd"/>
      <w:r w:rsidRPr="00554886">
        <w:rPr>
          <w:rFonts w:eastAsiaTheme="minorHAnsi" w:cstheme="minorHAnsi"/>
          <w:color w:val="0000FF"/>
          <w:sz w:val="24"/>
          <w:szCs w:val="24"/>
        </w:rPr>
        <w:t xml:space="preserve"> = Σlogit</w:t>
      </w:r>
      <w:r w:rsidRPr="00554886">
        <w:rPr>
          <w:rFonts w:eastAsiaTheme="minorHAnsi" w:cstheme="minorHAnsi"/>
          <w:color w:val="0000FF"/>
          <w:sz w:val="24"/>
          <w:szCs w:val="24"/>
          <w:vertAlign w:val="superscript"/>
        </w:rPr>
        <w:t>-1</w:t>
      </w:r>
      <w:r w:rsidRPr="00554886">
        <w:rPr>
          <w:rFonts w:eastAsiaTheme="minorHAnsi" w:cstheme="minorHAnsi"/>
          <w:color w:val="0000FF"/>
          <w:sz w:val="24"/>
          <w:szCs w:val="24"/>
        </w:rPr>
        <w:t>(</w:t>
      </w:r>
      <w:r w:rsidRPr="00554886">
        <w:rPr>
          <w:rFonts w:cstheme="minorHAnsi"/>
          <w:color w:val="0000FF"/>
          <w:spacing w:val="4"/>
          <w:sz w:val="24"/>
          <w:szCs w:val="24"/>
        </w:rPr>
        <w:sym w:font="Symbol" w:char="F06D"/>
      </w:r>
      <w:r w:rsidRPr="00554886">
        <w:rPr>
          <w:rFonts w:cstheme="minorHAnsi"/>
          <w:color w:val="0000FF"/>
          <w:spacing w:val="4"/>
          <w:sz w:val="24"/>
          <w:szCs w:val="24"/>
        </w:rPr>
        <w:t xml:space="preserve"> + </w:t>
      </w:r>
      <w:r w:rsidRPr="00554886">
        <w:rPr>
          <w:rFonts w:cstheme="minorHAnsi"/>
          <w:color w:val="0000FF"/>
          <w:spacing w:val="4"/>
          <w:sz w:val="24"/>
          <w:szCs w:val="24"/>
        </w:rPr>
        <w:sym w:font="Symbol" w:char="F077"/>
      </w:r>
      <w:r w:rsidRPr="00554886">
        <w:rPr>
          <w:rFonts w:cstheme="minorHAnsi"/>
          <w:color w:val="0000FF"/>
          <w:spacing w:val="4"/>
          <w:sz w:val="24"/>
          <w:szCs w:val="24"/>
          <w:vertAlign w:val="subscript"/>
        </w:rPr>
        <w:t>j</w:t>
      </w:r>
      <w:r w:rsidRPr="00554886" w:rsidDel="00137B0B">
        <w:rPr>
          <w:rFonts w:cstheme="minorHAnsi"/>
          <w:color w:val="0000FF"/>
          <w:spacing w:val="-1"/>
          <w:sz w:val="24"/>
          <w:szCs w:val="24"/>
        </w:rPr>
        <w:t xml:space="preserve"> </w:t>
      </w:r>
      <w:r w:rsidRPr="00554886">
        <w:rPr>
          <w:rFonts w:eastAsiaTheme="minorHAnsi" w:cstheme="minorHAnsi"/>
          <w:color w:val="0000FF"/>
          <w:sz w:val="24"/>
          <w:szCs w:val="24"/>
        </w:rPr>
        <w:t xml:space="preserve"> + </w:t>
      </w:r>
      <w:r w:rsidRPr="00554886">
        <w:rPr>
          <w:rFonts w:cstheme="minorHAnsi"/>
          <w:color w:val="0000FF"/>
          <w:spacing w:val="-1"/>
          <w:sz w:val="24"/>
          <w:szCs w:val="24"/>
        </w:rPr>
        <w:sym w:font="Symbol" w:char="F062"/>
      </w:r>
      <w:r w:rsidRPr="00554886">
        <w:rPr>
          <w:rFonts w:cstheme="minorHAnsi"/>
          <w:color w:val="0000FF"/>
          <w:spacing w:val="-1"/>
          <w:sz w:val="24"/>
          <w:szCs w:val="24"/>
        </w:rPr>
        <w:t>*</w:t>
      </w:r>
      <w:proofErr w:type="spellStart"/>
      <w:r w:rsidRPr="00554886">
        <w:rPr>
          <w:rFonts w:cstheme="minorHAnsi"/>
          <w:color w:val="0000FF"/>
          <w:spacing w:val="-1"/>
          <w:sz w:val="24"/>
          <w:szCs w:val="24"/>
        </w:rPr>
        <w:t>Z</w:t>
      </w:r>
      <w:r w:rsidRPr="00554886">
        <w:rPr>
          <w:rFonts w:cstheme="minorHAnsi"/>
          <w:color w:val="0000FF"/>
          <w:spacing w:val="-1"/>
          <w:sz w:val="24"/>
          <w:szCs w:val="24"/>
          <w:vertAlign w:val="subscript"/>
        </w:rPr>
        <w:t>ij</w:t>
      </w:r>
      <w:proofErr w:type="spellEnd"/>
      <w:r w:rsidRPr="00554886">
        <w:rPr>
          <w:rFonts w:eastAsiaTheme="minorHAnsi" w:cstheme="minorHAnsi"/>
          <w:color w:val="0000FF"/>
          <w:sz w:val="24"/>
          <w:szCs w:val="24"/>
        </w:rPr>
        <w:t>)</w:t>
      </w:r>
      <w:r w:rsidRPr="00554886">
        <w:rPr>
          <w:rFonts w:cstheme="minorHAnsi"/>
          <w:color w:val="0000FF"/>
          <w:spacing w:val="-9"/>
          <w:sz w:val="24"/>
          <w:szCs w:val="24"/>
        </w:rPr>
        <w:tab/>
        <w:t>(2)</w:t>
      </w:r>
      <w:r w:rsidRPr="00554886">
        <w:rPr>
          <w:rFonts w:cstheme="minorHAnsi"/>
          <w:color w:val="0000FF"/>
          <w:sz w:val="24"/>
          <w:szCs w:val="24"/>
        </w:rPr>
        <w:t xml:space="preserve"> </w:t>
      </w:r>
    </w:p>
    <w:p w:rsidR="00554886" w:rsidRPr="00554886" w:rsidRDefault="00554886" w:rsidP="00554886">
      <w:pPr>
        <w:rPr>
          <w:rFonts w:cstheme="minorHAnsi"/>
          <w:color w:val="0000FF"/>
          <w:spacing w:val="-2"/>
          <w:sz w:val="24"/>
          <w:szCs w:val="24"/>
        </w:rPr>
      </w:pPr>
      <w:r w:rsidRPr="00554886">
        <w:rPr>
          <w:rFonts w:cstheme="minorHAnsi"/>
          <w:color w:val="0000FF"/>
          <w:sz w:val="24"/>
          <w:szCs w:val="24"/>
        </w:rPr>
        <w:t>where</w:t>
      </w:r>
      <w:r w:rsidRPr="00554886">
        <w:rPr>
          <w:rFonts w:cstheme="minorHAnsi"/>
          <w:color w:val="0000FF"/>
          <w:spacing w:val="-2"/>
          <w:sz w:val="24"/>
          <w:szCs w:val="24"/>
        </w:rPr>
        <w:t xml:space="preserve"> the sum is over all </w:t>
      </w:r>
      <w:r w:rsidRPr="00554886">
        <w:rPr>
          <w:rFonts w:cstheme="minorHAnsi"/>
          <w:color w:val="0000FF"/>
          <w:sz w:val="24"/>
          <w:szCs w:val="24"/>
        </w:rPr>
        <w:t>stays</w:t>
      </w:r>
      <w:r w:rsidRPr="00554886">
        <w:rPr>
          <w:rFonts w:cstheme="minorHAnsi"/>
          <w:color w:val="0000FF"/>
          <w:spacing w:val="-2"/>
          <w:sz w:val="24"/>
          <w:szCs w:val="24"/>
        </w:rPr>
        <w:t xml:space="preserve"> in </w:t>
      </w:r>
      <w:proofErr w:type="spellStart"/>
      <w:r w:rsidRPr="00554886">
        <w:rPr>
          <w:rFonts w:cstheme="minorHAnsi"/>
          <w:color w:val="0000FF"/>
          <w:spacing w:val="-2"/>
          <w:sz w:val="24"/>
          <w:szCs w:val="24"/>
        </w:rPr>
        <w:t>IR</w:t>
      </w:r>
      <w:r w:rsidRPr="00554886">
        <w:rPr>
          <w:rFonts w:cstheme="minorHAnsi"/>
          <w:color w:val="0000FF"/>
          <w:sz w:val="24"/>
          <w:szCs w:val="24"/>
        </w:rPr>
        <w:t>F</w:t>
      </w:r>
      <w:r w:rsidRPr="00554886">
        <w:rPr>
          <w:rFonts w:cstheme="minorHAnsi"/>
          <w:color w:val="0000FF"/>
          <w:sz w:val="24"/>
          <w:szCs w:val="24"/>
          <w:vertAlign w:val="subscript"/>
        </w:rPr>
        <w:t>j</w:t>
      </w:r>
      <w:proofErr w:type="spellEnd"/>
      <w:r w:rsidRPr="00554886">
        <w:rPr>
          <w:rFonts w:cstheme="minorHAnsi"/>
          <w:iCs/>
          <w:color w:val="0000FF"/>
          <w:sz w:val="24"/>
          <w:szCs w:val="24"/>
        </w:rPr>
        <w:t xml:space="preserve">, and </w:t>
      </w:r>
      <w:r w:rsidRPr="00554886">
        <w:rPr>
          <w:rFonts w:cstheme="minorHAnsi"/>
          <w:color w:val="0000FF"/>
          <w:spacing w:val="4"/>
          <w:sz w:val="24"/>
          <w:szCs w:val="24"/>
        </w:rPr>
        <w:sym w:font="Symbol" w:char="F077"/>
      </w:r>
      <w:proofErr w:type="spellStart"/>
      <w:r w:rsidRPr="00554886">
        <w:rPr>
          <w:rFonts w:cstheme="minorHAnsi"/>
          <w:color w:val="0000FF"/>
          <w:spacing w:val="4"/>
          <w:sz w:val="24"/>
          <w:szCs w:val="24"/>
          <w:vertAlign w:val="subscript"/>
        </w:rPr>
        <w:t>i</w:t>
      </w:r>
      <w:proofErr w:type="spellEnd"/>
      <w:r w:rsidR="005D6158">
        <w:rPr>
          <w:rFonts w:cstheme="minorHAnsi"/>
          <w:color w:val="0000FF"/>
          <w:spacing w:val="-2"/>
          <w:sz w:val="24"/>
          <w:szCs w:val="24"/>
        </w:rPr>
        <w:t xml:space="preserve"> is the IRF intercept. </w:t>
      </w:r>
      <w:r w:rsidRPr="00554886">
        <w:rPr>
          <w:rFonts w:cstheme="minorHAnsi"/>
          <w:color w:val="0000FF"/>
          <w:spacing w:val="-2"/>
          <w:sz w:val="24"/>
          <w:szCs w:val="24"/>
        </w:rPr>
        <w:t xml:space="preserve">To calculate the expected number </w:t>
      </w:r>
      <w:proofErr w:type="spellStart"/>
      <w:r w:rsidRPr="00554886">
        <w:rPr>
          <w:rFonts w:eastAsiaTheme="minorHAnsi" w:cstheme="minorHAnsi"/>
          <w:color w:val="0000FF"/>
          <w:sz w:val="24"/>
          <w:szCs w:val="24"/>
        </w:rPr>
        <w:t>exp</w:t>
      </w:r>
      <w:r w:rsidRPr="00554886">
        <w:rPr>
          <w:rFonts w:eastAsiaTheme="minorHAnsi" w:cstheme="minorHAnsi"/>
          <w:color w:val="0000FF"/>
          <w:sz w:val="24"/>
          <w:szCs w:val="24"/>
          <w:vertAlign w:val="subscript"/>
        </w:rPr>
        <w:t>j</w:t>
      </w:r>
      <w:proofErr w:type="spellEnd"/>
      <w:r w:rsidRPr="00554886">
        <w:rPr>
          <w:rFonts w:cstheme="minorHAnsi"/>
          <w:color w:val="0000FF"/>
          <w:spacing w:val="-2"/>
          <w:sz w:val="24"/>
          <w:szCs w:val="24"/>
        </w:rPr>
        <w:t xml:space="preserve"> we used</w:t>
      </w:r>
    </w:p>
    <w:p w:rsidR="00554886" w:rsidRPr="00554886" w:rsidRDefault="00554886" w:rsidP="00554886">
      <w:pPr>
        <w:shd w:val="clear" w:color="auto" w:fill="FFFFFF"/>
        <w:tabs>
          <w:tab w:val="left" w:pos="8645"/>
        </w:tabs>
        <w:spacing w:after="0"/>
        <w:ind w:left="2760"/>
        <w:rPr>
          <w:rFonts w:cstheme="minorHAnsi"/>
          <w:color w:val="0000FF"/>
          <w:sz w:val="24"/>
          <w:szCs w:val="24"/>
        </w:rPr>
      </w:pPr>
      <w:proofErr w:type="spellStart"/>
      <w:r w:rsidRPr="00554886">
        <w:rPr>
          <w:rFonts w:eastAsiaTheme="minorHAnsi" w:cstheme="minorHAnsi"/>
          <w:color w:val="0000FF"/>
          <w:sz w:val="24"/>
          <w:szCs w:val="24"/>
        </w:rPr>
        <w:t>exp</w:t>
      </w:r>
      <w:r w:rsidRPr="00554886">
        <w:rPr>
          <w:rFonts w:eastAsiaTheme="minorHAnsi" w:cstheme="minorHAnsi"/>
          <w:color w:val="0000FF"/>
          <w:sz w:val="24"/>
          <w:szCs w:val="24"/>
          <w:vertAlign w:val="subscript"/>
        </w:rPr>
        <w:t>j</w:t>
      </w:r>
      <w:proofErr w:type="spellEnd"/>
      <w:r w:rsidRPr="00554886">
        <w:rPr>
          <w:rFonts w:eastAsiaTheme="minorHAnsi" w:cstheme="minorHAnsi"/>
          <w:color w:val="0000FF"/>
          <w:sz w:val="24"/>
          <w:szCs w:val="24"/>
        </w:rPr>
        <w:t xml:space="preserve"> = Σlogit</w:t>
      </w:r>
      <w:r w:rsidRPr="00554886">
        <w:rPr>
          <w:rFonts w:eastAsiaTheme="minorHAnsi" w:cstheme="minorHAnsi"/>
          <w:color w:val="0000FF"/>
          <w:sz w:val="24"/>
          <w:szCs w:val="24"/>
          <w:vertAlign w:val="superscript"/>
        </w:rPr>
        <w:t>-1</w:t>
      </w:r>
      <w:r w:rsidRPr="00554886">
        <w:rPr>
          <w:rFonts w:eastAsiaTheme="minorHAnsi" w:cstheme="minorHAnsi"/>
          <w:color w:val="0000FF"/>
          <w:sz w:val="24"/>
          <w:szCs w:val="24"/>
        </w:rPr>
        <w:t xml:space="preserve"> (</w:t>
      </w:r>
      <w:r w:rsidRPr="00554886">
        <w:rPr>
          <w:rFonts w:cstheme="minorHAnsi"/>
          <w:color w:val="0000FF"/>
          <w:spacing w:val="4"/>
          <w:sz w:val="24"/>
          <w:szCs w:val="24"/>
        </w:rPr>
        <w:sym w:font="Symbol" w:char="F06D"/>
      </w:r>
      <w:r w:rsidRPr="00554886">
        <w:rPr>
          <w:rFonts w:eastAsia="SymbolMT" w:cstheme="minorHAnsi"/>
          <w:color w:val="0000FF"/>
          <w:sz w:val="24"/>
          <w:szCs w:val="24"/>
        </w:rPr>
        <w:t xml:space="preserve"> </w:t>
      </w:r>
      <w:r w:rsidRPr="00554886">
        <w:rPr>
          <w:rFonts w:eastAsiaTheme="minorHAnsi" w:cstheme="minorHAnsi"/>
          <w:color w:val="0000FF"/>
          <w:sz w:val="24"/>
          <w:szCs w:val="24"/>
        </w:rPr>
        <w:t xml:space="preserve">+ </w:t>
      </w:r>
      <w:r w:rsidRPr="00554886">
        <w:rPr>
          <w:rFonts w:cstheme="minorHAnsi"/>
          <w:color w:val="0000FF"/>
          <w:spacing w:val="-1"/>
          <w:sz w:val="24"/>
          <w:szCs w:val="24"/>
        </w:rPr>
        <w:sym w:font="Symbol" w:char="F062"/>
      </w:r>
      <w:r w:rsidRPr="00554886">
        <w:rPr>
          <w:rFonts w:cstheme="minorHAnsi"/>
          <w:color w:val="0000FF"/>
          <w:spacing w:val="-1"/>
          <w:sz w:val="24"/>
          <w:szCs w:val="24"/>
        </w:rPr>
        <w:t>*</w:t>
      </w:r>
      <w:proofErr w:type="spellStart"/>
      <w:r w:rsidRPr="00554886">
        <w:rPr>
          <w:rFonts w:cstheme="minorHAnsi"/>
          <w:color w:val="0000FF"/>
          <w:spacing w:val="-1"/>
          <w:sz w:val="24"/>
          <w:szCs w:val="24"/>
        </w:rPr>
        <w:t>Z</w:t>
      </w:r>
      <w:r w:rsidRPr="00554886">
        <w:rPr>
          <w:rFonts w:cstheme="minorHAnsi"/>
          <w:color w:val="0000FF"/>
          <w:spacing w:val="-1"/>
          <w:sz w:val="24"/>
          <w:szCs w:val="24"/>
          <w:vertAlign w:val="subscript"/>
        </w:rPr>
        <w:t>ij</w:t>
      </w:r>
      <w:proofErr w:type="spellEnd"/>
      <w:r w:rsidRPr="00554886">
        <w:rPr>
          <w:rFonts w:eastAsiaTheme="minorHAnsi" w:cstheme="minorHAnsi"/>
          <w:color w:val="0000FF"/>
          <w:sz w:val="24"/>
          <w:szCs w:val="24"/>
        </w:rPr>
        <w:t>)</w:t>
      </w:r>
      <w:r w:rsidRPr="00554886">
        <w:rPr>
          <w:rFonts w:cstheme="minorHAnsi"/>
          <w:color w:val="0000FF"/>
          <w:spacing w:val="-9"/>
          <w:sz w:val="24"/>
          <w:szCs w:val="24"/>
        </w:rPr>
        <w:t xml:space="preserve"> </w:t>
      </w:r>
      <w:r w:rsidRPr="00554886">
        <w:rPr>
          <w:rFonts w:cstheme="minorHAnsi"/>
          <w:color w:val="0000FF"/>
          <w:spacing w:val="-9"/>
          <w:sz w:val="24"/>
          <w:szCs w:val="24"/>
        </w:rPr>
        <w:tab/>
        <w:t>(3)</w:t>
      </w:r>
      <w:r w:rsidRPr="00554886">
        <w:rPr>
          <w:rFonts w:cstheme="minorHAnsi"/>
          <w:color w:val="0000FF"/>
          <w:sz w:val="24"/>
          <w:szCs w:val="24"/>
        </w:rPr>
        <w:t xml:space="preserve"> </w:t>
      </w:r>
    </w:p>
    <w:p w:rsidR="00554886" w:rsidRPr="00554886" w:rsidRDefault="00554886" w:rsidP="00554886">
      <w:pPr>
        <w:rPr>
          <w:rFonts w:cstheme="minorHAnsi"/>
          <w:color w:val="0000FF"/>
          <w:sz w:val="24"/>
          <w:szCs w:val="24"/>
        </w:rPr>
      </w:pPr>
      <w:r w:rsidRPr="00554886">
        <w:rPr>
          <w:rFonts w:cstheme="minorHAnsi"/>
          <w:color w:val="0000FF"/>
          <w:spacing w:val="-1"/>
          <w:sz w:val="24"/>
          <w:szCs w:val="24"/>
        </w:rPr>
        <w:t xml:space="preserve">in which the IRF-specific effect is removed. Then, as a measure of excess or reduced readmissions among index stays at </w:t>
      </w:r>
      <w:proofErr w:type="spellStart"/>
      <w:r w:rsidRPr="00554886">
        <w:rPr>
          <w:rFonts w:cstheme="minorHAnsi"/>
          <w:color w:val="0000FF"/>
          <w:spacing w:val="-1"/>
          <w:sz w:val="24"/>
          <w:szCs w:val="24"/>
        </w:rPr>
        <w:t>IRF</w:t>
      </w:r>
      <w:r w:rsidRPr="00554886">
        <w:rPr>
          <w:rFonts w:cstheme="minorHAnsi"/>
          <w:color w:val="0000FF"/>
          <w:spacing w:val="-1"/>
          <w:sz w:val="24"/>
          <w:szCs w:val="24"/>
          <w:vertAlign w:val="subscript"/>
        </w:rPr>
        <w:t>j</w:t>
      </w:r>
      <w:proofErr w:type="spellEnd"/>
      <w:r w:rsidRPr="00554886">
        <w:rPr>
          <w:rFonts w:cstheme="minorHAnsi"/>
          <w:color w:val="0000FF"/>
          <w:spacing w:val="-1"/>
          <w:sz w:val="24"/>
          <w:szCs w:val="24"/>
        </w:rPr>
        <w:t xml:space="preserve">, we calculated the standardized risk ratio </w:t>
      </w:r>
      <w:proofErr w:type="spellStart"/>
      <w:r w:rsidRPr="00554886">
        <w:rPr>
          <w:rFonts w:eastAsiaTheme="minorHAnsi" w:cstheme="minorHAnsi"/>
          <w:color w:val="0000FF"/>
          <w:sz w:val="24"/>
          <w:szCs w:val="24"/>
        </w:rPr>
        <w:t>SRR</w:t>
      </w:r>
      <w:r w:rsidRPr="00554886">
        <w:rPr>
          <w:rFonts w:eastAsiaTheme="minorHAnsi" w:cstheme="minorHAnsi"/>
          <w:color w:val="0000FF"/>
          <w:sz w:val="24"/>
          <w:szCs w:val="24"/>
          <w:vertAlign w:val="subscript"/>
        </w:rPr>
        <w:t>j</w:t>
      </w:r>
      <w:proofErr w:type="spellEnd"/>
      <w:r w:rsidRPr="00554886">
        <w:rPr>
          <w:rFonts w:cstheme="minorHAnsi"/>
          <w:color w:val="0000FF"/>
          <w:spacing w:val="-1"/>
          <w:sz w:val="24"/>
          <w:szCs w:val="24"/>
        </w:rPr>
        <w:t xml:space="preserve"> as</w:t>
      </w:r>
    </w:p>
    <w:p w:rsidR="00554886" w:rsidRPr="00554886" w:rsidRDefault="00554886" w:rsidP="00554886">
      <w:pPr>
        <w:shd w:val="clear" w:color="auto" w:fill="FFFFFF"/>
        <w:tabs>
          <w:tab w:val="left" w:pos="8645"/>
        </w:tabs>
        <w:spacing w:after="0"/>
        <w:ind w:left="2760"/>
        <w:rPr>
          <w:rFonts w:cstheme="minorHAnsi"/>
          <w:color w:val="0000FF"/>
          <w:sz w:val="24"/>
          <w:szCs w:val="24"/>
        </w:rPr>
      </w:pPr>
      <w:proofErr w:type="spellStart"/>
      <w:r w:rsidRPr="00554886">
        <w:rPr>
          <w:rFonts w:eastAsiaTheme="minorHAnsi" w:cstheme="minorHAnsi"/>
          <w:color w:val="0000FF"/>
          <w:sz w:val="24"/>
          <w:szCs w:val="24"/>
        </w:rPr>
        <w:t>SRR</w:t>
      </w:r>
      <w:r w:rsidRPr="00554886">
        <w:rPr>
          <w:rFonts w:eastAsiaTheme="minorHAnsi" w:cstheme="minorHAnsi"/>
          <w:color w:val="0000FF"/>
          <w:sz w:val="24"/>
          <w:szCs w:val="24"/>
          <w:vertAlign w:val="subscript"/>
        </w:rPr>
        <w:t>j</w:t>
      </w:r>
      <w:proofErr w:type="spellEnd"/>
      <w:r w:rsidRPr="00554886">
        <w:rPr>
          <w:rFonts w:eastAsiaTheme="minorHAnsi" w:cstheme="minorHAnsi"/>
          <w:color w:val="0000FF"/>
          <w:sz w:val="24"/>
          <w:szCs w:val="24"/>
        </w:rPr>
        <w:t xml:space="preserve"> = </w:t>
      </w:r>
      <w:proofErr w:type="spellStart"/>
      <w:r w:rsidRPr="00554886">
        <w:rPr>
          <w:rFonts w:eastAsiaTheme="minorHAnsi" w:cstheme="minorHAnsi"/>
          <w:color w:val="0000FF"/>
          <w:sz w:val="24"/>
          <w:szCs w:val="24"/>
        </w:rPr>
        <w:t>pred</w:t>
      </w:r>
      <w:r w:rsidRPr="00554886">
        <w:rPr>
          <w:rFonts w:eastAsiaTheme="minorHAnsi" w:cstheme="minorHAnsi"/>
          <w:color w:val="0000FF"/>
          <w:sz w:val="24"/>
          <w:szCs w:val="24"/>
          <w:vertAlign w:val="subscript"/>
        </w:rPr>
        <w:t>j</w:t>
      </w:r>
      <w:proofErr w:type="spellEnd"/>
      <w:r w:rsidRPr="00554886">
        <w:rPr>
          <w:rFonts w:eastAsiaTheme="minorHAnsi" w:cstheme="minorHAnsi"/>
          <w:color w:val="0000FF"/>
          <w:sz w:val="24"/>
          <w:szCs w:val="24"/>
        </w:rPr>
        <w:t>/</w:t>
      </w:r>
      <w:proofErr w:type="spellStart"/>
      <w:r w:rsidRPr="00554886">
        <w:rPr>
          <w:rFonts w:eastAsiaTheme="minorHAnsi" w:cstheme="minorHAnsi"/>
          <w:color w:val="0000FF"/>
          <w:sz w:val="24"/>
          <w:szCs w:val="24"/>
        </w:rPr>
        <w:t>exp</w:t>
      </w:r>
      <w:r w:rsidRPr="00554886">
        <w:rPr>
          <w:rFonts w:eastAsiaTheme="minorHAnsi" w:cstheme="minorHAnsi"/>
          <w:color w:val="0000FF"/>
          <w:sz w:val="24"/>
          <w:szCs w:val="24"/>
          <w:vertAlign w:val="subscript"/>
        </w:rPr>
        <w:t>j</w:t>
      </w:r>
      <w:proofErr w:type="spellEnd"/>
      <w:r w:rsidRPr="00554886">
        <w:rPr>
          <w:rFonts w:cstheme="minorHAnsi"/>
          <w:color w:val="0000FF"/>
          <w:sz w:val="24"/>
          <w:szCs w:val="24"/>
        </w:rPr>
        <w:tab/>
      </w:r>
      <w:r w:rsidRPr="00554886">
        <w:rPr>
          <w:rFonts w:cstheme="minorHAnsi"/>
          <w:color w:val="0000FF"/>
          <w:spacing w:val="-9"/>
          <w:sz w:val="24"/>
          <w:szCs w:val="24"/>
        </w:rPr>
        <w:t>(4)</w:t>
      </w:r>
    </w:p>
    <w:p w:rsidR="00F915A3" w:rsidRDefault="00F915A3" w:rsidP="00554886">
      <w:pPr>
        <w:keepNext/>
        <w:spacing w:after="0"/>
        <w:rPr>
          <w:b/>
          <w:bCs/>
          <w:i/>
          <w:iCs/>
          <w:color w:val="0000FF"/>
          <w:sz w:val="24"/>
          <w:szCs w:val="24"/>
        </w:rPr>
      </w:pPr>
    </w:p>
    <w:p w:rsidR="00554886" w:rsidRPr="00554886" w:rsidRDefault="00554886" w:rsidP="00554886">
      <w:pPr>
        <w:keepNext/>
        <w:spacing w:after="0"/>
        <w:rPr>
          <w:b/>
          <w:bCs/>
          <w:i/>
          <w:iCs/>
          <w:color w:val="0000FF"/>
          <w:sz w:val="24"/>
          <w:szCs w:val="24"/>
        </w:rPr>
      </w:pPr>
      <w:r w:rsidRPr="00554886">
        <w:rPr>
          <w:b/>
          <w:bCs/>
          <w:i/>
          <w:iCs/>
          <w:color w:val="0000FF"/>
          <w:sz w:val="24"/>
          <w:szCs w:val="24"/>
        </w:rPr>
        <w:t>Risk-standardized IRF 30-day readmission rate</w:t>
      </w:r>
    </w:p>
    <w:p w:rsidR="00554886" w:rsidRPr="00554886" w:rsidRDefault="00554886" w:rsidP="00554886">
      <w:pPr>
        <w:rPr>
          <w:rFonts w:cstheme="minorHAnsi"/>
          <w:color w:val="0000FF"/>
          <w:sz w:val="24"/>
          <w:szCs w:val="24"/>
        </w:rPr>
      </w:pPr>
      <w:r w:rsidRPr="00554886">
        <w:rPr>
          <w:rFonts w:cstheme="minorHAnsi"/>
          <w:color w:val="0000FF"/>
          <w:sz w:val="24"/>
          <w:szCs w:val="24"/>
        </w:rPr>
        <w:t>This</w:t>
      </w:r>
      <w:r w:rsidRPr="00554886">
        <w:rPr>
          <w:rFonts w:cstheme="minorHAnsi"/>
          <w:bCs/>
          <w:color w:val="0000FF"/>
          <w:spacing w:val="-1"/>
          <w:sz w:val="24"/>
          <w:szCs w:val="24"/>
        </w:rPr>
        <w:t xml:space="preserve"> value, </w:t>
      </w:r>
      <w:proofErr w:type="spellStart"/>
      <w:r w:rsidRPr="00554886">
        <w:rPr>
          <w:rFonts w:cstheme="minorHAnsi"/>
          <w:bCs/>
          <w:color w:val="0000FF"/>
          <w:spacing w:val="-1"/>
          <w:sz w:val="24"/>
          <w:szCs w:val="24"/>
        </w:rPr>
        <w:t>SRR</w:t>
      </w:r>
      <w:r w:rsidRPr="00554886">
        <w:rPr>
          <w:rFonts w:cstheme="minorHAnsi"/>
          <w:bCs/>
          <w:color w:val="0000FF"/>
          <w:spacing w:val="-1"/>
          <w:sz w:val="24"/>
          <w:szCs w:val="24"/>
          <w:vertAlign w:val="subscript"/>
        </w:rPr>
        <w:t>j</w:t>
      </w:r>
      <w:proofErr w:type="spellEnd"/>
      <w:r w:rsidRPr="00554886">
        <w:rPr>
          <w:rFonts w:cstheme="minorHAnsi"/>
          <w:bCs/>
          <w:color w:val="0000FF"/>
          <w:spacing w:val="-1"/>
          <w:sz w:val="24"/>
          <w:szCs w:val="24"/>
        </w:rPr>
        <w:t xml:space="preserve">, is the standardized risk ratio </w:t>
      </w:r>
      <w:r w:rsidRPr="00554886">
        <w:rPr>
          <w:rFonts w:cstheme="minorHAnsi"/>
          <w:color w:val="0000FF"/>
          <w:spacing w:val="-1"/>
          <w:sz w:val="24"/>
          <w:szCs w:val="24"/>
        </w:rPr>
        <w:t xml:space="preserve">for </w:t>
      </w:r>
      <w:proofErr w:type="spellStart"/>
      <w:r w:rsidRPr="00554886">
        <w:rPr>
          <w:rFonts w:cstheme="minorHAnsi"/>
          <w:color w:val="0000FF"/>
          <w:spacing w:val="-1"/>
          <w:sz w:val="24"/>
          <w:szCs w:val="24"/>
        </w:rPr>
        <w:t>IRF</w:t>
      </w:r>
      <w:r w:rsidRPr="00554886">
        <w:rPr>
          <w:rFonts w:cstheme="minorHAnsi"/>
          <w:color w:val="0000FF"/>
          <w:spacing w:val="-1"/>
          <w:sz w:val="24"/>
          <w:szCs w:val="24"/>
          <w:vertAlign w:val="subscript"/>
        </w:rPr>
        <w:t>j</w:t>
      </w:r>
      <w:proofErr w:type="spellEnd"/>
      <w:r w:rsidRPr="00554886">
        <w:rPr>
          <w:rFonts w:cstheme="minorHAnsi"/>
          <w:color w:val="0000FF"/>
          <w:spacing w:val="-1"/>
          <w:sz w:val="24"/>
          <w:szCs w:val="24"/>
        </w:rPr>
        <w:t xml:space="preserve">. </w:t>
      </w:r>
      <w:r w:rsidRPr="00554886">
        <w:rPr>
          <w:rFonts w:cstheme="minorHAnsi"/>
          <w:color w:val="0000FF"/>
          <w:sz w:val="24"/>
          <w:szCs w:val="24"/>
        </w:rPr>
        <w:t xml:space="preserve">To aid interpretation, </w:t>
      </w:r>
      <w:r w:rsidRPr="00554886">
        <w:rPr>
          <w:rFonts w:cstheme="minorHAnsi"/>
          <w:bCs/>
          <w:color w:val="0000FF"/>
          <w:spacing w:val="-1"/>
          <w:sz w:val="24"/>
          <w:szCs w:val="24"/>
        </w:rPr>
        <w:t>the standardized risk ratio,</w:t>
      </w:r>
      <w:r w:rsidRPr="00554886">
        <w:rPr>
          <w:rFonts w:cstheme="minorHAnsi"/>
          <w:color w:val="0000FF"/>
          <w:spacing w:val="-1"/>
          <w:sz w:val="24"/>
          <w:szCs w:val="24"/>
        </w:rPr>
        <w:t xml:space="preserve"> </w:t>
      </w:r>
      <w:proofErr w:type="spellStart"/>
      <w:r w:rsidRPr="00554886">
        <w:rPr>
          <w:rFonts w:cstheme="minorHAnsi"/>
          <w:bCs/>
          <w:color w:val="0000FF"/>
          <w:spacing w:val="-1"/>
          <w:sz w:val="24"/>
          <w:szCs w:val="24"/>
        </w:rPr>
        <w:t>SRR</w:t>
      </w:r>
      <w:r w:rsidRPr="00554886">
        <w:rPr>
          <w:rFonts w:cstheme="minorHAnsi"/>
          <w:bCs/>
          <w:color w:val="0000FF"/>
          <w:spacing w:val="-1"/>
          <w:sz w:val="24"/>
          <w:szCs w:val="24"/>
          <w:vertAlign w:val="subscript"/>
        </w:rPr>
        <w:t>j</w:t>
      </w:r>
      <w:proofErr w:type="spellEnd"/>
      <w:r w:rsidRPr="00554886">
        <w:rPr>
          <w:rFonts w:cstheme="minorHAnsi"/>
          <w:bCs/>
          <w:color w:val="0000FF"/>
          <w:spacing w:val="-1"/>
          <w:sz w:val="24"/>
          <w:szCs w:val="24"/>
        </w:rPr>
        <w:t xml:space="preserve">, </w:t>
      </w:r>
      <w:r w:rsidRPr="00554886">
        <w:rPr>
          <w:rFonts w:cstheme="minorHAnsi"/>
          <w:color w:val="0000FF"/>
          <w:sz w:val="24"/>
          <w:szCs w:val="24"/>
        </w:rPr>
        <w:t xml:space="preserve">is then multiplied by the overall national raw readmission </w:t>
      </w:r>
      <w:r w:rsidRPr="00554886">
        <w:rPr>
          <w:rFonts w:cstheme="minorHAnsi"/>
          <w:color w:val="0000FF"/>
          <w:spacing w:val="-1"/>
          <w:sz w:val="24"/>
          <w:szCs w:val="24"/>
        </w:rPr>
        <w:t xml:space="preserve">rate for all IRF stays, </w:t>
      </w:r>
      <w:r w:rsidRPr="00554886">
        <w:rPr>
          <w:rFonts w:hAnsi="Tahoma" w:cs="Tahoma"/>
          <w:i/>
          <w:iCs/>
          <w:color w:val="0000FF"/>
          <w:spacing w:val="-1"/>
          <w:sz w:val="24"/>
          <w:szCs w:val="24"/>
        </w:rPr>
        <w:t>Ῡ</w:t>
      </w:r>
      <w:r w:rsidRPr="00554886">
        <w:rPr>
          <w:rFonts w:cstheme="minorHAnsi"/>
          <w:color w:val="0000FF"/>
          <w:spacing w:val="-1"/>
          <w:sz w:val="24"/>
          <w:szCs w:val="24"/>
        </w:rPr>
        <w:t xml:space="preserve">, to produce </w:t>
      </w:r>
      <w:r w:rsidRPr="00554886">
        <w:rPr>
          <w:rFonts w:cstheme="minorHAnsi"/>
          <w:bCs/>
          <w:color w:val="0000FF"/>
          <w:spacing w:val="-1"/>
          <w:sz w:val="24"/>
          <w:szCs w:val="24"/>
        </w:rPr>
        <w:t>the risk-standardized readmission rate (</w:t>
      </w:r>
      <w:proofErr w:type="spellStart"/>
      <w:r w:rsidRPr="00554886">
        <w:rPr>
          <w:rFonts w:cstheme="minorHAnsi"/>
          <w:bCs/>
          <w:color w:val="0000FF"/>
          <w:spacing w:val="-1"/>
          <w:sz w:val="24"/>
          <w:szCs w:val="24"/>
        </w:rPr>
        <w:t>RSRR</w:t>
      </w:r>
      <w:r w:rsidRPr="00554886">
        <w:rPr>
          <w:rFonts w:cstheme="minorHAnsi"/>
          <w:bCs/>
          <w:color w:val="0000FF"/>
          <w:spacing w:val="-1"/>
          <w:sz w:val="24"/>
          <w:szCs w:val="24"/>
          <w:vertAlign w:val="subscript"/>
        </w:rPr>
        <w:t>j</w:t>
      </w:r>
      <w:proofErr w:type="spellEnd"/>
      <w:r w:rsidRPr="00554886">
        <w:rPr>
          <w:rFonts w:cstheme="minorHAnsi"/>
          <w:bCs/>
          <w:color w:val="0000FF"/>
          <w:spacing w:val="-1"/>
          <w:sz w:val="24"/>
          <w:szCs w:val="24"/>
        </w:rPr>
        <w:t>).</w:t>
      </w:r>
    </w:p>
    <w:p w:rsidR="00554886" w:rsidRPr="00554886" w:rsidRDefault="00554886" w:rsidP="00554886">
      <w:pPr>
        <w:spacing w:after="0"/>
        <w:rPr>
          <w:rFonts w:cstheme="minorHAnsi"/>
          <w:color w:val="0000FF"/>
          <w:spacing w:val="-9"/>
          <w:sz w:val="24"/>
          <w:szCs w:val="24"/>
        </w:rPr>
      </w:pPr>
      <w:r w:rsidRPr="00554886">
        <w:rPr>
          <w:rFonts w:cstheme="minorHAnsi"/>
          <w:color w:val="0000FF"/>
          <w:spacing w:val="-5"/>
          <w:sz w:val="24"/>
          <w:szCs w:val="24"/>
        </w:rPr>
        <w:tab/>
      </w:r>
      <w:r w:rsidRPr="00554886">
        <w:rPr>
          <w:rFonts w:cstheme="minorHAnsi"/>
          <w:color w:val="0000FF"/>
          <w:spacing w:val="-5"/>
          <w:sz w:val="24"/>
          <w:szCs w:val="24"/>
        </w:rPr>
        <w:tab/>
      </w:r>
      <w:r w:rsidRPr="00554886">
        <w:rPr>
          <w:rFonts w:cstheme="minorHAnsi"/>
          <w:color w:val="0000FF"/>
          <w:spacing w:val="-5"/>
          <w:sz w:val="24"/>
          <w:szCs w:val="24"/>
        </w:rPr>
        <w:tab/>
      </w:r>
      <w:r w:rsidRPr="00554886">
        <w:rPr>
          <w:rFonts w:cstheme="minorHAnsi"/>
          <w:color w:val="0000FF"/>
          <w:spacing w:val="-5"/>
          <w:sz w:val="24"/>
          <w:szCs w:val="24"/>
        </w:rPr>
        <w:tab/>
      </w:r>
      <w:proofErr w:type="spellStart"/>
      <w:r w:rsidRPr="00554886">
        <w:rPr>
          <w:rFonts w:cstheme="minorHAnsi"/>
          <w:color w:val="0000FF"/>
          <w:spacing w:val="-5"/>
          <w:sz w:val="24"/>
          <w:szCs w:val="24"/>
        </w:rPr>
        <w:t>RSRR</w:t>
      </w:r>
      <w:r w:rsidRPr="00554886">
        <w:rPr>
          <w:rFonts w:cstheme="minorHAnsi"/>
          <w:color w:val="0000FF"/>
          <w:spacing w:val="-5"/>
          <w:sz w:val="24"/>
          <w:szCs w:val="24"/>
          <w:vertAlign w:val="subscript"/>
        </w:rPr>
        <w:t>j</w:t>
      </w:r>
      <w:proofErr w:type="spellEnd"/>
      <w:r w:rsidRPr="00554886">
        <w:rPr>
          <w:rFonts w:cstheme="minorHAnsi"/>
          <w:color w:val="0000FF"/>
          <w:spacing w:val="-5"/>
          <w:sz w:val="24"/>
          <w:szCs w:val="24"/>
        </w:rPr>
        <w:t xml:space="preserve"> = </w:t>
      </w:r>
      <w:proofErr w:type="spellStart"/>
      <w:r w:rsidRPr="00554886">
        <w:rPr>
          <w:rFonts w:cstheme="minorHAnsi"/>
          <w:color w:val="0000FF"/>
          <w:spacing w:val="-5"/>
          <w:sz w:val="24"/>
          <w:szCs w:val="24"/>
        </w:rPr>
        <w:t>SRR</w:t>
      </w:r>
      <w:r w:rsidRPr="00554886">
        <w:rPr>
          <w:rFonts w:cstheme="minorHAnsi"/>
          <w:color w:val="0000FF"/>
          <w:spacing w:val="-5"/>
          <w:sz w:val="24"/>
          <w:szCs w:val="24"/>
          <w:vertAlign w:val="subscript"/>
        </w:rPr>
        <w:t>j</w:t>
      </w:r>
      <w:proofErr w:type="spellEnd"/>
      <w:r w:rsidRPr="00554886">
        <w:rPr>
          <w:rFonts w:cstheme="minorHAnsi"/>
          <w:color w:val="0000FF"/>
          <w:spacing w:val="-5"/>
          <w:sz w:val="24"/>
          <w:szCs w:val="24"/>
        </w:rPr>
        <w:t>*</w:t>
      </w:r>
      <w:r w:rsidR="00472A04" w:rsidRPr="00472A04">
        <w:rPr>
          <w:rFonts w:hAnsi="Tahoma" w:cs="Tahoma"/>
          <w:iCs/>
          <w:color w:val="0000FF"/>
          <w:spacing w:val="-1"/>
          <w:sz w:val="24"/>
          <w:szCs w:val="24"/>
        </w:rPr>
        <w:t>Ῡ</w:t>
      </w:r>
      <w:r w:rsidRPr="00AA63BB">
        <w:rPr>
          <w:rFonts w:cstheme="minorHAnsi"/>
          <w:color w:val="0000FF"/>
          <w:sz w:val="24"/>
          <w:szCs w:val="24"/>
        </w:rPr>
        <w:tab/>
      </w:r>
      <w:r w:rsidRPr="00554886">
        <w:rPr>
          <w:rFonts w:cstheme="minorHAnsi"/>
          <w:color w:val="0000FF"/>
          <w:sz w:val="24"/>
          <w:szCs w:val="24"/>
        </w:rPr>
        <w:tab/>
      </w:r>
      <w:r w:rsidRPr="00554886">
        <w:rPr>
          <w:rFonts w:cstheme="minorHAnsi"/>
          <w:color w:val="0000FF"/>
          <w:sz w:val="24"/>
          <w:szCs w:val="24"/>
        </w:rPr>
        <w:tab/>
      </w:r>
      <w:r w:rsidRPr="00554886">
        <w:rPr>
          <w:rFonts w:cstheme="minorHAnsi"/>
          <w:color w:val="0000FF"/>
          <w:sz w:val="24"/>
          <w:szCs w:val="24"/>
        </w:rPr>
        <w:tab/>
      </w:r>
      <w:r w:rsidRPr="00554886">
        <w:rPr>
          <w:rFonts w:cstheme="minorHAnsi"/>
          <w:color w:val="0000FF"/>
          <w:sz w:val="24"/>
          <w:szCs w:val="24"/>
        </w:rPr>
        <w:tab/>
      </w:r>
      <w:r w:rsidRPr="00554886">
        <w:rPr>
          <w:rFonts w:cstheme="minorHAnsi"/>
          <w:color w:val="0000FF"/>
          <w:sz w:val="24"/>
          <w:szCs w:val="24"/>
        </w:rPr>
        <w:tab/>
      </w:r>
      <w:r w:rsidRPr="00554886">
        <w:rPr>
          <w:rFonts w:cstheme="minorHAnsi"/>
          <w:color w:val="0000FF"/>
          <w:sz w:val="24"/>
          <w:szCs w:val="24"/>
        </w:rPr>
        <w:tab/>
      </w:r>
      <w:r w:rsidRPr="00554886">
        <w:rPr>
          <w:rFonts w:cstheme="minorHAnsi"/>
          <w:color w:val="0000FF"/>
          <w:spacing w:val="-9"/>
          <w:sz w:val="24"/>
          <w:szCs w:val="24"/>
        </w:rPr>
        <w:t>(5)</w:t>
      </w:r>
    </w:p>
    <w:p w:rsidR="00554886" w:rsidRPr="00554886" w:rsidRDefault="00554886" w:rsidP="00554886">
      <w:pPr>
        <w:rPr>
          <w:rFonts w:cstheme="minorHAnsi"/>
          <w:color w:val="0000FF"/>
          <w:sz w:val="24"/>
          <w:szCs w:val="24"/>
        </w:rPr>
      </w:pPr>
      <w:r w:rsidRPr="00554886">
        <w:rPr>
          <w:rFonts w:cstheme="minorHAnsi"/>
          <w:color w:val="0000FF"/>
          <w:sz w:val="24"/>
          <w:szCs w:val="24"/>
        </w:rPr>
        <w:t xml:space="preserve">NOTE: Because the statistic described in Equation (5) is a complex function of parameter </w:t>
      </w:r>
      <w:r w:rsidRPr="00554886">
        <w:rPr>
          <w:rFonts w:cstheme="minorHAnsi"/>
          <w:color w:val="0000FF"/>
          <w:spacing w:val="-1"/>
          <w:sz w:val="24"/>
          <w:szCs w:val="24"/>
        </w:rPr>
        <w:t xml:space="preserve">estimates, re-sampling and simulation techniques (e.g. bootstrapping) are necessary to derive an interval estimate for </w:t>
      </w:r>
      <w:r w:rsidRPr="00554886">
        <w:rPr>
          <w:rFonts w:cstheme="minorHAnsi"/>
          <w:color w:val="0000FF"/>
          <w:sz w:val="24"/>
          <w:szCs w:val="24"/>
        </w:rPr>
        <w:t xml:space="preserve">the final risk-standardized rate to characterize the uncertainty of the estimate. </w:t>
      </w:r>
    </w:p>
    <w:p w:rsidR="00554886" w:rsidRPr="00554886" w:rsidRDefault="00554886" w:rsidP="00554886">
      <w:pPr>
        <w:keepNext/>
        <w:spacing w:after="0"/>
        <w:rPr>
          <w:b/>
          <w:bCs/>
          <w:i/>
          <w:iCs/>
          <w:color w:val="0000FF"/>
          <w:sz w:val="24"/>
          <w:szCs w:val="24"/>
        </w:rPr>
      </w:pPr>
      <w:r w:rsidRPr="00554886">
        <w:rPr>
          <w:b/>
          <w:bCs/>
          <w:i/>
          <w:iCs/>
          <w:color w:val="0000FF"/>
          <w:sz w:val="24"/>
          <w:szCs w:val="24"/>
        </w:rPr>
        <w:t>References:</w:t>
      </w:r>
    </w:p>
    <w:p w:rsidR="00554886" w:rsidRPr="00554886" w:rsidRDefault="00554886" w:rsidP="00554886">
      <w:pPr>
        <w:autoSpaceDE w:val="0"/>
        <w:autoSpaceDN w:val="0"/>
        <w:adjustRightInd w:val="0"/>
        <w:spacing w:before="120" w:after="120"/>
        <w:rPr>
          <w:rFonts w:cstheme="minorHAnsi"/>
          <w:color w:val="0000FF"/>
          <w:sz w:val="24"/>
          <w:szCs w:val="24"/>
        </w:rPr>
      </w:pPr>
      <w:proofErr w:type="spellStart"/>
      <w:r w:rsidRPr="00554886">
        <w:rPr>
          <w:rFonts w:cstheme="minorHAnsi"/>
          <w:color w:val="0000FF"/>
          <w:sz w:val="24"/>
          <w:szCs w:val="24"/>
        </w:rPr>
        <w:t>Horwitz</w:t>
      </w:r>
      <w:proofErr w:type="spellEnd"/>
      <w:r w:rsidRPr="00554886">
        <w:rPr>
          <w:rFonts w:cstheme="minorHAnsi"/>
          <w:color w:val="0000FF"/>
          <w:sz w:val="24"/>
          <w:szCs w:val="24"/>
        </w:rPr>
        <w:t xml:space="preserve"> L, </w:t>
      </w:r>
      <w:proofErr w:type="spellStart"/>
      <w:r w:rsidRPr="00554886">
        <w:rPr>
          <w:rFonts w:eastAsiaTheme="minorHAnsi" w:cs="Arial"/>
          <w:color w:val="0000FF"/>
          <w:sz w:val="24"/>
          <w:szCs w:val="24"/>
        </w:rPr>
        <w:t>Partovian</w:t>
      </w:r>
      <w:proofErr w:type="spellEnd"/>
      <w:r w:rsidRPr="00554886">
        <w:rPr>
          <w:rFonts w:cstheme="minorHAnsi"/>
          <w:color w:val="0000FF"/>
          <w:sz w:val="24"/>
          <w:szCs w:val="24"/>
        </w:rPr>
        <w:t xml:space="preserve"> C, Lin Z, Herrin </w:t>
      </w:r>
      <w:proofErr w:type="spellStart"/>
      <w:r w:rsidRPr="00554886">
        <w:rPr>
          <w:rFonts w:cstheme="minorHAnsi"/>
          <w:color w:val="0000FF"/>
          <w:sz w:val="24"/>
          <w:szCs w:val="24"/>
        </w:rPr>
        <w:t>Jeph</w:t>
      </w:r>
      <w:proofErr w:type="spellEnd"/>
      <w:r w:rsidRPr="00554886">
        <w:rPr>
          <w:rFonts w:cstheme="minorHAnsi"/>
          <w:color w:val="0000FF"/>
          <w:sz w:val="24"/>
          <w:szCs w:val="24"/>
        </w:rPr>
        <w:t xml:space="preserve">, Grady J, Conover M, Montague J, </w:t>
      </w:r>
      <w:proofErr w:type="spellStart"/>
      <w:r w:rsidRPr="00554886">
        <w:rPr>
          <w:rFonts w:cstheme="minorHAnsi"/>
          <w:color w:val="0000FF"/>
          <w:sz w:val="24"/>
          <w:szCs w:val="24"/>
        </w:rPr>
        <w:t>Dillaway</w:t>
      </w:r>
      <w:proofErr w:type="spellEnd"/>
      <w:r w:rsidRPr="00554886">
        <w:rPr>
          <w:rFonts w:cstheme="minorHAnsi"/>
          <w:color w:val="0000FF"/>
          <w:sz w:val="24"/>
          <w:szCs w:val="24"/>
        </w:rPr>
        <w:t xml:space="preserve"> C, </w:t>
      </w:r>
      <w:proofErr w:type="spellStart"/>
      <w:r w:rsidRPr="00554886">
        <w:rPr>
          <w:rFonts w:cstheme="minorHAnsi"/>
          <w:color w:val="0000FF"/>
          <w:sz w:val="24"/>
          <w:szCs w:val="24"/>
        </w:rPr>
        <w:t>Bartczak</w:t>
      </w:r>
      <w:proofErr w:type="spellEnd"/>
      <w:r w:rsidRPr="00554886">
        <w:rPr>
          <w:rFonts w:cstheme="minorHAnsi"/>
          <w:color w:val="0000FF"/>
          <w:sz w:val="24"/>
          <w:szCs w:val="24"/>
        </w:rPr>
        <w:t xml:space="preserve"> K, Suter L, Ross J, </w:t>
      </w:r>
      <w:proofErr w:type="spellStart"/>
      <w:r w:rsidRPr="00554886">
        <w:rPr>
          <w:rFonts w:cstheme="minorHAnsi"/>
          <w:color w:val="0000FF"/>
          <w:sz w:val="24"/>
          <w:szCs w:val="24"/>
        </w:rPr>
        <w:t>Bernheim</w:t>
      </w:r>
      <w:proofErr w:type="spellEnd"/>
      <w:r w:rsidRPr="00554886">
        <w:rPr>
          <w:rFonts w:cstheme="minorHAnsi"/>
          <w:color w:val="0000FF"/>
          <w:sz w:val="24"/>
          <w:szCs w:val="24"/>
        </w:rPr>
        <w:t xml:space="preserve"> S, </w:t>
      </w:r>
      <w:proofErr w:type="spellStart"/>
      <w:r w:rsidRPr="00554886">
        <w:rPr>
          <w:rFonts w:cstheme="minorHAnsi"/>
          <w:color w:val="0000FF"/>
          <w:sz w:val="24"/>
          <w:szCs w:val="24"/>
        </w:rPr>
        <w:t>Krumholz</w:t>
      </w:r>
      <w:proofErr w:type="spellEnd"/>
      <w:r w:rsidRPr="00554886">
        <w:rPr>
          <w:rFonts w:cstheme="minorHAnsi"/>
          <w:color w:val="0000FF"/>
          <w:sz w:val="24"/>
          <w:szCs w:val="24"/>
        </w:rPr>
        <w:t xml:space="preserve"> H, </w:t>
      </w:r>
      <w:proofErr w:type="spellStart"/>
      <w:r w:rsidRPr="00554886">
        <w:rPr>
          <w:rFonts w:cstheme="minorHAnsi"/>
          <w:color w:val="0000FF"/>
          <w:sz w:val="24"/>
          <w:szCs w:val="24"/>
        </w:rPr>
        <w:t>Drye</w:t>
      </w:r>
      <w:proofErr w:type="spellEnd"/>
      <w:r w:rsidRPr="00554886">
        <w:rPr>
          <w:rFonts w:cstheme="minorHAnsi"/>
          <w:color w:val="0000FF"/>
          <w:sz w:val="24"/>
          <w:szCs w:val="24"/>
        </w:rPr>
        <w:t xml:space="preserve"> E. Hospital-Wide All-Cause Unplanned Readmission Measure Final Technical Report. July 2012.</w:t>
      </w:r>
    </w:p>
    <w:p w:rsidR="00554886" w:rsidRPr="00554886" w:rsidRDefault="00554886" w:rsidP="00554886">
      <w:pPr>
        <w:autoSpaceDE w:val="0"/>
        <w:autoSpaceDN w:val="0"/>
        <w:adjustRightInd w:val="0"/>
        <w:spacing w:before="120" w:after="120"/>
        <w:rPr>
          <w:rFonts w:cstheme="minorHAnsi"/>
          <w:color w:val="0000FF"/>
          <w:sz w:val="24"/>
          <w:szCs w:val="24"/>
        </w:rPr>
      </w:pPr>
      <w:proofErr w:type="gramStart"/>
      <w:r w:rsidRPr="00554886">
        <w:rPr>
          <w:rFonts w:cstheme="minorHAnsi"/>
          <w:color w:val="0000FF"/>
          <w:sz w:val="24"/>
          <w:szCs w:val="24"/>
        </w:rPr>
        <w:t>Pope GC, Ellis RP, Ash AS, et al. Principal inpatient diagnostic cost group model for Medicare risk adjustment.</w:t>
      </w:r>
      <w:proofErr w:type="gramEnd"/>
      <w:r w:rsidRPr="00554886">
        <w:rPr>
          <w:rFonts w:cstheme="minorHAnsi"/>
          <w:color w:val="0000FF"/>
          <w:sz w:val="24"/>
          <w:szCs w:val="24"/>
        </w:rPr>
        <w:t xml:space="preserve"> </w:t>
      </w:r>
      <w:proofErr w:type="gramStart"/>
      <w:r w:rsidRPr="00554886">
        <w:rPr>
          <w:rFonts w:cstheme="minorHAnsi"/>
          <w:i/>
          <w:color w:val="0000FF"/>
          <w:sz w:val="24"/>
          <w:szCs w:val="24"/>
        </w:rPr>
        <w:t>Health Care Financing Review</w:t>
      </w:r>
      <w:r w:rsidRPr="00554886">
        <w:rPr>
          <w:rFonts w:cstheme="minorHAnsi"/>
          <w:color w:val="0000FF"/>
          <w:sz w:val="24"/>
          <w:szCs w:val="24"/>
        </w:rPr>
        <w:t>.</w:t>
      </w:r>
      <w:proofErr w:type="gramEnd"/>
      <w:r w:rsidRPr="00554886">
        <w:rPr>
          <w:rFonts w:cstheme="minorHAnsi"/>
          <w:color w:val="0000FF"/>
          <w:sz w:val="24"/>
          <w:szCs w:val="24"/>
        </w:rPr>
        <w:t xml:space="preserve"> 2000; 21(3):93-118.</w:t>
      </w:r>
    </w:p>
    <w:p w:rsidR="00001D73" w:rsidRPr="00001D73" w:rsidRDefault="00001D73" w:rsidP="00001D73">
      <w:pPr>
        <w:autoSpaceDE w:val="0"/>
        <w:autoSpaceDN w:val="0"/>
        <w:adjustRightInd w:val="0"/>
        <w:spacing w:after="0" w:line="240" w:lineRule="auto"/>
        <w:rPr>
          <w:rFonts w:cstheme="minorHAnsi"/>
          <w:bCs/>
        </w:rPr>
      </w:pPr>
    </w:p>
    <w:p w:rsidR="00F915A3" w:rsidRDefault="00F915A3">
      <w:pPr>
        <w:rPr>
          <w:rFonts w:cstheme="minorHAnsi"/>
          <w:b/>
          <w:bCs/>
        </w:rPr>
      </w:pPr>
      <w:r>
        <w:rPr>
          <w:rFonts w:cstheme="minorHAnsi"/>
          <w:b/>
          <w:bCs/>
        </w:rPr>
        <w:br w:type="page"/>
      </w:r>
    </w:p>
    <w:p w:rsidR="00092566" w:rsidRDefault="00092566" w:rsidP="00001D73">
      <w:pPr>
        <w:autoSpaceDE w:val="0"/>
        <w:autoSpaceDN w:val="0"/>
        <w:adjustRightInd w:val="0"/>
        <w:spacing w:after="0" w:line="240" w:lineRule="auto"/>
        <w:rPr>
          <w:rFonts w:cstheme="minorHAnsi"/>
          <w:b/>
          <w:bCs/>
        </w:rPr>
      </w:pPr>
      <w:r>
        <w:rPr>
          <w:rFonts w:cstheme="minorHAnsi"/>
          <w:b/>
          <w:bCs/>
        </w:rPr>
        <w:lastRenderedPageBreak/>
        <w:t xml:space="preserve">2b4.4. </w:t>
      </w:r>
      <w:r w:rsidRPr="00A25024">
        <w:rPr>
          <w:rFonts w:cstheme="minorHAnsi"/>
          <w:b/>
          <w:bCs/>
        </w:rPr>
        <w:t>What were the statistical results of the analyses used to select risk factors?</w:t>
      </w:r>
      <w:r w:rsidR="00001D73">
        <w:rPr>
          <w:rFonts w:cstheme="minorHAnsi"/>
          <w:b/>
          <w:bCs/>
        </w:rPr>
        <w:br/>
      </w:r>
    </w:p>
    <w:p w:rsidR="00BA3000" w:rsidRPr="00BA3000" w:rsidRDefault="00BA3000" w:rsidP="00BA3000">
      <w:pPr>
        <w:rPr>
          <w:color w:val="0000FF"/>
          <w:sz w:val="24"/>
          <w:szCs w:val="24"/>
        </w:rPr>
      </w:pPr>
      <w:r w:rsidRPr="00BA3000">
        <w:rPr>
          <w:color w:val="0000FF"/>
          <w:sz w:val="24"/>
          <w:szCs w:val="24"/>
        </w:rPr>
        <w:t>We fit a logistic regression model to estimate readmission rate</w:t>
      </w:r>
      <w:r w:rsidR="00F038FE">
        <w:rPr>
          <w:color w:val="0000FF"/>
          <w:sz w:val="24"/>
          <w:szCs w:val="24"/>
        </w:rPr>
        <w:t>s</w:t>
      </w:r>
      <w:r w:rsidRPr="00BA3000">
        <w:rPr>
          <w:color w:val="0000FF"/>
          <w:sz w:val="24"/>
          <w:szCs w:val="24"/>
        </w:rPr>
        <w:t xml:space="preserve">. The final set of risk variables included in each model, along with the percentage of patients with the characteristic of each risk variable and the adjusted odds ratio for each risk variable, are detailed in </w:t>
      </w:r>
      <w:r w:rsidRPr="00BA3000">
        <w:rPr>
          <w:b/>
          <w:bCs/>
          <w:color w:val="0000FF"/>
          <w:sz w:val="24"/>
          <w:szCs w:val="24"/>
        </w:rPr>
        <w:t>Appendix C</w:t>
      </w:r>
      <w:r w:rsidRPr="00BA3000">
        <w:rPr>
          <w:color w:val="0000FF"/>
          <w:sz w:val="24"/>
          <w:szCs w:val="24"/>
        </w:rPr>
        <w:t>.</w:t>
      </w:r>
    </w:p>
    <w:p w:rsidR="00BA3000" w:rsidRPr="00BA3000" w:rsidRDefault="00BA3000" w:rsidP="00BA3000">
      <w:pPr>
        <w:rPr>
          <w:color w:val="0000FF"/>
          <w:sz w:val="24"/>
          <w:szCs w:val="24"/>
        </w:rPr>
      </w:pPr>
      <w:r w:rsidRPr="00BA3000">
        <w:rPr>
          <w:color w:val="0000FF"/>
          <w:sz w:val="24"/>
          <w:szCs w:val="24"/>
        </w:rPr>
        <w:t xml:space="preserve">The model yielded an overall C-statistic of 0.69, which is equal to or greater than that from other comparable readmission measures. </w:t>
      </w:r>
    </w:p>
    <w:p w:rsidR="00BA3000" w:rsidRPr="00BA3000" w:rsidRDefault="00BA3000" w:rsidP="00BA3000">
      <w:pPr>
        <w:rPr>
          <w:color w:val="0000FF"/>
          <w:sz w:val="24"/>
          <w:szCs w:val="24"/>
        </w:rPr>
      </w:pPr>
      <w:r w:rsidRPr="00BA3000">
        <w:rPr>
          <w:color w:val="0000FF"/>
          <w:sz w:val="24"/>
          <w:szCs w:val="24"/>
        </w:rPr>
        <w:t xml:space="preserve">We estimated a hierarchical logistic regression model and calculated the respective RSRR for each facility. </w:t>
      </w:r>
      <w:r w:rsidRPr="00BA3000">
        <w:rPr>
          <w:b/>
          <w:bCs/>
          <w:color w:val="0000FF"/>
          <w:sz w:val="24"/>
          <w:szCs w:val="24"/>
        </w:rPr>
        <w:t>T</w:t>
      </w:r>
      <w:r w:rsidR="006E7102">
        <w:rPr>
          <w:b/>
          <w:bCs/>
          <w:color w:val="0000FF"/>
          <w:sz w:val="24"/>
          <w:szCs w:val="24"/>
        </w:rPr>
        <w:t>esting T</w:t>
      </w:r>
      <w:r w:rsidRPr="00BA3000">
        <w:rPr>
          <w:b/>
          <w:bCs/>
          <w:color w:val="0000FF"/>
          <w:sz w:val="24"/>
          <w:szCs w:val="24"/>
        </w:rPr>
        <w:t>able 2</w:t>
      </w:r>
      <w:r w:rsidRPr="00BA3000">
        <w:rPr>
          <w:color w:val="0000FF"/>
          <w:sz w:val="24"/>
          <w:szCs w:val="24"/>
        </w:rPr>
        <w:t xml:space="preserve"> below shows the distribution across facilities of the unadjusted (observed) and risk standardized readmission rates from the model. </w:t>
      </w:r>
    </w:p>
    <w:p w:rsidR="00BA3000" w:rsidRPr="00BA3000" w:rsidRDefault="00BA3000" w:rsidP="00BA3000">
      <w:pPr>
        <w:rPr>
          <w:color w:val="0000FF"/>
          <w:sz w:val="24"/>
          <w:szCs w:val="24"/>
        </w:rPr>
      </w:pPr>
      <w:r w:rsidRPr="00BA3000">
        <w:rPr>
          <w:color w:val="0000FF"/>
          <w:sz w:val="24"/>
          <w:szCs w:val="24"/>
        </w:rPr>
        <w:t xml:space="preserve">As shown in </w:t>
      </w:r>
      <w:r w:rsidRPr="00BA3000">
        <w:rPr>
          <w:b/>
          <w:bCs/>
          <w:color w:val="0000FF"/>
          <w:sz w:val="24"/>
          <w:szCs w:val="24"/>
        </w:rPr>
        <w:t>T</w:t>
      </w:r>
      <w:r w:rsidR="006E7102">
        <w:rPr>
          <w:b/>
          <w:bCs/>
          <w:color w:val="0000FF"/>
          <w:sz w:val="24"/>
          <w:szCs w:val="24"/>
        </w:rPr>
        <w:t>esting T</w:t>
      </w:r>
      <w:r w:rsidRPr="00BA3000">
        <w:rPr>
          <w:b/>
          <w:bCs/>
          <w:color w:val="0000FF"/>
          <w:sz w:val="24"/>
          <w:szCs w:val="24"/>
        </w:rPr>
        <w:t>able 2</w:t>
      </w:r>
      <w:r w:rsidRPr="00BA3000">
        <w:rPr>
          <w:color w:val="0000FF"/>
          <w:sz w:val="24"/>
          <w:szCs w:val="24"/>
        </w:rPr>
        <w:t xml:space="preserve">, the unadjusted </w:t>
      </w:r>
      <w:r w:rsidR="00AA63BB">
        <w:rPr>
          <w:color w:val="0000FF"/>
          <w:sz w:val="24"/>
          <w:szCs w:val="24"/>
        </w:rPr>
        <w:t xml:space="preserve">unplanned </w:t>
      </w:r>
      <w:r w:rsidRPr="00BA3000">
        <w:rPr>
          <w:color w:val="0000FF"/>
          <w:sz w:val="24"/>
          <w:szCs w:val="24"/>
        </w:rPr>
        <w:t>readmission rates range from 0.0% to 100.0%, with a median of 12.9% and an interquartile range of 10.7%-15.1%. In contrast, the RSRR has a much narrower range, from 11.1% to 16.1%, with a slightly higher median of 13.5% and a tighter interquartile range of 13.0%-13.9%. The mean RSRR (13.5%) is also slightly higher than the unadjusted rate (13.1%) and the RSRR scores have a much smaller standard deviation (0.7</w:t>
      </w:r>
      <w:r w:rsidR="00CA527E">
        <w:rPr>
          <w:color w:val="0000FF"/>
          <w:sz w:val="24"/>
          <w:szCs w:val="24"/>
        </w:rPr>
        <w:t xml:space="preserve">% </w:t>
      </w:r>
      <w:r w:rsidRPr="00BA3000">
        <w:rPr>
          <w:color w:val="0000FF"/>
          <w:sz w:val="24"/>
          <w:szCs w:val="24"/>
        </w:rPr>
        <w:t>vs. 4.6</w:t>
      </w:r>
      <w:r w:rsidR="00CA527E">
        <w:rPr>
          <w:color w:val="0000FF"/>
          <w:sz w:val="24"/>
          <w:szCs w:val="24"/>
        </w:rPr>
        <w:t>% for the unadjusted unplanned readmission rate)</w:t>
      </w:r>
      <w:r w:rsidRPr="00BA3000">
        <w:rPr>
          <w:color w:val="0000FF"/>
          <w:sz w:val="24"/>
          <w:szCs w:val="24"/>
        </w:rPr>
        <w:t>.</w:t>
      </w:r>
    </w:p>
    <w:p w:rsidR="00BA3000" w:rsidRPr="00BA3000" w:rsidRDefault="006E7102" w:rsidP="00BA3000">
      <w:pPr>
        <w:pStyle w:val="TableTitle"/>
        <w:tabs>
          <w:tab w:val="left" w:pos="900"/>
        </w:tabs>
        <w:spacing w:before="120" w:after="120"/>
        <w:ind w:left="994" w:hanging="994"/>
        <w:jc w:val="left"/>
        <w:rPr>
          <w:rFonts w:asciiTheme="minorHAnsi" w:hAnsiTheme="minorHAnsi"/>
          <w:color w:val="0000FF"/>
        </w:rPr>
      </w:pPr>
      <w:r>
        <w:rPr>
          <w:rFonts w:asciiTheme="minorHAnsi" w:hAnsiTheme="minorHAnsi"/>
          <w:color w:val="0000FF"/>
        </w:rPr>
        <w:t xml:space="preserve">Testing </w:t>
      </w:r>
      <w:r w:rsidR="00BA3000" w:rsidRPr="00BA3000">
        <w:rPr>
          <w:rFonts w:asciiTheme="minorHAnsi" w:hAnsiTheme="minorHAnsi"/>
          <w:color w:val="0000FF"/>
        </w:rPr>
        <w:t>Tabl</w:t>
      </w:r>
      <w:r w:rsidR="00565025">
        <w:rPr>
          <w:rFonts w:asciiTheme="minorHAnsi" w:hAnsiTheme="minorHAnsi"/>
          <w:color w:val="0000FF"/>
        </w:rPr>
        <w:t xml:space="preserve">e 2: </w:t>
      </w:r>
      <w:r w:rsidR="00BA3000" w:rsidRPr="00BA3000">
        <w:rPr>
          <w:rFonts w:asciiTheme="minorHAnsi" w:hAnsiTheme="minorHAnsi"/>
          <w:color w:val="0000FF"/>
        </w:rPr>
        <w:t>Distribution of unadjusted and risk-standardized readmission rates among IRFs, 2010/2011</w:t>
      </w:r>
    </w:p>
    <w:tbl>
      <w:tblPr>
        <w:tblW w:w="9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3"/>
        <w:gridCol w:w="7"/>
        <w:gridCol w:w="783"/>
        <w:gridCol w:w="786"/>
        <w:gridCol w:w="51"/>
        <w:gridCol w:w="734"/>
        <w:gridCol w:w="786"/>
        <w:gridCol w:w="785"/>
        <w:gridCol w:w="786"/>
        <w:gridCol w:w="785"/>
        <w:gridCol w:w="786"/>
        <w:gridCol w:w="785"/>
        <w:gridCol w:w="783"/>
        <w:gridCol w:w="18"/>
      </w:tblGrid>
      <w:tr w:rsidR="00BA3000" w:rsidRPr="00BA3000" w:rsidTr="00AA63BB">
        <w:trPr>
          <w:tblHeader/>
        </w:trPr>
        <w:tc>
          <w:tcPr>
            <w:tcW w:w="1613" w:type="dxa"/>
            <w:tcBorders>
              <w:top w:val="single" w:sz="4" w:space="0" w:color="auto"/>
              <w:left w:val="single" w:sz="6" w:space="0" w:color="000080"/>
              <w:bottom w:val="single" w:sz="4" w:space="0" w:color="auto"/>
              <w:right w:val="single" w:sz="6" w:space="0" w:color="FFFFFF" w:themeColor="background1"/>
            </w:tcBorders>
            <w:shd w:val="clear" w:color="000080" w:fill="0000C8"/>
            <w:vAlign w:val="bottom"/>
          </w:tcPr>
          <w:p w:rsidR="00BA3000" w:rsidRPr="00BA3000" w:rsidRDefault="00BA3000" w:rsidP="00B067EA">
            <w:pPr>
              <w:spacing w:before="40" w:after="40"/>
              <w:jc w:val="center"/>
              <w:rPr>
                <w:rFonts w:cs="Calibri"/>
                <w:b/>
                <w:color w:val="FFFFFF"/>
                <w:sz w:val="24"/>
                <w:szCs w:val="24"/>
              </w:rPr>
            </w:pPr>
          </w:p>
        </w:tc>
        <w:tc>
          <w:tcPr>
            <w:tcW w:w="790" w:type="dxa"/>
            <w:gridSpan w:val="2"/>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BA3000" w:rsidRPr="00BA3000" w:rsidRDefault="00BA3000" w:rsidP="00B067EA">
            <w:pPr>
              <w:spacing w:before="40" w:after="40"/>
              <w:jc w:val="center"/>
              <w:rPr>
                <w:rFonts w:cs="Calibri"/>
                <w:b/>
                <w:color w:val="FFFFFF"/>
                <w:sz w:val="24"/>
                <w:szCs w:val="24"/>
              </w:rPr>
            </w:pPr>
            <w:r w:rsidRPr="00BA3000">
              <w:rPr>
                <w:rFonts w:cs="Calibri"/>
                <w:b/>
                <w:color w:val="FFFFFF"/>
                <w:sz w:val="24"/>
                <w:szCs w:val="24"/>
              </w:rPr>
              <w:t>N</w:t>
            </w:r>
          </w:p>
        </w:tc>
        <w:tc>
          <w:tcPr>
            <w:tcW w:w="837" w:type="dxa"/>
            <w:gridSpan w:val="2"/>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BA3000" w:rsidRPr="00BA3000" w:rsidRDefault="00BA3000" w:rsidP="00B067EA">
            <w:pPr>
              <w:spacing w:before="40" w:after="40"/>
              <w:jc w:val="center"/>
              <w:rPr>
                <w:rFonts w:cs="Calibri"/>
                <w:b/>
                <w:color w:val="FFFFFF"/>
                <w:sz w:val="24"/>
                <w:szCs w:val="24"/>
              </w:rPr>
            </w:pPr>
            <w:r w:rsidRPr="00BA3000">
              <w:rPr>
                <w:rFonts w:cs="Calibri"/>
                <w:b/>
                <w:color w:val="FFFFFF"/>
                <w:sz w:val="24"/>
                <w:szCs w:val="24"/>
              </w:rPr>
              <w:t>Mean</w:t>
            </w:r>
          </w:p>
        </w:tc>
        <w:tc>
          <w:tcPr>
            <w:tcW w:w="734"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BA3000" w:rsidRPr="00BA3000" w:rsidRDefault="00BA3000" w:rsidP="00B067EA">
            <w:pPr>
              <w:spacing w:before="40" w:after="40"/>
              <w:jc w:val="center"/>
              <w:rPr>
                <w:rFonts w:cs="Calibri"/>
                <w:b/>
                <w:color w:val="FFFFFF"/>
                <w:sz w:val="24"/>
                <w:szCs w:val="24"/>
              </w:rPr>
            </w:pPr>
            <w:r w:rsidRPr="00BA3000">
              <w:rPr>
                <w:rFonts w:cs="Calibri"/>
                <w:b/>
                <w:color w:val="FFFFFF"/>
                <w:sz w:val="24"/>
                <w:szCs w:val="24"/>
              </w:rPr>
              <w:t>SD</w:t>
            </w:r>
          </w:p>
        </w:tc>
        <w:tc>
          <w:tcPr>
            <w:tcW w:w="786"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BA3000" w:rsidRPr="00BA3000" w:rsidRDefault="00BA3000" w:rsidP="00B067EA">
            <w:pPr>
              <w:spacing w:before="40" w:after="40"/>
              <w:jc w:val="center"/>
              <w:rPr>
                <w:rFonts w:cs="Calibri"/>
                <w:b/>
                <w:color w:val="FFFFFF"/>
                <w:sz w:val="24"/>
                <w:szCs w:val="24"/>
              </w:rPr>
            </w:pPr>
            <w:r w:rsidRPr="00BA3000">
              <w:rPr>
                <w:rFonts w:cs="Calibri"/>
                <w:b/>
                <w:color w:val="FFFFFF"/>
                <w:sz w:val="24"/>
                <w:szCs w:val="24"/>
              </w:rPr>
              <w:t>Min</w:t>
            </w:r>
          </w:p>
        </w:tc>
        <w:tc>
          <w:tcPr>
            <w:tcW w:w="785"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BA3000" w:rsidRPr="00BA3000" w:rsidRDefault="00BA3000" w:rsidP="00B067EA">
            <w:pPr>
              <w:spacing w:before="40" w:after="40"/>
              <w:jc w:val="center"/>
              <w:rPr>
                <w:rFonts w:cs="Calibri"/>
                <w:b/>
                <w:color w:val="FFFFFF"/>
                <w:sz w:val="24"/>
                <w:szCs w:val="24"/>
              </w:rPr>
            </w:pPr>
            <w:r w:rsidRPr="00BA3000">
              <w:rPr>
                <w:rFonts w:cs="Calibri"/>
                <w:b/>
                <w:color w:val="FFFFFF"/>
                <w:sz w:val="24"/>
                <w:szCs w:val="24"/>
              </w:rPr>
              <w:t xml:space="preserve">10th </w:t>
            </w:r>
            <w:proofErr w:type="spellStart"/>
            <w:r w:rsidRPr="00BA3000">
              <w:rPr>
                <w:rFonts w:cs="Calibri"/>
                <w:b/>
                <w:color w:val="FFFFFF"/>
                <w:sz w:val="24"/>
                <w:szCs w:val="24"/>
              </w:rPr>
              <w:t>Pctl</w:t>
            </w:r>
            <w:proofErr w:type="spellEnd"/>
          </w:p>
        </w:tc>
        <w:tc>
          <w:tcPr>
            <w:tcW w:w="786"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BA3000" w:rsidRPr="00BA3000" w:rsidRDefault="00BA3000" w:rsidP="00B067EA">
            <w:pPr>
              <w:spacing w:before="40" w:after="40"/>
              <w:jc w:val="center"/>
              <w:rPr>
                <w:rFonts w:cs="Calibri"/>
                <w:b/>
                <w:color w:val="FFFFFF"/>
                <w:sz w:val="24"/>
                <w:szCs w:val="24"/>
              </w:rPr>
            </w:pPr>
            <w:r w:rsidRPr="00BA3000">
              <w:rPr>
                <w:rFonts w:cs="Calibri"/>
                <w:b/>
                <w:color w:val="FFFFFF"/>
                <w:sz w:val="24"/>
                <w:szCs w:val="24"/>
              </w:rPr>
              <w:t xml:space="preserve">25th </w:t>
            </w:r>
            <w:proofErr w:type="spellStart"/>
            <w:r w:rsidRPr="00BA3000">
              <w:rPr>
                <w:rFonts w:cs="Calibri"/>
                <w:b/>
                <w:color w:val="FFFFFF"/>
                <w:sz w:val="24"/>
                <w:szCs w:val="24"/>
              </w:rPr>
              <w:t>Pctl</w:t>
            </w:r>
            <w:proofErr w:type="spellEnd"/>
          </w:p>
        </w:tc>
        <w:tc>
          <w:tcPr>
            <w:tcW w:w="785"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tcMar>
              <w:left w:w="0" w:type="dxa"/>
              <w:right w:w="0" w:type="dxa"/>
            </w:tcMar>
            <w:vAlign w:val="bottom"/>
          </w:tcPr>
          <w:p w:rsidR="00BA3000" w:rsidRPr="00BA3000" w:rsidRDefault="00BA3000" w:rsidP="00B067EA">
            <w:pPr>
              <w:spacing w:before="40" w:after="40"/>
              <w:jc w:val="center"/>
              <w:rPr>
                <w:rFonts w:cs="Calibri"/>
                <w:b/>
                <w:color w:val="FFFFFF"/>
                <w:sz w:val="24"/>
                <w:szCs w:val="24"/>
              </w:rPr>
            </w:pPr>
            <w:r w:rsidRPr="00BA3000">
              <w:rPr>
                <w:rFonts w:cs="Calibri"/>
                <w:b/>
                <w:color w:val="FFFFFF"/>
                <w:sz w:val="24"/>
                <w:szCs w:val="24"/>
              </w:rPr>
              <w:t>Median</w:t>
            </w:r>
          </w:p>
        </w:tc>
        <w:tc>
          <w:tcPr>
            <w:tcW w:w="786"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BA3000" w:rsidRPr="00BA3000" w:rsidRDefault="00BA3000" w:rsidP="00B067EA">
            <w:pPr>
              <w:spacing w:before="40" w:after="40"/>
              <w:jc w:val="center"/>
              <w:rPr>
                <w:rFonts w:cs="Calibri"/>
                <w:b/>
                <w:color w:val="FFFFFF"/>
                <w:sz w:val="24"/>
                <w:szCs w:val="24"/>
              </w:rPr>
            </w:pPr>
            <w:r w:rsidRPr="00BA3000">
              <w:rPr>
                <w:rFonts w:cs="Calibri"/>
                <w:b/>
                <w:color w:val="FFFFFF"/>
                <w:sz w:val="24"/>
                <w:szCs w:val="24"/>
              </w:rPr>
              <w:t xml:space="preserve">75th </w:t>
            </w:r>
            <w:proofErr w:type="spellStart"/>
            <w:r w:rsidRPr="00BA3000">
              <w:rPr>
                <w:rFonts w:cs="Calibri"/>
                <w:b/>
                <w:color w:val="FFFFFF"/>
                <w:sz w:val="24"/>
                <w:szCs w:val="24"/>
              </w:rPr>
              <w:t>Pctl</w:t>
            </w:r>
            <w:proofErr w:type="spellEnd"/>
          </w:p>
        </w:tc>
        <w:tc>
          <w:tcPr>
            <w:tcW w:w="785"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BA3000" w:rsidRPr="00BA3000" w:rsidRDefault="00BA3000" w:rsidP="00B067EA">
            <w:pPr>
              <w:spacing w:before="40" w:after="40"/>
              <w:jc w:val="center"/>
              <w:rPr>
                <w:rFonts w:cs="Calibri"/>
                <w:b/>
                <w:color w:val="FFFFFF"/>
                <w:sz w:val="24"/>
                <w:szCs w:val="24"/>
              </w:rPr>
            </w:pPr>
            <w:r w:rsidRPr="00BA3000">
              <w:rPr>
                <w:rFonts w:cs="Calibri"/>
                <w:b/>
                <w:color w:val="FFFFFF"/>
                <w:sz w:val="24"/>
                <w:szCs w:val="24"/>
              </w:rPr>
              <w:t xml:space="preserve">90th </w:t>
            </w:r>
            <w:proofErr w:type="spellStart"/>
            <w:r w:rsidRPr="00BA3000">
              <w:rPr>
                <w:rFonts w:cs="Calibri"/>
                <w:b/>
                <w:color w:val="FFFFFF"/>
                <w:sz w:val="24"/>
                <w:szCs w:val="24"/>
              </w:rPr>
              <w:t>Pctl</w:t>
            </w:r>
            <w:proofErr w:type="spellEnd"/>
          </w:p>
        </w:tc>
        <w:tc>
          <w:tcPr>
            <w:tcW w:w="801" w:type="dxa"/>
            <w:gridSpan w:val="2"/>
            <w:tcBorders>
              <w:top w:val="single" w:sz="4" w:space="0" w:color="auto"/>
              <w:left w:val="single" w:sz="6" w:space="0" w:color="FFFFFF" w:themeColor="background1"/>
              <w:bottom w:val="single" w:sz="4" w:space="0" w:color="auto"/>
              <w:right w:val="single" w:sz="6" w:space="0" w:color="auto"/>
            </w:tcBorders>
            <w:shd w:val="clear" w:color="000080" w:fill="0000C8"/>
            <w:vAlign w:val="bottom"/>
          </w:tcPr>
          <w:p w:rsidR="00BA3000" w:rsidRPr="00BA3000" w:rsidRDefault="00BA3000" w:rsidP="00B067EA">
            <w:pPr>
              <w:spacing w:before="40" w:after="40"/>
              <w:jc w:val="center"/>
              <w:rPr>
                <w:rFonts w:cs="Calibri"/>
                <w:b/>
                <w:color w:val="FFFFFF"/>
                <w:sz w:val="24"/>
                <w:szCs w:val="24"/>
              </w:rPr>
            </w:pPr>
            <w:r w:rsidRPr="00BA3000">
              <w:rPr>
                <w:rFonts w:cs="Calibri"/>
                <w:b/>
                <w:color w:val="FFFFFF"/>
                <w:sz w:val="24"/>
                <w:szCs w:val="24"/>
              </w:rPr>
              <w:t>Max</w:t>
            </w:r>
          </w:p>
        </w:tc>
      </w:tr>
      <w:tr w:rsidR="00BA3000" w:rsidRPr="00BA3000" w:rsidTr="00AA63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8" w:type="dxa"/>
        </w:trPr>
        <w:tc>
          <w:tcPr>
            <w:tcW w:w="1620" w:type="dxa"/>
            <w:gridSpan w:val="2"/>
            <w:tcBorders>
              <w:top w:val="nil"/>
              <w:left w:val="single" w:sz="4" w:space="0" w:color="auto"/>
              <w:bottom w:val="single" w:sz="4" w:space="0" w:color="auto"/>
              <w:right w:val="single" w:sz="4" w:space="0" w:color="auto"/>
            </w:tcBorders>
            <w:shd w:val="clear" w:color="auto" w:fill="auto"/>
            <w:noWrap/>
            <w:hideMark/>
          </w:tcPr>
          <w:p w:rsidR="00BA3000" w:rsidRPr="00BA3000" w:rsidRDefault="00BA3000" w:rsidP="00B067EA">
            <w:pPr>
              <w:spacing w:before="40" w:after="40"/>
              <w:rPr>
                <w:rFonts w:eastAsia="Times New Roman" w:cstheme="minorHAnsi"/>
                <w:b/>
                <w:bCs/>
                <w:color w:val="0000FF"/>
                <w:sz w:val="24"/>
                <w:szCs w:val="24"/>
                <w:lang w:eastAsia="zh-CN"/>
              </w:rPr>
            </w:pPr>
            <w:r w:rsidRPr="00BA3000">
              <w:rPr>
                <w:rFonts w:eastAsia="Times New Roman" w:cstheme="minorHAnsi"/>
                <w:b/>
                <w:bCs/>
                <w:color w:val="0000FF"/>
                <w:sz w:val="24"/>
                <w:szCs w:val="24"/>
                <w:lang w:eastAsia="zh-CN"/>
              </w:rPr>
              <w:t>Unadjusted readmission rate</w:t>
            </w:r>
          </w:p>
        </w:tc>
        <w:tc>
          <w:tcPr>
            <w:tcW w:w="783" w:type="dxa"/>
            <w:tcBorders>
              <w:top w:val="nil"/>
              <w:left w:val="nil"/>
              <w:bottom w:val="single" w:sz="4" w:space="0" w:color="auto"/>
              <w:right w:val="single" w:sz="4" w:space="0" w:color="auto"/>
            </w:tcBorders>
            <w:shd w:val="clear" w:color="auto" w:fill="auto"/>
            <w:noWrap/>
            <w:hideMark/>
          </w:tcPr>
          <w:p w:rsidR="00BA3000" w:rsidRPr="00BA3000" w:rsidRDefault="00BA3000" w:rsidP="00B067EA">
            <w:pPr>
              <w:spacing w:before="40" w:after="40"/>
              <w:jc w:val="center"/>
              <w:rPr>
                <w:rFonts w:eastAsia="Times New Roman" w:cstheme="minorHAnsi"/>
                <w:color w:val="0000FF"/>
                <w:sz w:val="24"/>
                <w:szCs w:val="24"/>
                <w:lang w:eastAsia="zh-CN"/>
              </w:rPr>
            </w:pPr>
            <w:r w:rsidRPr="00BA3000">
              <w:rPr>
                <w:rFonts w:eastAsia="Times New Roman" w:cstheme="minorHAnsi"/>
                <w:color w:val="0000FF"/>
                <w:sz w:val="24"/>
                <w:szCs w:val="24"/>
                <w:lang w:eastAsia="zh-CN"/>
              </w:rPr>
              <w:t>1,171</w:t>
            </w:r>
          </w:p>
        </w:tc>
        <w:tc>
          <w:tcPr>
            <w:tcW w:w="786" w:type="dxa"/>
            <w:tcBorders>
              <w:top w:val="nil"/>
              <w:left w:val="nil"/>
              <w:bottom w:val="single" w:sz="4" w:space="0" w:color="auto"/>
              <w:right w:val="single" w:sz="4" w:space="0" w:color="auto"/>
            </w:tcBorders>
            <w:shd w:val="clear" w:color="auto" w:fill="auto"/>
            <w:noWrap/>
            <w:hideMark/>
          </w:tcPr>
          <w:p w:rsidR="00BA3000" w:rsidRPr="00BA3000" w:rsidRDefault="00BA3000" w:rsidP="00B067EA">
            <w:pPr>
              <w:spacing w:before="40" w:after="40"/>
              <w:jc w:val="center"/>
              <w:rPr>
                <w:rFonts w:eastAsia="Times New Roman" w:cstheme="minorHAnsi"/>
                <w:color w:val="0000FF"/>
                <w:sz w:val="24"/>
                <w:szCs w:val="24"/>
                <w:lang w:eastAsia="zh-CN"/>
              </w:rPr>
            </w:pPr>
            <w:r w:rsidRPr="00BA3000">
              <w:rPr>
                <w:rFonts w:eastAsia="Times New Roman" w:cstheme="minorHAnsi"/>
                <w:color w:val="0000FF"/>
                <w:sz w:val="24"/>
                <w:szCs w:val="24"/>
                <w:lang w:eastAsia="zh-CN"/>
              </w:rPr>
              <w:t>13.1</w:t>
            </w:r>
          </w:p>
        </w:tc>
        <w:tc>
          <w:tcPr>
            <w:tcW w:w="785" w:type="dxa"/>
            <w:gridSpan w:val="2"/>
            <w:tcBorders>
              <w:top w:val="single" w:sz="4" w:space="0" w:color="auto"/>
              <w:left w:val="nil"/>
              <w:bottom w:val="single" w:sz="4" w:space="0" w:color="auto"/>
              <w:right w:val="single" w:sz="4" w:space="0" w:color="auto"/>
            </w:tcBorders>
            <w:shd w:val="clear" w:color="auto" w:fill="auto"/>
            <w:noWrap/>
            <w:hideMark/>
          </w:tcPr>
          <w:p w:rsidR="00BA3000" w:rsidRPr="00BA3000" w:rsidRDefault="00BA3000" w:rsidP="00B067EA">
            <w:pPr>
              <w:spacing w:before="40" w:after="40"/>
              <w:jc w:val="center"/>
              <w:rPr>
                <w:rFonts w:eastAsia="Times New Roman" w:cstheme="minorHAnsi"/>
                <w:color w:val="0000FF"/>
                <w:sz w:val="24"/>
                <w:szCs w:val="24"/>
                <w:lang w:eastAsia="zh-CN"/>
              </w:rPr>
            </w:pPr>
            <w:r w:rsidRPr="00BA3000">
              <w:rPr>
                <w:rFonts w:eastAsia="Times New Roman" w:cstheme="minorHAnsi"/>
                <w:color w:val="0000FF"/>
                <w:sz w:val="24"/>
                <w:szCs w:val="24"/>
                <w:lang w:eastAsia="zh-CN"/>
              </w:rPr>
              <w:t>4.6</w:t>
            </w:r>
          </w:p>
        </w:tc>
        <w:tc>
          <w:tcPr>
            <w:tcW w:w="786" w:type="dxa"/>
            <w:tcBorders>
              <w:top w:val="nil"/>
              <w:left w:val="nil"/>
              <w:bottom w:val="single" w:sz="4" w:space="0" w:color="auto"/>
              <w:right w:val="single" w:sz="4" w:space="0" w:color="auto"/>
            </w:tcBorders>
            <w:shd w:val="clear" w:color="auto" w:fill="auto"/>
            <w:noWrap/>
            <w:hideMark/>
          </w:tcPr>
          <w:p w:rsidR="00BA3000" w:rsidRPr="00BA3000" w:rsidRDefault="00BA3000" w:rsidP="00B067EA">
            <w:pPr>
              <w:tabs>
                <w:tab w:val="decimal" w:pos="274"/>
              </w:tabs>
              <w:spacing w:before="40" w:after="40"/>
              <w:rPr>
                <w:rFonts w:eastAsia="Times New Roman" w:cstheme="minorHAnsi"/>
                <w:color w:val="0000FF"/>
                <w:sz w:val="24"/>
                <w:szCs w:val="24"/>
                <w:lang w:eastAsia="zh-CN"/>
              </w:rPr>
            </w:pPr>
            <w:r w:rsidRPr="00BA3000">
              <w:rPr>
                <w:rFonts w:eastAsia="Times New Roman" w:cstheme="minorHAnsi"/>
                <w:color w:val="0000FF"/>
                <w:sz w:val="24"/>
                <w:szCs w:val="24"/>
                <w:lang w:eastAsia="zh-CN"/>
              </w:rPr>
              <w:t>0.0</w:t>
            </w:r>
          </w:p>
        </w:tc>
        <w:tc>
          <w:tcPr>
            <w:tcW w:w="785" w:type="dxa"/>
            <w:tcBorders>
              <w:top w:val="single" w:sz="4" w:space="0" w:color="auto"/>
              <w:left w:val="nil"/>
              <w:bottom w:val="single" w:sz="4" w:space="0" w:color="auto"/>
              <w:right w:val="single" w:sz="4" w:space="0" w:color="auto"/>
            </w:tcBorders>
            <w:shd w:val="clear" w:color="auto" w:fill="auto"/>
            <w:noWrap/>
            <w:hideMark/>
          </w:tcPr>
          <w:p w:rsidR="00BA3000" w:rsidRPr="00BA3000" w:rsidRDefault="00BA3000" w:rsidP="00B067EA">
            <w:pPr>
              <w:spacing w:before="40" w:after="40"/>
              <w:jc w:val="center"/>
              <w:rPr>
                <w:rFonts w:eastAsia="Times New Roman" w:cstheme="minorHAnsi"/>
                <w:color w:val="0000FF"/>
                <w:sz w:val="24"/>
                <w:szCs w:val="24"/>
                <w:lang w:eastAsia="zh-CN"/>
              </w:rPr>
            </w:pPr>
            <w:r w:rsidRPr="00BA3000">
              <w:rPr>
                <w:rFonts w:eastAsia="Times New Roman" w:cstheme="minorHAnsi"/>
                <w:color w:val="0000FF"/>
                <w:sz w:val="24"/>
                <w:szCs w:val="24"/>
                <w:lang w:eastAsia="zh-CN"/>
              </w:rPr>
              <w:t>8.7</w:t>
            </w:r>
          </w:p>
        </w:tc>
        <w:tc>
          <w:tcPr>
            <w:tcW w:w="786" w:type="dxa"/>
            <w:tcBorders>
              <w:top w:val="nil"/>
              <w:left w:val="nil"/>
              <w:bottom w:val="single" w:sz="4" w:space="0" w:color="auto"/>
              <w:right w:val="single" w:sz="4" w:space="0" w:color="auto"/>
            </w:tcBorders>
            <w:shd w:val="clear" w:color="auto" w:fill="auto"/>
            <w:noWrap/>
            <w:hideMark/>
          </w:tcPr>
          <w:p w:rsidR="00BA3000" w:rsidRPr="00BA3000" w:rsidRDefault="00BA3000" w:rsidP="00B067EA">
            <w:pPr>
              <w:spacing w:before="40" w:after="40"/>
              <w:jc w:val="center"/>
              <w:rPr>
                <w:rFonts w:eastAsia="Times New Roman" w:cstheme="minorHAnsi"/>
                <w:color w:val="0000FF"/>
                <w:sz w:val="24"/>
                <w:szCs w:val="24"/>
                <w:lang w:eastAsia="zh-CN"/>
              </w:rPr>
            </w:pPr>
            <w:r w:rsidRPr="00BA3000">
              <w:rPr>
                <w:rFonts w:eastAsia="Times New Roman" w:cstheme="minorHAnsi"/>
                <w:color w:val="0000FF"/>
                <w:sz w:val="24"/>
                <w:szCs w:val="24"/>
                <w:lang w:eastAsia="zh-CN"/>
              </w:rPr>
              <w:t>10.7</w:t>
            </w:r>
          </w:p>
        </w:tc>
        <w:tc>
          <w:tcPr>
            <w:tcW w:w="785" w:type="dxa"/>
            <w:tcBorders>
              <w:top w:val="nil"/>
              <w:left w:val="nil"/>
              <w:bottom w:val="single" w:sz="4" w:space="0" w:color="auto"/>
              <w:right w:val="single" w:sz="4" w:space="0" w:color="auto"/>
            </w:tcBorders>
            <w:shd w:val="clear" w:color="auto" w:fill="auto"/>
            <w:noWrap/>
            <w:hideMark/>
          </w:tcPr>
          <w:p w:rsidR="00BA3000" w:rsidRPr="00BA3000" w:rsidRDefault="00BA3000" w:rsidP="00B067EA">
            <w:pPr>
              <w:spacing w:before="40" w:after="40"/>
              <w:jc w:val="center"/>
              <w:rPr>
                <w:rFonts w:eastAsia="Times New Roman" w:cstheme="minorHAnsi"/>
                <w:color w:val="0000FF"/>
                <w:sz w:val="24"/>
                <w:szCs w:val="24"/>
                <w:lang w:eastAsia="zh-CN"/>
              </w:rPr>
            </w:pPr>
            <w:r w:rsidRPr="00BA3000">
              <w:rPr>
                <w:rFonts w:eastAsia="Times New Roman" w:cstheme="minorHAnsi"/>
                <w:color w:val="0000FF"/>
                <w:sz w:val="24"/>
                <w:szCs w:val="24"/>
                <w:lang w:eastAsia="zh-CN"/>
              </w:rPr>
              <w:t>12.9</w:t>
            </w:r>
          </w:p>
        </w:tc>
        <w:tc>
          <w:tcPr>
            <w:tcW w:w="786" w:type="dxa"/>
            <w:tcBorders>
              <w:top w:val="nil"/>
              <w:left w:val="nil"/>
              <w:bottom w:val="single" w:sz="4" w:space="0" w:color="auto"/>
              <w:right w:val="single" w:sz="4" w:space="0" w:color="auto"/>
            </w:tcBorders>
            <w:shd w:val="clear" w:color="auto" w:fill="auto"/>
            <w:noWrap/>
            <w:hideMark/>
          </w:tcPr>
          <w:p w:rsidR="00BA3000" w:rsidRPr="00BA3000" w:rsidRDefault="00BA3000" w:rsidP="00B067EA">
            <w:pPr>
              <w:spacing w:before="40" w:after="40"/>
              <w:jc w:val="center"/>
              <w:rPr>
                <w:rFonts w:eastAsia="Times New Roman" w:cstheme="minorHAnsi"/>
                <w:color w:val="0000FF"/>
                <w:sz w:val="24"/>
                <w:szCs w:val="24"/>
                <w:lang w:eastAsia="zh-CN"/>
              </w:rPr>
            </w:pPr>
            <w:r w:rsidRPr="00BA3000">
              <w:rPr>
                <w:rFonts w:eastAsia="Times New Roman" w:cstheme="minorHAnsi"/>
                <w:color w:val="0000FF"/>
                <w:sz w:val="24"/>
                <w:szCs w:val="24"/>
                <w:lang w:eastAsia="zh-CN"/>
              </w:rPr>
              <w:t>15.1</w:t>
            </w:r>
          </w:p>
        </w:tc>
        <w:tc>
          <w:tcPr>
            <w:tcW w:w="785" w:type="dxa"/>
            <w:tcBorders>
              <w:top w:val="nil"/>
              <w:left w:val="nil"/>
              <w:bottom w:val="single" w:sz="4" w:space="0" w:color="auto"/>
              <w:right w:val="single" w:sz="4" w:space="0" w:color="auto"/>
            </w:tcBorders>
            <w:shd w:val="clear" w:color="auto" w:fill="auto"/>
            <w:noWrap/>
            <w:hideMark/>
          </w:tcPr>
          <w:p w:rsidR="00BA3000" w:rsidRPr="00BA3000" w:rsidRDefault="00BA3000" w:rsidP="00B067EA">
            <w:pPr>
              <w:spacing w:before="40" w:after="40"/>
              <w:jc w:val="center"/>
              <w:rPr>
                <w:rFonts w:eastAsia="Times New Roman" w:cstheme="minorHAnsi"/>
                <w:color w:val="0000FF"/>
                <w:sz w:val="24"/>
                <w:szCs w:val="24"/>
                <w:lang w:eastAsia="zh-CN"/>
              </w:rPr>
            </w:pPr>
            <w:r w:rsidRPr="00BA3000">
              <w:rPr>
                <w:rFonts w:eastAsia="Times New Roman" w:cstheme="minorHAnsi"/>
                <w:color w:val="0000FF"/>
                <w:sz w:val="24"/>
                <w:szCs w:val="24"/>
                <w:lang w:eastAsia="zh-CN"/>
              </w:rPr>
              <w:t>17.2</w:t>
            </w:r>
          </w:p>
        </w:tc>
        <w:tc>
          <w:tcPr>
            <w:tcW w:w="783" w:type="dxa"/>
            <w:tcBorders>
              <w:top w:val="nil"/>
              <w:left w:val="nil"/>
              <w:bottom w:val="single" w:sz="4" w:space="0" w:color="auto"/>
              <w:right w:val="single" w:sz="4" w:space="0" w:color="auto"/>
            </w:tcBorders>
            <w:shd w:val="clear" w:color="auto" w:fill="auto"/>
            <w:noWrap/>
            <w:hideMark/>
          </w:tcPr>
          <w:p w:rsidR="00BA3000" w:rsidRPr="00BA3000" w:rsidRDefault="00BA3000" w:rsidP="00B067EA">
            <w:pPr>
              <w:spacing w:before="40" w:after="40"/>
              <w:jc w:val="center"/>
              <w:rPr>
                <w:rFonts w:eastAsia="Times New Roman" w:cstheme="minorHAnsi"/>
                <w:color w:val="0000FF"/>
                <w:sz w:val="24"/>
                <w:szCs w:val="24"/>
                <w:lang w:eastAsia="zh-CN"/>
              </w:rPr>
            </w:pPr>
            <w:r w:rsidRPr="00BA3000">
              <w:rPr>
                <w:rFonts w:eastAsia="Times New Roman" w:cstheme="minorHAnsi"/>
                <w:color w:val="0000FF"/>
                <w:sz w:val="24"/>
                <w:szCs w:val="24"/>
                <w:lang w:eastAsia="zh-CN"/>
              </w:rPr>
              <w:t>100.0</w:t>
            </w:r>
          </w:p>
        </w:tc>
      </w:tr>
      <w:tr w:rsidR="00BA3000" w:rsidRPr="00BA3000" w:rsidTr="00AA63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8" w:type="dxa"/>
        </w:trPr>
        <w:tc>
          <w:tcPr>
            <w:tcW w:w="1620" w:type="dxa"/>
            <w:gridSpan w:val="2"/>
            <w:tcBorders>
              <w:top w:val="nil"/>
              <w:left w:val="single" w:sz="4" w:space="0" w:color="auto"/>
              <w:bottom w:val="single" w:sz="4" w:space="0" w:color="auto"/>
              <w:right w:val="single" w:sz="4" w:space="0" w:color="auto"/>
            </w:tcBorders>
            <w:shd w:val="clear" w:color="auto" w:fill="auto"/>
            <w:noWrap/>
            <w:hideMark/>
          </w:tcPr>
          <w:p w:rsidR="00BA3000" w:rsidRPr="00BA3000" w:rsidRDefault="00BA3000" w:rsidP="00B067EA">
            <w:pPr>
              <w:spacing w:before="40" w:after="40"/>
              <w:rPr>
                <w:rFonts w:eastAsia="Times New Roman" w:cstheme="minorHAnsi"/>
                <w:b/>
                <w:bCs/>
                <w:color w:val="0000FF"/>
                <w:sz w:val="24"/>
                <w:szCs w:val="24"/>
                <w:lang w:eastAsia="zh-CN"/>
              </w:rPr>
            </w:pPr>
            <w:r w:rsidRPr="00BA3000">
              <w:rPr>
                <w:rFonts w:eastAsia="Times New Roman" w:cstheme="minorHAnsi"/>
                <w:b/>
                <w:bCs/>
                <w:color w:val="0000FF"/>
                <w:sz w:val="24"/>
                <w:szCs w:val="24"/>
                <w:lang w:eastAsia="zh-CN"/>
              </w:rPr>
              <w:t>Risk-standardized readmission rate</w:t>
            </w:r>
          </w:p>
        </w:tc>
        <w:tc>
          <w:tcPr>
            <w:tcW w:w="783" w:type="dxa"/>
            <w:tcBorders>
              <w:top w:val="nil"/>
              <w:left w:val="nil"/>
              <w:bottom w:val="single" w:sz="4" w:space="0" w:color="auto"/>
              <w:right w:val="single" w:sz="4" w:space="0" w:color="auto"/>
            </w:tcBorders>
            <w:shd w:val="clear" w:color="auto" w:fill="auto"/>
            <w:noWrap/>
            <w:hideMark/>
          </w:tcPr>
          <w:p w:rsidR="00BA3000" w:rsidRPr="00BA3000" w:rsidRDefault="00BA3000" w:rsidP="00B067EA">
            <w:pPr>
              <w:spacing w:before="40" w:after="40"/>
              <w:jc w:val="center"/>
              <w:rPr>
                <w:rFonts w:eastAsia="Times New Roman" w:cstheme="minorHAnsi"/>
                <w:color w:val="0000FF"/>
                <w:sz w:val="24"/>
                <w:szCs w:val="24"/>
                <w:lang w:eastAsia="zh-CN"/>
              </w:rPr>
            </w:pPr>
            <w:r w:rsidRPr="00BA3000">
              <w:rPr>
                <w:rFonts w:eastAsia="Times New Roman" w:cstheme="majorBidi"/>
                <w:color w:val="0000FF"/>
                <w:sz w:val="24"/>
                <w:szCs w:val="24"/>
              </w:rPr>
              <w:t>1,171</w:t>
            </w:r>
          </w:p>
        </w:tc>
        <w:tc>
          <w:tcPr>
            <w:tcW w:w="786" w:type="dxa"/>
            <w:tcBorders>
              <w:top w:val="nil"/>
              <w:left w:val="nil"/>
              <w:bottom w:val="single" w:sz="4" w:space="0" w:color="auto"/>
              <w:right w:val="single" w:sz="4" w:space="0" w:color="auto"/>
            </w:tcBorders>
            <w:shd w:val="clear" w:color="auto" w:fill="auto"/>
            <w:noWrap/>
            <w:hideMark/>
          </w:tcPr>
          <w:p w:rsidR="00BA3000" w:rsidRPr="00BA3000" w:rsidRDefault="00BA3000" w:rsidP="00B067EA">
            <w:pPr>
              <w:spacing w:before="40" w:after="40"/>
              <w:jc w:val="center"/>
              <w:rPr>
                <w:rFonts w:eastAsia="Times New Roman" w:cstheme="minorHAnsi"/>
                <w:color w:val="0000FF"/>
                <w:sz w:val="24"/>
                <w:szCs w:val="24"/>
                <w:lang w:eastAsia="zh-CN"/>
              </w:rPr>
            </w:pPr>
            <w:r w:rsidRPr="00BA3000">
              <w:rPr>
                <w:rFonts w:eastAsia="Times New Roman" w:cstheme="minorHAnsi"/>
                <w:color w:val="0000FF"/>
                <w:sz w:val="24"/>
                <w:szCs w:val="24"/>
                <w:lang w:eastAsia="zh-CN"/>
              </w:rPr>
              <w:t>13.5</w:t>
            </w:r>
          </w:p>
        </w:tc>
        <w:tc>
          <w:tcPr>
            <w:tcW w:w="785" w:type="dxa"/>
            <w:gridSpan w:val="2"/>
            <w:tcBorders>
              <w:top w:val="nil"/>
              <w:left w:val="nil"/>
              <w:bottom w:val="single" w:sz="4" w:space="0" w:color="auto"/>
              <w:right w:val="single" w:sz="4" w:space="0" w:color="auto"/>
            </w:tcBorders>
            <w:shd w:val="clear" w:color="auto" w:fill="auto"/>
            <w:noWrap/>
            <w:hideMark/>
          </w:tcPr>
          <w:p w:rsidR="00BA3000" w:rsidRPr="00BA3000" w:rsidRDefault="00BA3000" w:rsidP="00B067EA">
            <w:pPr>
              <w:spacing w:before="40" w:after="40"/>
              <w:jc w:val="center"/>
              <w:rPr>
                <w:rFonts w:eastAsia="Times New Roman" w:cstheme="minorHAnsi"/>
                <w:color w:val="0000FF"/>
                <w:sz w:val="24"/>
                <w:szCs w:val="24"/>
                <w:lang w:eastAsia="zh-CN"/>
              </w:rPr>
            </w:pPr>
            <w:r w:rsidRPr="00BA3000">
              <w:rPr>
                <w:rFonts w:eastAsia="Times New Roman" w:cstheme="minorHAnsi"/>
                <w:color w:val="0000FF"/>
                <w:sz w:val="24"/>
                <w:szCs w:val="24"/>
                <w:lang w:eastAsia="zh-CN"/>
              </w:rPr>
              <w:t>0.7</w:t>
            </w:r>
          </w:p>
        </w:tc>
        <w:tc>
          <w:tcPr>
            <w:tcW w:w="786" w:type="dxa"/>
            <w:tcBorders>
              <w:top w:val="nil"/>
              <w:left w:val="nil"/>
              <w:bottom w:val="single" w:sz="4" w:space="0" w:color="auto"/>
              <w:right w:val="single" w:sz="4" w:space="0" w:color="auto"/>
            </w:tcBorders>
            <w:shd w:val="clear" w:color="auto" w:fill="auto"/>
            <w:noWrap/>
            <w:hideMark/>
          </w:tcPr>
          <w:p w:rsidR="00BA3000" w:rsidRPr="00BA3000" w:rsidRDefault="00BA3000" w:rsidP="00B067EA">
            <w:pPr>
              <w:spacing w:before="40" w:after="40"/>
              <w:jc w:val="center"/>
              <w:rPr>
                <w:rFonts w:eastAsia="Times New Roman" w:cstheme="minorHAnsi"/>
                <w:color w:val="0000FF"/>
                <w:sz w:val="24"/>
                <w:szCs w:val="24"/>
                <w:lang w:eastAsia="zh-CN"/>
              </w:rPr>
            </w:pPr>
            <w:r w:rsidRPr="00BA3000">
              <w:rPr>
                <w:rFonts w:eastAsia="Times New Roman" w:cstheme="majorBidi"/>
                <w:color w:val="0000FF"/>
                <w:sz w:val="24"/>
                <w:szCs w:val="24"/>
              </w:rPr>
              <w:t>11.1</w:t>
            </w:r>
          </w:p>
        </w:tc>
        <w:tc>
          <w:tcPr>
            <w:tcW w:w="785" w:type="dxa"/>
            <w:tcBorders>
              <w:top w:val="nil"/>
              <w:left w:val="nil"/>
              <w:bottom w:val="single" w:sz="4" w:space="0" w:color="auto"/>
              <w:right w:val="single" w:sz="4" w:space="0" w:color="auto"/>
            </w:tcBorders>
            <w:shd w:val="clear" w:color="auto" w:fill="auto"/>
            <w:noWrap/>
            <w:hideMark/>
          </w:tcPr>
          <w:p w:rsidR="00BA3000" w:rsidRPr="00BA3000" w:rsidRDefault="00BA3000" w:rsidP="00B067EA">
            <w:pPr>
              <w:spacing w:before="40" w:after="40"/>
              <w:jc w:val="center"/>
              <w:rPr>
                <w:rFonts w:eastAsia="Times New Roman" w:cstheme="minorHAnsi"/>
                <w:color w:val="0000FF"/>
                <w:sz w:val="24"/>
                <w:szCs w:val="24"/>
                <w:lang w:eastAsia="zh-CN"/>
              </w:rPr>
            </w:pPr>
            <w:r w:rsidRPr="00BA3000">
              <w:rPr>
                <w:rFonts w:eastAsia="Times New Roman" w:cstheme="majorBidi"/>
                <w:color w:val="0000FF"/>
                <w:sz w:val="24"/>
                <w:szCs w:val="24"/>
              </w:rPr>
              <w:t>12.6</w:t>
            </w:r>
          </w:p>
        </w:tc>
        <w:tc>
          <w:tcPr>
            <w:tcW w:w="786" w:type="dxa"/>
            <w:tcBorders>
              <w:top w:val="nil"/>
              <w:left w:val="nil"/>
              <w:bottom w:val="single" w:sz="4" w:space="0" w:color="auto"/>
              <w:right w:val="single" w:sz="4" w:space="0" w:color="auto"/>
            </w:tcBorders>
            <w:shd w:val="clear" w:color="auto" w:fill="auto"/>
            <w:noWrap/>
            <w:hideMark/>
          </w:tcPr>
          <w:p w:rsidR="00BA3000" w:rsidRPr="00BA3000" w:rsidRDefault="00BA3000" w:rsidP="00B067EA">
            <w:pPr>
              <w:spacing w:before="40" w:after="40"/>
              <w:jc w:val="center"/>
              <w:rPr>
                <w:rFonts w:eastAsia="Times New Roman" w:cstheme="minorHAnsi"/>
                <w:color w:val="0000FF"/>
                <w:sz w:val="24"/>
                <w:szCs w:val="24"/>
                <w:lang w:eastAsia="zh-CN"/>
              </w:rPr>
            </w:pPr>
            <w:r w:rsidRPr="00BA3000">
              <w:rPr>
                <w:rFonts w:eastAsia="Times New Roman" w:cstheme="majorBidi"/>
                <w:color w:val="0000FF"/>
                <w:sz w:val="24"/>
                <w:szCs w:val="24"/>
              </w:rPr>
              <w:t>13.0</w:t>
            </w:r>
          </w:p>
        </w:tc>
        <w:tc>
          <w:tcPr>
            <w:tcW w:w="785" w:type="dxa"/>
            <w:tcBorders>
              <w:top w:val="nil"/>
              <w:left w:val="nil"/>
              <w:bottom w:val="single" w:sz="4" w:space="0" w:color="auto"/>
              <w:right w:val="single" w:sz="4" w:space="0" w:color="auto"/>
            </w:tcBorders>
            <w:shd w:val="clear" w:color="auto" w:fill="auto"/>
            <w:noWrap/>
            <w:hideMark/>
          </w:tcPr>
          <w:p w:rsidR="00BA3000" w:rsidRPr="00BA3000" w:rsidRDefault="00BA3000" w:rsidP="00B067EA">
            <w:pPr>
              <w:spacing w:before="40" w:after="40"/>
              <w:jc w:val="center"/>
              <w:rPr>
                <w:rFonts w:eastAsia="Times New Roman" w:cstheme="minorHAnsi"/>
                <w:color w:val="0000FF"/>
                <w:sz w:val="24"/>
                <w:szCs w:val="24"/>
                <w:lang w:eastAsia="zh-CN"/>
              </w:rPr>
            </w:pPr>
            <w:r w:rsidRPr="00BA3000">
              <w:rPr>
                <w:rFonts w:eastAsia="Times New Roman" w:cstheme="majorBidi"/>
                <w:color w:val="0000FF"/>
                <w:sz w:val="24"/>
                <w:szCs w:val="24"/>
              </w:rPr>
              <w:t>13.5</w:t>
            </w:r>
          </w:p>
        </w:tc>
        <w:tc>
          <w:tcPr>
            <w:tcW w:w="786" w:type="dxa"/>
            <w:tcBorders>
              <w:top w:val="nil"/>
              <w:left w:val="nil"/>
              <w:bottom w:val="single" w:sz="4" w:space="0" w:color="auto"/>
              <w:right w:val="single" w:sz="4" w:space="0" w:color="auto"/>
            </w:tcBorders>
            <w:shd w:val="clear" w:color="auto" w:fill="auto"/>
            <w:noWrap/>
            <w:hideMark/>
          </w:tcPr>
          <w:p w:rsidR="00BA3000" w:rsidRPr="00BA3000" w:rsidRDefault="00BA3000" w:rsidP="00B067EA">
            <w:pPr>
              <w:spacing w:before="40" w:after="40"/>
              <w:jc w:val="center"/>
              <w:rPr>
                <w:rFonts w:eastAsia="Times New Roman" w:cstheme="minorHAnsi"/>
                <w:color w:val="0000FF"/>
                <w:sz w:val="24"/>
                <w:szCs w:val="24"/>
                <w:lang w:eastAsia="zh-CN"/>
              </w:rPr>
            </w:pPr>
            <w:r w:rsidRPr="00BA3000">
              <w:rPr>
                <w:rFonts w:eastAsia="Times New Roman" w:cstheme="minorHAnsi"/>
                <w:color w:val="0000FF"/>
                <w:sz w:val="24"/>
                <w:szCs w:val="24"/>
                <w:lang w:eastAsia="zh-CN"/>
              </w:rPr>
              <w:t>13.9</w:t>
            </w:r>
          </w:p>
        </w:tc>
        <w:tc>
          <w:tcPr>
            <w:tcW w:w="785" w:type="dxa"/>
            <w:tcBorders>
              <w:top w:val="nil"/>
              <w:left w:val="nil"/>
              <w:bottom w:val="single" w:sz="4" w:space="0" w:color="auto"/>
              <w:right w:val="single" w:sz="4" w:space="0" w:color="auto"/>
            </w:tcBorders>
            <w:shd w:val="clear" w:color="auto" w:fill="auto"/>
            <w:noWrap/>
            <w:hideMark/>
          </w:tcPr>
          <w:p w:rsidR="00BA3000" w:rsidRPr="00BA3000" w:rsidRDefault="00BA3000" w:rsidP="00B067EA">
            <w:pPr>
              <w:spacing w:before="40" w:after="40"/>
              <w:jc w:val="center"/>
              <w:rPr>
                <w:rFonts w:eastAsia="Times New Roman" w:cstheme="minorHAnsi"/>
                <w:color w:val="0000FF"/>
                <w:sz w:val="24"/>
                <w:szCs w:val="24"/>
                <w:lang w:eastAsia="zh-CN"/>
              </w:rPr>
            </w:pPr>
            <w:r w:rsidRPr="00BA3000">
              <w:rPr>
                <w:rFonts w:eastAsia="Times New Roman" w:cstheme="minorHAnsi"/>
                <w:color w:val="0000FF"/>
                <w:sz w:val="24"/>
                <w:szCs w:val="24"/>
                <w:lang w:eastAsia="zh-CN"/>
              </w:rPr>
              <w:t>14.4</w:t>
            </w:r>
          </w:p>
        </w:tc>
        <w:tc>
          <w:tcPr>
            <w:tcW w:w="783" w:type="dxa"/>
            <w:tcBorders>
              <w:top w:val="nil"/>
              <w:left w:val="nil"/>
              <w:bottom w:val="single" w:sz="4" w:space="0" w:color="auto"/>
              <w:right w:val="single" w:sz="4" w:space="0" w:color="auto"/>
            </w:tcBorders>
            <w:shd w:val="clear" w:color="auto" w:fill="auto"/>
            <w:noWrap/>
            <w:hideMark/>
          </w:tcPr>
          <w:p w:rsidR="00BA3000" w:rsidRPr="00BA3000" w:rsidRDefault="00BA3000" w:rsidP="00B067EA">
            <w:pPr>
              <w:spacing w:before="40" w:after="40"/>
              <w:jc w:val="center"/>
              <w:rPr>
                <w:rFonts w:eastAsia="Times New Roman" w:cstheme="minorHAnsi"/>
                <w:color w:val="0000FF"/>
                <w:sz w:val="24"/>
                <w:szCs w:val="24"/>
                <w:lang w:eastAsia="zh-CN"/>
              </w:rPr>
            </w:pPr>
            <w:r w:rsidRPr="00BA3000">
              <w:rPr>
                <w:rFonts w:eastAsia="Times New Roman" w:cstheme="minorHAnsi"/>
                <w:color w:val="0000FF"/>
                <w:sz w:val="24"/>
                <w:szCs w:val="24"/>
                <w:lang w:eastAsia="zh-CN"/>
              </w:rPr>
              <w:t>16.1</w:t>
            </w:r>
          </w:p>
        </w:tc>
      </w:tr>
    </w:tbl>
    <w:p w:rsidR="00BA3000" w:rsidRPr="00BA3000" w:rsidRDefault="00BA3000" w:rsidP="00BA3000">
      <w:pPr>
        <w:rPr>
          <w:rFonts w:cstheme="majorBidi"/>
          <w:color w:val="0000FF"/>
          <w:sz w:val="24"/>
          <w:szCs w:val="24"/>
        </w:rPr>
      </w:pPr>
      <w:r w:rsidRPr="00BA3000">
        <w:rPr>
          <w:rFonts w:cstheme="majorBidi"/>
          <w:color w:val="0000FF"/>
          <w:sz w:val="24"/>
          <w:szCs w:val="24"/>
        </w:rPr>
        <w:t>Source: RTI analysis of Medicare claims data, 2007-2012. (RTI program references: lc32_RSRR_IRF_1011.xlsx)</w:t>
      </w:r>
    </w:p>
    <w:p w:rsidR="00BA3000" w:rsidRPr="00BA3000" w:rsidRDefault="00BA3000" w:rsidP="00BA3000">
      <w:pPr>
        <w:rPr>
          <w:rFonts w:cstheme="majorBidi"/>
          <w:color w:val="0000FF"/>
          <w:sz w:val="24"/>
          <w:szCs w:val="24"/>
        </w:rPr>
      </w:pPr>
    </w:p>
    <w:p w:rsidR="00C83950" w:rsidRDefault="00C83950">
      <w:pPr>
        <w:rPr>
          <w:color w:val="0000FF"/>
          <w:sz w:val="24"/>
          <w:szCs w:val="24"/>
        </w:rPr>
      </w:pPr>
      <w:r>
        <w:rPr>
          <w:color w:val="0000FF"/>
          <w:sz w:val="24"/>
          <w:szCs w:val="24"/>
        </w:rPr>
        <w:br w:type="page"/>
      </w:r>
    </w:p>
    <w:p w:rsidR="00BA3000" w:rsidRPr="00BA3000" w:rsidRDefault="00BA3000" w:rsidP="00BA3000">
      <w:pPr>
        <w:rPr>
          <w:color w:val="0000FF"/>
          <w:sz w:val="24"/>
          <w:szCs w:val="24"/>
        </w:rPr>
      </w:pPr>
      <w:r w:rsidRPr="00BA3000">
        <w:rPr>
          <w:color w:val="0000FF"/>
          <w:sz w:val="24"/>
          <w:szCs w:val="24"/>
        </w:rPr>
        <w:lastRenderedPageBreak/>
        <w:t xml:space="preserve">The distributions of the unadjusted and IRF-level risk-standardized readmission rates (RSRR) are also illustrated in </w:t>
      </w:r>
      <w:r w:rsidR="006E7102" w:rsidRPr="006E7102">
        <w:rPr>
          <w:b/>
          <w:bCs/>
          <w:color w:val="0000FF"/>
          <w:sz w:val="24"/>
          <w:szCs w:val="24"/>
        </w:rPr>
        <w:t xml:space="preserve">Testing </w:t>
      </w:r>
      <w:r w:rsidRPr="00BA3000">
        <w:rPr>
          <w:b/>
          <w:bCs/>
          <w:color w:val="0000FF"/>
          <w:sz w:val="24"/>
          <w:szCs w:val="24"/>
        </w:rPr>
        <w:t>Figures 2 and 3</w:t>
      </w:r>
      <w:r w:rsidRPr="00BA3000">
        <w:rPr>
          <w:color w:val="0000FF"/>
          <w:sz w:val="24"/>
          <w:szCs w:val="24"/>
        </w:rPr>
        <w:t>, respectively, where the vertical axis indicates the percentage of IRFs and the horizontal axis the readmission rate. Note that the range on the x axis differs between the two figures and the distribution of the RSRRs is much narrower</w:t>
      </w:r>
      <w:r w:rsidR="00587932">
        <w:rPr>
          <w:color w:val="0000FF"/>
          <w:sz w:val="24"/>
          <w:szCs w:val="24"/>
        </w:rPr>
        <w:t xml:space="preserve"> than the raw rates</w:t>
      </w:r>
      <w:r w:rsidRPr="00BA3000">
        <w:rPr>
          <w:color w:val="0000FF"/>
          <w:sz w:val="24"/>
          <w:szCs w:val="24"/>
        </w:rPr>
        <w:t>.</w:t>
      </w:r>
    </w:p>
    <w:p w:rsidR="00BA3000" w:rsidRPr="00BA3000" w:rsidRDefault="006E7102" w:rsidP="00BA3000">
      <w:pPr>
        <w:pStyle w:val="TableTitle"/>
        <w:tabs>
          <w:tab w:val="left" w:pos="990"/>
        </w:tabs>
        <w:spacing w:before="120" w:after="120"/>
        <w:ind w:left="994" w:hanging="994"/>
        <w:jc w:val="left"/>
        <w:rPr>
          <w:rFonts w:asciiTheme="minorHAnsi" w:hAnsiTheme="minorHAnsi"/>
          <w:color w:val="0000FF"/>
        </w:rPr>
      </w:pPr>
      <w:r>
        <w:rPr>
          <w:rFonts w:asciiTheme="minorHAnsi" w:hAnsiTheme="minorHAnsi"/>
          <w:color w:val="0000FF"/>
        </w:rPr>
        <w:t xml:space="preserve">Testing </w:t>
      </w:r>
      <w:r w:rsidR="00BA3000" w:rsidRPr="00BA3000">
        <w:rPr>
          <w:rFonts w:asciiTheme="minorHAnsi" w:hAnsiTheme="minorHAnsi"/>
          <w:color w:val="0000FF"/>
        </w:rPr>
        <w:t>Figure 2:</w:t>
      </w:r>
      <w:r w:rsidR="0005351D">
        <w:rPr>
          <w:rFonts w:asciiTheme="minorHAnsi" w:hAnsiTheme="minorHAnsi"/>
          <w:color w:val="0000FF"/>
        </w:rPr>
        <w:t xml:space="preserve"> </w:t>
      </w:r>
      <w:r w:rsidR="00BA3000" w:rsidRPr="00BA3000">
        <w:rPr>
          <w:rFonts w:asciiTheme="minorHAnsi" w:hAnsiTheme="minorHAnsi"/>
          <w:color w:val="0000FF"/>
        </w:rPr>
        <w:t xml:space="preserve">Distribution of unadjusted readmission rates among IRFs </w:t>
      </w:r>
    </w:p>
    <w:p w:rsidR="00BA3000" w:rsidRPr="00BA3000" w:rsidRDefault="00BA3000" w:rsidP="00BA3000">
      <w:pPr>
        <w:pStyle w:val="TableTitle"/>
        <w:tabs>
          <w:tab w:val="left" w:pos="990"/>
        </w:tabs>
        <w:spacing w:before="120" w:after="120"/>
        <w:ind w:left="994" w:hanging="994"/>
        <w:jc w:val="left"/>
        <w:rPr>
          <w:rFonts w:asciiTheme="minorHAnsi" w:hAnsiTheme="minorHAnsi"/>
          <w:color w:val="0000FF"/>
        </w:rPr>
      </w:pPr>
      <w:r w:rsidRPr="00BA3000">
        <w:rPr>
          <w:rFonts w:asciiTheme="minorHAnsi" w:hAnsiTheme="minorHAnsi"/>
          <w:color w:val="0000FF"/>
        </w:rPr>
        <w:t>[N=1,171; Mean (</w:t>
      </w:r>
      <w:proofErr w:type="spellStart"/>
      <w:r w:rsidRPr="00BA3000">
        <w:rPr>
          <w:rFonts w:asciiTheme="minorHAnsi" w:hAnsiTheme="minorHAnsi"/>
          <w:color w:val="0000FF"/>
        </w:rPr>
        <w:t>StD</w:t>
      </w:r>
      <w:proofErr w:type="spellEnd"/>
      <w:r w:rsidRPr="00BA3000">
        <w:rPr>
          <w:rFonts w:asciiTheme="minorHAnsi" w:hAnsiTheme="minorHAnsi"/>
          <w:color w:val="0000FF"/>
        </w:rPr>
        <w:t>) 13.1 (4.6)]</w:t>
      </w:r>
    </w:p>
    <w:p w:rsidR="00BA3000" w:rsidRPr="00BA3000" w:rsidRDefault="00BA3000" w:rsidP="00BA3000">
      <w:pPr>
        <w:pStyle w:val="TableTitle"/>
        <w:tabs>
          <w:tab w:val="left" w:pos="990"/>
        </w:tabs>
        <w:spacing w:before="120" w:after="120"/>
        <w:ind w:left="994" w:hanging="994"/>
        <w:rPr>
          <w:rFonts w:asciiTheme="minorHAnsi" w:hAnsiTheme="minorHAnsi"/>
          <w:color w:val="0000FF"/>
        </w:rPr>
      </w:pPr>
      <w:r w:rsidRPr="00BA3000">
        <w:rPr>
          <w:rFonts w:asciiTheme="minorHAnsi" w:hAnsiTheme="minorHAnsi"/>
          <w:noProof/>
          <w:color w:val="0000FF"/>
        </w:rPr>
        <w:drawing>
          <wp:inline distT="0" distB="0" distL="0" distR="0">
            <wp:extent cx="5943600" cy="3920490"/>
            <wp:effectExtent l="19050" t="0" r="19050" b="3810"/>
            <wp:docPr id="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A3000" w:rsidRPr="00BA3000" w:rsidRDefault="00BA3000" w:rsidP="00BA3000">
      <w:pPr>
        <w:pStyle w:val="TableTitle"/>
        <w:spacing w:before="120" w:after="120"/>
        <w:jc w:val="left"/>
        <w:rPr>
          <w:rFonts w:asciiTheme="minorHAnsi" w:hAnsiTheme="minorHAnsi" w:cstheme="majorBidi"/>
          <w:b w:val="0"/>
          <w:bCs w:val="0"/>
          <w:color w:val="0000FF"/>
        </w:rPr>
      </w:pPr>
      <w:r w:rsidRPr="00BA3000">
        <w:rPr>
          <w:rFonts w:asciiTheme="minorHAnsi" w:hAnsiTheme="minorHAnsi" w:cstheme="majorBidi"/>
          <w:b w:val="0"/>
          <w:bCs w:val="0"/>
          <w:color w:val="0000FF"/>
        </w:rPr>
        <w:t xml:space="preserve">Source: RTI analysis of Medicare claims data, 2007-2012. (RTI program reference: </w:t>
      </w:r>
      <w:r w:rsidRPr="00BA3000">
        <w:rPr>
          <w:rFonts w:asciiTheme="minorHAnsi" w:hAnsiTheme="minorHAnsi"/>
          <w:b w:val="0"/>
          <w:bCs w:val="0"/>
          <w:color w:val="0000FF"/>
        </w:rPr>
        <w:t>lc22_irf_gv15_ALL_rsrr_1011.xlsx</w:t>
      </w:r>
      <w:r w:rsidRPr="00BA3000">
        <w:rPr>
          <w:rFonts w:asciiTheme="minorHAnsi" w:hAnsiTheme="minorHAnsi" w:cstheme="majorBidi"/>
          <w:b w:val="0"/>
          <w:bCs w:val="0"/>
          <w:color w:val="0000FF"/>
        </w:rPr>
        <w:t>)</w:t>
      </w:r>
    </w:p>
    <w:p w:rsidR="00BA3000" w:rsidRPr="00BA3000" w:rsidRDefault="00BA3000" w:rsidP="00BA3000">
      <w:pPr>
        <w:pStyle w:val="TableTitle"/>
        <w:tabs>
          <w:tab w:val="left" w:pos="990"/>
        </w:tabs>
        <w:spacing w:before="120" w:after="120"/>
        <w:ind w:left="994" w:hanging="994"/>
        <w:jc w:val="left"/>
        <w:rPr>
          <w:rFonts w:asciiTheme="minorHAnsi" w:hAnsiTheme="minorHAnsi" w:cstheme="majorBidi"/>
          <w:color w:val="0000FF"/>
        </w:rPr>
      </w:pPr>
    </w:p>
    <w:p w:rsidR="00BA3000" w:rsidRPr="00BA3000" w:rsidRDefault="00BA3000" w:rsidP="00BA3000">
      <w:pPr>
        <w:rPr>
          <w:rFonts w:eastAsiaTheme="minorHAnsi" w:cstheme="majorBidi"/>
          <w:b/>
          <w:bCs/>
          <w:color w:val="0000FF"/>
          <w:sz w:val="24"/>
          <w:szCs w:val="24"/>
        </w:rPr>
      </w:pPr>
      <w:r w:rsidRPr="00BA3000">
        <w:rPr>
          <w:rFonts w:cstheme="majorBidi"/>
          <w:color w:val="0000FF"/>
          <w:sz w:val="24"/>
          <w:szCs w:val="24"/>
        </w:rPr>
        <w:br w:type="page"/>
      </w:r>
    </w:p>
    <w:p w:rsidR="00BA3000" w:rsidRPr="00BA3000" w:rsidRDefault="006E7102" w:rsidP="00BA3000">
      <w:pPr>
        <w:pStyle w:val="TableTitle"/>
        <w:tabs>
          <w:tab w:val="left" w:pos="990"/>
        </w:tabs>
        <w:spacing w:before="120" w:after="120"/>
        <w:ind w:left="994" w:hanging="994"/>
        <w:jc w:val="left"/>
        <w:rPr>
          <w:rFonts w:asciiTheme="minorHAnsi" w:hAnsiTheme="minorHAnsi"/>
          <w:color w:val="0000FF"/>
        </w:rPr>
      </w:pPr>
      <w:r>
        <w:rPr>
          <w:rFonts w:asciiTheme="minorHAnsi" w:hAnsiTheme="minorHAnsi"/>
          <w:color w:val="0000FF"/>
        </w:rPr>
        <w:lastRenderedPageBreak/>
        <w:t xml:space="preserve">Testing </w:t>
      </w:r>
      <w:r w:rsidR="00BA3000" w:rsidRPr="00BA3000">
        <w:rPr>
          <w:rFonts w:asciiTheme="minorHAnsi" w:hAnsiTheme="minorHAnsi"/>
          <w:color w:val="0000FF"/>
        </w:rPr>
        <w:t>Figure 3:</w:t>
      </w:r>
      <w:r w:rsidR="00C83950">
        <w:rPr>
          <w:rFonts w:asciiTheme="minorHAnsi" w:hAnsiTheme="minorHAnsi"/>
          <w:color w:val="0000FF"/>
        </w:rPr>
        <w:t xml:space="preserve"> </w:t>
      </w:r>
      <w:r w:rsidR="00BA3000" w:rsidRPr="00BA3000">
        <w:rPr>
          <w:rFonts w:asciiTheme="minorHAnsi" w:hAnsiTheme="minorHAnsi"/>
          <w:color w:val="0000FF"/>
        </w:rPr>
        <w:t xml:space="preserve">Distribution of risk standardized readmission rates (RSRR) among IRFs </w:t>
      </w:r>
    </w:p>
    <w:p w:rsidR="00BA3000" w:rsidRPr="00BA3000" w:rsidRDefault="00BA3000" w:rsidP="00BA3000">
      <w:pPr>
        <w:pStyle w:val="TableTitle"/>
        <w:tabs>
          <w:tab w:val="left" w:pos="990"/>
        </w:tabs>
        <w:spacing w:before="120" w:after="120"/>
        <w:ind w:left="994" w:hanging="994"/>
        <w:jc w:val="left"/>
        <w:rPr>
          <w:rFonts w:asciiTheme="minorHAnsi" w:hAnsiTheme="minorHAnsi"/>
          <w:color w:val="0000FF"/>
        </w:rPr>
      </w:pPr>
      <w:r w:rsidRPr="00BA3000">
        <w:rPr>
          <w:rFonts w:asciiTheme="minorHAnsi" w:hAnsiTheme="minorHAnsi"/>
          <w:color w:val="0000FF"/>
        </w:rPr>
        <w:t>[N=1,171; Mean (</w:t>
      </w:r>
      <w:proofErr w:type="spellStart"/>
      <w:r w:rsidRPr="00BA3000">
        <w:rPr>
          <w:rFonts w:asciiTheme="minorHAnsi" w:hAnsiTheme="minorHAnsi"/>
          <w:color w:val="0000FF"/>
        </w:rPr>
        <w:t>StD</w:t>
      </w:r>
      <w:proofErr w:type="spellEnd"/>
      <w:r w:rsidRPr="00BA3000">
        <w:rPr>
          <w:rFonts w:asciiTheme="minorHAnsi" w:hAnsiTheme="minorHAnsi"/>
          <w:color w:val="0000FF"/>
        </w:rPr>
        <w:t xml:space="preserve">) 13.5 (0.1)] </w:t>
      </w:r>
    </w:p>
    <w:p w:rsidR="00BA3000" w:rsidRPr="00BA3000" w:rsidRDefault="00BA3000" w:rsidP="00BA3000">
      <w:pPr>
        <w:shd w:val="clear" w:color="auto" w:fill="FFFFFF"/>
        <w:spacing w:after="0"/>
        <w:jc w:val="center"/>
        <w:rPr>
          <w:rFonts w:cstheme="majorBidi"/>
          <w:color w:val="0000FF"/>
          <w:sz w:val="24"/>
          <w:szCs w:val="24"/>
        </w:rPr>
      </w:pPr>
      <w:r w:rsidRPr="00BA3000">
        <w:rPr>
          <w:rFonts w:cstheme="majorBidi"/>
          <w:noProof/>
          <w:color w:val="0000FF"/>
          <w:sz w:val="24"/>
          <w:szCs w:val="24"/>
        </w:rPr>
        <w:drawing>
          <wp:inline distT="0" distB="0" distL="0" distR="0">
            <wp:extent cx="5943600" cy="3957320"/>
            <wp:effectExtent l="19050" t="0" r="19050" b="508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A3000" w:rsidRPr="00BA3000" w:rsidRDefault="00BA3000" w:rsidP="00BA3000">
      <w:pPr>
        <w:shd w:val="clear" w:color="auto" w:fill="FFFFFF"/>
        <w:spacing w:after="0"/>
        <w:rPr>
          <w:rFonts w:eastAsia="Times New Roman" w:cs="Arial"/>
          <w:b/>
          <w:bCs/>
          <w:color w:val="0000FF"/>
          <w:sz w:val="24"/>
          <w:szCs w:val="24"/>
        </w:rPr>
      </w:pPr>
      <w:r w:rsidRPr="00BA3000">
        <w:rPr>
          <w:rFonts w:cstheme="majorBidi"/>
          <w:color w:val="0000FF"/>
          <w:sz w:val="24"/>
          <w:szCs w:val="24"/>
        </w:rPr>
        <w:t xml:space="preserve">Source: RTI analysis of Medicare claims data, 2007-2012. (RTI program reference: </w:t>
      </w:r>
      <w:r w:rsidRPr="00BA3000">
        <w:rPr>
          <w:color w:val="0000FF"/>
          <w:sz w:val="24"/>
          <w:szCs w:val="24"/>
        </w:rPr>
        <w:t>lc22_irf_gv15_ALL_rsrr_1011.xlsx</w:t>
      </w:r>
      <w:r w:rsidRPr="00BA3000">
        <w:rPr>
          <w:rFonts w:cstheme="majorBidi"/>
          <w:color w:val="0000FF"/>
          <w:sz w:val="24"/>
          <w:szCs w:val="24"/>
        </w:rPr>
        <w:t>)</w:t>
      </w:r>
    </w:p>
    <w:p w:rsidR="00BA3000" w:rsidRDefault="00BA3000" w:rsidP="00BA3000">
      <w:pPr>
        <w:rPr>
          <w:color w:val="0000FF"/>
          <w:sz w:val="24"/>
          <w:szCs w:val="24"/>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743E46" w:rsidRPr="00743E46">
        <w:rPr>
          <w:rFonts w:cstheme="minorHAnsi"/>
          <w:b/>
          <w:bCs/>
          <w:i/>
          <w:highlight w:val="green"/>
        </w:rPr>
        <w:t xml:space="preserve">if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BA3000" w:rsidRPr="00BA3000" w:rsidRDefault="00BA3000" w:rsidP="00160150">
      <w:pPr>
        <w:rPr>
          <w:color w:val="0000FF"/>
          <w:sz w:val="24"/>
          <w:szCs w:val="24"/>
        </w:rPr>
      </w:pPr>
      <w:r w:rsidRPr="00BA3000">
        <w:rPr>
          <w:color w:val="0000FF"/>
          <w:sz w:val="24"/>
          <w:szCs w:val="24"/>
        </w:rPr>
        <w:t xml:space="preserve">In summary, these results demonstrate good model fit and reasonable predictive ability of our risk adjustment models in profiling IRFs by the measure of risk standardized 30-day readmission rate. Further justification for our risk adjustment model can be seen from </w:t>
      </w:r>
      <w:r w:rsidR="00565025" w:rsidRPr="00565025">
        <w:rPr>
          <w:b/>
          <w:bCs/>
          <w:color w:val="0000FF"/>
          <w:sz w:val="24"/>
          <w:szCs w:val="24"/>
        </w:rPr>
        <w:t xml:space="preserve">Testing </w:t>
      </w:r>
      <w:r w:rsidRPr="00565025">
        <w:rPr>
          <w:b/>
          <w:bCs/>
          <w:color w:val="0000FF"/>
          <w:sz w:val="24"/>
          <w:szCs w:val="24"/>
        </w:rPr>
        <w:t xml:space="preserve">Table </w:t>
      </w:r>
      <w:r w:rsidR="00160150">
        <w:rPr>
          <w:b/>
          <w:bCs/>
          <w:color w:val="0000FF"/>
          <w:sz w:val="24"/>
          <w:szCs w:val="24"/>
        </w:rPr>
        <w:t>3</w:t>
      </w:r>
      <w:r w:rsidRPr="00BA3000">
        <w:rPr>
          <w:color w:val="0000FF"/>
          <w:sz w:val="24"/>
          <w:szCs w:val="24"/>
        </w:rPr>
        <w:t xml:space="preserve"> which provides calibration results for the two model years of data we analyzed: 2009/2010 and 2010/2011. Using logistic regression results, we computed five summary statistics to assess model performance: calibration, discrimination in terms of predictive ability, discrimination in </w:t>
      </w:r>
      <w:r w:rsidRPr="00BA3000">
        <w:rPr>
          <w:color w:val="0000FF"/>
          <w:sz w:val="24"/>
          <w:szCs w:val="24"/>
        </w:rPr>
        <w:lastRenderedPageBreak/>
        <w:t>terms of the C-statistic (equivalent to area under the receiver operating characteristic curve [ROC]), distribution of residuals, and model chi‐square.</w:t>
      </w:r>
    </w:p>
    <w:p w:rsidR="00BA3000" w:rsidRDefault="00BA3000" w:rsidP="00BA3000">
      <w:pPr>
        <w:rPr>
          <w:color w:val="0000FF"/>
          <w:sz w:val="24"/>
          <w:szCs w:val="24"/>
        </w:rPr>
      </w:pPr>
      <w:r w:rsidRPr="00BA3000">
        <w:rPr>
          <w:color w:val="0000FF"/>
          <w:sz w:val="24"/>
          <w:szCs w:val="24"/>
        </w:rPr>
        <w:t>The calibration test regresses, using a logit equation, the actual dependent va</w:t>
      </w:r>
      <w:r w:rsidR="005D6158">
        <w:rPr>
          <w:color w:val="0000FF"/>
          <w:sz w:val="24"/>
          <w:szCs w:val="24"/>
        </w:rPr>
        <w:t xml:space="preserve">riable on the predicted value. </w:t>
      </w:r>
      <w:r w:rsidRPr="00BA3000">
        <w:rPr>
          <w:color w:val="0000FF"/>
          <w:sz w:val="24"/>
          <w:szCs w:val="24"/>
        </w:rPr>
        <w:t>The parameters γ</w:t>
      </w:r>
      <w:r w:rsidR="004275A6" w:rsidRPr="004275A6">
        <w:rPr>
          <w:color w:val="0000FF"/>
          <w:sz w:val="24"/>
          <w:szCs w:val="24"/>
          <w:vertAlign w:val="subscript"/>
        </w:rPr>
        <w:t>0</w:t>
      </w:r>
      <w:r w:rsidRPr="00BA3000">
        <w:rPr>
          <w:color w:val="0000FF"/>
          <w:sz w:val="24"/>
          <w:szCs w:val="24"/>
        </w:rPr>
        <w:t xml:space="preserve"> and γ</w:t>
      </w:r>
      <w:r w:rsidR="004275A6" w:rsidRPr="004275A6">
        <w:rPr>
          <w:color w:val="0000FF"/>
          <w:sz w:val="24"/>
          <w:szCs w:val="24"/>
          <w:vertAlign w:val="subscript"/>
        </w:rPr>
        <w:t>1</w:t>
      </w:r>
      <w:r w:rsidRPr="00BA3000">
        <w:rPr>
          <w:color w:val="0000FF"/>
          <w:sz w:val="24"/>
          <w:szCs w:val="24"/>
        </w:rPr>
        <w:t xml:space="preserve"> are the intercept and slope coefficients. The former should be close to zero and the latter close to one. This is a test of the average calibration of the model and, when applied to the development sample, should be passed. Our statistics match these expectations. Because the nature of this measure is to re-estimate the parameters on each sample to which it is applied</w:t>
      </w:r>
      <w:r w:rsidR="00EE4BD1">
        <w:rPr>
          <w:color w:val="0000FF"/>
          <w:sz w:val="24"/>
          <w:szCs w:val="24"/>
        </w:rPr>
        <w:t>,</w:t>
      </w:r>
      <w:r w:rsidRPr="00BA3000">
        <w:rPr>
          <w:color w:val="0000FF"/>
          <w:sz w:val="24"/>
          <w:szCs w:val="24"/>
        </w:rPr>
        <w:t xml:space="preserve"> average calibration should be good. </w:t>
      </w:r>
    </w:p>
    <w:p w:rsidR="00D31130" w:rsidRPr="00BA3000" w:rsidRDefault="00D31130" w:rsidP="00D31130">
      <w:pPr>
        <w:rPr>
          <w:color w:val="0000FF"/>
          <w:sz w:val="24"/>
          <w:szCs w:val="24"/>
        </w:rPr>
      </w:pPr>
      <w:r w:rsidRPr="00BA3000">
        <w:rPr>
          <w:color w:val="0000FF"/>
          <w:sz w:val="24"/>
          <w:szCs w:val="24"/>
        </w:rPr>
        <w:t xml:space="preserve">Discrimination in predictive ability assesses the ability to distinguish high-risk from low-risk subjects. Each year’s model demonstrates good discrimination, as </w:t>
      </w:r>
      <w:r w:rsidRPr="00BA3000">
        <w:rPr>
          <w:b/>
          <w:bCs/>
          <w:color w:val="0000FF"/>
          <w:sz w:val="24"/>
          <w:szCs w:val="24"/>
        </w:rPr>
        <w:t>T</w:t>
      </w:r>
      <w:r>
        <w:rPr>
          <w:b/>
          <w:bCs/>
          <w:color w:val="0000FF"/>
          <w:sz w:val="24"/>
          <w:szCs w:val="24"/>
        </w:rPr>
        <w:t>esting Table 3</w:t>
      </w:r>
      <w:r w:rsidRPr="00BA3000">
        <w:rPr>
          <w:b/>
          <w:bCs/>
          <w:color w:val="0000FF"/>
          <w:sz w:val="24"/>
          <w:szCs w:val="24"/>
        </w:rPr>
        <w:t xml:space="preserve"> </w:t>
      </w:r>
      <w:r w:rsidRPr="00BA3000">
        <w:rPr>
          <w:color w:val="0000FF"/>
          <w:sz w:val="24"/>
          <w:szCs w:val="24"/>
        </w:rPr>
        <w:t xml:space="preserve">shows in each case there is a wide range between the mean predictive probability in the lowest decile versus the highest decile. </w:t>
      </w:r>
    </w:p>
    <w:p w:rsidR="00D31130" w:rsidRPr="00BA3000" w:rsidRDefault="00D31130" w:rsidP="00D31130">
      <w:pPr>
        <w:rPr>
          <w:color w:val="0000FF"/>
          <w:sz w:val="24"/>
          <w:szCs w:val="24"/>
        </w:rPr>
      </w:pPr>
      <w:r w:rsidRPr="00BA3000">
        <w:rPr>
          <w:color w:val="0000FF"/>
          <w:sz w:val="24"/>
          <w:szCs w:val="24"/>
        </w:rPr>
        <w:t xml:space="preserve">The C-statistic is a measure of how accurately a statistical model is able to distinguish between a patient with and without an outcome. For binary outcomes the C-statistic is identical to the area under an ROC curve for the model. A C-statistic of 0.50 indicates random prediction, implying the model predicts no better than random chance. A C-statistic of 1.0 indicates perfect prediction, implying the model is perfectly predictive of the outcome. In these models, the range of C-statistic results is consistently around 0.69, which is in line with observed results for other 30-day readmission measures. </w:t>
      </w:r>
      <w:r w:rsidRPr="00BA3000">
        <w:rPr>
          <w:b/>
          <w:bCs/>
          <w:color w:val="0000FF"/>
          <w:sz w:val="24"/>
          <w:szCs w:val="24"/>
        </w:rPr>
        <w:t>Appendix B</w:t>
      </w:r>
      <w:r w:rsidRPr="00BA3000">
        <w:rPr>
          <w:color w:val="0000FF"/>
          <w:sz w:val="24"/>
          <w:szCs w:val="24"/>
        </w:rPr>
        <w:t xml:space="preserve"> includes the ROC curves for these models.</w:t>
      </w:r>
    </w:p>
    <w:p w:rsidR="006B70E4" w:rsidRDefault="00D31130" w:rsidP="006B70E4">
      <w:pPr>
        <w:rPr>
          <w:color w:val="0000FF"/>
          <w:sz w:val="24"/>
          <w:szCs w:val="24"/>
        </w:rPr>
      </w:pPr>
      <w:r w:rsidRPr="00BA3000">
        <w:rPr>
          <w:color w:val="0000FF"/>
          <w:sz w:val="24"/>
          <w:szCs w:val="24"/>
        </w:rPr>
        <w:t xml:space="preserve">The distribution of </w:t>
      </w:r>
      <w:r w:rsidR="006B70E4">
        <w:rPr>
          <w:color w:val="0000FF"/>
          <w:sz w:val="24"/>
          <w:szCs w:val="24"/>
        </w:rPr>
        <w:t xml:space="preserve">the Pearson residuals falling in range </w:t>
      </w:r>
      <w:r w:rsidRPr="00BA3000">
        <w:rPr>
          <w:color w:val="0000FF"/>
          <w:sz w:val="24"/>
          <w:szCs w:val="24"/>
        </w:rPr>
        <w:t xml:space="preserve">shows results very similar to the HWR models that Yale developed. Finally, the Likelihood Ratio model chi-squares show the overall model fit </w:t>
      </w:r>
      <w:r>
        <w:rPr>
          <w:color w:val="0000FF"/>
          <w:sz w:val="24"/>
          <w:szCs w:val="24"/>
        </w:rPr>
        <w:t>in the two measurement periods</w:t>
      </w:r>
      <w:r w:rsidRPr="00BA3000">
        <w:rPr>
          <w:color w:val="0000FF"/>
          <w:sz w:val="24"/>
          <w:szCs w:val="24"/>
        </w:rPr>
        <w:t>. These summary statistics provide further justification for the fit and predictive ability of our risk adjustment model in profiling IRFs by the measure of risk standardized 30-day readmission rate.</w:t>
      </w:r>
    </w:p>
    <w:p w:rsidR="006B70E4" w:rsidRDefault="006B70E4">
      <w:pPr>
        <w:rPr>
          <w:color w:val="0000FF"/>
          <w:sz w:val="24"/>
          <w:szCs w:val="24"/>
        </w:rPr>
      </w:pPr>
      <w:r>
        <w:rPr>
          <w:color w:val="0000FF"/>
          <w:sz w:val="24"/>
          <w:szCs w:val="24"/>
        </w:rPr>
        <w:br w:type="page"/>
      </w:r>
    </w:p>
    <w:p w:rsidR="00D31130" w:rsidRPr="00BA3000" w:rsidRDefault="00D31130" w:rsidP="006B70E4">
      <w:pPr>
        <w:rPr>
          <w:color w:val="0000FF"/>
          <w:sz w:val="24"/>
          <w:szCs w:val="24"/>
        </w:rPr>
      </w:pPr>
    </w:p>
    <w:p w:rsidR="00160150" w:rsidRPr="00BA3000" w:rsidRDefault="00160150" w:rsidP="00160150">
      <w:pPr>
        <w:pStyle w:val="TableTitle"/>
        <w:tabs>
          <w:tab w:val="left" w:pos="990"/>
        </w:tabs>
        <w:spacing w:before="120" w:after="120"/>
        <w:ind w:left="994" w:hanging="994"/>
        <w:jc w:val="left"/>
        <w:rPr>
          <w:rFonts w:asciiTheme="minorHAnsi" w:hAnsiTheme="minorHAnsi"/>
          <w:color w:val="0000FF"/>
        </w:rPr>
      </w:pPr>
      <w:r w:rsidRPr="00BA3000">
        <w:rPr>
          <w:rFonts w:asciiTheme="minorHAnsi" w:hAnsiTheme="minorHAnsi"/>
          <w:color w:val="0000FF"/>
        </w:rPr>
        <w:t>T</w:t>
      </w:r>
      <w:r>
        <w:rPr>
          <w:rFonts w:asciiTheme="minorHAnsi" w:hAnsiTheme="minorHAnsi"/>
          <w:color w:val="0000FF"/>
        </w:rPr>
        <w:t xml:space="preserve">esting Table 3: </w:t>
      </w:r>
      <w:r w:rsidRPr="00BA3000">
        <w:rPr>
          <w:rFonts w:asciiTheme="minorHAnsi" w:hAnsiTheme="minorHAnsi"/>
          <w:color w:val="0000FF"/>
        </w:rPr>
        <w:t>Model calibration results for 2009/2010 and 2010/2011 analytic files created from the Medicare claims data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0"/>
        <w:gridCol w:w="2574"/>
        <w:gridCol w:w="2574"/>
      </w:tblGrid>
      <w:tr w:rsidR="00160150" w:rsidRPr="00BA3000" w:rsidTr="00EE4BD1">
        <w:trPr>
          <w:tblHeader/>
        </w:trPr>
        <w:tc>
          <w:tcPr>
            <w:tcW w:w="4320" w:type="dxa"/>
            <w:tcBorders>
              <w:top w:val="single" w:sz="4" w:space="0" w:color="auto"/>
              <w:left w:val="single" w:sz="6" w:space="0" w:color="000080"/>
              <w:bottom w:val="single" w:sz="4" w:space="0" w:color="auto"/>
              <w:right w:val="single" w:sz="6" w:space="0" w:color="FFFFFF" w:themeColor="background1"/>
            </w:tcBorders>
            <w:shd w:val="clear" w:color="000080" w:fill="0000C8"/>
            <w:vAlign w:val="center"/>
          </w:tcPr>
          <w:p w:rsidR="00160150" w:rsidRPr="00BA3000" w:rsidRDefault="00160150" w:rsidP="00523613">
            <w:pPr>
              <w:spacing w:before="20" w:after="20"/>
              <w:jc w:val="center"/>
              <w:rPr>
                <w:b/>
                <w:bCs/>
                <w:sz w:val="24"/>
                <w:szCs w:val="24"/>
              </w:rPr>
            </w:pPr>
            <w:r w:rsidRPr="00BA3000">
              <w:rPr>
                <w:b/>
                <w:bCs/>
                <w:sz w:val="24"/>
                <w:szCs w:val="24"/>
              </w:rPr>
              <w:t>Indices</w:t>
            </w:r>
          </w:p>
        </w:tc>
        <w:tc>
          <w:tcPr>
            <w:tcW w:w="2574"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center"/>
          </w:tcPr>
          <w:p w:rsidR="00160150" w:rsidRPr="00BA3000" w:rsidRDefault="00160150" w:rsidP="00523613">
            <w:pPr>
              <w:spacing w:before="20" w:after="20"/>
              <w:jc w:val="center"/>
              <w:rPr>
                <w:sz w:val="24"/>
                <w:szCs w:val="24"/>
              </w:rPr>
            </w:pPr>
            <w:r w:rsidRPr="00BA3000">
              <w:rPr>
                <w:b/>
                <w:bCs/>
                <w:sz w:val="24"/>
                <w:szCs w:val="24"/>
              </w:rPr>
              <w:t>2009/2010</w:t>
            </w:r>
          </w:p>
        </w:tc>
        <w:tc>
          <w:tcPr>
            <w:tcW w:w="2574" w:type="dxa"/>
            <w:tcBorders>
              <w:top w:val="single" w:sz="4" w:space="0" w:color="auto"/>
              <w:left w:val="single" w:sz="6" w:space="0" w:color="FFFFFF" w:themeColor="background1"/>
              <w:bottom w:val="single" w:sz="4" w:space="0" w:color="auto"/>
              <w:right w:val="single" w:sz="6" w:space="0" w:color="auto"/>
            </w:tcBorders>
            <w:shd w:val="clear" w:color="000080" w:fill="0000C8"/>
            <w:vAlign w:val="center"/>
          </w:tcPr>
          <w:p w:rsidR="00160150" w:rsidRPr="00BA3000" w:rsidRDefault="00160150" w:rsidP="00523613">
            <w:pPr>
              <w:spacing w:before="20" w:after="20"/>
              <w:jc w:val="center"/>
              <w:rPr>
                <w:sz w:val="24"/>
                <w:szCs w:val="24"/>
              </w:rPr>
            </w:pPr>
            <w:r w:rsidRPr="00BA3000">
              <w:rPr>
                <w:b/>
                <w:bCs/>
                <w:sz w:val="24"/>
                <w:szCs w:val="24"/>
              </w:rPr>
              <w:t>2010/2011</w:t>
            </w:r>
          </w:p>
        </w:tc>
      </w:tr>
      <w:tr w:rsidR="00160150" w:rsidRPr="00BA3000" w:rsidTr="00EE4BD1">
        <w:trPr>
          <w:tblHeader/>
        </w:trPr>
        <w:tc>
          <w:tcPr>
            <w:tcW w:w="4320" w:type="dxa"/>
            <w:tcBorders>
              <w:top w:val="single" w:sz="4" w:space="0" w:color="auto"/>
              <w:bottom w:val="single" w:sz="4" w:space="0" w:color="auto"/>
              <w:right w:val="single" w:sz="4" w:space="0" w:color="auto"/>
            </w:tcBorders>
            <w:shd w:val="clear" w:color="000080" w:fill="auto"/>
            <w:vAlign w:val="center"/>
          </w:tcPr>
          <w:p w:rsidR="00160150" w:rsidRPr="00BA3000" w:rsidRDefault="00160150" w:rsidP="00523613">
            <w:pPr>
              <w:spacing w:before="20" w:after="20"/>
              <w:rPr>
                <w:rFonts w:cs="Calibri"/>
                <w:color w:val="0000E1"/>
                <w:sz w:val="24"/>
                <w:szCs w:val="24"/>
              </w:rPr>
            </w:pPr>
            <w:r w:rsidRPr="00BA3000">
              <w:rPr>
                <w:rFonts w:cs="Calibri"/>
                <w:color w:val="0000E1"/>
                <w:sz w:val="24"/>
                <w:szCs w:val="24"/>
              </w:rPr>
              <w:t>Calibration (γ</w:t>
            </w:r>
            <w:r w:rsidRPr="00BA3000">
              <w:rPr>
                <w:rFonts w:cs="Calibri"/>
                <w:color w:val="0000E1"/>
                <w:sz w:val="24"/>
                <w:szCs w:val="24"/>
                <w:vertAlign w:val="subscript"/>
              </w:rPr>
              <w:t>0</w:t>
            </w:r>
            <w:r w:rsidRPr="00BA3000">
              <w:rPr>
                <w:rFonts w:cs="Calibri"/>
                <w:color w:val="0000E1"/>
                <w:sz w:val="24"/>
                <w:szCs w:val="24"/>
              </w:rPr>
              <w:t>, γ</w:t>
            </w:r>
            <w:r w:rsidRPr="00BA3000">
              <w:rPr>
                <w:rFonts w:cs="Calibri"/>
                <w:color w:val="0000E1"/>
                <w:sz w:val="24"/>
                <w:szCs w:val="24"/>
                <w:vertAlign w:val="subscript"/>
              </w:rPr>
              <w:t>1</w:t>
            </w:r>
            <w:r w:rsidRPr="00BA3000">
              <w:rPr>
                <w:rFonts w:cs="Calibri"/>
                <w:color w:val="0000E1"/>
                <w:sz w:val="24"/>
                <w:szCs w:val="24"/>
              </w:rPr>
              <w:t>) from regression readmission = γ</w:t>
            </w:r>
            <w:r w:rsidRPr="00BA3000">
              <w:rPr>
                <w:rFonts w:cs="Calibri"/>
                <w:color w:val="0000E1"/>
                <w:sz w:val="24"/>
                <w:szCs w:val="24"/>
                <w:vertAlign w:val="subscript"/>
              </w:rPr>
              <w:t>0</w:t>
            </w:r>
            <w:r w:rsidRPr="00BA3000">
              <w:rPr>
                <w:rFonts w:cs="Calibri"/>
                <w:color w:val="0000E1"/>
                <w:sz w:val="24"/>
                <w:szCs w:val="24"/>
              </w:rPr>
              <w:t xml:space="preserve"> + γ</w:t>
            </w:r>
            <w:r w:rsidRPr="00BA3000">
              <w:rPr>
                <w:rFonts w:cs="Calibri"/>
                <w:color w:val="0000E1"/>
                <w:sz w:val="24"/>
                <w:szCs w:val="24"/>
                <w:vertAlign w:val="subscript"/>
              </w:rPr>
              <w:t>1</w:t>
            </w:r>
            <w:r w:rsidRPr="00BA3000">
              <w:rPr>
                <w:rFonts w:cs="Calibri"/>
                <w:color w:val="0000E1"/>
                <w:sz w:val="24"/>
                <w:szCs w:val="24"/>
              </w:rPr>
              <w:t xml:space="preserve"> </w:t>
            </w:r>
            <w:r w:rsidRPr="00BA3000">
              <w:rPr>
                <w:rFonts w:cs="Calibri"/>
                <w:color w:val="0000E1"/>
                <w:sz w:val="24"/>
                <w:szCs w:val="24"/>
              </w:rPr>
              <w:sym w:font="Symbol" w:char="002A"/>
            </w:r>
            <w:r w:rsidRPr="00BA3000">
              <w:rPr>
                <w:rFonts w:cs="Calibri"/>
                <w:color w:val="0000E1"/>
                <w:sz w:val="24"/>
                <w:szCs w:val="24"/>
              </w:rPr>
              <w:t xml:space="preserve"> predicted</w:t>
            </w:r>
          </w:p>
        </w:tc>
        <w:tc>
          <w:tcPr>
            <w:tcW w:w="2574" w:type="dxa"/>
            <w:tcBorders>
              <w:top w:val="single" w:sz="4" w:space="0" w:color="auto"/>
              <w:left w:val="single" w:sz="4" w:space="0" w:color="auto"/>
              <w:bottom w:val="single" w:sz="4" w:space="0" w:color="auto"/>
              <w:right w:val="single" w:sz="4" w:space="0" w:color="auto"/>
            </w:tcBorders>
            <w:shd w:val="clear" w:color="000080" w:fill="auto"/>
          </w:tcPr>
          <w:p w:rsidR="00160150" w:rsidRPr="00BA3000" w:rsidRDefault="00160150" w:rsidP="00523613">
            <w:pPr>
              <w:shd w:val="clear" w:color="auto" w:fill="FFFFFF"/>
              <w:jc w:val="center"/>
              <w:rPr>
                <w:rFonts w:cstheme="majorBidi"/>
                <w:color w:val="0000FF"/>
                <w:sz w:val="24"/>
                <w:szCs w:val="24"/>
              </w:rPr>
            </w:pPr>
            <w:r w:rsidRPr="00BA3000">
              <w:rPr>
                <w:rFonts w:cstheme="majorBidi"/>
                <w:color w:val="0000FF"/>
                <w:sz w:val="24"/>
                <w:szCs w:val="24"/>
              </w:rPr>
              <w:t>0,1</w:t>
            </w:r>
          </w:p>
        </w:tc>
        <w:tc>
          <w:tcPr>
            <w:tcW w:w="2574" w:type="dxa"/>
            <w:tcBorders>
              <w:top w:val="single" w:sz="4" w:space="0" w:color="auto"/>
              <w:left w:val="single" w:sz="4" w:space="0" w:color="auto"/>
              <w:bottom w:val="single" w:sz="4" w:space="0" w:color="auto"/>
              <w:right w:val="single" w:sz="4" w:space="0" w:color="auto"/>
            </w:tcBorders>
            <w:shd w:val="clear" w:color="000080" w:fill="auto"/>
          </w:tcPr>
          <w:p w:rsidR="00160150" w:rsidRPr="00BA3000" w:rsidRDefault="00160150" w:rsidP="00523613">
            <w:pPr>
              <w:shd w:val="clear" w:color="auto" w:fill="FFFFFF"/>
              <w:jc w:val="center"/>
              <w:rPr>
                <w:rFonts w:cstheme="majorBidi"/>
                <w:color w:val="0000FF"/>
                <w:sz w:val="24"/>
                <w:szCs w:val="24"/>
              </w:rPr>
            </w:pPr>
            <w:r w:rsidRPr="00BA3000">
              <w:rPr>
                <w:rFonts w:cstheme="majorBidi"/>
                <w:color w:val="0000FF"/>
                <w:sz w:val="24"/>
                <w:szCs w:val="24"/>
              </w:rPr>
              <w:t>0,1</w:t>
            </w:r>
          </w:p>
        </w:tc>
      </w:tr>
      <w:tr w:rsidR="00160150" w:rsidRPr="00BA3000" w:rsidTr="00EE4BD1">
        <w:trPr>
          <w:tblHeader/>
        </w:trPr>
        <w:tc>
          <w:tcPr>
            <w:tcW w:w="4320" w:type="dxa"/>
            <w:tcBorders>
              <w:top w:val="single" w:sz="4" w:space="0" w:color="auto"/>
              <w:bottom w:val="single" w:sz="4" w:space="0" w:color="auto"/>
              <w:right w:val="single" w:sz="4" w:space="0" w:color="auto"/>
            </w:tcBorders>
            <w:shd w:val="clear" w:color="000080" w:fill="auto"/>
            <w:vAlign w:val="center"/>
          </w:tcPr>
          <w:p w:rsidR="00160150" w:rsidRPr="00BA3000" w:rsidRDefault="00160150" w:rsidP="00523613">
            <w:pPr>
              <w:spacing w:before="20" w:after="20"/>
              <w:rPr>
                <w:rFonts w:cs="Calibri"/>
                <w:color w:val="0000E1"/>
                <w:sz w:val="24"/>
                <w:szCs w:val="24"/>
              </w:rPr>
            </w:pPr>
            <w:r w:rsidRPr="00BA3000">
              <w:rPr>
                <w:rFonts w:cs="Calibri"/>
                <w:color w:val="0000E1"/>
                <w:sz w:val="24"/>
                <w:szCs w:val="24"/>
              </w:rPr>
              <w:t>Discrimination - Predictive Ability (lowest decile mean %, highest decile mean %)</w:t>
            </w:r>
          </w:p>
        </w:tc>
        <w:tc>
          <w:tcPr>
            <w:tcW w:w="2574" w:type="dxa"/>
            <w:tcBorders>
              <w:top w:val="single" w:sz="4" w:space="0" w:color="auto"/>
              <w:left w:val="single" w:sz="4" w:space="0" w:color="auto"/>
              <w:bottom w:val="single" w:sz="4" w:space="0" w:color="auto"/>
              <w:right w:val="single" w:sz="4" w:space="0" w:color="auto"/>
            </w:tcBorders>
            <w:shd w:val="clear" w:color="000080" w:fill="auto"/>
            <w:vAlign w:val="center"/>
          </w:tcPr>
          <w:p w:rsidR="00160150" w:rsidRPr="00BA3000" w:rsidRDefault="00160150" w:rsidP="00523613">
            <w:pPr>
              <w:spacing w:before="20" w:after="20"/>
              <w:ind w:right="168"/>
              <w:jc w:val="center"/>
              <w:rPr>
                <w:rFonts w:cs="Calibri"/>
                <w:color w:val="0000FF"/>
                <w:sz w:val="24"/>
                <w:szCs w:val="24"/>
              </w:rPr>
            </w:pPr>
            <w:r w:rsidRPr="00BA3000">
              <w:rPr>
                <w:rFonts w:cs="Calibri"/>
                <w:color w:val="0000FF"/>
                <w:sz w:val="24"/>
                <w:szCs w:val="24"/>
              </w:rPr>
              <w:t>4.4%, 32.2%</w:t>
            </w:r>
          </w:p>
        </w:tc>
        <w:tc>
          <w:tcPr>
            <w:tcW w:w="2574" w:type="dxa"/>
            <w:tcBorders>
              <w:top w:val="single" w:sz="4" w:space="0" w:color="auto"/>
              <w:left w:val="single" w:sz="4" w:space="0" w:color="auto"/>
              <w:bottom w:val="single" w:sz="4" w:space="0" w:color="auto"/>
              <w:right w:val="single" w:sz="4" w:space="0" w:color="auto"/>
            </w:tcBorders>
            <w:shd w:val="clear" w:color="000080" w:fill="auto"/>
            <w:vAlign w:val="center"/>
          </w:tcPr>
          <w:p w:rsidR="00160150" w:rsidRPr="00BA3000" w:rsidRDefault="00160150" w:rsidP="00523613">
            <w:pPr>
              <w:spacing w:before="20" w:after="20"/>
              <w:ind w:right="168"/>
              <w:jc w:val="center"/>
              <w:rPr>
                <w:rFonts w:cs="Calibri"/>
                <w:color w:val="0000FF"/>
                <w:sz w:val="24"/>
                <w:szCs w:val="24"/>
              </w:rPr>
            </w:pPr>
            <w:r w:rsidRPr="00BA3000">
              <w:rPr>
                <w:rFonts w:cs="Calibri"/>
                <w:color w:val="0000FF"/>
                <w:sz w:val="24"/>
                <w:szCs w:val="24"/>
              </w:rPr>
              <w:t>4.3%, 33.1%</w:t>
            </w:r>
          </w:p>
        </w:tc>
      </w:tr>
      <w:tr w:rsidR="00160150" w:rsidRPr="00BA3000" w:rsidTr="00EE4BD1">
        <w:trPr>
          <w:tblHeader/>
        </w:trPr>
        <w:tc>
          <w:tcPr>
            <w:tcW w:w="4320" w:type="dxa"/>
            <w:tcBorders>
              <w:top w:val="single" w:sz="4" w:space="0" w:color="auto"/>
              <w:bottom w:val="single" w:sz="4" w:space="0" w:color="auto"/>
              <w:right w:val="single" w:sz="4" w:space="0" w:color="auto"/>
            </w:tcBorders>
            <w:shd w:val="clear" w:color="000080" w:fill="auto"/>
            <w:vAlign w:val="center"/>
          </w:tcPr>
          <w:p w:rsidR="00160150" w:rsidRPr="00BA3000" w:rsidRDefault="00160150" w:rsidP="00523613">
            <w:pPr>
              <w:spacing w:before="20" w:after="20"/>
              <w:rPr>
                <w:rFonts w:cs="Calibri"/>
                <w:color w:val="0000E1"/>
                <w:sz w:val="24"/>
                <w:szCs w:val="24"/>
              </w:rPr>
            </w:pPr>
            <w:r w:rsidRPr="00BA3000">
              <w:rPr>
                <w:rFonts w:cs="Calibri"/>
                <w:color w:val="0000E1"/>
                <w:sz w:val="24"/>
                <w:szCs w:val="24"/>
              </w:rPr>
              <w:t>Discrimination - C-statistic</w:t>
            </w:r>
          </w:p>
        </w:tc>
        <w:tc>
          <w:tcPr>
            <w:tcW w:w="2574" w:type="dxa"/>
            <w:tcBorders>
              <w:top w:val="single" w:sz="4" w:space="0" w:color="auto"/>
              <w:left w:val="single" w:sz="4" w:space="0" w:color="auto"/>
              <w:bottom w:val="single" w:sz="4" w:space="0" w:color="auto"/>
              <w:right w:val="single" w:sz="4" w:space="0" w:color="auto"/>
            </w:tcBorders>
            <w:shd w:val="clear" w:color="000080" w:fill="auto"/>
            <w:vAlign w:val="center"/>
          </w:tcPr>
          <w:p w:rsidR="00160150" w:rsidRPr="00BA3000" w:rsidRDefault="00160150" w:rsidP="00523613">
            <w:pPr>
              <w:spacing w:before="20" w:after="20"/>
              <w:ind w:right="168"/>
              <w:jc w:val="center"/>
              <w:rPr>
                <w:rFonts w:cs="Calibri"/>
                <w:color w:val="0000FF"/>
                <w:sz w:val="24"/>
                <w:szCs w:val="24"/>
              </w:rPr>
            </w:pPr>
            <w:r w:rsidRPr="00BA3000">
              <w:rPr>
                <w:rFonts w:cs="Calibri"/>
                <w:color w:val="0000FF"/>
                <w:sz w:val="24"/>
                <w:szCs w:val="24"/>
              </w:rPr>
              <w:t>0.689</w:t>
            </w:r>
          </w:p>
        </w:tc>
        <w:tc>
          <w:tcPr>
            <w:tcW w:w="2574" w:type="dxa"/>
            <w:tcBorders>
              <w:top w:val="single" w:sz="4" w:space="0" w:color="auto"/>
              <w:left w:val="single" w:sz="4" w:space="0" w:color="auto"/>
              <w:bottom w:val="single" w:sz="4" w:space="0" w:color="auto"/>
              <w:right w:val="single" w:sz="4" w:space="0" w:color="auto"/>
            </w:tcBorders>
            <w:shd w:val="clear" w:color="000080" w:fill="auto"/>
            <w:vAlign w:val="center"/>
          </w:tcPr>
          <w:p w:rsidR="00160150" w:rsidRPr="00BA3000" w:rsidRDefault="00160150" w:rsidP="00523613">
            <w:pPr>
              <w:spacing w:before="20" w:after="20"/>
              <w:ind w:right="168"/>
              <w:jc w:val="center"/>
              <w:rPr>
                <w:rFonts w:cs="Calibri"/>
                <w:color w:val="0000FF"/>
                <w:sz w:val="24"/>
                <w:szCs w:val="24"/>
              </w:rPr>
            </w:pPr>
            <w:r w:rsidRPr="00BA3000">
              <w:rPr>
                <w:rFonts w:cs="Calibri"/>
                <w:color w:val="0000FF"/>
                <w:sz w:val="24"/>
                <w:szCs w:val="24"/>
              </w:rPr>
              <w:t>0.694</w:t>
            </w:r>
          </w:p>
        </w:tc>
      </w:tr>
      <w:tr w:rsidR="00160150" w:rsidRPr="00BA3000" w:rsidTr="00523613">
        <w:trPr>
          <w:tblHeader/>
        </w:trPr>
        <w:tc>
          <w:tcPr>
            <w:tcW w:w="9468" w:type="dxa"/>
            <w:gridSpan w:val="3"/>
            <w:tcBorders>
              <w:top w:val="single" w:sz="4" w:space="0" w:color="auto"/>
              <w:bottom w:val="single" w:sz="4" w:space="0" w:color="auto"/>
              <w:right w:val="single" w:sz="4" w:space="0" w:color="auto"/>
            </w:tcBorders>
            <w:shd w:val="clear" w:color="000080" w:fill="auto"/>
            <w:vAlign w:val="center"/>
          </w:tcPr>
          <w:p w:rsidR="00160150" w:rsidRPr="00BA3000" w:rsidRDefault="00160150" w:rsidP="00523613">
            <w:pPr>
              <w:spacing w:before="20" w:after="20"/>
              <w:rPr>
                <w:b/>
                <w:bCs/>
                <w:color w:val="0000FF"/>
                <w:sz w:val="24"/>
                <w:szCs w:val="24"/>
              </w:rPr>
            </w:pPr>
            <w:r w:rsidRPr="00BA3000">
              <w:rPr>
                <w:rFonts w:cs="Calibri"/>
                <w:color w:val="0000FF"/>
                <w:sz w:val="24"/>
                <w:szCs w:val="24"/>
              </w:rPr>
              <w:t xml:space="preserve">Distribution of residuals (% </w:t>
            </w:r>
            <w:r w:rsidR="000269AA">
              <w:rPr>
                <w:rFonts w:cs="Calibri"/>
                <w:color w:val="0000FF"/>
                <w:sz w:val="24"/>
                <w:szCs w:val="24"/>
              </w:rPr>
              <w:t xml:space="preserve">stays with </w:t>
            </w:r>
            <w:r w:rsidRPr="00BA3000">
              <w:rPr>
                <w:rFonts w:cs="Calibri"/>
                <w:color w:val="0000FF"/>
                <w:sz w:val="24"/>
                <w:szCs w:val="24"/>
              </w:rPr>
              <w:t>Pearson Residual Falling in range)</w:t>
            </w:r>
          </w:p>
        </w:tc>
      </w:tr>
      <w:tr w:rsidR="00160150" w:rsidRPr="00BA3000" w:rsidTr="00EE4BD1">
        <w:trPr>
          <w:tblHeader/>
        </w:trPr>
        <w:tc>
          <w:tcPr>
            <w:tcW w:w="4320" w:type="dxa"/>
            <w:tcBorders>
              <w:top w:val="single" w:sz="4" w:space="0" w:color="auto"/>
              <w:bottom w:val="single" w:sz="4" w:space="0" w:color="auto"/>
              <w:right w:val="single" w:sz="4" w:space="0" w:color="auto"/>
            </w:tcBorders>
            <w:shd w:val="clear" w:color="000080" w:fill="auto"/>
            <w:vAlign w:val="center"/>
          </w:tcPr>
          <w:p w:rsidR="00160150" w:rsidRPr="00BA3000" w:rsidRDefault="00160150" w:rsidP="00523613">
            <w:pPr>
              <w:spacing w:before="20" w:after="20"/>
              <w:rPr>
                <w:rFonts w:cs="Calibri"/>
                <w:color w:val="0000E1"/>
                <w:sz w:val="24"/>
                <w:szCs w:val="24"/>
              </w:rPr>
            </w:pPr>
            <w:r w:rsidRPr="00BA3000">
              <w:rPr>
                <w:rFonts w:cs="Calibri"/>
                <w:color w:val="0000E1"/>
                <w:sz w:val="24"/>
                <w:szCs w:val="24"/>
              </w:rPr>
              <w:t>&lt;-2</w:t>
            </w:r>
          </w:p>
        </w:tc>
        <w:tc>
          <w:tcPr>
            <w:tcW w:w="2574" w:type="dxa"/>
            <w:tcBorders>
              <w:top w:val="single" w:sz="4" w:space="0" w:color="auto"/>
              <w:left w:val="single" w:sz="4" w:space="0" w:color="auto"/>
              <w:bottom w:val="single" w:sz="4" w:space="0" w:color="auto"/>
              <w:right w:val="single" w:sz="4" w:space="0" w:color="auto"/>
            </w:tcBorders>
            <w:shd w:val="clear" w:color="000080" w:fill="auto"/>
            <w:vAlign w:val="center"/>
          </w:tcPr>
          <w:p w:rsidR="00160150" w:rsidRPr="00BA3000" w:rsidRDefault="00160150" w:rsidP="00523613">
            <w:pPr>
              <w:spacing w:before="20" w:after="20"/>
              <w:ind w:right="168"/>
              <w:jc w:val="center"/>
              <w:rPr>
                <w:rFonts w:cs="Calibri"/>
                <w:color w:val="0000FF"/>
                <w:sz w:val="24"/>
                <w:szCs w:val="24"/>
              </w:rPr>
            </w:pPr>
            <w:r w:rsidRPr="00BA3000">
              <w:rPr>
                <w:rFonts w:cs="Calibri"/>
                <w:color w:val="0000FF"/>
                <w:sz w:val="24"/>
                <w:szCs w:val="24"/>
              </w:rPr>
              <w:t>0.0</w:t>
            </w:r>
          </w:p>
        </w:tc>
        <w:tc>
          <w:tcPr>
            <w:tcW w:w="2574" w:type="dxa"/>
            <w:tcBorders>
              <w:top w:val="single" w:sz="4" w:space="0" w:color="auto"/>
              <w:left w:val="single" w:sz="4" w:space="0" w:color="auto"/>
              <w:bottom w:val="single" w:sz="4" w:space="0" w:color="auto"/>
              <w:right w:val="single" w:sz="4" w:space="0" w:color="auto"/>
            </w:tcBorders>
            <w:shd w:val="clear" w:color="000080" w:fill="auto"/>
            <w:vAlign w:val="center"/>
          </w:tcPr>
          <w:p w:rsidR="00160150" w:rsidRPr="00BA3000" w:rsidRDefault="00160150" w:rsidP="00523613">
            <w:pPr>
              <w:spacing w:before="20" w:after="20"/>
              <w:ind w:right="168"/>
              <w:jc w:val="center"/>
              <w:rPr>
                <w:rFonts w:cs="Calibri"/>
                <w:color w:val="0000FF"/>
                <w:sz w:val="24"/>
                <w:szCs w:val="24"/>
              </w:rPr>
            </w:pPr>
            <w:r w:rsidRPr="00BA3000">
              <w:rPr>
                <w:rFonts w:cs="Calibri"/>
                <w:color w:val="0000FF"/>
                <w:sz w:val="24"/>
                <w:szCs w:val="24"/>
              </w:rPr>
              <w:t>0.0</w:t>
            </w:r>
          </w:p>
        </w:tc>
      </w:tr>
      <w:tr w:rsidR="00160150" w:rsidRPr="00BA3000" w:rsidTr="00EE4BD1">
        <w:trPr>
          <w:tblHeader/>
        </w:trPr>
        <w:tc>
          <w:tcPr>
            <w:tcW w:w="4320" w:type="dxa"/>
            <w:tcBorders>
              <w:top w:val="single" w:sz="4" w:space="0" w:color="auto"/>
              <w:bottom w:val="single" w:sz="4" w:space="0" w:color="auto"/>
              <w:right w:val="single" w:sz="4" w:space="0" w:color="auto"/>
            </w:tcBorders>
            <w:shd w:val="clear" w:color="000080" w:fill="auto"/>
            <w:vAlign w:val="center"/>
          </w:tcPr>
          <w:p w:rsidR="00160150" w:rsidRPr="00BA3000" w:rsidRDefault="00160150" w:rsidP="00523613">
            <w:pPr>
              <w:spacing w:before="20" w:after="20"/>
              <w:rPr>
                <w:rFonts w:cs="Calibri"/>
                <w:color w:val="0000E1"/>
                <w:sz w:val="24"/>
                <w:szCs w:val="24"/>
              </w:rPr>
            </w:pPr>
            <w:r w:rsidRPr="00BA3000">
              <w:rPr>
                <w:rFonts w:cs="Calibri"/>
                <w:color w:val="0000E1"/>
                <w:sz w:val="24"/>
                <w:szCs w:val="24"/>
              </w:rPr>
              <w:t>-2 to &lt;0</w:t>
            </w:r>
          </w:p>
        </w:tc>
        <w:tc>
          <w:tcPr>
            <w:tcW w:w="2574" w:type="dxa"/>
            <w:tcBorders>
              <w:top w:val="single" w:sz="4" w:space="0" w:color="auto"/>
              <w:left w:val="single" w:sz="4" w:space="0" w:color="auto"/>
              <w:bottom w:val="single" w:sz="4" w:space="0" w:color="auto"/>
              <w:right w:val="single" w:sz="4" w:space="0" w:color="auto"/>
            </w:tcBorders>
            <w:shd w:val="clear" w:color="000080" w:fill="auto"/>
          </w:tcPr>
          <w:p w:rsidR="00160150" w:rsidRPr="00BA3000" w:rsidRDefault="00160150" w:rsidP="00523613">
            <w:pPr>
              <w:spacing w:before="20" w:after="20"/>
              <w:ind w:right="168"/>
              <w:jc w:val="center"/>
              <w:rPr>
                <w:rFonts w:cs="Calibri"/>
                <w:color w:val="0000FF"/>
                <w:sz w:val="24"/>
                <w:szCs w:val="24"/>
                <w:highlight w:val="lightGray"/>
              </w:rPr>
            </w:pPr>
            <w:r w:rsidRPr="00BA3000">
              <w:rPr>
                <w:rFonts w:cs="Arial"/>
                <w:color w:val="0000FF"/>
                <w:sz w:val="24"/>
                <w:szCs w:val="24"/>
              </w:rPr>
              <w:t>86.5</w:t>
            </w:r>
          </w:p>
        </w:tc>
        <w:tc>
          <w:tcPr>
            <w:tcW w:w="2574" w:type="dxa"/>
            <w:tcBorders>
              <w:top w:val="single" w:sz="4" w:space="0" w:color="auto"/>
              <w:left w:val="single" w:sz="4" w:space="0" w:color="auto"/>
              <w:bottom w:val="single" w:sz="4" w:space="0" w:color="auto"/>
              <w:right w:val="single" w:sz="4" w:space="0" w:color="auto"/>
            </w:tcBorders>
            <w:shd w:val="clear" w:color="000080" w:fill="auto"/>
          </w:tcPr>
          <w:p w:rsidR="00160150" w:rsidRPr="00BA3000" w:rsidRDefault="00160150" w:rsidP="00523613">
            <w:pPr>
              <w:spacing w:before="20" w:after="20"/>
              <w:ind w:right="168"/>
              <w:jc w:val="center"/>
              <w:rPr>
                <w:rFonts w:cs="Calibri"/>
                <w:color w:val="0000FF"/>
                <w:sz w:val="24"/>
                <w:szCs w:val="24"/>
                <w:highlight w:val="lightGray"/>
              </w:rPr>
            </w:pPr>
            <w:r w:rsidRPr="00BA3000">
              <w:rPr>
                <w:rFonts w:cs="Arial"/>
                <w:color w:val="0000FF"/>
                <w:sz w:val="24"/>
                <w:szCs w:val="24"/>
              </w:rPr>
              <w:t>86.5</w:t>
            </w:r>
          </w:p>
        </w:tc>
      </w:tr>
      <w:tr w:rsidR="00160150" w:rsidRPr="00BA3000" w:rsidTr="00EE4BD1">
        <w:trPr>
          <w:tblHeader/>
        </w:trPr>
        <w:tc>
          <w:tcPr>
            <w:tcW w:w="4320" w:type="dxa"/>
            <w:tcBorders>
              <w:top w:val="single" w:sz="4" w:space="0" w:color="auto"/>
              <w:bottom w:val="single" w:sz="4" w:space="0" w:color="auto"/>
              <w:right w:val="single" w:sz="4" w:space="0" w:color="auto"/>
            </w:tcBorders>
            <w:shd w:val="clear" w:color="000080" w:fill="auto"/>
            <w:vAlign w:val="center"/>
          </w:tcPr>
          <w:p w:rsidR="00160150" w:rsidRPr="00BA3000" w:rsidRDefault="00160150" w:rsidP="00523613">
            <w:pPr>
              <w:spacing w:before="20" w:after="20"/>
              <w:rPr>
                <w:rFonts w:cs="Calibri"/>
                <w:color w:val="0000E1"/>
                <w:sz w:val="24"/>
                <w:szCs w:val="24"/>
              </w:rPr>
            </w:pPr>
            <w:r w:rsidRPr="00BA3000">
              <w:rPr>
                <w:rFonts w:cs="Calibri"/>
                <w:color w:val="0000E1"/>
                <w:sz w:val="24"/>
                <w:szCs w:val="24"/>
              </w:rPr>
              <w:t>0 to&lt;2</w:t>
            </w:r>
          </w:p>
        </w:tc>
        <w:tc>
          <w:tcPr>
            <w:tcW w:w="2574" w:type="dxa"/>
            <w:tcBorders>
              <w:top w:val="single" w:sz="4" w:space="0" w:color="auto"/>
              <w:left w:val="single" w:sz="4" w:space="0" w:color="auto"/>
              <w:bottom w:val="single" w:sz="4" w:space="0" w:color="auto"/>
              <w:right w:val="single" w:sz="4" w:space="0" w:color="auto"/>
            </w:tcBorders>
            <w:shd w:val="clear" w:color="000080" w:fill="auto"/>
          </w:tcPr>
          <w:p w:rsidR="00160150" w:rsidRPr="00BA3000" w:rsidRDefault="00160150" w:rsidP="00523613">
            <w:pPr>
              <w:spacing w:before="20" w:after="20"/>
              <w:ind w:right="168"/>
              <w:jc w:val="center"/>
              <w:rPr>
                <w:rFonts w:cs="Calibri"/>
                <w:color w:val="0000FF"/>
                <w:sz w:val="24"/>
                <w:szCs w:val="24"/>
                <w:highlight w:val="lightGray"/>
              </w:rPr>
            </w:pPr>
            <w:r w:rsidRPr="00BA3000">
              <w:rPr>
                <w:rFonts w:cs="Arial"/>
                <w:color w:val="0000FF"/>
                <w:sz w:val="24"/>
                <w:szCs w:val="24"/>
              </w:rPr>
              <w:t>4.7</w:t>
            </w:r>
          </w:p>
        </w:tc>
        <w:tc>
          <w:tcPr>
            <w:tcW w:w="2574" w:type="dxa"/>
            <w:tcBorders>
              <w:top w:val="single" w:sz="4" w:space="0" w:color="auto"/>
              <w:left w:val="single" w:sz="4" w:space="0" w:color="auto"/>
              <w:bottom w:val="single" w:sz="4" w:space="0" w:color="auto"/>
              <w:right w:val="single" w:sz="4" w:space="0" w:color="auto"/>
            </w:tcBorders>
            <w:shd w:val="clear" w:color="000080" w:fill="auto"/>
          </w:tcPr>
          <w:p w:rsidR="00160150" w:rsidRPr="00BA3000" w:rsidRDefault="00160150" w:rsidP="00523613">
            <w:pPr>
              <w:spacing w:before="20" w:after="20"/>
              <w:ind w:right="168"/>
              <w:jc w:val="center"/>
              <w:rPr>
                <w:rFonts w:cs="Calibri"/>
                <w:color w:val="0000FF"/>
                <w:sz w:val="24"/>
                <w:szCs w:val="24"/>
                <w:highlight w:val="lightGray"/>
              </w:rPr>
            </w:pPr>
            <w:r w:rsidRPr="00BA3000">
              <w:rPr>
                <w:rFonts w:cs="Arial"/>
                <w:color w:val="0000FF"/>
                <w:sz w:val="24"/>
                <w:szCs w:val="24"/>
              </w:rPr>
              <w:t>4.9</w:t>
            </w:r>
          </w:p>
        </w:tc>
      </w:tr>
      <w:tr w:rsidR="00160150" w:rsidRPr="00BA3000" w:rsidTr="00EE4BD1">
        <w:trPr>
          <w:tblHeader/>
        </w:trPr>
        <w:tc>
          <w:tcPr>
            <w:tcW w:w="4320" w:type="dxa"/>
            <w:tcBorders>
              <w:top w:val="single" w:sz="4" w:space="0" w:color="auto"/>
              <w:bottom w:val="single" w:sz="4" w:space="0" w:color="auto"/>
              <w:right w:val="single" w:sz="4" w:space="0" w:color="auto"/>
            </w:tcBorders>
            <w:shd w:val="clear" w:color="000080" w:fill="auto"/>
            <w:vAlign w:val="center"/>
          </w:tcPr>
          <w:p w:rsidR="00160150" w:rsidRPr="00BA3000" w:rsidRDefault="00160150" w:rsidP="00523613">
            <w:pPr>
              <w:spacing w:before="20" w:after="20"/>
              <w:rPr>
                <w:rFonts w:cs="Calibri"/>
                <w:color w:val="0000E1"/>
                <w:sz w:val="24"/>
                <w:szCs w:val="24"/>
              </w:rPr>
            </w:pPr>
            <w:r w:rsidRPr="00BA3000">
              <w:rPr>
                <w:rFonts w:cs="Calibri"/>
                <w:color w:val="0000E1"/>
                <w:sz w:val="24"/>
                <w:szCs w:val="24"/>
              </w:rPr>
              <w:t>&gt;2</w:t>
            </w:r>
          </w:p>
        </w:tc>
        <w:tc>
          <w:tcPr>
            <w:tcW w:w="2574" w:type="dxa"/>
            <w:tcBorders>
              <w:top w:val="single" w:sz="4" w:space="0" w:color="auto"/>
              <w:left w:val="single" w:sz="4" w:space="0" w:color="auto"/>
              <w:bottom w:val="single" w:sz="4" w:space="0" w:color="auto"/>
              <w:right w:val="single" w:sz="4" w:space="0" w:color="auto"/>
            </w:tcBorders>
            <w:shd w:val="clear" w:color="000080" w:fill="auto"/>
          </w:tcPr>
          <w:p w:rsidR="00160150" w:rsidRPr="00BA3000" w:rsidRDefault="00160150" w:rsidP="00523613">
            <w:pPr>
              <w:spacing w:before="20" w:after="20"/>
              <w:ind w:right="168"/>
              <w:jc w:val="center"/>
              <w:rPr>
                <w:rFonts w:cs="Calibri"/>
                <w:color w:val="0000FF"/>
                <w:sz w:val="24"/>
                <w:szCs w:val="24"/>
                <w:highlight w:val="lightGray"/>
              </w:rPr>
            </w:pPr>
            <w:r w:rsidRPr="00BA3000">
              <w:rPr>
                <w:rFonts w:cs="Arial"/>
                <w:color w:val="0000FF"/>
                <w:sz w:val="24"/>
                <w:szCs w:val="24"/>
              </w:rPr>
              <w:t>8.8</w:t>
            </w:r>
          </w:p>
        </w:tc>
        <w:tc>
          <w:tcPr>
            <w:tcW w:w="2574" w:type="dxa"/>
            <w:tcBorders>
              <w:top w:val="single" w:sz="4" w:space="0" w:color="auto"/>
              <w:left w:val="single" w:sz="4" w:space="0" w:color="auto"/>
              <w:bottom w:val="single" w:sz="4" w:space="0" w:color="auto"/>
              <w:right w:val="single" w:sz="4" w:space="0" w:color="auto"/>
            </w:tcBorders>
            <w:shd w:val="clear" w:color="000080" w:fill="auto"/>
          </w:tcPr>
          <w:p w:rsidR="00160150" w:rsidRPr="00BA3000" w:rsidRDefault="00160150" w:rsidP="00523613">
            <w:pPr>
              <w:spacing w:before="20" w:after="20"/>
              <w:ind w:right="168"/>
              <w:jc w:val="center"/>
              <w:rPr>
                <w:rFonts w:cs="Calibri"/>
                <w:color w:val="0000FF"/>
                <w:sz w:val="24"/>
                <w:szCs w:val="24"/>
                <w:highlight w:val="lightGray"/>
              </w:rPr>
            </w:pPr>
            <w:r w:rsidRPr="00BA3000">
              <w:rPr>
                <w:rFonts w:cs="Arial"/>
                <w:color w:val="0000FF"/>
                <w:sz w:val="24"/>
                <w:szCs w:val="24"/>
              </w:rPr>
              <w:t>8.6</w:t>
            </w:r>
          </w:p>
        </w:tc>
      </w:tr>
      <w:tr w:rsidR="00160150" w:rsidRPr="00BA3000" w:rsidTr="00EE4BD1">
        <w:trPr>
          <w:tblHeader/>
        </w:trPr>
        <w:tc>
          <w:tcPr>
            <w:tcW w:w="4320" w:type="dxa"/>
            <w:tcBorders>
              <w:top w:val="single" w:sz="4" w:space="0" w:color="auto"/>
              <w:bottom w:val="single" w:sz="4" w:space="0" w:color="auto"/>
              <w:right w:val="single" w:sz="4" w:space="0" w:color="auto"/>
            </w:tcBorders>
            <w:shd w:val="clear" w:color="000080" w:fill="auto"/>
            <w:vAlign w:val="center"/>
          </w:tcPr>
          <w:p w:rsidR="00160150" w:rsidRPr="00BA3000" w:rsidRDefault="00160150" w:rsidP="00523613">
            <w:pPr>
              <w:spacing w:before="20" w:after="20"/>
              <w:rPr>
                <w:rFonts w:cs="Calibri"/>
                <w:color w:val="0000E1"/>
                <w:sz w:val="24"/>
                <w:szCs w:val="24"/>
              </w:rPr>
            </w:pPr>
            <w:r w:rsidRPr="00BA3000">
              <w:rPr>
                <w:rFonts w:cs="Calibri"/>
                <w:color w:val="0000E1"/>
                <w:sz w:val="24"/>
                <w:szCs w:val="24"/>
              </w:rPr>
              <w:t>Model x</w:t>
            </w:r>
            <w:r w:rsidRPr="00BA3000">
              <w:rPr>
                <w:rFonts w:cs="Calibri"/>
                <w:color w:val="0000E1"/>
                <w:sz w:val="24"/>
                <w:szCs w:val="24"/>
                <w:vertAlign w:val="superscript"/>
              </w:rPr>
              <w:t>2</w:t>
            </w:r>
            <w:r w:rsidRPr="00BA3000">
              <w:rPr>
                <w:rFonts w:cs="Calibri"/>
                <w:color w:val="0000E1"/>
                <w:sz w:val="24"/>
                <w:szCs w:val="24"/>
              </w:rPr>
              <w:t xml:space="preserve"> (DF) from Likelihood Ratio</w:t>
            </w:r>
          </w:p>
        </w:tc>
        <w:tc>
          <w:tcPr>
            <w:tcW w:w="2574" w:type="dxa"/>
            <w:tcBorders>
              <w:top w:val="single" w:sz="4" w:space="0" w:color="auto"/>
              <w:left w:val="single" w:sz="4" w:space="0" w:color="auto"/>
              <w:bottom w:val="single" w:sz="4" w:space="0" w:color="auto"/>
              <w:right w:val="single" w:sz="4" w:space="0" w:color="auto"/>
            </w:tcBorders>
            <w:shd w:val="clear" w:color="000080" w:fill="auto"/>
            <w:vAlign w:val="center"/>
          </w:tcPr>
          <w:p w:rsidR="00160150" w:rsidRPr="00BA3000" w:rsidRDefault="00160150" w:rsidP="00523613">
            <w:pPr>
              <w:spacing w:before="20" w:after="20"/>
              <w:ind w:right="168"/>
              <w:jc w:val="center"/>
              <w:rPr>
                <w:rFonts w:cs="Calibri"/>
                <w:color w:val="0000E1"/>
                <w:sz w:val="24"/>
                <w:szCs w:val="24"/>
              </w:rPr>
            </w:pPr>
            <w:r w:rsidRPr="00BA3000">
              <w:rPr>
                <w:rFonts w:cs="Calibri"/>
                <w:color w:val="0000E1"/>
                <w:sz w:val="24"/>
                <w:szCs w:val="24"/>
              </w:rPr>
              <w:t>30974.187 (204)</w:t>
            </w:r>
          </w:p>
        </w:tc>
        <w:tc>
          <w:tcPr>
            <w:tcW w:w="2574" w:type="dxa"/>
            <w:tcBorders>
              <w:top w:val="single" w:sz="4" w:space="0" w:color="auto"/>
              <w:left w:val="single" w:sz="4" w:space="0" w:color="auto"/>
              <w:bottom w:val="single" w:sz="4" w:space="0" w:color="auto"/>
              <w:right w:val="single" w:sz="4" w:space="0" w:color="auto"/>
            </w:tcBorders>
            <w:shd w:val="clear" w:color="000080" w:fill="auto"/>
            <w:vAlign w:val="center"/>
          </w:tcPr>
          <w:p w:rsidR="00160150" w:rsidRPr="00BA3000" w:rsidRDefault="00160150" w:rsidP="00523613">
            <w:pPr>
              <w:spacing w:before="20" w:after="20"/>
              <w:ind w:right="168"/>
              <w:jc w:val="center"/>
              <w:rPr>
                <w:rFonts w:cs="Calibri"/>
                <w:color w:val="0000E1"/>
                <w:sz w:val="24"/>
                <w:szCs w:val="24"/>
              </w:rPr>
            </w:pPr>
            <w:r w:rsidRPr="00BA3000">
              <w:rPr>
                <w:rFonts w:cs="Calibri"/>
                <w:color w:val="0000E1"/>
                <w:sz w:val="24"/>
                <w:szCs w:val="24"/>
              </w:rPr>
              <w:t xml:space="preserve"> 32949.772 (204)</w:t>
            </w:r>
          </w:p>
        </w:tc>
      </w:tr>
    </w:tbl>
    <w:p w:rsidR="00160150" w:rsidRPr="00BA3000" w:rsidRDefault="00160150" w:rsidP="00160150">
      <w:pPr>
        <w:rPr>
          <w:sz w:val="24"/>
          <w:szCs w:val="24"/>
        </w:rPr>
      </w:pPr>
      <w:r w:rsidRPr="00BA3000">
        <w:rPr>
          <w:rFonts w:cstheme="majorBidi"/>
          <w:color w:val="0000FF"/>
          <w:sz w:val="24"/>
          <w:szCs w:val="24"/>
        </w:rPr>
        <w:t>Source: RTI analysis of Medicare claims data, 2007-2012. (RTI program references: lc18_irfv15_0910logistic.xlsx; lc18_irfv15_1011logistic.xlsx; lc17_irfv15_0910.xlsx; lc17_irfv15_1011.xlsx; lc19_irf_irf0910logistic.xlsx; lc19_irf_irf1011logistic.xlsx).</w:t>
      </w:r>
    </w:p>
    <w:p w:rsidR="00160150" w:rsidRDefault="00160150" w:rsidP="00BA3000">
      <w:pPr>
        <w:rPr>
          <w:color w:val="0000FF"/>
          <w:sz w:val="24"/>
          <w:szCs w:val="24"/>
        </w:rPr>
      </w:pPr>
    </w:p>
    <w:p w:rsidR="00BA3000" w:rsidRPr="00BA3000" w:rsidRDefault="00BA3000" w:rsidP="00BA3000">
      <w:pPr>
        <w:rPr>
          <w:color w:val="0000FF"/>
          <w:sz w:val="24"/>
          <w:szCs w:val="24"/>
        </w:rPr>
      </w:pPr>
      <w:r w:rsidRPr="00BA3000">
        <w:rPr>
          <w:color w:val="0000FF"/>
          <w:sz w:val="24"/>
          <w:szCs w:val="24"/>
        </w:rPr>
        <w:t xml:space="preserve">A test that explores calibration over ranges of predicted probabilities is a comparison of the observed and predicted readmissions by decile. Results from this test are reported in </w:t>
      </w:r>
      <w:r w:rsidRPr="00BA3000">
        <w:rPr>
          <w:b/>
          <w:bCs/>
          <w:color w:val="0000FF"/>
          <w:sz w:val="24"/>
          <w:szCs w:val="24"/>
        </w:rPr>
        <w:t>T</w:t>
      </w:r>
      <w:r w:rsidR="00160150">
        <w:rPr>
          <w:b/>
          <w:bCs/>
          <w:color w:val="0000FF"/>
          <w:sz w:val="24"/>
          <w:szCs w:val="24"/>
        </w:rPr>
        <w:t>esting T</w:t>
      </w:r>
      <w:r w:rsidRPr="00BA3000">
        <w:rPr>
          <w:b/>
          <w:bCs/>
          <w:color w:val="0000FF"/>
          <w:sz w:val="24"/>
          <w:szCs w:val="24"/>
        </w:rPr>
        <w:t>able 4</w:t>
      </w:r>
      <w:r w:rsidRPr="00BA3000">
        <w:rPr>
          <w:color w:val="0000FF"/>
          <w:sz w:val="24"/>
          <w:szCs w:val="24"/>
        </w:rPr>
        <w:t xml:space="preserve">. The results of this test are similar across years, and only results from the 2010/2011 model are reported. These results indicate that the difference between the predicted number of readmissions and the observed number of readmissions in percentage points is very minimal, </w:t>
      </w:r>
      <w:r w:rsidR="00587932">
        <w:rPr>
          <w:color w:val="0000FF"/>
          <w:sz w:val="24"/>
          <w:szCs w:val="24"/>
        </w:rPr>
        <w:t xml:space="preserve">1 percentage point or </w:t>
      </w:r>
      <w:r w:rsidRPr="00BA3000">
        <w:rPr>
          <w:color w:val="0000FF"/>
          <w:sz w:val="24"/>
          <w:szCs w:val="24"/>
        </w:rPr>
        <w:t xml:space="preserve">less for </w:t>
      </w:r>
      <w:r w:rsidR="00587932">
        <w:rPr>
          <w:color w:val="0000FF"/>
          <w:sz w:val="24"/>
          <w:szCs w:val="24"/>
        </w:rPr>
        <w:t>9</w:t>
      </w:r>
      <w:r w:rsidR="00587932" w:rsidRPr="00BA3000">
        <w:rPr>
          <w:color w:val="0000FF"/>
          <w:sz w:val="24"/>
          <w:szCs w:val="24"/>
        </w:rPr>
        <w:t xml:space="preserve"> </w:t>
      </w:r>
      <w:r w:rsidRPr="00BA3000">
        <w:rPr>
          <w:color w:val="0000FF"/>
          <w:sz w:val="24"/>
          <w:szCs w:val="24"/>
        </w:rPr>
        <w:t>deciles</w:t>
      </w:r>
      <w:r w:rsidR="00587932">
        <w:rPr>
          <w:color w:val="0000FF"/>
          <w:sz w:val="24"/>
          <w:szCs w:val="24"/>
        </w:rPr>
        <w:t xml:space="preserve"> and less than 2 points for the tenth</w:t>
      </w:r>
      <w:r w:rsidRPr="00BA3000">
        <w:rPr>
          <w:color w:val="0000FF"/>
          <w:sz w:val="24"/>
          <w:szCs w:val="24"/>
        </w:rPr>
        <w:t>.</w:t>
      </w:r>
    </w:p>
    <w:p w:rsidR="00832EE3" w:rsidRDefault="00832EE3">
      <w:pPr>
        <w:rPr>
          <w:rFonts w:cstheme="majorBidi"/>
          <w:b/>
          <w:bCs/>
          <w:color w:val="0000FF"/>
          <w:sz w:val="24"/>
          <w:szCs w:val="24"/>
        </w:rPr>
      </w:pPr>
      <w:r>
        <w:rPr>
          <w:rFonts w:cstheme="majorBidi"/>
          <w:b/>
          <w:bCs/>
          <w:color w:val="0000FF"/>
          <w:sz w:val="24"/>
          <w:szCs w:val="24"/>
        </w:rPr>
        <w:br w:type="page"/>
      </w:r>
    </w:p>
    <w:p w:rsidR="00BA3000" w:rsidRPr="00BA3000" w:rsidRDefault="00BA3000" w:rsidP="00BA3000">
      <w:pPr>
        <w:jc w:val="center"/>
        <w:rPr>
          <w:rFonts w:cstheme="majorBidi"/>
          <w:b/>
          <w:bCs/>
          <w:color w:val="0000FF"/>
          <w:sz w:val="24"/>
          <w:szCs w:val="24"/>
        </w:rPr>
      </w:pPr>
      <w:r w:rsidRPr="00BA3000">
        <w:rPr>
          <w:rFonts w:cstheme="majorBidi"/>
          <w:b/>
          <w:bCs/>
          <w:color w:val="0000FF"/>
          <w:sz w:val="24"/>
          <w:szCs w:val="24"/>
        </w:rPr>
        <w:lastRenderedPageBreak/>
        <w:t>T</w:t>
      </w:r>
      <w:r w:rsidR="00160150">
        <w:rPr>
          <w:rFonts w:cstheme="majorBidi"/>
          <w:b/>
          <w:bCs/>
          <w:color w:val="0000FF"/>
          <w:sz w:val="24"/>
          <w:szCs w:val="24"/>
        </w:rPr>
        <w:t>esting T</w:t>
      </w:r>
      <w:r w:rsidRPr="00BA3000">
        <w:rPr>
          <w:rFonts w:cstheme="majorBidi"/>
          <w:b/>
          <w:bCs/>
          <w:color w:val="0000FF"/>
          <w:sz w:val="24"/>
          <w:szCs w:val="24"/>
        </w:rPr>
        <w:t>able 4: IRF Readmission Model Diagnostics: Comparison of Observed and Predicted Readmissions by Expected Readmission Deciles – 2010/2011</w:t>
      </w:r>
    </w:p>
    <w:tbl>
      <w:tblPr>
        <w:tblW w:w="8152" w:type="dxa"/>
        <w:jc w:val="center"/>
        <w:tblInd w:w="-487" w:type="dxa"/>
        <w:tblBorders>
          <w:top w:val="single" w:sz="8" w:space="0" w:color="auto"/>
          <w:bottom w:val="single" w:sz="8" w:space="0" w:color="auto"/>
        </w:tblBorders>
        <w:tblLayout w:type="fixed"/>
        <w:tblLook w:val="04A0" w:firstRow="1" w:lastRow="0" w:firstColumn="1" w:lastColumn="0" w:noHBand="0" w:noVBand="1"/>
      </w:tblPr>
      <w:tblGrid>
        <w:gridCol w:w="1630"/>
        <w:gridCol w:w="1630"/>
        <w:gridCol w:w="1631"/>
        <w:gridCol w:w="1630"/>
        <w:gridCol w:w="1631"/>
      </w:tblGrid>
      <w:tr w:rsidR="00BA3000" w:rsidRPr="00BA3000" w:rsidTr="00587932">
        <w:trPr>
          <w:trHeight w:val="390"/>
          <w:jc w:val="center"/>
        </w:trPr>
        <w:tc>
          <w:tcPr>
            <w:tcW w:w="1630" w:type="dxa"/>
            <w:tcBorders>
              <w:top w:val="single" w:sz="8" w:space="0" w:color="auto"/>
              <w:bottom w:val="single" w:sz="8" w:space="0" w:color="auto"/>
              <w:right w:val="single" w:sz="4" w:space="0" w:color="auto"/>
            </w:tcBorders>
            <w:shd w:val="clear" w:color="000000" w:fill="auto"/>
            <w:vAlign w:val="center"/>
            <w:hideMark/>
          </w:tcPr>
          <w:p w:rsidR="00BA3000" w:rsidRPr="00BA3000" w:rsidRDefault="00BA3000" w:rsidP="00B067EA">
            <w:pPr>
              <w:spacing w:after="0"/>
              <w:jc w:val="right"/>
              <w:rPr>
                <w:rFonts w:eastAsia="Times New Roman" w:cstheme="majorBidi"/>
                <w:b/>
                <w:bCs/>
                <w:color w:val="0000FF"/>
                <w:sz w:val="24"/>
                <w:szCs w:val="24"/>
              </w:rPr>
            </w:pPr>
            <w:r w:rsidRPr="00BA3000">
              <w:rPr>
                <w:rFonts w:eastAsia="Times New Roman" w:cstheme="majorBidi"/>
                <w:b/>
                <w:bCs/>
                <w:color w:val="0000FF"/>
                <w:sz w:val="24"/>
                <w:szCs w:val="24"/>
              </w:rPr>
              <w:t>Decile based on Expected</w:t>
            </w:r>
          </w:p>
          <w:p w:rsidR="00BA3000" w:rsidRPr="00BA3000" w:rsidRDefault="00587932" w:rsidP="00B067EA">
            <w:pPr>
              <w:spacing w:after="0"/>
              <w:jc w:val="right"/>
              <w:rPr>
                <w:rFonts w:eastAsia="Times New Roman" w:cstheme="majorBidi"/>
                <w:b/>
                <w:bCs/>
                <w:color w:val="0000FF"/>
                <w:sz w:val="24"/>
                <w:szCs w:val="24"/>
              </w:rPr>
            </w:pPr>
            <w:r>
              <w:rPr>
                <w:rFonts w:eastAsia="Times New Roman" w:cstheme="majorBidi"/>
                <w:b/>
                <w:bCs/>
                <w:color w:val="0000FF"/>
                <w:sz w:val="24"/>
                <w:szCs w:val="24"/>
              </w:rPr>
              <w:t>(Low to high)</w:t>
            </w:r>
          </w:p>
        </w:tc>
        <w:tc>
          <w:tcPr>
            <w:tcW w:w="1630" w:type="dxa"/>
            <w:tcBorders>
              <w:top w:val="single" w:sz="8" w:space="0" w:color="auto"/>
              <w:left w:val="single" w:sz="4" w:space="0" w:color="auto"/>
              <w:bottom w:val="single" w:sz="8" w:space="0" w:color="auto"/>
            </w:tcBorders>
            <w:shd w:val="clear" w:color="000000" w:fill="auto"/>
            <w:vAlign w:val="center"/>
            <w:hideMark/>
          </w:tcPr>
          <w:p w:rsidR="00BA3000" w:rsidRPr="00BA3000" w:rsidRDefault="00BA3000" w:rsidP="00B067EA">
            <w:pPr>
              <w:spacing w:after="0"/>
              <w:jc w:val="right"/>
              <w:rPr>
                <w:rFonts w:eastAsia="Times New Roman" w:cstheme="majorBidi"/>
                <w:b/>
                <w:bCs/>
                <w:color w:val="0000FF"/>
                <w:sz w:val="24"/>
                <w:szCs w:val="24"/>
              </w:rPr>
            </w:pPr>
            <w:r w:rsidRPr="00BA3000">
              <w:rPr>
                <w:rFonts w:eastAsia="Times New Roman" w:cstheme="majorBidi"/>
                <w:b/>
                <w:bCs/>
                <w:color w:val="0000FF"/>
                <w:sz w:val="24"/>
                <w:szCs w:val="24"/>
              </w:rPr>
              <w:t>Number of IRF Discharges</w:t>
            </w:r>
          </w:p>
        </w:tc>
        <w:tc>
          <w:tcPr>
            <w:tcW w:w="1631" w:type="dxa"/>
            <w:tcBorders>
              <w:top w:val="single" w:sz="8" w:space="0" w:color="auto"/>
              <w:bottom w:val="single" w:sz="8" w:space="0" w:color="auto"/>
            </w:tcBorders>
            <w:shd w:val="clear" w:color="000000" w:fill="auto"/>
            <w:vAlign w:val="center"/>
            <w:hideMark/>
          </w:tcPr>
          <w:p w:rsidR="00BA3000" w:rsidRPr="00BA3000" w:rsidRDefault="00BA3000" w:rsidP="00B067EA">
            <w:pPr>
              <w:spacing w:after="0"/>
              <w:jc w:val="right"/>
              <w:rPr>
                <w:rFonts w:eastAsia="Times New Roman" w:cstheme="majorBidi"/>
                <w:b/>
                <w:bCs/>
                <w:color w:val="0000FF"/>
                <w:sz w:val="24"/>
                <w:szCs w:val="24"/>
              </w:rPr>
            </w:pPr>
            <w:r w:rsidRPr="00BA3000">
              <w:rPr>
                <w:rFonts w:eastAsia="Times New Roman" w:cstheme="majorBidi"/>
                <w:b/>
                <w:bCs/>
                <w:color w:val="0000FF"/>
                <w:sz w:val="24"/>
                <w:szCs w:val="24"/>
              </w:rPr>
              <w:t>Number of Observed</w:t>
            </w:r>
          </w:p>
          <w:p w:rsidR="00BA3000" w:rsidRPr="00BA3000" w:rsidRDefault="00BA3000" w:rsidP="00B067EA">
            <w:pPr>
              <w:spacing w:after="0"/>
              <w:jc w:val="right"/>
              <w:rPr>
                <w:rFonts w:eastAsia="Times New Roman" w:cstheme="majorBidi"/>
                <w:b/>
                <w:bCs/>
                <w:color w:val="0000FF"/>
                <w:sz w:val="24"/>
                <w:szCs w:val="24"/>
              </w:rPr>
            </w:pPr>
            <w:r w:rsidRPr="00BA3000">
              <w:rPr>
                <w:rFonts w:eastAsia="Times New Roman" w:cstheme="majorBidi"/>
                <w:b/>
                <w:bCs/>
                <w:color w:val="0000FF"/>
                <w:sz w:val="24"/>
                <w:szCs w:val="24"/>
              </w:rPr>
              <w:t>Readmissions</w:t>
            </w:r>
          </w:p>
        </w:tc>
        <w:tc>
          <w:tcPr>
            <w:tcW w:w="1630" w:type="dxa"/>
            <w:tcBorders>
              <w:top w:val="single" w:sz="8" w:space="0" w:color="auto"/>
              <w:bottom w:val="single" w:sz="8" w:space="0" w:color="auto"/>
              <w:right w:val="nil"/>
            </w:tcBorders>
            <w:shd w:val="clear" w:color="000000" w:fill="auto"/>
            <w:vAlign w:val="center"/>
            <w:hideMark/>
          </w:tcPr>
          <w:p w:rsidR="00BA3000" w:rsidRPr="00BA3000" w:rsidRDefault="00BA3000" w:rsidP="00B067EA">
            <w:pPr>
              <w:spacing w:after="0"/>
              <w:jc w:val="right"/>
              <w:rPr>
                <w:rFonts w:eastAsia="Times New Roman" w:cstheme="majorBidi"/>
                <w:b/>
                <w:bCs/>
                <w:color w:val="0000FF"/>
                <w:sz w:val="24"/>
                <w:szCs w:val="24"/>
              </w:rPr>
            </w:pPr>
            <w:r w:rsidRPr="00BA3000">
              <w:rPr>
                <w:rFonts w:eastAsia="Times New Roman" w:cstheme="majorBidi"/>
                <w:b/>
                <w:bCs/>
                <w:color w:val="0000FF"/>
                <w:sz w:val="24"/>
                <w:szCs w:val="24"/>
              </w:rPr>
              <w:t>Number of Predicted</w:t>
            </w:r>
          </w:p>
          <w:p w:rsidR="00BA3000" w:rsidRPr="00BA3000" w:rsidRDefault="00BA3000" w:rsidP="00B067EA">
            <w:pPr>
              <w:spacing w:after="0"/>
              <w:jc w:val="right"/>
              <w:rPr>
                <w:rFonts w:eastAsia="Times New Roman" w:cstheme="majorBidi"/>
                <w:b/>
                <w:bCs/>
                <w:color w:val="0000FF"/>
                <w:sz w:val="24"/>
                <w:szCs w:val="24"/>
              </w:rPr>
            </w:pPr>
            <w:r w:rsidRPr="00BA3000">
              <w:rPr>
                <w:rFonts w:eastAsia="Times New Roman" w:cstheme="majorBidi"/>
                <w:b/>
                <w:bCs/>
                <w:color w:val="0000FF"/>
                <w:sz w:val="24"/>
                <w:szCs w:val="24"/>
              </w:rPr>
              <w:t>Readmissions</w:t>
            </w:r>
          </w:p>
        </w:tc>
        <w:tc>
          <w:tcPr>
            <w:tcW w:w="1631" w:type="dxa"/>
            <w:tcBorders>
              <w:top w:val="single" w:sz="4" w:space="0" w:color="auto"/>
              <w:left w:val="nil"/>
              <w:bottom w:val="single" w:sz="4" w:space="0" w:color="auto"/>
            </w:tcBorders>
            <w:shd w:val="clear" w:color="000000" w:fill="auto"/>
            <w:vAlign w:val="center"/>
          </w:tcPr>
          <w:p w:rsidR="00BA3000" w:rsidRPr="00BA3000" w:rsidRDefault="00BA3000" w:rsidP="00B067EA">
            <w:pPr>
              <w:spacing w:after="0"/>
              <w:jc w:val="right"/>
              <w:rPr>
                <w:rFonts w:eastAsia="Times New Roman" w:cstheme="majorBidi"/>
                <w:b/>
                <w:bCs/>
                <w:color w:val="0000FF"/>
                <w:sz w:val="24"/>
                <w:szCs w:val="24"/>
              </w:rPr>
            </w:pPr>
            <w:r w:rsidRPr="00BA3000">
              <w:rPr>
                <w:rFonts w:cstheme="majorBidi"/>
                <w:b/>
                <w:bCs/>
                <w:color w:val="0000FF"/>
                <w:sz w:val="24"/>
                <w:szCs w:val="24"/>
              </w:rPr>
              <w:t>Difference: Predicted – Observed</w:t>
            </w:r>
            <w:r w:rsidRPr="00BA3000">
              <w:rPr>
                <w:rFonts w:cstheme="majorBidi"/>
                <w:b/>
                <w:bCs/>
                <w:color w:val="0000FF"/>
                <w:sz w:val="24"/>
                <w:szCs w:val="24"/>
              </w:rPr>
              <w:br/>
              <w:t>(% points)</w:t>
            </w:r>
          </w:p>
        </w:tc>
      </w:tr>
      <w:tr w:rsidR="00BA3000" w:rsidRPr="00BA3000" w:rsidTr="00587932">
        <w:trPr>
          <w:trHeight w:val="375"/>
          <w:jc w:val="center"/>
        </w:trPr>
        <w:tc>
          <w:tcPr>
            <w:tcW w:w="1630" w:type="dxa"/>
            <w:tcBorders>
              <w:top w:val="single" w:sz="8" w:space="0" w:color="auto"/>
              <w:bottom w:val="single" w:sz="4" w:space="0" w:color="auto"/>
              <w:right w:val="single" w:sz="4" w:space="0" w:color="auto"/>
            </w:tcBorders>
            <w:shd w:val="clear" w:color="000000" w:fill="auto"/>
            <w:hideMark/>
          </w:tcPr>
          <w:p w:rsidR="00BA3000" w:rsidRPr="00BA3000" w:rsidRDefault="00BA3000" w:rsidP="00B067EA">
            <w:pPr>
              <w:spacing w:after="0"/>
              <w:jc w:val="right"/>
              <w:rPr>
                <w:rFonts w:eastAsia="Times New Roman" w:cstheme="majorBidi"/>
                <w:b/>
                <w:bCs/>
                <w:color w:val="0000FF"/>
                <w:sz w:val="24"/>
                <w:szCs w:val="24"/>
              </w:rPr>
            </w:pPr>
            <w:r w:rsidRPr="00BA3000">
              <w:rPr>
                <w:rFonts w:eastAsia="Times New Roman" w:cstheme="majorBidi"/>
                <w:b/>
                <w:bCs/>
                <w:color w:val="0000FF"/>
                <w:sz w:val="24"/>
                <w:szCs w:val="24"/>
              </w:rPr>
              <w:t>1</w:t>
            </w:r>
          </w:p>
        </w:tc>
        <w:tc>
          <w:tcPr>
            <w:tcW w:w="1630" w:type="dxa"/>
            <w:tcBorders>
              <w:top w:val="single" w:sz="8" w:space="0" w:color="auto"/>
              <w:left w:val="single" w:sz="4" w:space="0" w:color="auto"/>
              <w:bottom w:val="single" w:sz="4" w:space="0" w:color="auto"/>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59,012</w:t>
            </w:r>
          </w:p>
        </w:tc>
        <w:tc>
          <w:tcPr>
            <w:tcW w:w="1631" w:type="dxa"/>
            <w:tcBorders>
              <w:top w:val="single" w:sz="8" w:space="0" w:color="auto"/>
              <w:bottom w:val="single" w:sz="4" w:space="0" w:color="auto"/>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2,088</w:t>
            </w:r>
          </w:p>
        </w:tc>
        <w:tc>
          <w:tcPr>
            <w:tcW w:w="1630" w:type="dxa"/>
            <w:tcBorders>
              <w:top w:val="single" w:sz="8" w:space="0" w:color="auto"/>
              <w:bottom w:val="single" w:sz="4" w:space="0" w:color="auto"/>
              <w:right w:val="nil"/>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2,546.22</w:t>
            </w:r>
          </w:p>
        </w:tc>
        <w:tc>
          <w:tcPr>
            <w:tcW w:w="1631" w:type="dxa"/>
            <w:tcBorders>
              <w:top w:val="single" w:sz="4" w:space="0" w:color="auto"/>
              <w:left w:val="nil"/>
              <w:bottom w:val="single" w:sz="4" w:space="0" w:color="auto"/>
            </w:tcBorders>
            <w:shd w:val="clear" w:color="000000" w:fill="FFFFFF"/>
            <w:vAlign w:val="bottom"/>
          </w:tcPr>
          <w:p w:rsidR="00BA3000" w:rsidRPr="00BA3000" w:rsidRDefault="00BA3000" w:rsidP="00B067EA">
            <w:pPr>
              <w:jc w:val="right"/>
              <w:rPr>
                <w:color w:val="0000FF"/>
                <w:sz w:val="24"/>
                <w:szCs w:val="24"/>
              </w:rPr>
            </w:pPr>
            <w:r w:rsidRPr="00BA3000">
              <w:rPr>
                <w:color w:val="0000FF"/>
                <w:sz w:val="24"/>
                <w:szCs w:val="24"/>
              </w:rPr>
              <w:t>0.78</w:t>
            </w:r>
          </w:p>
        </w:tc>
      </w:tr>
      <w:tr w:rsidR="00BA3000" w:rsidRPr="00BA3000" w:rsidTr="00587932">
        <w:trPr>
          <w:trHeight w:val="375"/>
          <w:jc w:val="center"/>
        </w:trPr>
        <w:tc>
          <w:tcPr>
            <w:tcW w:w="1630" w:type="dxa"/>
            <w:tcBorders>
              <w:top w:val="single" w:sz="4" w:space="0" w:color="auto"/>
              <w:bottom w:val="single" w:sz="4" w:space="0" w:color="auto"/>
              <w:right w:val="single" w:sz="4" w:space="0" w:color="auto"/>
            </w:tcBorders>
            <w:shd w:val="clear" w:color="000000" w:fill="auto"/>
            <w:hideMark/>
          </w:tcPr>
          <w:p w:rsidR="00BA3000" w:rsidRPr="00BA3000" w:rsidRDefault="00BA3000" w:rsidP="00B067EA">
            <w:pPr>
              <w:spacing w:after="0"/>
              <w:jc w:val="right"/>
              <w:rPr>
                <w:rFonts w:eastAsia="Times New Roman" w:cstheme="majorBidi"/>
                <w:b/>
                <w:bCs/>
                <w:color w:val="0000FF"/>
                <w:sz w:val="24"/>
                <w:szCs w:val="24"/>
              </w:rPr>
            </w:pPr>
            <w:r w:rsidRPr="00BA3000">
              <w:rPr>
                <w:rFonts w:eastAsia="Times New Roman" w:cstheme="majorBidi"/>
                <w:b/>
                <w:bCs/>
                <w:color w:val="0000FF"/>
                <w:sz w:val="24"/>
                <w:szCs w:val="24"/>
              </w:rPr>
              <w:t>2</w:t>
            </w:r>
          </w:p>
        </w:tc>
        <w:tc>
          <w:tcPr>
            <w:tcW w:w="1630" w:type="dxa"/>
            <w:tcBorders>
              <w:top w:val="single" w:sz="4" w:space="0" w:color="auto"/>
              <w:left w:val="single" w:sz="4" w:space="0" w:color="auto"/>
              <w:bottom w:val="single" w:sz="4" w:space="0" w:color="auto"/>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59,012</w:t>
            </w:r>
          </w:p>
        </w:tc>
        <w:tc>
          <w:tcPr>
            <w:tcW w:w="1631" w:type="dxa"/>
            <w:tcBorders>
              <w:top w:val="single" w:sz="4" w:space="0" w:color="auto"/>
              <w:bottom w:val="single" w:sz="4" w:space="0" w:color="auto"/>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3,116</w:t>
            </w:r>
          </w:p>
        </w:tc>
        <w:tc>
          <w:tcPr>
            <w:tcW w:w="1630" w:type="dxa"/>
            <w:tcBorders>
              <w:top w:val="single" w:sz="4" w:space="0" w:color="auto"/>
              <w:bottom w:val="single" w:sz="4" w:space="0" w:color="auto"/>
              <w:right w:val="nil"/>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3,592.36</w:t>
            </w:r>
          </w:p>
        </w:tc>
        <w:tc>
          <w:tcPr>
            <w:tcW w:w="1631" w:type="dxa"/>
            <w:tcBorders>
              <w:top w:val="single" w:sz="4" w:space="0" w:color="auto"/>
              <w:left w:val="nil"/>
              <w:bottom w:val="single" w:sz="4" w:space="0" w:color="auto"/>
            </w:tcBorders>
            <w:shd w:val="clear" w:color="000000" w:fill="FFFFFF"/>
            <w:vAlign w:val="bottom"/>
          </w:tcPr>
          <w:p w:rsidR="00BA3000" w:rsidRPr="00BA3000" w:rsidRDefault="00BA3000" w:rsidP="00B067EA">
            <w:pPr>
              <w:jc w:val="right"/>
              <w:rPr>
                <w:color w:val="0000FF"/>
                <w:sz w:val="24"/>
                <w:szCs w:val="24"/>
              </w:rPr>
            </w:pPr>
            <w:r w:rsidRPr="00BA3000">
              <w:rPr>
                <w:color w:val="0000FF"/>
                <w:sz w:val="24"/>
                <w:szCs w:val="24"/>
              </w:rPr>
              <w:t>0.81</w:t>
            </w:r>
          </w:p>
        </w:tc>
      </w:tr>
      <w:tr w:rsidR="00BA3000" w:rsidRPr="00BA3000" w:rsidTr="00587932">
        <w:trPr>
          <w:trHeight w:val="375"/>
          <w:jc w:val="center"/>
        </w:trPr>
        <w:tc>
          <w:tcPr>
            <w:tcW w:w="1630" w:type="dxa"/>
            <w:tcBorders>
              <w:top w:val="single" w:sz="4" w:space="0" w:color="auto"/>
              <w:bottom w:val="single" w:sz="4" w:space="0" w:color="auto"/>
              <w:right w:val="single" w:sz="4" w:space="0" w:color="auto"/>
            </w:tcBorders>
            <w:shd w:val="clear" w:color="000000" w:fill="auto"/>
            <w:hideMark/>
          </w:tcPr>
          <w:p w:rsidR="00BA3000" w:rsidRPr="00BA3000" w:rsidRDefault="00BA3000" w:rsidP="00B067EA">
            <w:pPr>
              <w:spacing w:after="0"/>
              <w:jc w:val="right"/>
              <w:rPr>
                <w:rFonts w:eastAsia="Times New Roman" w:cstheme="majorBidi"/>
                <w:b/>
                <w:bCs/>
                <w:color w:val="0000FF"/>
                <w:sz w:val="24"/>
                <w:szCs w:val="24"/>
              </w:rPr>
            </w:pPr>
            <w:r w:rsidRPr="00BA3000">
              <w:rPr>
                <w:rFonts w:eastAsia="Times New Roman" w:cstheme="majorBidi"/>
                <w:b/>
                <w:bCs/>
                <w:color w:val="0000FF"/>
                <w:sz w:val="24"/>
                <w:szCs w:val="24"/>
              </w:rPr>
              <w:t>3</w:t>
            </w:r>
          </w:p>
        </w:tc>
        <w:tc>
          <w:tcPr>
            <w:tcW w:w="1630" w:type="dxa"/>
            <w:tcBorders>
              <w:top w:val="single" w:sz="4" w:space="0" w:color="auto"/>
              <w:left w:val="single" w:sz="4" w:space="0" w:color="auto"/>
              <w:bottom w:val="single" w:sz="4" w:space="0" w:color="auto"/>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59,012</w:t>
            </w:r>
          </w:p>
        </w:tc>
        <w:tc>
          <w:tcPr>
            <w:tcW w:w="1631" w:type="dxa"/>
            <w:tcBorders>
              <w:top w:val="single" w:sz="4" w:space="0" w:color="auto"/>
              <w:bottom w:val="single" w:sz="4" w:space="0" w:color="auto"/>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4,175</w:t>
            </w:r>
          </w:p>
        </w:tc>
        <w:tc>
          <w:tcPr>
            <w:tcW w:w="1630" w:type="dxa"/>
            <w:tcBorders>
              <w:top w:val="single" w:sz="4" w:space="0" w:color="auto"/>
              <w:bottom w:val="single" w:sz="4" w:space="0" w:color="auto"/>
              <w:right w:val="nil"/>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4,402.25</w:t>
            </w:r>
          </w:p>
        </w:tc>
        <w:tc>
          <w:tcPr>
            <w:tcW w:w="1631" w:type="dxa"/>
            <w:tcBorders>
              <w:top w:val="single" w:sz="4" w:space="0" w:color="auto"/>
              <w:left w:val="nil"/>
              <w:bottom w:val="single" w:sz="4" w:space="0" w:color="auto"/>
            </w:tcBorders>
            <w:shd w:val="clear" w:color="000000" w:fill="FFFFFF"/>
            <w:vAlign w:val="bottom"/>
          </w:tcPr>
          <w:p w:rsidR="00BA3000" w:rsidRPr="00BA3000" w:rsidRDefault="00BA3000" w:rsidP="00B067EA">
            <w:pPr>
              <w:jc w:val="right"/>
              <w:rPr>
                <w:color w:val="0000FF"/>
                <w:sz w:val="24"/>
                <w:szCs w:val="24"/>
              </w:rPr>
            </w:pPr>
            <w:r w:rsidRPr="00BA3000">
              <w:rPr>
                <w:color w:val="0000FF"/>
                <w:sz w:val="24"/>
                <w:szCs w:val="24"/>
              </w:rPr>
              <w:t>0.39</w:t>
            </w:r>
          </w:p>
        </w:tc>
      </w:tr>
      <w:tr w:rsidR="00BA3000" w:rsidRPr="00BA3000" w:rsidTr="00587932">
        <w:trPr>
          <w:trHeight w:val="375"/>
          <w:jc w:val="center"/>
        </w:trPr>
        <w:tc>
          <w:tcPr>
            <w:tcW w:w="1630" w:type="dxa"/>
            <w:tcBorders>
              <w:top w:val="single" w:sz="4" w:space="0" w:color="auto"/>
              <w:bottom w:val="single" w:sz="4" w:space="0" w:color="auto"/>
              <w:right w:val="single" w:sz="4" w:space="0" w:color="auto"/>
            </w:tcBorders>
            <w:shd w:val="clear" w:color="000000" w:fill="auto"/>
            <w:hideMark/>
          </w:tcPr>
          <w:p w:rsidR="00BA3000" w:rsidRPr="00BA3000" w:rsidRDefault="00BA3000" w:rsidP="00B067EA">
            <w:pPr>
              <w:spacing w:after="0"/>
              <w:jc w:val="right"/>
              <w:rPr>
                <w:rFonts w:eastAsia="Times New Roman" w:cstheme="majorBidi"/>
                <w:b/>
                <w:bCs/>
                <w:color w:val="0000FF"/>
                <w:sz w:val="24"/>
                <w:szCs w:val="24"/>
              </w:rPr>
            </w:pPr>
            <w:r w:rsidRPr="00BA3000">
              <w:rPr>
                <w:rFonts w:eastAsia="Times New Roman" w:cstheme="majorBidi"/>
                <w:b/>
                <w:bCs/>
                <w:color w:val="0000FF"/>
                <w:sz w:val="24"/>
                <w:szCs w:val="24"/>
              </w:rPr>
              <w:t>4</w:t>
            </w:r>
          </w:p>
        </w:tc>
        <w:tc>
          <w:tcPr>
            <w:tcW w:w="1630" w:type="dxa"/>
            <w:tcBorders>
              <w:top w:val="single" w:sz="4" w:space="0" w:color="auto"/>
              <w:left w:val="single" w:sz="4" w:space="0" w:color="auto"/>
              <w:bottom w:val="single" w:sz="4" w:space="0" w:color="auto"/>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59,012</w:t>
            </w:r>
          </w:p>
        </w:tc>
        <w:tc>
          <w:tcPr>
            <w:tcW w:w="1631" w:type="dxa"/>
            <w:tcBorders>
              <w:top w:val="single" w:sz="4" w:space="0" w:color="auto"/>
              <w:bottom w:val="single" w:sz="4" w:space="0" w:color="auto"/>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5,135</w:t>
            </w:r>
          </w:p>
        </w:tc>
        <w:tc>
          <w:tcPr>
            <w:tcW w:w="1630" w:type="dxa"/>
            <w:tcBorders>
              <w:top w:val="single" w:sz="4" w:space="0" w:color="auto"/>
              <w:bottom w:val="single" w:sz="4" w:space="0" w:color="auto"/>
              <w:right w:val="nil"/>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5,198.58</w:t>
            </w:r>
          </w:p>
        </w:tc>
        <w:tc>
          <w:tcPr>
            <w:tcW w:w="1631" w:type="dxa"/>
            <w:tcBorders>
              <w:top w:val="single" w:sz="4" w:space="0" w:color="auto"/>
              <w:left w:val="nil"/>
              <w:bottom w:val="single" w:sz="4" w:space="0" w:color="auto"/>
            </w:tcBorders>
            <w:shd w:val="clear" w:color="000000" w:fill="FFFFFF"/>
            <w:vAlign w:val="bottom"/>
          </w:tcPr>
          <w:p w:rsidR="00BA3000" w:rsidRPr="00BA3000" w:rsidRDefault="00BA3000" w:rsidP="00B067EA">
            <w:pPr>
              <w:jc w:val="right"/>
              <w:rPr>
                <w:color w:val="0000FF"/>
                <w:sz w:val="24"/>
                <w:szCs w:val="24"/>
              </w:rPr>
            </w:pPr>
            <w:r w:rsidRPr="00BA3000">
              <w:rPr>
                <w:color w:val="0000FF"/>
                <w:sz w:val="24"/>
                <w:szCs w:val="24"/>
              </w:rPr>
              <w:t>0.11</w:t>
            </w:r>
          </w:p>
        </w:tc>
      </w:tr>
      <w:tr w:rsidR="00BA3000" w:rsidRPr="00BA3000" w:rsidTr="00587932">
        <w:trPr>
          <w:trHeight w:val="375"/>
          <w:jc w:val="center"/>
        </w:trPr>
        <w:tc>
          <w:tcPr>
            <w:tcW w:w="1630" w:type="dxa"/>
            <w:tcBorders>
              <w:top w:val="single" w:sz="4" w:space="0" w:color="auto"/>
              <w:bottom w:val="single" w:sz="4" w:space="0" w:color="auto"/>
              <w:right w:val="single" w:sz="4" w:space="0" w:color="auto"/>
            </w:tcBorders>
            <w:shd w:val="clear" w:color="000000" w:fill="auto"/>
            <w:hideMark/>
          </w:tcPr>
          <w:p w:rsidR="00BA3000" w:rsidRPr="00BA3000" w:rsidRDefault="00BA3000" w:rsidP="00B067EA">
            <w:pPr>
              <w:spacing w:after="0"/>
              <w:jc w:val="right"/>
              <w:rPr>
                <w:rFonts w:eastAsia="Times New Roman" w:cstheme="majorBidi"/>
                <w:b/>
                <w:bCs/>
                <w:color w:val="0000FF"/>
                <w:sz w:val="24"/>
                <w:szCs w:val="24"/>
              </w:rPr>
            </w:pPr>
            <w:r w:rsidRPr="00BA3000">
              <w:rPr>
                <w:rFonts w:eastAsia="Times New Roman" w:cstheme="majorBidi"/>
                <w:b/>
                <w:bCs/>
                <w:color w:val="0000FF"/>
                <w:sz w:val="24"/>
                <w:szCs w:val="24"/>
              </w:rPr>
              <w:t>5</w:t>
            </w:r>
          </w:p>
        </w:tc>
        <w:tc>
          <w:tcPr>
            <w:tcW w:w="1630" w:type="dxa"/>
            <w:tcBorders>
              <w:top w:val="single" w:sz="4" w:space="0" w:color="auto"/>
              <w:left w:val="single" w:sz="4" w:space="0" w:color="auto"/>
              <w:bottom w:val="single" w:sz="4" w:space="0" w:color="auto"/>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59,012</w:t>
            </w:r>
          </w:p>
        </w:tc>
        <w:tc>
          <w:tcPr>
            <w:tcW w:w="1631" w:type="dxa"/>
            <w:tcBorders>
              <w:top w:val="single" w:sz="4" w:space="0" w:color="auto"/>
              <w:bottom w:val="single" w:sz="4" w:space="0" w:color="auto"/>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6,375</w:t>
            </w:r>
          </w:p>
        </w:tc>
        <w:tc>
          <w:tcPr>
            <w:tcW w:w="1630" w:type="dxa"/>
            <w:tcBorders>
              <w:top w:val="single" w:sz="4" w:space="0" w:color="auto"/>
              <w:bottom w:val="single" w:sz="4" w:space="0" w:color="auto"/>
              <w:right w:val="nil"/>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6,082.38</w:t>
            </w:r>
          </w:p>
        </w:tc>
        <w:tc>
          <w:tcPr>
            <w:tcW w:w="1631" w:type="dxa"/>
            <w:tcBorders>
              <w:top w:val="single" w:sz="4" w:space="0" w:color="auto"/>
              <w:left w:val="nil"/>
              <w:bottom w:val="single" w:sz="4" w:space="0" w:color="auto"/>
            </w:tcBorders>
            <w:shd w:val="clear" w:color="000000" w:fill="FFFFFF"/>
            <w:vAlign w:val="bottom"/>
          </w:tcPr>
          <w:p w:rsidR="00BA3000" w:rsidRPr="00BA3000" w:rsidRDefault="00BA3000" w:rsidP="00B067EA">
            <w:pPr>
              <w:jc w:val="right"/>
              <w:rPr>
                <w:color w:val="0000FF"/>
                <w:sz w:val="24"/>
                <w:szCs w:val="24"/>
              </w:rPr>
            </w:pPr>
            <w:r w:rsidRPr="00BA3000">
              <w:rPr>
                <w:color w:val="0000FF"/>
                <w:sz w:val="24"/>
                <w:szCs w:val="24"/>
              </w:rPr>
              <w:t>-0.50</w:t>
            </w:r>
          </w:p>
        </w:tc>
      </w:tr>
      <w:tr w:rsidR="00BA3000" w:rsidRPr="00BA3000" w:rsidTr="00587932">
        <w:trPr>
          <w:trHeight w:val="375"/>
          <w:jc w:val="center"/>
        </w:trPr>
        <w:tc>
          <w:tcPr>
            <w:tcW w:w="1630" w:type="dxa"/>
            <w:tcBorders>
              <w:top w:val="single" w:sz="4" w:space="0" w:color="auto"/>
              <w:bottom w:val="single" w:sz="4" w:space="0" w:color="auto"/>
              <w:right w:val="single" w:sz="4" w:space="0" w:color="auto"/>
            </w:tcBorders>
            <w:shd w:val="clear" w:color="000000" w:fill="auto"/>
            <w:hideMark/>
          </w:tcPr>
          <w:p w:rsidR="00BA3000" w:rsidRPr="00BA3000" w:rsidRDefault="00BA3000" w:rsidP="00B067EA">
            <w:pPr>
              <w:spacing w:after="0"/>
              <w:jc w:val="right"/>
              <w:rPr>
                <w:rFonts w:eastAsia="Times New Roman" w:cstheme="majorBidi"/>
                <w:b/>
                <w:bCs/>
                <w:color w:val="0000FF"/>
                <w:sz w:val="24"/>
                <w:szCs w:val="24"/>
              </w:rPr>
            </w:pPr>
            <w:r w:rsidRPr="00BA3000">
              <w:rPr>
                <w:rFonts w:eastAsia="Times New Roman" w:cstheme="majorBidi"/>
                <w:b/>
                <w:bCs/>
                <w:color w:val="0000FF"/>
                <w:sz w:val="24"/>
                <w:szCs w:val="24"/>
              </w:rPr>
              <w:t>6</w:t>
            </w:r>
          </w:p>
        </w:tc>
        <w:tc>
          <w:tcPr>
            <w:tcW w:w="1630" w:type="dxa"/>
            <w:tcBorders>
              <w:top w:val="single" w:sz="4" w:space="0" w:color="auto"/>
              <w:left w:val="single" w:sz="4" w:space="0" w:color="auto"/>
              <w:bottom w:val="single" w:sz="4" w:space="0" w:color="auto"/>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59,012</w:t>
            </w:r>
          </w:p>
        </w:tc>
        <w:tc>
          <w:tcPr>
            <w:tcW w:w="1631" w:type="dxa"/>
            <w:tcBorders>
              <w:top w:val="single" w:sz="4" w:space="0" w:color="auto"/>
              <w:bottom w:val="single" w:sz="4" w:space="0" w:color="auto"/>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7,510</w:t>
            </w:r>
          </w:p>
        </w:tc>
        <w:tc>
          <w:tcPr>
            <w:tcW w:w="1630" w:type="dxa"/>
            <w:tcBorders>
              <w:top w:val="single" w:sz="4" w:space="0" w:color="auto"/>
              <w:bottom w:val="single" w:sz="4" w:space="0" w:color="auto"/>
              <w:right w:val="nil"/>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7,107.43</w:t>
            </w:r>
          </w:p>
        </w:tc>
        <w:tc>
          <w:tcPr>
            <w:tcW w:w="1631" w:type="dxa"/>
            <w:tcBorders>
              <w:top w:val="single" w:sz="4" w:space="0" w:color="auto"/>
              <w:left w:val="nil"/>
              <w:bottom w:val="single" w:sz="4" w:space="0" w:color="auto"/>
            </w:tcBorders>
            <w:shd w:val="clear" w:color="000000" w:fill="FFFFFF"/>
            <w:vAlign w:val="bottom"/>
          </w:tcPr>
          <w:p w:rsidR="00BA3000" w:rsidRPr="00BA3000" w:rsidRDefault="00BA3000" w:rsidP="00B067EA">
            <w:pPr>
              <w:jc w:val="right"/>
              <w:rPr>
                <w:color w:val="0000FF"/>
                <w:sz w:val="24"/>
                <w:szCs w:val="24"/>
              </w:rPr>
            </w:pPr>
            <w:r w:rsidRPr="00BA3000">
              <w:rPr>
                <w:color w:val="0000FF"/>
                <w:sz w:val="24"/>
                <w:szCs w:val="24"/>
              </w:rPr>
              <w:t>-0.68</w:t>
            </w:r>
          </w:p>
        </w:tc>
      </w:tr>
      <w:tr w:rsidR="00BA3000" w:rsidRPr="00BA3000" w:rsidTr="00587932">
        <w:trPr>
          <w:trHeight w:val="375"/>
          <w:jc w:val="center"/>
        </w:trPr>
        <w:tc>
          <w:tcPr>
            <w:tcW w:w="1630" w:type="dxa"/>
            <w:tcBorders>
              <w:top w:val="single" w:sz="4" w:space="0" w:color="auto"/>
              <w:bottom w:val="single" w:sz="4" w:space="0" w:color="auto"/>
              <w:right w:val="single" w:sz="4" w:space="0" w:color="auto"/>
            </w:tcBorders>
            <w:shd w:val="clear" w:color="000000" w:fill="auto"/>
            <w:hideMark/>
          </w:tcPr>
          <w:p w:rsidR="00BA3000" w:rsidRPr="00BA3000" w:rsidRDefault="00BA3000" w:rsidP="00B067EA">
            <w:pPr>
              <w:spacing w:after="0"/>
              <w:jc w:val="right"/>
              <w:rPr>
                <w:rFonts w:eastAsia="Times New Roman" w:cstheme="majorBidi"/>
                <w:b/>
                <w:bCs/>
                <w:color w:val="0000FF"/>
                <w:sz w:val="24"/>
                <w:szCs w:val="24"/>
              </w:rPr>
            </w:pPr>
            <w:r w:rsidRPr="00BA3000">
              <w:rPr>
                <w:rFonts w:eastAsia="Times New Roman" w:cstheme="majorBidi"/>
                <w:b/>
                <w:bCs/>
                <w:color w:val="0000FF"/>
                <w:sz w:val="24"/>
                <w:szCs w:val="24"/>
              </w:rPr>
              <w:t>7</w:t>
            </w:r>
          </w:p>
        </w:tc>
        <w:tc>
          <w:tcPr>
            <w:tcW w:w="1630" w:type="dxa"/>
            <w:tcBorders>
              <w:top w:val="single" w:sz="4" w:space="0" w:color="auto"/>
              <w:left w:val="single" w:sz="4" w:space="0" w:color="auto"/>
              <w:bottom w:val="single" w:sz="4" w:space="0" w:color="auto"/>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59,012</w:t>
            </w:r>
          </w:p>
        </w:tc>
        <w:tc>
          <w:tcPr>
            <w:tcW w:w="1631" w:type="dxa"/>
            <w:tcBorders>
              <w:top w:val="single" w:sz="4" w:space="0" w:color="auto"/>
              <w:bottom w:val="single" w:sz="4" w:space="0" w:color="auto"/>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8,954</w:t>
            </w:r>
          </w:p>
        </w:tc>
        <w:tc>
          <w:tcPr>
            <w:tcW w:w="1630" w:type="dxa"/>
            <w:tcBorders>
              <w:top w:val="single" w:sz="4" w:space="0" w:color="auto"/>
              <w:bottom w:val="single" w:sz="4" w:space="0" w:color="auto"/>
              <w:right w:val="nil"/>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8,363.64</w:t>
            </w:r>
          </w:p>
        </w:tc>
        <w:tc>
          <w:tcPr>
            <w:tcW w:w="1631" w:type="dxa"/>
            <w:tcBorders>
              <w:top w:val="single" w:sz="4" w:space="0" w:color="auto"/>
              <w:left w:val="nil"/>
              <w:bottom w:val="single" w:sz="4" w:space="0" w:color="auto"/>
            </w:tcBorders>
            <w:shd w:val="clear" w:color="000000" w:fill="FFFFFF"/>
            <w:vAlign w:val="bottom"/>
          </w:tcPr>
          <w:p w:rsidR="00BA3000" w:rsidRPr="00BA3000" w:rsidRDefault="00BA3000" w:rsidP="00B067EA">
            <w:pPr>
              <w:jc w:val="right"/>
              <w:rPr>
                <w:color w:val="0000FF"/>
                <w:sz w:val="24"/>
                <w:szCs w:val="24"/>
              </w:rPr>
            </w:pPr>
            <w:r w:rsidRPr="00BA3000">
              <w:rPr>
                <w:color w:val="0000FF"/>
                <w:sz w:val="24"/>
                <w:szCs w:val="24"/>
              </w:rPr>
              <w:t>-1.00</w:t>
            </w:r>
          </w:p>
        </w:tc>
      </w:tr>
      <w:tr w:rsidR="00BA3000" w:rsidRPr="00BA3000" w:rsidTr="00587932">
        <w:trPr>
          <w:trHeight w:val="375"/>
          <w:jc w:val="center"/>
        </w:trPr>
        <w:tc>
          <w:tcPr>
            <w:tcW w:w="1630" w:type="dxa"/>
            <w:tcBorders>
              <w:top w:val="single" w:sz="4" w:space="0" w:color="auto"/>
              <w:bottom w:val="single" w:sz="4" w:space="0" w:color="auto"/>
              <w:right w:val="single" w:sz="4" w:space="0" w:color="auto"/>
            </w:tcBorders>
            <w:shd w:val="clear" w:color="000000" w:fill="auto"/>
            <w:hideMark/>
          </w:tcPr>
          <w:p w:rsidR="00BA3000" w:rsidRPr="00BA3000" w:rsidRDefault="00BA3000" w:rsidP="00B067EA">
            <w:pPr>
              <w:spacing w:after="0"/>
              <w:jc w:val="right"/>
              <w:rPr>
                <w:rFonts w:eastAsia="Times New Roman" w:cstheme="majorBidi"/>
                <w:b/>
                <w:bCs/>
                <w:color w:val="0000FF"/>
                <w:sz w:val="24"/>
                <w:szCs w:val="24"/>
              </w:rPr>
            </w:pPr>
            <w:r w:rsidRPr="00BA3000">
              <w:rPr>
                <w:rFonts w:eastAsia="Times New Roman" w:cstheme="majorBidi"/>
                <w:b/>
                <w:bCs/>
                <w:color w:val="0000FF"/>
                <w:sz w:val="24"/>
                <w:szCs w:val="24"/>
              </w:rPr>
              <w:t>8</w:t>
            </w:r>
          </w:p>
        </w:tc>
        <w:tc>
          <w:tcPr>
            <w:tcW w:w="1630" w:type="dxa"/>
            <w:tcBorders>
              <w:top w:val="single" w:sz="4" w:space="0" w:color="auto"/>
              <w:left w:val="single" w:sz="4" w:space="0" w:color="auto"/>
              <w:bottom w:val="single" w:sz="4" w:space="0" w:color="auto"/>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59,012</w:t>
            </w:r>
          </w:p>
        </w:tc>
        <w:tc>
          <w:tcPr>
            <w:tcW w:w="1631" w:type="dxa"/>
            <w:tcBorders>
              <w:top w:val="single" w:sz="4" w:space="0" w:color="auto"/>
              <w:bottom w:val="single" w:sz="4" w:space="0" w:color="auto"/>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10,470</w:t>
            </w:r>
          </w:p>
        </w:tc>
        <w:tc>
          <w:tcPr>
            <w:tcW w:w="1630" w:type="dxa"/>
            <w:tcBorders>
              <w:top w:val="single" w:sz="4" w:space="0" w:color="auto"/>
              <w:bottom w:val="single" w:sz="4" w:space="0" w:color="auto"/>
              <w:right w:val="nil"/>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10,045.73</w:t>
            </w:r>
          </w:p>
        </w:tc>
        <w:tc>
          <w:tcPr>
            <w:tcW w:w="1631" w:type="dxa"/>
            <w:tcBorders>
              <w:top w:val="single" w:sz="4" w:space="0" w:color="auto"/>
              <w:left w:val="nil"/>
              <w:bottom w:val="single" w:sz="4" w:space="0" w:color="auto"/>
            </w:tcBorders>
            <w:shd w:val="clear" w:color="000000" w:fill="FFFFFF"/>
            <w:vAlign w:val="bottom"/>
          </w:tcPr>
          <w:p w:rsidR="00BA3000" w:rsidRPr="00BA3000" w:rsidRDefault="00BA3000" w:rsidP="00B067EA">
            <w:pPr>
              <w:jc w:val="right"/>
              <w:rPr>
                <w:color w:val="0000FF"/>
                <w:sz w:val="24"/>
                <w:szCs w:val="24"/>
              </w:rPr>
            </w:pPr>
            <w:r w:rsidRPr="00BA3000">
              <w:rPr>
                <w:color w:val="0000FF"/>
                <w:sz w:val="24"/>
                <w:szCs w:val="24"/>
              </w:rPr>
              <w:t>-0.72</w:t>
            </w:r>
          </w:p>
        </w:tc>
      </w:tr>
      <w:tr w:rsidR="00BA3000" w:rsidRPr="00BA3000" w:rsidTr="00587932">
        <w:trPr>
          <w:trHeight w:val="375"/>
          <w:jc w:val="center"/>
        </w:trPr>
        <w:tc>
          <w:tcPr>
            <w:tcW w:w="1630" w:type="dxa"/>
            <w:tcBorders>
              <w:top w:val="single" w:sz="4" w:space="0" w:color="auto"/>
              <w:bottom w:val="single" w:sz="4" w:space="0" w:color="auto"/>
              <w:right w:val="single" w:sz="4" w:space="0" w:color="auto"/>
            </w:tcBorders>
            <w:shd w:val="clear" w:color="000000" w:fill="auto"/>
            <w:hideMark/>
          </w:tcPr>
          <w:p w:rsidR="00BA3000" w:rsidRPr="00BA3000" w:rsidRDefault="00BA3000" w:rsidP="00B067EA">
            <w:pPr>
              <w:spacing w:after="0"/>
              <w:jc w:val="right"/>
              <w:rPr>
                <w:rFonts w:eastAsia="Times New Roman" w:cstheme="majorBidi"/>
                <w:b/>
                <w:bCs/>
                <w:color w:val="0000FF"/>
                <w:sz w:val="24"/>
                <w:szCs w:val="24"/>
              </w:rPr>
            </w:pPr>
            <w:r w:rsidRPr="00BA3000">
              <w:rPr>
                <w:rFonts w:eastAsia="Times New Roman" w:cstheme="majorBidi"/>
                <w:b/>
                <w:bCs/>
                <w:color w:val="0000FF"/>
                <w:sz w:val="24"/>
                <w:szCs w:val="24"/>
              </w:rPr>
              <w:t>9</w:t>
            </w:r>
          </w:p>
        </w:tc>
        <w:tc>
          <w:tcPr>
            <w:tcW w:w="1630" w:type="dxa"/>
            <w:tcBorders>
              <w:top w:val="single" w:sz="4" w:space="0" w:color="auto"/>
              <w:left w:val="single" w:sz="4" w:space="0" w:color="auto"/>
              <w:bottom w:val="single" w:sz="4" w:space="0" w:color="auto"/>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59,012</w:t>
            </w:r>
          </w:p>
        </w:tc>
        <w:tc>
          <w:tcPr>
            <w:tcW w:w="1631" w:type="dxa"/>
            <w:tcBorders>
              <w:top w:val="single" w:sz="4" w:space="0" w:color="auto"/>
              <w:bottom w:val="single" w:sz="4" w:space="0" w:color="auto"/>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13,170</w:t>
            </w:r>
          </w:p>
        </w:tc>
        <w:tc>
          <w:tcPr>
            <w:tcW w:w="1630" w:type="dxa"/>
            <w:tcBorders>
              <w:top w:val="single" w:sz="4" w:space="0" w:color="auto"/>
              <w:bottom w:val="single" w:sz="4" w:space="0" w:color="auto"/>
              <w:right w:val="nil"/>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12,676.37</w:t>
            </w:r>
          </w:p>
        </w:tc>
        <w:tc>
          <w:tcPr>
            <w:tcW w:w="1631" w:type="dxa"/>
            <w:tcBorders>
              <w:top w:val="single" w:sz="4" w:space="0" w:color="auto"/>
              <w:left w:val="nil"/>
              <w:bottom w:val="single" w:sz="4" w:space="0" w:color="auto"/>
            </w:tcBorders>
            <w:shd w:val="clear" w:color="000000" w:fill="FFFFFF"/>
            <w:vAlign w:val="bottom"/>
          </w:tcPr>
          <w:p w:rsidR="00BA3000" w:rsidRPr="00BA3000" w:rsidRDefault="00BA3000" w:rsidP="00B067EA">
            <w:pPr>
              <w:jc w:val="right"/>
              <w:rPr>
                <w:color w:val="0000FF"/>
                <w:sz w:val="24"/>
                <w:szCs w:val="24"/>
              </w:rPr>
            </w:pPr>
            <w:r w:rsidRPr="00BA3000">
              <w:rPr>
                <w:color w:val="0000FF"/>
                <w:sz w:val="24"/>
                <w:szCs w:val="24"/>
              </w:rPr>
              <w:t>-0.84</w:t>
            </w:r>
          </w:p>
        </w:tc>
      </w:tr>
      <w:tr w:rsidR="00BA3000" w:rsidRPr="00BA3000" w:rsidTr="00587932">
        <w:trPr>
          <w:trHeight w:val="375"/>
          <w:jc w:val="center"/>
        </w:trPr>
        <w:tc>
          <w:tcPr>
            <w:tcW w:w="1630" w:type="dxa"/>
            <w:tcBorders>
              <w:top w:val="single" w:sz="4" w:space="0" w:color="auto"/>
              <w:right w:val="single" w:sz="4" w:space="0" w:color="auto"/>
            </w:tcBorders>
            <w:shd w:val="clear" w:color="000000" w:fill="auto"/>
            <w:hideMark/>
          </w:tcPr>
          <w:p w:rsidR="00BA3000" w:rsidRPr="00BA3000" w:rsidRDefault="00BA3000" w:rsidP="00B067EA">
            <w:pPr>
              <w:spacing w:after="0"/>
              <w:jc w:val="right"/>
              <w:rPr>
                <w:rFonts w:eastAsia="Times New Roman" w:cstheme="majorBidi"/>
                <w:b/>
                <w:bCs/>
                <w:color w:val="0000FF"/>
                <w:sz w:val="24"/>
                <w:szCs w:val="24"/>
              </w:rPr>
            </w:pPr>
            <w:r w:rsidRPr="00BA3000">
              <w:rPr>
                <w:rFonts w:eastAsia="Times New Roman" w:cstheme="majorBidi"/>
                <w:b/>
                <w:bCs/>
                <w:color w:val="0000FF"/>
                <w:sz w:val="24"/>
                <w:szCs w:val="24"/>
              </w:rPr>
              <w:t>10</w:t>
            </w:r>
          </w:p>
        </w:tc>
        <w:tc>
          <w:tcPr>
            <w:tcW w:w="1630" w:type="dxa"/>
            <w:tcBorders>
              <w:top w:val="single" w:sz="4" w:space="0" w:color="auto"/>
              <w:left w:val="single" w:sz="4" w:space="0" w:color="auto"/>
              <w:bottom w:val="single" w:sz="8" w:space="0" w:color="auto"/>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59,012</w:t>
            </w:r>
          </w:p>
        </w:tc>
        <w:tc>
          <w:tcPr>
            <w:tcW w:w="1631" w:type="dxa"/>
            <w:tcBorders>
              <w:top w:val="single" w:sz="4" w:space="0" w:color="auto"/>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18,560</w:t>
            </w:r>
          </w:p>
        </w:tc>
        <w:tc>
          <w:tcPr>
            <w:tcW w:w="1630" w:type="dxa"/>
            <w:tcBorders>
              <w:top w:val="single" w:sz="4" w:space="0" w:color="auto"/>
              <w:bottom w:val="single" w:sz="4" w:space="0" w:color="auto"/>
              <w:right w:val="nil"/>
            </w:tcBorders>
            <w:shd w:val="clear" w:color="000000" w:fill="FFFFFF"/>
            <w:hideMark/>
          </w:tcPr>
          <w:p w:rsidR="00BA3000" w:rsidRPr="00BA3000" w:rsidRDefault="00BA3000" w:rsidP="00B067EA">
            <w:pPr>
              <w:jc w:val="right"/>
              <w:rPr>
                <w:rFonts w:cs="Arial"/>
                <w:color w:val="0000FF"/>
                <w:sz w:val="24"/>
                <w:szCs w:val="24"/>
              </w:rPr>
            </w:pPr>
            <w:r w:rsidRPr="00BA3000">
              <w:rPr>
                <w:rFonts w:cs="Arial"/>
                <w:color w:val="0000FF"/>
                <w:sz w:val="24"/>
                <w:szCs w:val="24"/>
              </w:rPr>
              <w:t>19,538.05</w:t>
            </w:r>
          </w:p>
        </w:tc>
        <w:tc>
          <w:tcPr>
            <w:tcW w:w="1631" w:type="dxa"/>
            <w:tcBorders>
              <w:top w:val="single" w:sz="4" w:space="0" w:color="auto"/>
              <w:left w:val="nil"/>
              <w:bottom w:val="single" w:sz="4" w:space="0" w:color="auto"/>
            </w:tcBorders>
            <w:shd w:val="clear" w:color="000000" w:fill="FFFFFF"/>
            <w:vAlign w:val="bottom"/>
          </w:tcPr>
          <w:p w:rsidR="00BA3000" w:rsidRPr="00BA3000" w:rsidRDefault="00BA3000" w:rsidP="00B067EA">
            <w:pPr>
              <w:jc w:val="right"/>
              <w:rPr>
                <w:color w:val="0000FF"/>
                <w:sz w:val="24"/>
                <w:szCs w:val="24"/>
              </w:rPr>
            </w:pPr>
            <w:r w:rsidRPr="00BA3000">
              <w:rPr>
                <w:color w:val="0000FF"/>
                <w:sz w:val="24"/>
                <w:szCs w:val="24"/>
              </w:rPr>
              <w:t>1.66</w:t>
            </w:r>
          </w:p>
        </w:tc>
      </w:tr>
    </w:tbl>
    <w:p w:rsidR="00BA3000" w:rsidRPr="00BA3000" w:rsidRDefault="00BA3000" w:rsidP="00BA3000">
      <w:pPr>
        <w:rPr>
          <w:rFonts w:cstheme="majorBidi"/>
          <w:color w:val="0000FF"/>
          <w:sz w:val="24"/>
          <w:szCs w:val="24"/>
        </w:rPr>
      </w:pPr>
      <w:r w:rsidRPr="00BA3000">
        <w:rPr>
          <w:rFonts w:cstheme="majorBidi"/>
          <w:color w:val="0000FF"/>
          <w:sz w:val="24"/>
          <w:szCs w:val="24"/>
        </w:rPr>
        <w:t>Source: RTI analysis of Medicare claims data, 2007-2012. (RTI program reference: lc17_irfv15_1011.xlsx).</w:t>
      </w:r>
    </w:p>
    <w:p w:rsidR="00BA3000" w:rsidRDefault="00BA3000" w:rsidP="00092566">
      <w:pPr>
        <w:autoSpaceDE w:val="0"/>
        <w:autoSpaceDN w:val="0"/>
        <w:adjustRightInd w:val="0"/>
        <w:spacing w:after="0" w:line="240" w:lineRule="auto"/>
        <w:rPr>
          <w:rFonts w:cstheme="minorHAnsi"/>
          <w:b/>
          <w:bCs/>
        </w:rPr>
      </w:pPr>
    </w:p>
    <w:p w:rsidR="00001D73" w:rsidRDefault="00743E46" w:rsidP="00D31130">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BA3000" w:rsidRPr="00BA3000">
        <w:rPr>
          <w:rFonts w:cstheme="minorHAnsi"/>
          <w:color w:val="0000FF"/>
          <w:sz w:val="24"/>
          <w:szCs w:val="24"/>
        </w:rPr>
        <w:t>See T</w:t>
      </w:r>
      <w:r w:rsidR="006E7102">
        <w:rPr>
          <w:rFonts w:cstheme="minorHAnsi"/>
          <w:color w:val="0000FF"/>
          <w:sz w:val="24"/>
          <w:szCs w:val="24"/>
        </w:rPr>
        <w:t>esting T</w:t>
      </w:r>
      <w:r w:rsidR="00BA3000" w:rsidRPr="00BA3000">
        <w:rPr>
          <w:rFonts w:cstheme="minorHAnsi"/>
          <w:color w:val="0000FF"/>
          <w:sz w:val="24"/>
          <w:szCs w:val="24"/>
        </w:rPr>
        <w:t xml:space="preserve">able </w:t>
      </w:r>
      <w:r w:rsidR="00D31130">
        <w:rPr>
          <w:rFonts w:cstheme="minorHAnsi"/>
          <w:color w:val="0000FF"/>
          <w:sz w:val="24"/>
          <w:szCs w:val="24"/>
        </w:rPr>
        <w:t>3</w:t>
      </w:r>
      <w:r w:rsidR="00BA3000" w:rsidRPr="00BA3000">
        <w:rPr>
          <w:rFonts w:cstheme="minorHAnsi"/>
          <w:color w:val="0000FF"/>
          <w:sz w:val="24"/>
          <w:szCs w:val="24"/>
        </w:rPr>
        <w:t xml:space="preserve"> above.</w:t>
      </w:r>
    </w:p>
    <w:p w:rsidR="00BA3000" w:rsidRPr="00001D73" w:rsidRDefault="00BA3000" w:rsidP="00092566">
      <w:pPr>
        <w:autoSpaceDE w:val="0"/>
        <w:autoSpaceDN w:val="0"/>
        <w:adjustRightInd w:val="0"/>
        <w:spacing w:after="0" w:line="240" w:lineRule="auto"/>
        <w:rPr>
          <w:rFonts w:cstheme="minorHAnsi"/>
          <w:b/>
          <w:bCs/>
        </w:rPr>
      </w:pPr>
    </w:p>
    <w:p w:rsidR="00BA3000" w:rsidRDefault="00743E46" w:rsidP="00BA3000">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BA3000" w:rsidRPr="00BA3000">
        <w:rPr>
          <w:rFonts w:cstheme="minorHAnsi"/>
          <w:color w:val="0000FF"/>
          <w:sz w:val="24"/>
          <w:szCs w:val="24"/>
        </w:rPr>
        <w:t>See T</w:t>
      </w:r>
      <w:r w:rsidR="006E7102">
        <w:rPr>
          <w:rFonts w:cstheme="minorHAnsi"/>
          <w:color w:val="0000FF"/>
          <w:sz w:val="24"/>
          <w:szCs w:val="24"/>
        </w:rPr>
        <w:t>esting T</w:t>
      </w:r>
      <w:r w:rsidR="00D31130">
        <w:rPr>
          <w:rFonts w:cstheme="minorHAnsi"/>
          <w:color w:val="0000FF"/>
          <w:sz w:val="24"/>
          <w:szCs w:val="24"/>
        </w:rPr>
        <w:t>able 3</w:t>
      </w:r>
      <w:r w:rsidR="00BA3000" w:rsidRPr="00BA3000">
        <w:rPr>
          <w:rFonts w:cstheme="minorHAnsi"/>
          <w:color w:val="0000FF"/>
          <w:sz w:val="24"/>
          <w:szCs w:val="24"/>
        </w:rPr>
        <w:t xml:space="preserve"> above.</w:t>
      </w:r>
    </w:p>
    <w:p w:rsidR="00001D73" w:rsidRDefault="00001D73" w:rsidP="00092566">
      <w:pPr>
        <w:autoSpaceDE w:val="0"/>
        <w:autoSpaceDN w:val="0"/>
        <w:adjustRightInd w:val="0"/>
        <w:spacing w:after="0" w:line="240" w:lineRule="auto"/>
        <w:rPr>
          <w:rFonts w:cstheme="minorHAnsi"/>
          <w:b/>
          <w:bCs/>
        </w:rPr>
      </w:pP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BA3000" w:rsidRPr="00BA3000">
        <w:rPr>
          <w:rFonts w:cstheme="minorHAnsi"/>
          <w:color w:val="0000FF"/>
          <w:sz w:val="24"/>
          <w:szCs w:val="24"/>
        </w:rPr>
        <w:t>See 2b4.5</w:t>
      </w:r>
      <w:r w:rsidR="00D31130">
        <w:rPr>
          <w:rFonts w:cstheme="minorHAnsi"/>
          <w:color w:val="0000FF"/>
          <w:sz w:val="24"/>
          <w:szCs w:val="24"/>
        </w:rPr>
        <w:t xml:space="preserve"> and Appendix B for ROC Curves</w:t>
      </w:r>
      <w:r w:rsidR="00C458CD">
        <w:rPr>
          <w:rFonts w:cstheme="minorHAnsi"/>
          <w:color w:val="0000FF"/>
          <w:sz w:val="24"/>
          <w:szCs w:val="24"/>
        </w:rPr>
        <w:t>.</w:t>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BA3000" w:rsidRDefault="00BA3000" w:rsidP="00BA3000">
      <w:pPr>
        <w:rPr>
          <w:rFonts w:cstheme="minorHAnsi"/>
          <w:bCs/>
          <w:color w:val="0000FF"/>
          <w:sz w:val="24"/>
          <w:szCs w:val="24"/>
        </w:rPr>
      </w:pPr>
      <w:r w:rsidRPr="00BA3000">
        <w:rPr>
          <w:rFonts w:cstheme="minorHAnsi"/>
          <w:bCs/>
          <w:color w:val="0000FF"/>
          <w:sz w:val="24"/>
          <w:szCs w:val="24"/>
        </w:rPr>
        <w:t>N/A</w:t>
      </w:r>
    </w:p>
    <w:p w:rsidR="00832EE3" w:rsidRDefault="00832EE3">
      <w:pPr>
        <w:rPr>
          <w:rFonts w:cstheme="minorHAnsi"/>
          <w:b/>
          <w:bCs/>
        </w:rPr>
      </w:pPr>
      <w:r>
        <w:rPr>
          <w:rFonts w:cstheme="minorHAnsi"/>
          <w:b/>
          <w:bCs/>
        </w:rPr>
        <w:br w:type="page"/>
      </w:r>
    </w:p>
    <w:p w:rsidR="00092566" w:rsidRPr="00A25024" w:rsidRDefault="00743E46" w:rsidP="00D31130">
      <w:pPr>
        <w:rPr>
          <w:rFonts w:cstheme="minorHAnsi"/>
        </w:rPr>
      </w:pPr>
      <w:r>
        <w:rPr>
          <w:rFonts w:cstheme="minorHAnsi"/>
          <w:b/>
          <w:bCs/>
        </w:rPr>
        <w:lastRenderedPageBreak/>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r w:rsidR="00BA3000" w:rsidRPr="00BA3000">
        <w:rPr>
          <w:color w:val="0000FF"/>
          <w:sz w:val="24"/>
          <w:szCs w:val="24"/>
        </w:rPr>
        <w:t xml:space="preserve">In summary, these results demonstrate good model fit and reasonable predictive ability of our risk adjustment models in profiling IRFs by the measure of risk standardized 30-day readmission rate. </w:t>
      </w:r>
    </w:p>
    <w:p w:rsidR="00021170" w:rsidRPr="009B1A15" w:rsidRDefault="00092566" w:rsidP="009B1A15">
      <w:pPr>
        <w:spacing w:after="0" w:line="240" w:lineRule="auto"/>
        <w:rPr>
          <w:rFonts w:cstheme="minorHAnsi"/>
        </w:rPr>
      </w:pPr>
      <w:proofErr w:type="gramStart"/>
      <w:r w:rsidRPr="00A25024">
        <w:rPr>
          <w:rFonts w:cstheme="minorHAnsi"/>
          <w:highlight w:val="green"/>
        </w:rPr>
        <w:t>*</w:t>
      </w:r>
      <w:r w:rsidR="009B1A15" w:rsidRPr="009B1A15">
        <w:rPr>
          <w:rFonts w:cstheme="minorHAnsi"/>
          <w:b/>
          <w:highlight w:val="green"/>
        </w:rPr>
        <w:t>2b4.11.</w:t>
      </w:r>
      <w:proofErr w:type="gramEnd"/>
      <w:r w:rsidR="009B1A15">
        <w:rPr>
          <w:rFonts w:cstheme="minorHAnsi"/>
          <w:highlight w:val="green"/>
        </w:rPr>
        <w:t xml:space="preserve"> </w:t>
      </w:r>
      <w:r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Pr="00A25024">
        <w:rPr>
          <w:rFonts w:cstheme="minorHAnsi"/>
          <w:b/>
        </w:rPr>
        <w:t xml:space="preserve"> </w:t>
      </w:r>
      <w:r w:rsidRPr="00A25024">
        <w:rPr>
          <w:rFonts w:cstheme="minorHAnsi"/>
        </w:rPr>
        <w:t>(</w:t>
      </w:r>
      <w:r w:rsidRPr="00A25024">
        <w:rPr>
          <w:rFonts w:cstheme="minorHAnsi"/>
          <w:i/>
          <w:u w:val="single"/>
        </w:rPr>
        <w:t>not required</w:t>
      </w:r>
      <w:r w:rsidRPr="00A25024">
        <w:rPr>
          <w:rFonts w:cstheme="minorHAnsi"/>
          <w:i/>
        </w:rPr>
        <w:t>, but would provide additional support of adequacy</w:t>
      </w:r>
      <w:r>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9B1A15">
        <w:rPr>
          <w:rFonts w:cstheme="minorHAnsi"/>
        </w:rPr>
        <w:t>)</w:t>
      </w:r>
    </w:p>
    <w:p w:rsidR="003755CB" w:rsidRPr="00BA3000" w:rsidRDefault="00BA3000" w:rsidP="00D61410">
      <w:pPr>
        <w:autoSpaceDE w:val="0"/>
        <w:autoSpaceDN w:val="0"/>
        <w:adjustRightInd w:val="0"/>
        <w:spacing w:after="0" w:line="240" w:lineRule="auto"/>
        <w:rPr>
          <w:rFonts w:cstheme="minorHAnsi"/>
          <w:color w:val="0000FF"/>
          <w:sz w:val="24"/>
          <w:szCs w:val="24"/>
        </w:rPr>
      </w:pPr>
      <w:r w:rsidRPr="00BA3000">
        <w:rPr>
          <w:rFonts w:cstheme="minorHAnsi"/>
          <w:color w:val="0000FF"/>
          <w:sz w:val="24"/>
          <w:szCs w:val="24"/>
        </w:rPr>
        <w:t>None</w:t>
      </w: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rsidR="00B067EA" w:rsidRPr="000E60DD" w:rsidRDefault="00D61410" w:rsidP="00D31130">
      <w:pPr>
        <w:rPr>
          <w:color w:val="0000FF"/>
          <w:sz w:val="24"/>
          <w:szCs w:val="24"/>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004B691B">
        <w:rPr>
          <w:rFonts w:cstheme="minorHAnsi"/>
          <w:bCs/>
        </w:rPr>
        <w:br/>
      </w:r>
      <w:r w:rsidR="00B067EA" w:rsidRPr="000E60DD">
        <w:rPr>
          <w:color w:val="0000FF"/>
          <w:sz w:val="24"/>
          <w:szCs w:val="24"/>
        </w:rPr>
        <w:t xml:space="preserve">We used hierarchical, multivariate risk-adjustment models to derive the facility-level 30-day readmission rate. The measure is not an estimate based on samples; rather it includes all IRF patients nationwide who meet the inclusion criteria.  </w:t>
      </w:r>
    </w:p>
    <w:p w:rsidR="00B067EA" w:rsidRPr="000E60DD" w:rsidRDefault="00B067EA" w:rsidP="00B067EA">
      <w:pPr>
        <w:rPr>
          <w:rFonts w:cs="Arial Narrow"/>
          <w:color w:val="0000FF"/>
          <w:sz w:val="24"/>
          <w:szCs w:val="24"/>
        </w:rPr>
      </w:pPr>
      <w:r w:rsidRPr="000E60DD">
        <w:rPr>
          <w:rFonts w:cs="Arial Narrow"/>
          <w:color w:val="0000FF"/>
          <w:sz w:val="24"/>
          <w:szCs w:val="24"/>
        </w:rPr>
        <w:t>However, the method for determining meaningful differences in facility performance has not yet been determined.</w:t>
      </w:r>
      <w:r w:rsidRPr="000E60DD">
        <w:rPr>
          <w:color w:val="0000FF"/>
          <w:sz w:val="24"/>
          <w:szCs w:val="24"/>
        </w:rPr>
        <w:t xml:space="preserve"> </w:t>
      </w:r>
      <w:r w:rsidRPr="000E60DD">
        <w:rPr>
          <w:rFonts w:cs="Arial Narrow"/>
          <w:color w:val="0000FF"/>
          <w:sz w:val="24"/>
          <w:szCs w:val="24"/>
        </w:rPr>
        <w:t xml:space="preserve">For several publicly reported readmission measures of hospital outcomes developed with similar methodology, CMS currently estimates an interval estimate for each risk-standardized rate to characterize the amount of uncertainty associated with the rate </w:t>
      </w:r>
      <w:r w:rsidR="0039317A">
        <w:rPr>
          <w:rFonts w:cs="Arial Narrow"/>
          <w:color w:val="0000FF"/>
          <w:sz w:val="24"/>
          <w:szCs w:val="24"/>
        </w:rPr>
        <w:t>(</w:t>
      </w:r>
      <w:r w:rsidRPr="000E60DD">
        <w:rPr>
          <w:rFonts w:cs="Arial Narrow"/>
          <w:color w:val="0000FF"/>
          <w:sz w:val="24"/>
          <w:szCs w:val="24"/>
        </w:rPr>
        <w:t>compares the interval estimate to the national crude rate for the outcome</w:t>
      </w:r>
      <w:r w:rsidR="0039317A">
        <w:rPr>
          <w:rFonts w:cs="Arial Narrow"/>
          <w:color w:val="0000FF"/>
          <w:sz w:val="24"/>
          <w:szCs w:val="24"/>
        </w:rPr>
        <w:t>)</w:t>
      </w:r>
      <w:r w:rsidRPr="000E60DD">
        <w:rPr>
          <w:rFonts w:cs="Arial Narrow"/>
          <w:color w:val="0000FF"/>
          <w:sz w:val="24"/>
          <w:szCs w:val="24"/>
        </w:rPr>
        <w:t xml:space="preserve">, and categorizes hospitals as “better than,” “worse than,” or “no different than” the US national rate. However, the decision to publicly report this measure and the approach to discriminating performance has not been determined. </w:t>
      </w:r>
    </w:p>
    <w:p w:rsidR="00D61410" w:rsidRPr="000E60DD" w:rsidRDefault="00B067EA" w:rsidP="00B067EA">
      <w:pPr>
        <w:rPr>
          <w:color w:val="0000FF"/>
          <w:sz w:val="24"/>
          <w:szCs w:val="24"/>
        </w:rPr>
      </w:pPr>
      <w:r w:rsidRPr="000E60DD">
        <w:rPr>
          <w:rFonts w:cs="Arial Narrow"/>
          <w:color w:val="0000FF"/>
          <w:sz w:val="24"/>
          <w:szCs w:val="24"/>
        </w:rPr>
        <w:t>For our measure development, we conducted bootstrapping in order to estimate multiple estimates of IRFs’ RSRRs. This approach allows for the estimation of confidence intervals around the RSRRs, and for the identification of readmission rates relative to the average facility’s performance. We ran 1,000 bootstrap</w:t>
      </w:r>
      <w:r w:rsidR="004763EF">
        <w:rPr>
          <w:rFonts w:cs="Arial Narrow"/>
          <w:color w:val="0000FF"/>
          <w:sz w:val="24"/>
          <w:szCs w:val="24"/>
        </w:rPr>
        <w:t xml:space="preserve"> samples of facilities</w:t>
      </w:r>
      <w:r w:rsidRPr="000E60DD">
        <w:rPr>
          <w:rFonts w:cs="Arial Narrow"/>
          <w:color w:val="0000FF"/>
          <w:sz w:val="24"/>
          <w:szCs w:val="24"/>
        </w:rPr>
        <w:t xml:space="preserve"> for this analysis. </w:t>
      </w:r>
    </w:p>
    <w:p w:rsidR="00D61410" w:rsidRPr="00A25024"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3F3E6F" w:rsidRPr="00CE76CA" w:rsidRDefault="00B067EA" w:rsidP="003F3E6F">
      <w:pPr>
        <w:rPr>
          <w:color w:val="0000FF"/>
          <w:sz w:val="24"/>
          <w:szCs w:val="28"/>
        </w:rPr>
      </w:pPr>
      <w:r w:rsidRPr="000E60DD">
        <w:rPr>
          <w:color w:val="0000FF"/>
          <w:sz w:val="24"/>
          <w:szCs w:val="24"/>
        </w:rPr>
        <w:lastRenderedPageBreak/>
        <w:t xml:space="preserve">The distribution of the Risk Standardized Readmission Rate (RSRR) is shown above in </w:t>
      </w:r>
      <w:r w:rsidRPr="000E60DD">
        <w:rPr>
          <w:b/>
          <w:bCs/>
          <w:color w:val="0000FF"/>
          <w:sz w:val="24"/>
          <w:szCs w:val="24"/>
        </w:rPr>
        <w:t>T</w:t>
      </w:r>
      <w:r w:rsidR="006E7102">
        <w:rPr>
          <w:b/>
          <w:bCs/>
          <w:color w:val="0000FF"/>
          <w:sz w:val="24"/>
          <w:szCs w:val="24"/>
        </w:rPr>
        <w:t>esting T</w:t>
      </w:r>
      <w:r w:rsidRPr="000E60DD">
        <w:rPr>
          <w:b/>
          <w:bCs/>
          <w:color w:val="0000FF"/>
          <w:sz w:val="24"/>
          <w:szCs w:val="24"/>
        </w:rPr>
        <w:t>able 2</w:t>
      </w:r>
      <w:r w:rsidRPr="000E60DD">
        <w:rPr>
          <w:color w:val="0000FF"/>
          <w:sz w:val="24"/>
          <w:szCs w:val="24"/>
        </w:rPr>
        <w:t xml:space="preserve">. The RSRR has a mean of 13.5% (SD: 0.7%) and a range from 11.1% to 16.1%, with a median of 13.5% and an interquartile range of 13.0-13.9%. </w:t>
      </w:r>
      <w:r w:rsidR="003F3E6F">
        <w:rPr>
          <w:color w:val="0000FF"/>
          <w:sz w:val="24"/>
          <w:szCs w:val="28"/>
        </w:rPr>
        <w:t>The distribution of RSRRs is roughly bell-shaped (</w:t>
      </w:r>
      <w:r w:rsidR="003F3E6F" w:rsidRPr="000C0880">
        <w:rPr>
          <w:b/>
          <w:color w:val="0000FF"/>
          <w:sz w:val="24"/>
          <w:szCs w:val="28"/>
        </w:rPr>
        <w:t>Testing Figure 3</w:t>
      </w:r>
      <w:r w:rsidR="003F3E6F">
        <w:rPr>
          <w:color w:val="0000FF"/>
          <w:sz w:val="24"/>
          <w:szCs w:val="28"/>
        </w:rPr>
        <w:t>), as would be expected with a random effects model that assumes a normal distribution for the facility effects.</w:t>
      </w:r>
      <w:r w:rsidR="003F3E6F" w:rsidRPr="00CE76CA">
        <w:rPr>
          <w:color w:val="0000FF"/>
          <w:sz w:val="24"/>
          <w:szCs w:val="28"/>
        </w:rPr>
        <w:t xml:space="preserve"> </w:t>
      </w:r>
      <w:r w:rsidR="003F3E6F">
        <w:rPr>
          <w:color w:val="0000FF"/>
          <w:sz w:val="24"/>
          <w:szCs w:val="28"/>
        </w:rPr>
        <w:t>(The distribution of unadjusted rates was similar with some cases at the extremes of 0 and 100 percent readmissions.)</w:t>
      </w:r>
    </w:p>
    <w:p w:rsidR="00A94874" w:rsidRDefault="00E40250" w:rsidP="00523613">
      <w:pPr>
        <w:rPr>
          <w:color w:val="0000FF"/>
          <w:sz w:val="24"/>
          <w:szCs w:val="24"/>
        </w:rPr>
      </w:pPr>
      <w:r w:rsidRPr="004763EF">
        <w:rPr>
          <w:color w:val="0000FF"/>
          <w:sz w:val="24"/>
          <w:szCs w:val="24"/>
        </w:rPr>
        <w:t xml:space="preserve">In order to identify meaningful differences in performance between providers, we conducted bootstrapping to estimate confidence intervals around the RSRRs allowing for comparison between providers and the national average. </w:t>
      </w:r>
      <w:r w:rsidR="00472A04" w:rsidRPr="00472A04">
        <w:rPr>
          <w:color w:val="0000FF"/>
          <w:sz w:val="24"/>
          <w:szCs w:val="24"/>
        </w:rPr>
        <w:t xml:space="preserve">These results are summarized in </w:t>
      </w:r>
      <w:r w:rsidR="00D31130" w:rsidRPr="00D31130">
        <w:rPr>
          <w:b/>
          <w:bCs/>
          <w:color w:val="0000FF"/>
          <w:sz w:val="24"/>
          <w:szCs w:val="24"/>
        </w:rPr>
        <w:t>Testing Table 5</w:t>
      </w:r>
      <w:r w:rsidR="00D31130">
        <w:rPr>
          <w:color w:val="0000FF"/>
          <w:sz w:val="24"/>
          <w:szCs w:val="24"/>
        </w:rPr>
        <w:t xml:space="preserve"> </w:t>
      </w:r>
      <w:r w:rsidR="00472A04" w:rsidRPr="00472A04">
        <w:rPr>
          <w:color w:val="0000FF"/>
          <w:sz w:val="24"/>
          <w:szCs w:val="24"/>
        </w:rPr>
        <w:t>below. We found that 74</w:t>
      </w:r>
      <w:r w:rsidR="004763EF">
        <w:rPr>
          <w:color w:val="0000FF"/>
          <w:sz w:val="24"/>
          <w:szCs w:val="24"/>
        </w:rPr>
        <w:t>%</w:t>
      </w:r>
      <w:r w:rsidRPr="004763EF">
        <w:rPr>
          <w:color w:val="0000FF"/>
          <w:sz w:val="24"/>
          <w:szCs w:val="24"/>
        </w:rPr>
        <w:t xml:space="preserve"> of IRFs </w:t>
      </w:r>
      <w:r w:rsidR="00230B2B" w:rsidRPr="004763EF">
        <w:rPr>
          <w:color w:val="0000FF"/>
          <w:sz w:val="24"/>
          <w:szCs w:val="24"/>
        </w:rPr>
        <w:t xml:space="preserve">overall </w:t>
      </w:r>
      <w:r w:rsidRPr="004763EF">
        <w:rPr>
          <w:color w:val="0000FF"/>
          <w:sz w:val="24"/>
          <w:szCs w:val="24"/>
        </w:rPr>
        <w:t>were significantly different than the national average readmission rate.</w:t>
      </w:r>
      <w:r w:rsidR="00472A04" w:rsidRPr="00472A04">
        <w:rPr>
          <w:color w:val="0000FF"/>
          <w:sz w:val="24"/>
          <w:szCs w:val="24"/>
        </w:rPr>
        <w:t xml:space="preserve"> The percent significantly different increases as facility size increases; for example, 41</w:t>
      </w:r>
      <w:r w:rsidR="004763EF">
        <w:rPr>
          <w:color w:val="0000FF"/>
          <w:sz w:val="24"/>
          <w:szCs w:val="24"/>
        </w:rPr>
        <w:t>%</w:t>
      </w:r>
      <w:r w:rsidR="00230B2B" w:rsidRPr="004763EF">
        <w:rPr>
          <w:color w:val="0000FF"/>
          <w:sz w:val="24"/>
          <w:szCs w:val="24"/>
        </w:rPr>
        <w:t xml:space="preserve"> of IRFs in the smallest decile based on volume were significantly different compared to 82 percent significantly different in decile 10, the largest IRFs. </w:t>
      </w:r>
    </w:p>
    <w:p w:rsidR="00065330" w:rsidRDefault="00523613" w:rsidP="00A94874">
      <w:pPr>
        <w:rPr>
          <w:color w:val="0000FF"/>
          <w:sz w:val="24"/>
          <w:szCs w:val="24"/>
        </w:rPr>
      </w:pPr>
      <w:r>
        <w:rPr>
          <w:color w:val="0000FF"/>
          <w:sz w:val="24"/>
          <w:szCs w:val="24"/>
        </w:rPr>
        <w:t>The last two columns present the percent that are significantly higher (</w:t>
      </w:r>
      <w:r w:rsidR="00A94874">
        <w:rPr>
          <w:color w:val="0000FF"/>
          <w:sz w:val="24"/>
          <w:szCs w:val="24"/>
        </w:rPr>
        <w:t>worse</w:t>
      </w:r>
      <w:r>
        <w:rPr>
          <w:color w:val="0000FF"/>
          <w:sz w:val="24"/>
          <w:szCs w:val="24"/>
        </w:rPr>
        <w:t>) and significantly lower (</w:t>
      </w:r>
      <w:r w:rsidR="00A94874">
        <w:rPr>
          <w:color w:val="0000FF"/>
          <w:sz w:val="24"/>
          <w:szCs w:val="24"/>
        </w:rPr>
        <w:t>better</w:t>
      </w:r>
      <w:r>
        <w:rPr>
          <w:color w:val="0000FF"/>
          <w:sz w:val="24"/>
          <w:szCs w:val="24"/>
        </w:rPr>
        <w:t xml:space="preserve">) than average. Across all deciles, the proportion significantly higher and the proportion significantly lower are roughly the same. However, within some deciles, the proportion higher and lower is less balanced. For example, in </w:t>
      </w:r>
      <w:proofErr w:type="spellStart"/>
      <w:r>
        <w:rPr>
          <w:color w:val="0000FF"/>
          <w:sz w:val="24"/>
          <w:szCs w:val="24"/>
        </w:rPr>
        <w:t>decile</w:t>
      </w:r>
      <w:proofErr w:type="spellEnd"/>
      <w:r>
        <w:rPr>
          <w:color w:val="0000FF"/>
          <w:sz w:val="24"/>
          <w:szCs w:val="24"/>
        </w:rPr>
        <w:t xml:space="preserve"> 6</w:t>
      </w:r>
      <w:r w:rsidR="00A94874">
        <w:rPr>
          <w:color w:val="0000FF"/>
          <w:sz w:val="24"/>
          <w:szCs w:val="24"/>
        </w:rPr>
        <w:t>,</w:t>
      </w:r>
      <w:r>
        <w:rPr>
          <w:color w:val="0000FF"/>
          <w:sz w:val="24"/>
          <w:szCs w:val="24"/>
        </w:rPr>
        <w:t xml:space="preserve"> 44</w:t>
      </w:r>
      <w:r w:rsidR="001D2939">
        <w:rPr>
          <w:color w:val="0000FF"/>
          <w:sz w:val="24"/>
          <w:szCs w:val="24"/>
        </w:rPr>
        <w:t>%</w:t>
      </w:r>
      <w:r>
        <w:rPr>
          <w:color w:val="0000FF"/>
          <w:sz w:val="24"/>
          <w:szCs w:val="24"/>
        </w:rPr>
        <w:t xml:space="preserve"> of the providers are significantly higher </w:t>
      </w:r>
      <w:r w:rsidR="00A94874">
        <w:rPr>
          <w:color w:val="0000FF"/>
          <w:sz w:val="24"/>
          <w:szCs w:val="24"/>
        </w:rPr>
        <w:t>or worse than average compared to less than 35</w:t>
      </w:r>
      <w:r w:rsidR="001D2939">
        <w:rPr>
          <w:color w:val="0000FF"/>
          <w:sz w:val="24"/>
          <w:szCs w:val="24"/>
        </w:rPr>
        <w:t>%</w:t>
      </w:r>
      <w:r w:rsidR="00A94874">
        <w:rPr>
          <w:color w:val="0000FF"/>
          <w:sz w:val="24"/>
          <w:szCs w:val="24"/>
        </w:rPr>
        <w:t xml:space="preserve"> that are lower or better than average. </w:t>
      </w:r>
    </w:p>
    <w:p w:rsidR="005A3ED8" w:rsidRDefault="005A3ED8">
      <w:pPr>
        <w:rPr>
          <w:color w:val="0000FF"/>
          <w:sz w:val="24"/>
          <w:szCs w:val="24"/>
        </w:rPr>
      </w:pPr>
      <w:r>
        <w:rPr>
          <w:color w:val="0000FF"/>
          <w:sz w:val="24"/>
          <w:szCs w:val="24"/>
        </w:rPr>
        <w:br w:type="page"/>
      </w:r>
    </w:p>
    <w:p w:rsidR="00AA490D" w:rsidRPr="006E7382" w:rsidRDefault="00AA490D" w:rsidP="00AA490D">
      <w:pPr>
        <w:jc w:val="center"/>
        <w:rPr>
          <w:b/>
          <w:bCs/>
          <w:color w:val="0000FF"/>
          <w:sz w:val="24"/>
          <w:szCs w:val="24"/>
        </w:rPr>
      </w:pPr>
      <w:r>
        <w:rPr>
          <w:b/>
          <w:bCs/>
          <w:color w:val="0000FF"/>
          <w:sz w:val="24"/>
          <w:szCs w:val="24"/>
        </w:rPr>
        <w:lastRenderedPageBreak/>
        <w:t xml:space="preserve">Testing Table 5: </w:t>
      </w:r>
      <w:r w:rsidRPr="006E7382">
        <w:rPr>
          <w:b/>
          <w:bCs/>
          <w:color w:val="0000FF"/>
          <w:sz w:val="24"/>
          <w:szCs w:val="24"/>
        </w:rPr>
        <w:t>Summary Results of Bootstrapping, IRF 2010/2011</w:t>
      </w:r>
    </w:p>
    <w:p w:rsidR="00AA490D" w:rsidRPr="006E7382" w:rsidRDefault="00AA490D" w:rsidP="00AA490D">
      <w:pPr>
        <w:jc w:val="center"/>
        <w:rPr>
          <w:b/>
          <w:bCs/>
          <w:color w:val="0000FF"/>
          <w:sz w:val="24"/>
          <w:szCs w:val="24"/>
        </w:rPr>
      </w:pPr>
      <w:r w:rsidRPr="006E7382">
        <w:rPr>
          <w:b/>
          <w:bCs/>
          <w:color w:val="0000FF"/>
          <w:sz w:val="24"/>
          <w:szCs w:val="24"/>
        </w:rPr>
        <w:t>P</w:t>
      </w:r>
      <w:r>
        <w:rPr>
          <w:b/>
          <w:bCs/>
          <w:color w:val="0000FF"/>
          <w:sz w:val="24"/>
          <w:szCs w:val="24"/>
        </w:rPr>
        <w:t>ercent</w:t>
      </w:r>
      <w:r w:rsidRPr="006E7382">
        <w:rPr>
          <w:b/>
          <w:bCs/>
          <w:color w:val="0000FF"/>
          <w:sz w:val="24"/>
          <w:szCs w:val="24"/>
        </w:rPr>
        <w:t xml:space="preserve"> </w:t>
      </w:r>
      <w:r>
        <w:rPr>
          <w:b/>
          <w:bCs/>
          <w:color w:val="0000FF"/>
          <w:sz w:val="24"/>
          <w:szCs w:val="24"/>
        </w:rPr>
        <w:t xml:space="preserve">of IRFs </w:t>
      </w:r>
      <w:r w:rsidRPr="006E7382">
        <w:rPr>
          <w:b/>
          <w:bCs/>
          <w:color w:val="0000FF"/>
          <w:sz w:val="24"/>
          <w:szCs w:val="24"/>
        </w:rPr>
        <w:t>Statistically Significantly Different from National Mean, Overall and by Deciles</w:t>
      </w:r>
    </w:p>
    <w:tbl>
      <w:tblPr>
        <w:tblW w:w="9483" w:type="dxa"/>
        <w:jc w:val="center"/>
        <w:tblInd w:w="93" w:type="dxa"/>
        <w:tblCellMar>
          <w:left w:w="0" w:type="dxa"/>
          <w:right w:w="0" w:type="dxa"/>
        </w:tblCellMar>
        <w:tblLook w:val="04A0" w:firstRow="1" w:lastRow="0" w:firstColumn="1" w:lastColumn="0" w:noHBand="0" w:noVBand="1"/>
      </w:tblPr>
      <w:tblGrid>
        <w:gridCol w:w="1201"/>
        <w:gridCol w:w="1812"/>
        <w:gridCol w:w="1812"/>
        <w:gridCol w:w="1812"/>
        <w:gridCol w:w="1423"/>
        <w:gridCol w:w="1423"/>
      </w:tblGrid>
      <w:tr w:rsidR="00D31130" w:rsidRPr="006E7382" w:rsidTr="00D31130">
        <w:trPr>
          <w:trHeight w:val="945"/>
          <w:jc w:val="center"/>
        </w:trPr>
        <w:tc>
          <w:tcPr>
            <w:tcW w:w="1201" w:type="dxa"/>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Volume Deciles</w:t>
            </w:r>
          </w:p>
        </w:tc>
        <w:tc>
          <w:tcPr>
            <w:tcW w:w="1812" w:type="dxa"/>
            <w:tcBorders>
              <w:top w:val="single" w:sz="8" w:space="0" w:color="auto"/>
              <w:left w:val="nil"/>
              <w:bottom w:val="single" w:sz="8" w:space="0" w:color="auto"/>
              <w:right w:val="nil"/>
            </w:tcBorders>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Number of facilities</w:t>
            </w:r>
          </w:p>
        </w:tc>
        <w:tc>
          <w:tcPr>
            <w:tcW w:w="1812" w:type="dxa"/>
            <w:tcBorders>
              <w:top w:val="single" w:sz="8" w:space="0" w:color="auto"/>
              <w:left w:val="nil"/>
              <w:bottom w:val="single" w:sz="8" w:space="0" w:color="auto"/>
              <w:right w:val="nil"/>
            </w:tcBorders>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Number significantly different</w:t>
            </w:r>
          </w:p>
        </w:tc>
        <w:tc>
          <w:tcPr>
            <w:tcW w:w="1812" w:type="dxa"/>
            <w:tcBorders>
              <w:top w:val="single" w:sz="8" w:space="0" w:color="auto"/>
              <w:left w:val="nil"/>
              <w:bottom w:val="single" w:sz="8" w:space="0" w:color="auto"/>
              <w:right w:val="nil"/>
            </w:tcBorders>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Percent significantly different</w:t>
            </w:r>
          </w:p>
        </w:tc>
        <w:tc>
          <w:tcPr>
            <w:tcW w:w="1423" w:type="dxa"/>
            <w:tcBorders>
              <w:top w:val="single" w:sz="8" w:space="0" w:color="auto"/>
              <w:left w:val="nil"/>
              <w:bottom w:val="single" w:sz="8" w:space="0" w:color="auto"/>
              <w:right w:val="nil"/>
            </w:tcBorders>
          </w:tcPr>
          <w:p w:rsidR="00D31130" w:rsidRPr="006E7382" w:rsidRDefault="00D31130" w:rsidP="00523613">
            <w:pPr>
              <w:jc w:val="center"/>
              <w:rPr>
                <w:color w:val="0000FF"/>
                <w:sz w:val="24"/>
                <w:szCs w:val="24"/>
              </w:rPr>
            </w:pPr>
            <w:r>
              <w:rPr>
                <w:color w:val="0000FF"/>
                <w:sz w:val="24"/>
                <w:szCs w:val="24"/>
              </w:rPr>
              <w:t>Percent significantly higher</w:t>
            </w:r>
            <w:r w:rsidR="00523613">
              <w:rPr>
                <w:color w:val="0000FF"/>
                <w:sz w:val="24"/>
                <w:szCs w:val="24"/>
              </w:rPr>
              <w:t xml:space="preserve"> (worse</w:t>
            </w:r>
            <w:r w:rsidR="00514E92">
              <w:rPr>
                <w:color w:val="0000FF"/>
                <w:sz w:val="24"/>
                <w:szCs w:val="24"/>
              </w:rPr>
              <w:t>)</w:t>
            </w:r>
          </w:p>
        </w:tc>
        <w:tc>
          <w:tcPr>
            <w:tcW w:w="1423" w:type="dxa"/>
            <w:tcBorders>
              <w:top w:val="single" w:sz="8" w:space="0" w:color="auto"/>
              <w:left w:val="nil"/>
              <w:bottom w:val="single" w:sz="8" w:space="0" w:color="auto"/>
              <w:right w:val="nil"/>
            </w:tcBorders>
          </w:tcPr>
          <w:p w:rsidR="00D31130" w:rsidRPr="006E7382" w:rsidRDefault="00D31130" w:rsidP="00523613">
            <w:pPr>
              <w:jc w:val="center"/>
              <w:rPr>
                <w:color w:val="0000FF"/>
                <w:sz w:val="24"/>
                <w:szCs w:val="24"/>
              </w:rPr>
            </w:pPr>
            <w:r>
              <w:rPr>
                <w:color w:val="0000FF"/>
                <w:sz w:val="24"/>
                <w:szCs w:val="24"/>
              </w:rPr>
              <w:t>Percent significantly lower</w:t>
            </w:r>
            <w:r w:rsidR="00514E92">
              <w:rPr>
                <w:color w:val="0000FF"/>
                <w:sz w:val="24"/>
                <w:szCs w:val="24"/>
              </w:rPr>
              <w:t xml:space="preserve"> (</w:t>
            </w:r>
            <w:r w:rsidR="00523613">
              <w:rPr>
                <w:color w:val="0000FF"/>
                <w:sz w:val="24"/>
                <w:szCs w:val="24"/>
              </w:rPr>
              <w:t>better</w:t>
            </w:r>
            <w:r w:rsidR="00514E92">
              <w:rPr>
                <w:color w:val="0000FF"/>
                <w:sz w:val="24"/>
                <w:szCs w:val="24"/>
              </w:rPr>
              <w:t>)</w:t>
            </w:r>
          </w:p>
        </w:tc>
      </w:tr>
      <w:tr w:rsidR="00D31130" w:rsidRPr="006E7382" w:rsidTr="00D31130">
        <w:trPr>
          <w:trHeight w:val="377"/>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Decile 1</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116</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47</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40.5%</w:t>
            </w:r>
          </w:p>
        </w:tc>
        <w:tc>
          <w:tcPr>
            <w:tcW w:w="1423" w:type="dxa"/>
            <w:tcBorders>
              <w:top w:val="nil"/>
              <w:left w:val="nil"/>
              <w:bottom w:val="single" w:sz="8" w:space="0" w:color="auto"/>
              <w:right w:val="nil"/>
            </w:tcBorders>
          </w:tcPr>
          <w:p w:rsidR="00D31130" w:rsidRPr="006E7382" w:rsidRDefault="00514E92" w:rsidP="00BE1D19">
            <w:pPr>
              <w:jc w:val="center"/>
              <w:rPr>
                <w:color w:val="0000FF"/>
                <w:sz w:val="24"/>
                <w:szCs w:val="24"/>
              </w:rPr>
            </w:pPr>
            <w:r>
              <w:rPr>
                <w:color w:val="0000FF"/>
                <w:sz w:val="24"/>
                <w:szCs w:val="24"/>
              </w:rPr>
              <w:t>16.4%</w:t>
            </w:r>
          </w:p>
        </w:tc>
        <w:tc>
          <w:tcPr>
            <w:tcW w:w="1423" w:type="dxa"/>
            <w:tcBorders>
              <w:top w:val="nil"/>
              <w:left w:val="nil"/>
              <w:bottom w:val="single" w:sz="8" w:space="0" w:color="auto"/>
              <w:right w:val="nil"/>
            </w:tcBorders>
          </w:tcPr>
          <w:p w:rsidR="00D31130" w:rsidRPr="006E7382" w:rsidRDefault="00514E92" w:rsidP="00BE1D19">
            <w:pPr>
              <w:jc w:val="center"/>
              <w:rPr>
                <w:color w:val="0000FF"/>
                <w:sz w:val="24"/>
                <w:szCs w:val="24"/>
              </w:rPr>
            </w:pPr>
            <w:r>
              <w:rPr>
                <w:color w:val="0000FF"/>
                <w:sz w:val="24"/>
                <w:szCs w:val="24"/>
              </w:rPr>
              <w:t>24.1%</w:t>
            </w:r>
          </w:p>
        </w:tc>
      </w:tr>
      <w:tr w:rsidR="00D31130" w:rsidRPr="006E7382" w:rsidTr="00D31130">
        <w:trPr>
          <w:trHeight w:val="315"/>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Decile 2</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116</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87</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75.0%</w:t>
            </w:r>
          </w:p>
        </w:tc>
        <w:tc>
          <w:tcPr>
            <w:tcW w:w="1423" w:type="dxa"/>
            <w:tcBorders>
              <w:top w:val="nil"/>
              <w:left w:val="nil"/>
              <w:bottom w:val="single" w:sz="8" w:space="0" w:color="auto"/>
              <w:right w:val="nil"/>
            </w:tcBorders>
          </w:tcPr>
          <w:p w:rsidR="00D31130" w:rsidRPr="006E7382" w:rsidRDefault="00514E92" w:rsidP="00BE1D19">
            <w:pPr>
              <w:jc w:val="center"/>
              <w:rPr>
                <w:color w:val="0000FF"/>
                <w:sz w:val="24"/>
                <w:szCs w:val="24"/>
              </w:rPr>
            </w:pPr>
            <w:r>
              <w:rPr>
                <w:color w:val="0000FF"/>
                <w:sz w:val="24"/>
                <w:szCs w:val="24"/>
              </w:rPr>
              <w:t>39.7%</w:t>
            </w:r>
          </w:p>
        </w:tc>
        <w:tc>
          <w:tcPr>
            <w:tcW w:w="1423" w:type="dxa"/>
            <w:tcBorders>
              <w:top w:val="nil"/>
              <w:left w:val="nil"/>
              <w:bottom w:val="single" w:sz="8" w:space="0" w:color="auto"/>
              <w:right w:val="nil"/>
            </w:tcBorders>
          </w:tcPr>
          <w:p w:rsidR="00D31130" w:rsidRPr="006E7382" w:rsidRDefault="00514E92" w:rsidP="00BE1D19">
            <w:pPr>
              <w:jc w:val="center"/>
              <w:rPr>
                <w:color w:val="0000FF"/>
                <w:sz w:val="24"/>
                <w:szCs w:val="24"/>
              </w:rPr>
            </w:pPr>
            <w:r>
              <w:rPr>
                <w:color w:val="0000FF"/>
                <w:sz w:val="24"/>
                <w:szCs w:val="24"/>
              </w:rPr>
              <w:t>35.3%</w:t>
            </w:r>
          </w:p>
        </w:tc>
      </w:tr>
      <w:tr w:rsidR="00D31130" w:rsidRPr="006E7382" w:rsidTr="00D31130">
        <w:trPr>
          <w:trHeight w:val="315"/>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Decile 3</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120</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85</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70.8%</w:t>
            </w:r>
          </w:p>
        </w:tc>
        <w:tc>
          <w:tcPr>
            <w:tcW w:w="1423" w:type="dxa"/>
            <w:tcBorders>
              <w:top w:val="nil"/>
              <w:left w:val="nil"/>
              <w:bottom w:val="single" w:sz="8" w:space="0" w:color="auto"/>
              <w:right w:val="nil"/>
            </w:tcBorders>
          </w:tcPr>
          <w:p w:rsidR="00D31130" w:rsidRPr="006E7382" w:rsidRDefault="00514E92" w:rsidP="00BE1D19">
            <w:pPr>
              <w:jc w:val="center"/>
              <w:rPr>
                <w:color w:val="0000FF"/>
                <w:sz w:val="24"/>
                <w:szCs w:val="24"/>
              </w:rPr>
            </w:pPr>
            <w:r>
              <w:rPr>
                <w:color w:val="0000FF"/>
                <w:sz w:val="24"/>
                <w:szCs w:val="24"/>
              </w:rPr>
              <w:t>34.2%</w:t>
            </w:r>
          </w:p>
        </w:tc>
        <w:tc>
          <w:tcPr>
            <w:tcW w:w="1423" w:type="dxa"/>
            <w:tcBorders>
              <w:top w:val="nil"/>
              <w:left w:val="nil"/>
              <w:bottom w:val="single" w:sz="8" w:space="0" w:color="auto"/>
              <w:right w:val="nil"/>
            </w:tcBorders>
          </w:tcPr>
          <w:p w:rsidR="00D31130" w:rsidRPr="006E7382" w:rsidRDefault="00514E92" w:rsidP="00BE1D19">
            <w:pPr>
              <w:jc w:val="center"/>
              <w:rPr>
                <w:color w:val="0000FF"/>
                <w:sz w:val="24"/>
                <w:szCs w:val="24"/>
              </w:rPr>
            </w:pPr>
            <w:r>
              <w:rPr>
                <w:color w:val="0000FF"/>
                <w:sz w:val="24"/>
                <w:szCs w:val="24"/>
              </w:rPr>
              <w:t>36.7%</w:t>
            </w:r>
          </w:p>
        </w:tc>
      </w:tr>
      <w:tr w:rsidR="00D31130" w:rsidRPr="006E7382" w:rsidTr="00D31130">
        <w:trPr>
          <w:trHeight w:val="315"/>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Decile 4</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117</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82</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70.1%</w:t>
            </w:r>
          </w:p>
        </w:tc>
        <w:tc>
          <w:tcPr>
            <w:tcW w:w="1423" w:type="dxa"/>
            <w:tcBorders>
              <w:top w:val="nil"/>
              <w:left w:val="nil"/>
              <w:bottom w:val="single" w:sz="8" w:space="0" w:color="auto"/>
              <w:right w:val="nil"/>
            </w:tcBorders>
          </w:tcPr>
          <w:p w:rsidR="00D31130" w:rsidRPr="006E7382" w:rsidRDefault="00514E92" w:rsidP="00BE1D19">
            <w:pPr>
              <w:jc w:val="center"/>
              <w:rPr>
                <w:color w:val="0000FF"/>
                <w:sz w:val="24"/>
                <w:szCs w:val="24"/>
              </w:rPr>
            </w:pPr>
            <w:r>
              <w:rPr>
                <w:color w:val="0000FF"/>
                <w:sz w:val="24"/>
                <w:szCs w:val="24"/>
              </w:rPr>
              <w:t>30.8%</w:t>
            </w:r>
          </w:p>
        </w:tc>
        <w:tc>
          <w:tcPr>
            <w:tcW w:w="1423" w:type="dxa"/>
            <w:tcBorders>
              <w:top w:val="nil"/>
              <w:left w:val="nil"/>
              <w:bottom w:val="single" w:sz="8" w:space="0" w:color="auto"/>
              <w:right w:val="nil"/>
            </w:tcBorders>
          </w:tcPr>
          <w:p w:rsidR="00D31130" w:rsidRPr="006E7382" w:rsidRDefault="00514E92" w:rsidP="00BE1D19">
            <w:pPr>
              <w:jc w:val="center"/>
              <w:rPr>
                <w:color w:val="0000FF"/>
                <w:sz w:val="24"/>
                <w:szCs w:val="24"/>
              </w:rPr>
            </w:pPr>
            <w:r>
              <w:rPr>
                <w:color w:val="0000FF"/>
                <w:sz w:val="24"/>
                <w:szCs w:val="24"/>
              </w:rPr>
              <w:t>39.3%</w:t>
            </w:r>
          </w:p>
        </w:tc>
      </w:tr>
      <w:tr w:rsidR="00D31130" w:rsidRPr="006E7382" w:rsidTr="00D31130">
        <w:trPr>
          <w:trHeight w:val="315"/>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Decile 5</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118</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92</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78.0%</w:t>
            </w:r>
          </w:p>
        </w:tc>
        <w:tc>
          <w:tcPr>
            <w:tcW w:w="1423" w:type="dxa"/>
            <w:tcBorders>
              <w:top w:val="nil"/>
              <w:left w:val="nil"/>
              <w:bottom w:val="single" w:sz="8" w:space="0" w:color="auto"/>
              <w:right w:val="nil"/>
            </w:tcBorders>
          </w:tcPr>
          <w:p w:rsidR="00D31130" w:rsidRPr="006E7382" w:rsidRDefault="00514E92" w:rsidP="00BE1D19">
            <w:pPr>
              <w:jc w:val="center"/>
              <w:rPr>
                <w:color w:val="0000FF"/>
                <w:sz w:val="24"/>
                <w:szCs w:val="24"/>
              </w:rPr>
            </w:pPr>
            <w:r>
              <w:rPr>
                <w:color w:val="0000FF"/>
                <w:sz w:val="24"/>
                <w:szCs w:val="24"/>
              </w:rPr>
              <w:t>38.1%</w:t>
            </w:r>
          </w:p>
        </w:tc>
        <w:tc>
          <w:tcPr>
            <w:tcW w:w="1423" w:type="dxa"/>
            <w:tcBorders>
              <w:top w:val="nil"/>
              <w:left w:val="nil"/>
              <w:bottom w:val="single" w:sz="8" w:space="0" w:color="auto"/>
              <w:right w:val="nil"/>
            </w:tcBorders>
          </w:tcPr>
          <w:p w:rsidR="00D31130" w:rsidRPr="006E7382" w:rsidRDefault="00514E92" w:rsidP="00BE1D19">
            <w:pPr>
              <w:jc w:val="center"/>
              <w:rPr>
                <w:color w:val="0000FF"/>
                <w:sz w:val="24"/>
                <w:szCs w:val="24"/>
              </w:rPr>
            </w:pPr>
            <w:r>
              <w:rPr>
                <w:color w:val="0000FF"/>
                <w:sz w:val="24"/>
                <w:szCs w:val="24"/>
              </w:rPr>
              <w:t>39.8%</w:t>
            </w:r>
          </w:p>
        </w:tc>
      </w:tr>
      <w:tr w:rsidR="00D31130" w:rsidRPr="006E7382" w:rsidTr="00D31130">
        <w:trPr>
          <w:trHeight w:val="315"/>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Decile 6</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116</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91</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78.4%</w:t>
            </w:r>
          </w:p>
        </w:tc>
        <w:tc>
          <w:tcPr>
            <w:tcW w:w="1423" w:type="dxa"/>
            <w:tcBorders>
              <w:top w:val="nil"/>
              <w:left w:val="nil"/>
              <w:bottom w:val="single" w:sz="8" w:space="0" w:color="auto"/>
              <w:right w:val="nil"/>
            </w:tcBorders>
          </w:tcPr>
          <w:p w:rsidR="00D31130" w:rsidRPr="006E7382" w:rsidRDefault="00514E92" w:rsidP="00BE1D19">
            <w:pPr>
              <w:jc w:val="center"/>
              <w:rPr>
                <w:color w:val="0000FF"/>
                <w:sz w:val="24"/>
                <w:szCs w:val="24"/>
              </w:rPr>
            </w:pPr>
            <w:r>
              <w:rPr>
                <w:color w:val="0000FF"/>
                <w:sz w:val="24"/>
                <w:szCs w:val="24"/>
              </w:rPr>
              <w:t>44.0%</w:t>
            </w:r>
          </w:p>
        </w:tc>
        <w:tc>
          <w:tcPr>
            <w:tcW w:w="1423" w:type="dxa"/>
            <w:tcBorders>
              <w:top w:val="nil"/>
              <w:left w:val="nil"/>
              <w:bottom w:val="single" w:sz="8" w:space="0" w:color="auto"/>
              <w:right w:val="nil"/>
            </w:tcBorders>
          </w:tcPr>
          <w:p w:rsidR="00D31130" w:rsidRPr="006E7382" w:rsidRDefault="00514E92" w:rsidP="00BE1D19">
            <w:pPr>
              <w:jc w:val="center"/>
              <w:rPr>
                <w:color w:val="0000FF"/>
                <w:sz w:val="24"/>
                <w:szCs w:val="24"/>
              </w:rPr>
            </w:pPr>
            <w:r>
              <w:rPr>
                <w:color w:val="0000FF"/>
                <w:sz w:val="24"/>
                <w:szCs w:val="24"/>
              </w:rPr>
              <w:t>34.5%</w:t>
            </w:r>
          </w:p>
        </w:tc>
      </w:tr>
      <w:tr w:rsidR="00D31130" w:rsidRPr="006E7382" w:rsidTr="00D31130">
        <w:trPr>
          <w:trHeight w:val="315"/>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Decile 7</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117</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92</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78.6%</w:t>
            </w:r>
          </w:p>
        </w:tc>
        <w:tc>
          <w:tcPr>
            <w:tcW w:w="1423" w:type="dxa"/>
            <w:tcBorders>
              <w:top w:val="nil"/>
              <w:left w:val="nil"/>
              <w:bottom w:val="single" w:sz="8" w:space="0" w:color="auto"/>
              <w:right w:val="nil"/>
            </w:tcBorders>
          </w:tcPr>
          <w:p w:rsidR="00D31130" w:rsidRPr="006E7382" w:rsidRDefault="00514E92" w:rsidP="00BE1D19">
            <w:pPr>
              <w:jc w:val="center"/>
              <w:rPr>
                <w:color w:val="0000FF"/>
                <w:sz w:val="24"/>
                <w:szCs w:val="24"/>
              </w:rPr>
            </w:pPr>
            <w:r>
              <w:rPr>
                <w:color w:val="0000FF"/>
                <w:sz w:val="24"/>
                <w:szCs w:val="24"/>
              </w:rPr>
              <w:t>35.9%</w:t>
            </w:r>
          </w:p>
        </w:tc>
        <w:tc>
          <w:tcPr>
            <w:tcW w:w="1423" w:type="dxa"/>
            <w:tcBorders>
              <w:top w:val="nil"/>
              <w:left w:val="nil"/>
              <w:bottom w:val="single" w:sz="8" w:space="0" w:color="auto"/>
              <w:right w:val="nil"/>
            </w:tcBorders>
          </w:tcPr>
          <w:p w:rsidR="00D31130" w:rsidRPr="006E7382" w:rsidRDefault="00514E92" w:rsidP="00BE1D19">
            <w:pPr>
              <w:jc w:val="center"/>
              <w:rPr>
                <w:color w:val="0000FF"/>
                <w:sz w:val="24"/>
                <w:szCs w:val="24"/>
              </w:rPr>
            </w:pPr>
            <w:r>
              <w:rPr>
                <w:color w:val="0000FF"/>
                <w:sz w:val="24"/>
                <w:szCs w:val="24"/>
              </w:rPr>
              <w:t>42.7%</w:t>
            </w:r>
          </w:p>
        </w:tc>
      </w:tr>
      <w:tr w:rsidR="00D31130" w:rsidRPr="006E7382" w:rsidTr="00D31130">
        <w:trPr>
          <w:trHeight w:val="315"/>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Decile 8</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117</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101</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86.3%</w:t>
            </w:r>
          </w:p>
        </w:tc>
        <w:tc>
          <w:tcPr>
            <w:tcW w:w="1423" w:type="dxa"/>
            <w:tcBorders>
              <w:top w:val="nil"/>
              <w:left w:val="nil"/>
              <w:bottom w:val="single" w:sz="8" w:space="0" w:color="auto"/>
              <w:right w:val="nil"/>
            </w:tcBorders>
          </w:tcPr>
          <w:p w:rsidR="00D31130" w:rsidRPr="006E7382" w:rsidRDefault="00514E92" w:rsidP="00BE1D19">
            <w:pPr>
              <w:jc w:val="center"/>
              <w:rPr>
                <w:color w:val="0000FF"/>
                <w:sz w:val="24"/>
                <w:szCs w:val="24"/>
              </w:rPr>
            </w:pPr>
            <w:r>
              <w:rPr>
                <w:color w:val="0000FF"/>
                <w:sz w:val="24"/>
                <w:szCs w:val="24"/>
              </w:rPr>
              <w:t>46.2%</w:t>
            </w:r>
          </w:p>
        </w:tc>
        <w:tc>
          <w:tcPr>
            <w:tcW w:w="1423" w:type="dxa"/>
            <w:tcBorders>
              <w:top w:val="nil"/>
              <w:left w:val="nil"/>
              <w:bottom w:val="single" w:sz="8" w:space="0" w:color="auto"/>
              <w:right w:val="nil"/>
            </w:tcBorders>
          </w:tcPr>
          <w:p w:rsidR="00D31130" w:rsidRPr="006E7382" w:rsidRDefault="00FE1513" w:rsidP="00BE1D19">
            <w:pPr>
              <w:jc w:val="center"/>
              <w:rPr>
                <w:color w:val="0000FF"/>
                <w:sz w:val="24"/>
                <w:szCs w:val="24"/>
              </w:rPr>
            </w:pPr>
            <w:r>
              <w:rPr>
                <w:color w:val="0000FF"/>
                <w:sz w:val="24"/>
                <w:szCs w:val="24"/>
              </w:rPr>
              <w:t>40.2%</w:t>
            </w:r>
          </w:p>
        </w:tc>
      </w:tr>
      <w:tr w:rsidR="00D31130" w:rsidRPr="006E7382" w:rsidTr="00D31130">
        <w:trPr>
          <w:trHeight w:val="315"/>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Decile 9</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117</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96</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82.1%</w:t>
            </w:r>
          </w:p>
        </w:tc>
        <w:tc>
          <w:tcPr>
            <w:tcW w:w="1423" w:type="dxa"/>
            <w:tcBorders>
              <w:top w:val="nil"/>
              <w:left w:val="nil"/>
              <w:bottom w:val="single" w:sz="8" w:space="0" w:color="auto"/>
              <w:right w:val="nil"/>
            </w:tcBorders>
          </w:tcPr>
          <w:p w:rsidR="00D31130" w:rsidRPr="006E7382" w:rsidRDefault="00FE1513" w:rsidP="00BE1D19">
            <w:pPr>
              <w:jc w:val="center"/>
              <w:rPr>
                <w:color w:val="0000FF"/>
                <w:sz w:val="24"/>
                <w:szCs w:val="24"/>
              </w:rPr>
            </w:pPr>
            <w:r>
              <w:rPr>
                <w:color w:val="0000FF"/>
                <w:sz w:val="24"/>
                <w:szCs w:val="24"/>
              </w:rPr>
              <w:t>42.7%</w:t>
            </w:r>
          </w:p>
        </w:tc>
        <w:tc>
          <w:tcPr>
            <w:tcW w:w="1423" w:type="dxa"/>
            <w:tcBorders>
              <w:top w:val="nil"/>
              <w:left w:val="nil"/>
              <w:bottom w:val="single" w:sz="8" w:space="0" w:color="auto"/>
              <w:right w:val="nil"/>
            </w:tcBorders>
          </w:tcPr>
          <w:p w:rsidR="00D31130" w:rsidRPr="006E7382" w:rsidRDefault="00FE1513" w:rsidP="00BE1D19">
            <w:pPr>
              <w:jc w:val="center"/>
              <w:rPr>
                <w:color w:val="0000FF"/>
                <w:sz w:val="24"/>
                <w:szCs w:val="24"/>
              </w:rPr>
            </w:pPr>
            <w:r>
              <w:rPr>
                <w:color w:val="0000FF"/>
                <w:sz w:val="24"/>
                <w:szCs w:val="24"/>
              </w:rPr>
              <w:t>39.3%</w:t>
            </w:r>
          </w:p>
        </w:tc>
      </w:tr>
      <w:tr w:rsidR="00D31130" w:rsidRPr="006E7382" w:rsidTr="00D31130">
        <w:trPr>
          <w:trHeight w:val="315"/>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Decile 10</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117</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96</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82.1%</w:t>
            </w:r>
          </w:p>
        </w:tc>
        <w:tc>
          <w:tcPr>
            <w:tcW w:w="1423" w:type="dxa"/>
            <w:tcBorders>
              <w:top w:val="nil"/>
              <w:left w:val="nil"/>
              <w:bottom w:val="single" w:sz="8" w:space="0" w:color="auto"/>
              <w:right w:val="nil"/>
            </w:tcBorders>
          </w:tcPr>
          <w:p w:rsidR="00D31130" w:rsidRPr="006E7382" w:rsidRDefault="00FE1513" w:rsidP="00BE1D19">
            <w:pPr>
              <w:jc w:val="center"/>
              <w:rPr>
                <w:color w:val="0000FF"/>
                <w:sz w:val="24"/>
                <w:szCs w:val="24"/>
              </w:rPr>
            </w:pPr>
            <w:r>
              <w:rPr>
                <w:color w:val="0000FF"/>
                <w:sz w:val="24"/>
                <w:szCs w:val="24"/>
              </w:rPr>
              <w:t>37.6%</w:t>
            </w:r>
          </w:p>
        </w:tc>
        <w:tc>
          <w:tcPr>
            <w:tcW w:w="1423" w:type="dxa"/>
            <w:tcBorders>
              <w:top w:val="nil"/>
              <w:left w:val="nil"/>
              <w:bottom w:val="single" w:sz="8" w:space="0" w:color="auto"/>
              <w:right w:val="nil"/>
            </w:tcBorders>
          </w:tcPr>
          <w:p w:rsidR="00D31130" w:rsidRPr="006E7382" w:rsidRDefault="00FE1513" w:rsidP="00BE1D19">
            <w:pPr>
              <w:jc w:val="center"/>
              <w:rPr>
                <w:color w:val="0000FF"/>
                <w:sz w:val="24"/>
                <w:szCs w:val="24"/>
              </w:rPr>
            </w:pPr>
            <w:r>
              <w:rPr>
                <w:color w:val="0000FF"/>
                <w:sz w:val="24"/>
                <w:szCs w:val="24"/>
              </w:rPr>
              <w:t>44.4%</w:t>
            </w:r>
          </w:p>
        </w:tc>
      </w:tr>
      <w:tr w:rsidR="00D31130" w:rsidRPr="006E7382" w:rsidTr="00D31130">
        <w:trPr>
          <w:trHeight w:val="315"/>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i/>
                <w:iCs/>
                <w:color w:val="0000FF"/>
                <w:sz w:val="24"/>
                <w:szCs w:val="24"/>
              </w:rPr>
            </w:pPr>
            <w:r w:rsidRPr="006E7382">
              <w:rPr>
                <w:i/>
                <w:iCs/>
                <w:color w:val="0000FF"/>
                <w:sz w:val="24"/>
                <w:szCs w:val="24"/>
              </w:rPr>
              <w:t>Overall</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1,171</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869</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74.2%</w:t>
            </w:r>
          </w:p>
        </w:tc>
        <w:tc>
          <w:tcPr>
            <w:tcW w:w="1423" w:type="dxa"/>
            <w:tcBorders>
              <w:top w:val="nil"/>
              <w:left w:val="nil"/>
              <w:bottom w:val="single" w:sz="8" w:space="0" w:color="auto"/>
              <w:right w:val="nil"/>
            </w:tcBorders>
          </w:tcPr>
          <w:p w:rsidR="00D31130" w:rsidRPr="006E7382" w:rsidRDefault="00514E92" w:rsidP="00BE1D19">
            <w:pPr>
              <w:jc w:val="center"/>
              <w:rPr>
                <w:color w:val="0000FF"/>
                <w:sz w:val="24"/>
                <w:szCs w:val="24"/>
              </w:rPr>
            </w:pPr>
            <w:r>
              <w:rPr>
                <w:color w:val="0000FF"/>
                <w:sz w:val="24"/>
                <w:szCs w:val="24"/>
              </w:rPr>
              <w:t>36.5%</w:t>
            </w:r>
          </w:p>
        </w:tc>
        <w:tc>
          <w:tcPr>
            <w:tcW w:w="1423" w:type="dxa"/>
            <w:tcBorders>
              <w:top w:val="nil"/>
              <w:left w:val="nil"/>
              <w:bottom w:val="single" w:sz="8" w:space="0" w:color="auto"/>
              <w:right w:val="nil"/>
            </w:tcBorders>
          </w:tcPr>
          <w:p w:rsidR="00D31130" w:rsidRPr="006E7382" w:rsidRDefault="00514E92" w:rsidP="00BE1D19">
            <w:pPr>
              <w:jc w:val="center"/>
              <w:rPr>
                <w:color w:val="0000FF"/>
                <w:sz w:val="24"/>
                <w:szCs w:val="24"/>
              </w:rPr>
            </w:pPr>
            <w:r>
              <w:rPr>
                <w:color w:val="0000FF"/>
                <w:sz w:val="24"/>
                <w:szCs w:val="24"/>
              </w:rPr>
              <w:t>37.7%</w:t>
            </w:r>
          </w:p>
        </w:tc>
      </w:tr>
    </w:tbl>
    <w:p w:rsidR="006E7382" w:rsidRPr="006E7382" w:rsidRDefault="006E7382" w:rsidP="00D31130">
      <w:pPr>
        <w:rPr>
          <w:rFonts w:eastAsiaTheme="minorHAnsi"/>
          <w:color w:val="0000FF"/>
          <w:sz w:val="24"/>
          <w:szCs w:val="24"/>
        </w:rPr>
      </w:pPr>
      <w:r w:rsidRPr="006E7382">
        <w:rPr>
          <w:color w:val="0000FF"/>
          <w:sz w:val="24"/>
          <w:szCs w:val="24"/>
        </w:rPr>
        <w:t>Source: RTI analysis of Medicare claims data, 2007-2012. (RTI program reference: mi16_irf_tab</w:t>
      </w:r>
      <w:r w:rsidR="00FE1513">
        <w:rPr>
          <w:color w:val="0000FF"/>
          <w:sz w:val="24"/>
          <w:szCs w:val="24"/>
        </w:rPr>
        <w:t>.xlsx and mi16_irf_tab2</w:t>
      </w:r>
      <w:r w:rsidRPr="006E7382">
        <w:rPr>
          <w:color w:val="0000FF"/>
          <w:sz w:val="24"/>
          <w:szCs w:val="24"/>
        </w:rPr>
        <w:t>.xlsx)</w:t>
      </w:r>
      <w:r w:rsidR="00FE1513">
        <w:rPr>
          <w:color w:val="0000FF"/>
          <w:sz w:val="24"/>
          <w:szCs w:val="24"/>
        </w:rPr>
        <w:t>.</w:t>
      </w:r>
    </w:p>
    <w:p w:rsidR="006E7382" w:rsidRPr="006E7382" w:rsidRDefault="006E7382" w:rsidP="00514E92">
      <w:pPr>
        <w:rPr>
          <w:color w:val="0000FF"/>
          <w:sz w:val="24"/>
          <w:szCs w:val="24"/>
        </w:rPr>
      </w:pPr>
      <w:r w:rsidRPr="006E7382">
        <w:rPr>
          <w:color w:val="0000FF"/>
          <w:sz w:val="24"/>
          <w:szCs w:val="24"/>
        </w:rPr>
        <w:t xml:space="preserve">Note: Deciles based on provider stay count for 2010/2011. </w:t>
      </w:r>
    </w:p>
    <w:p w:rsidR="000E60DD" w:rsidRPr="00E40250" w:rsidRDefault="006E7382" w:rsidP="006E7382">
      <w:pPr>
        <w:rPr>
          <w:color w:val="0000FF"/>
          <w:sz w:val="24"/>
          <w:szCs w:val="24"/>
        </w:rPr>
      </w:pPr>
      <w:r>
        <w:rPr>
          <w:rFonts w:ascii="Times New Roman" w:hAnsi="Times New Roman"/>
          <w:b/>
          <w:bCs/>
          <w:noProof/>
          <w:sz w:val="24"/>
          <w:szCs w:val="24"/>
        </w:rPr>
        <w:br w:type="page"/>
      </w:r>
    </w:p>
    <w:p w:rsidR="00D61410" w:rsidRPr="00230B2B" w:rsidRDefault="00D61410" w:rsidP="00D61410">
      <w:pPr>
        <w:autoSpaceDE w:val="0"/>
        <w:autoSpaceDN w:val="0"/>
        <w:adjustRightInd w:val="0"/>
        <w:spacing w:after="0" w:line="240" w:lineRule="auto"/>
        <w:rPr>
          <w:rFonts w:cstheme="minorHAnsi"/>
          <w:bCs/>
          <w:color w:val="0000FF"/>
          <w:sz w:val="24"/>
          <w:szCs w:val="24"/>
        </w:rPr>
      </w:pPr>
      <w:r>
        <w:rPr>
          <w:rFonts w:cstheme="minorHAnsi"/>
          <w:b/>
          <w:bCs/>
        </w:rPr>
        <w:lastRenderedPageBreak/>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6E7382" w:rsidRPr="00230B2B" w:rsidRDefault="00230B2B" w:rsidP="00230B2B">
      <w:pPr>
        <w:autoSpaceDE w:val="0"/>
        <w:autoSpaceDN w:val="0"/>
        <w:adjustRightInd w:val="0"/>
        <w:spacing w:after="0" w:line="240" w:lineRule="auto"/>
        <w:rPr>
          <w:rFonts w:cstheme="minorHAnsi"/>
          <w:bCs/>
          <w:color w:val="0000FF"/>
          <w:sz w:val="24"/>
          <w:szCs w:val="24"/>
        </w:rPr>
      </w:pPr>
      <w:r w:rsidRPr="00230B2B">
        <w:rPr>
          <w:rFonts w:cstheme="minorHAnsi"/>
          <w:bCs/>
          <w:color w:val="0000FF"/>
          <w:sz w:val="24"/>
          <w:szCs w:val="24"/>
        </w:rPr>
        <w:t xml:space="preserve">Though the policy decision has not yet been </w:t>
      </w:r>
      <w:r>
        <w:rPr>
          <w:rFonts w:cstheme="minorHAnsi"/>
          <w:bCs/>
          <w:color w:val="0000FF"/>
          <w:sz w:val="24"/>
          <w:szCs w:val="24"/>
        </w:rPr>
        <w:t xml:space="preserve">determined </w:t>
      </w:r>
      <w:r w:rsidRPr="00230B2B">
        <w:rPr>
          <w:rFonts w:cstheme="minorHAnsi"/>
          <w:bCs/>
          <w:color w:val="0000FF"/>
          <w:sz w:val="24"/>
          <w:szCs w:val="24"/>
        </w:rPr>
        <w:t xml:space="preserve">by CMS in terms of how IRFs readmission rates may be reported </w:t>
      </w:r>
      <w:r>
        <w:rPr>
          <w:rFonts w:cstheme="minorHAnsi"/>
          <w:bCs/>
          <w:color w:val="0000FF"/>
          <w:sz w:val="24"/>
          <w:szCs w:val="24"/>
        </w:rPr>
        <w:t>with respect to IRFs nationally, r</w:t>
      </w:r>
      <w:r w:rsidRPr="00230B2B">
        <w:rPr>
          <w:rFonts w:cstheme="minorHAnsi"/>
          <w:bCs/>
          <w:color w:val="0000FF"/>
          <w:sz w:val="24"/>
          <w:szCs w:val="24"/>
        </w:rPr>
        <w:t xml:space="preserve">esults of the bootstrapping analyses suggest the ability to discriminate between providers’ performance for this readmission measure. </w:t>
      </w:r>
      <w:r>
        <w:rPr>
          <w:rFonts w:cstheme="minorHAnsi"/>
          <w:bCs/>
          <w:color w:val="0000FF"/>
          <w:sz w:val="24"/>
          <w:szCs w:val="24"/>
        </w:rPr>
        <w:t>The fact that the percent significantly different from the national average is lower among IRFs with fewer stays suggests that public reporting might incorporate a minimum reporting threshold</w:t>
      </w:r>
      <w:r w:rsidR="001C0E55">
        <w:rPr>
          <w:rFonts w:cstheme="minorHAnsi"/>
          <w:bCs/>
          <w:color w:val="0000FF"/>
          <w:sz w:val="24"/>
          <w:szCs w:val="24"/>
        </w:rPr>
        <w:t>; however, this policy decision has not been determined.</w:t>
      </w:r>
    </w:p>
    <w:p w:rsidR="0086464B" w:rsidRDefault="0086464B" w:rsidP="0086464B">
      <w:pPr>
        <w:spacing w:after="0" w:line="240" w:lineRule="auto"/>
        <w:rPr>
          <w:rFonts w:cstheme="minorHAnsi"/>
          <w:b/>
          <w:bCs/>
        </w:rPr>
      </w:pPr>
      <w:r w:rsidRPr="00230B2B">
        <w:rPr>
          <w:rFonts w:cstheme="minorHAnsi"/>
          <w:b/>
          <w:bCs/>
          <w:color w:val="0000FF"/>
          <w:sz w:val="24"/>
          <w:szCs w:val="24"/>
        </w:rPr>
        <w:t>__________</w:t>
      </w:r>
      <w:r>
        <w:rPr>
          <w:rFonts w:cstheme="minorHAnsi"/>
          <w:b/>
          <w:bCs/>
        </w:rPr>
        <w:t>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proofErr w:type="spellStart"/>
      <w:r w:rsidR="00864CA8">
        <w:rPr>
          <w:rFonts w:cstheme="minorHAnsi"/>
          <w:b/>
          <w:bCs/>
        </w:rPr>
        <w:t>datasources</w:t>
      </w:r>
      <w:proofErr w:type="spellEnd"/>
      <w:r w:rsidR="00864CA8">
        <w:rPr>
          <w:rFonts w:cstheme="minorHAnsi"/>
          <w:b/>
          <w:bCs/>
        </w:rPr>
        <w:t>/</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BA3000">
        <w:rPr>
          <w:rFonts w:cstheme="minorHAnsi"/>
          <w:bCs/>
        </w:rPr>
        <w:t>)</w:t>
      </w:r>
      <w:r w:rsidR="00BA3000">
        <w:rPr>
          <w:rFonts w:cstheme="minorHAnsi"/>
          <w:bCs/>
        </w:rPr>
        <w:br/>
      </w:r>
      <w:r w:rsidR="00BA3000" w:rsidRPr="00BA3000">
        <w:rPr>
          <w:rFonts w:cstheme="minorHAnsi"/>
          <w:bCs/>
          <w:color w:val="0000FF"/>
          <w:sz w:val="24"/>
          <w:szCs w:val="24"/>
        </w:rPr>
        <w:t>N/A</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BA3000" w:rsidRPr="00BA3000">
        <w:rPr>
          <w:rFonts w:cstheme="minorHAnsi"/>
          <w:bCs/>
          <w:color w:val="0000FF"/>
          <w:sz w:val="24"/>
          <w:szCs w:val="24"/>
        </w:rPr>
        <w:t>N/A</w:t>
      </w:r>
    </w:p>
    <w:p w:rsidR="00E1508F" w:rsidRPr="00E1508F" w:rsidRDefault="00E1508F" w:rsidP="00E1508F">
      <w:pPr>
        <w:autoSpaceDE w:val="0"/>
        <w:autoSpaceDN w:val="0"/>
        <w:adjustRightInd w:val="0"/>
        <w:spacing w:after="0" w:line="240" w:lineRule="auto"/>
        <w:rPr>
          <w:rFonts w:cstheme="minorHAnsi"/>
          <w:bCs/>
        </w:rPr>
      </w:pPr>
    </w:p>
    <w:p w:rsidR="0079180E" w:rsidRPr="00DB3627"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r w:rsidR="00BA3000" w:rsidRPr="00BA3000">
        <w:rPr>
          <w:rFonts w:cstheme="minorHAnsi"/>
          <w:bCs/>
          <w:color w:val="0000FF"/>
          <w:sz w:val="24"/>
          <w:szCs w:val="24"/>
        </w:rPr>
        <w:t>N/A</w:t>
      </w:r>
    </w:p>
    <w:sectPr w:rsidR="0079180E" w:rsidRPr="00DB3627" w:rsidSect="008505D1">
      <w:headerReference w:type="even" r:id="rId20"/>
      <w:headerReference w:type="default" r:id="rId21"/>
      <w:footerReference w:type="default" r:id="rId22"/>
      <w:headerReference w:type="firs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51D" w:rsidRDefault="0005351D" w:rsidP="005C73CA">
      <w:pPr>
        <w:spacing w:after="0" w:line="240" w:lineRule="auto"/>
      </w:pPr>
      <w:r>
        <w:separator/>
      </w:r>
    </w:p>
  </w:endnote>
  <w:endnote w:type="continuationSeparator" w:id="0">
    <w:p w:rsidR="0005351D" w:rsidRDefault="0005351D"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51D" w:rsidRDefault="0005351D">
    <w:pPr>
      <w:pStyle w:val="Footer"/>
    </w:pPr>
    <w:r>
      <w:t>Version 6.5  05/29/13</w:t>
    </w:r>
    <w:r>
      <w:ptab w:relativeTo="margin" w:alignment="center" w:leader="none"/>
    </w:r>
    <w:r>
      <w:ptab w:relativeTo="margin" w:alignment="right" w:leader="none"/>
    </w:r>
    <w:r>
      <w:fldChar w:fldCharType="begin"/>
    </w:r>
    <w:r>
      <w:instrText xml:space="preserve"> PAGE   \* MERGEFORMAT </w:instrText>
    </w:r>
    <w:r>
      <w:fldChar w:fldCharType="separate"/>
    </w:r>
    <w:r w:rsidR="00F76F8C">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51D" w:rsidRDefault="0005351D" w:rsidP="005C73CA">
      <w:pPr>
        <w:spacing w:after="0" w:line="240" w:lineRule="auto"/>
      </w:pPr>
      <w:r>
        <w:separator/>
      </w:r>
    </w:p>
  </w:footnote>
  <w:footnote w:type="continuationSeparator" w:id="0">
    <w:p w:rsidR="0005351D" w:rsidRDefault="0005351D" w:rsidP="005C73CA">
      <w:pPr>
        <w:spacing w:after="0" w:line="240" w:lineRule="auto"/>
      </w:pPr>
      <w:r>
        <w:continuationSeparator/>
      </w:r>
    </w:p>
  </w:footnote>
  <w:footnote w:id="1">
    <w:p w:rsidR="0005351D" w:rsidRPr="00FD7AB1" w:rsidRDefault="0005351D" w:rsidP="00E361E9">
      <w:pPr>
        <w:pStyle w:val="FootnoteText"/>
        <w:rPr>
          <w:rFonts w:asciiTheme="minorHAnsi" w:hAnsiTheme="minorHAnsi"/>
          <w:color w:val="0000FF"/>
          <w:sz w:val="24"/>
          <w:szCs w:val="24"/>
        </w:rPr>
      </w:pPr>
      <w:r w:rsidRPr="00FD7AB1">
        <w:rPr>
          <w:rStyle w:val="FootnoteReference"/>
          <w:rFonts w:asciiTheme="minorHAnsi" w:hAnsiTheme="minorHAnsi"/>
          <w:color w:val="0000FF"/>
          <w:sz w:val="24"/>
          <w:szCs w:val="24"/>
        </w:rPr>
        <w:footnoteRef/>
      </w:r>
      <w:r w:rsidRPr="00FD7AB1">
        <w:rPr>
          <w:rFonts w:asciiTheme="minorHAnsi" w:hAnsiTheme="minorHAnsi"/>
          <w:color w:val="0000FF"/>
          <w:sz w:val="24"/>
          <w:szCs w:val="24"/>
        </w:rPr>
        <w:t xml:space="preserve"> The facility counts and analyses presented include both freestanding IRFs and hospital-based IRF units. Also, note that facilities could be in any or all of the years. </w:t>
      </w:r>
    </w:p>
  </w:footnote>
  <w:footnote w:id="2">
    <w:p w:rsidR="0005351D" w:rsidRPr="00C3430A" w:rsidRDefault="0005351D">
      <w:pPr>
        <w:pStyle w:val="FootnoteText"/>
        <w:rPr>
          <w:rFonts w:asciiTheme="minorHAnsi" w:hAnsiTheme="minorHAnsi"/>
          <w:color w:val="0000FF"/>
          <w:sz w:val="24"/>
          <w:szCs w:val="24"/>
        </w:rPr>
      </w:pPr>
      <w:r w:rsidRPr="00C3430A">
        <w:rPr>
          <w:rStyle w:val="FootnoteReference"/>
          <w:rFonts w:asciiTheme="minorHAnsi" w:hAnsiTheme="minorHAnsi"/>
          <w:color w:val="0000FF"/>
          <w:sz w:val="24"/>
          <w:szCs w:val="24"/>
        </w:rPr>
        <w:footnoteRef/>
      </w:r>
      <w:r w:rsidRPr="00C3430A">
        <w:rPr>
          <w:rFonts w:asciiTheme="minorHAnsi" w:hAnsiTheme="minorHAnsi"/>
          <w:color w:val="0000FF"/>
          <w:sz w:val="24"/>
          <w:szCs w:val="24"/>
        </w:rPr>
        <w:t xml:space="preserve"> The CMG variables are an exception, see below.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51D" w:rsidRDefault="000535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51D" w:rsidRPr="00105D8B" w:rsidRDefault="00F76F8C" w:rsidP="00105D8B">
    <w:pPr>
      <w:pStyle w:val="Header"/>
      <w:jc w:val="center"/>
      <w:rPr>
        <w:color w:val="808080" w:themeColor="background1" w:themeShade="80"/>
      </w:rPr>
    </w:pPr>
    <w:sdt>
      <w:sdtPr>
        <w:rPr>
          <w:rStyle w:val="Style3"/>
        </w:rPr>
        <w:id w:val="-491560845"/>
        <w:showingPlcHdr/>
      </w:sdtPr>
      <w:sdtEndPr>
        <w:rPr>
          <w:rStyle w:val="DefaultParagraphFont"/>
          <w:color w:val="auto"/>
        </w:rPr>
      </w:sdtEndPr>
      <w:sdtContent>
        <w:r w:rsidR="0005351D" w:rsidRPr="007E37A5">
          <w:rPr>
            <w:color w:val="808080" w:themeColor="background1" w:themeShade="80"/>
          </w:rPr>
          <w:t>NQF staff enter  #/title</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51D" w:rsidRDefault="000535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4C048C"/>
    <w:multiLevelType w:val="hybridMultilevel"/>
    <w:tmpl w:val="297E122A"/>
    <w:lvl w:ilvl="0" w:tplc="7766238C">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40761E"/>
    <w:multiLevelType w:val="hybridMultilevel"/>
    <w:tmpl w:val="6E9A7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116938"/>
    <w:multiLevelType w:val="hybridMultilevel"/>
    <w:tmpl w:val="5D5AB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9F32FF8"/>
    <w:multiLevelType w:val="hybridMultilevel"/>
    <w:tmpl w:val="EA50BF4E"/>
    <w:lvl w:ilvl="0" w:tplc="A71459C8">
      <w:start w:val="1"/>
      <w:numFmt w:val="bullet"/>
      <w:pStyle w:val="ListBullet"/>
      <w:lvlText w:val=""/>
      <w:lvlJc w:val="left"/>
      <w:pPr>
        <w:tabs>
          <w:tab w:val="num" w:pos="432"/>
        </w:tabs>
        <w:ind w:left="720" w:hanging="288"/>
      </w:pPr>
      <w:rPr>
        <w:rFonts w:ascii="Wingdings" w:hAnsi="Wingdings" w:hint="default"/>
        <w:color w:val="003366"/>
        <w:sz w:val="1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A9C205B"/>
    <w:multiLevelType w:val="hybridMultilevel"/>
    <w:tmpl w:val="E8ACB2EC"/>
    <w:lvl w:ilvl="0" w:tplc="04090001">
      <w:start w:val="1"/>
      <w:numFmt w:val="bullet"/>
      <w:lvlText w:val=""/>
      <w:lvlJc w:val="left"/>
      <w:pPr>
        <w:tabs>
          <w:tab w:val="num" w:pos="432"/>
        </w:tabs>
        <w:ind w:left="720" w:hanging="288"/>
      </w:pPr>
      <w:rPr>
        <w:rFonts w:ascii="Symbol" w:hAnsi="Symbol" w:hint="default"/>
        <w:color w:val="003366"/>
        <w:sz w:val="1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E40358B"/>
    <w:multiLevelType w:val="hybridMultilevel"/>
    <w:tmpl w:val="A0E022D6"/>
    <w:lvl w:ilvl="0" w:tplc="4712FC76">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2"/>
  </w:num>
  <w:num w:numId="4">
    <w:abstractNumId w:val="8"/>
  </w:num>
  <w:num w:numId="5">
    <w:abstractNumId w:val="1"/>
  </w:num>
  <w:num w:numId="6">
    <w:abstractNumId w:val="0"/>
  </w:num>
  <w:num w:numId="7">
    <w:abstractNumId w:val="3"/>
  </w:num>
  <w:num w:numId="8">
    <w:abstractNumId w:val="21"/>
  </w:num>
  <w:num w:numId="9">
    <w:abstractNumId w:val="11"/>
  </w:num>
  <w:num w:numId="10">
    <w:abstractNumId w:val="27"/>
  </w:num>
  <w:num w:numId="11">
    <w:abstractNumId w:val="13"/>
  </w:num>
  <w:num w:numId="12">
    <w:abstractNumId w:val="25"/>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10"/>
  </w:num>
  <w:num w:numId="17">
    <w:abstractNumId w:val="26"/>
  </w:num>
  <w:num w:numId="18">
    <w:abstractNumId w:val="24"/>
  </w:num>
  <w:num w:numId="19">
    <w:abstractNumId w:val="22"/>
  </w:num>
  <w:num w:numId="20">
    <w:abstractNumId w:val="17"/>
  </w:num>
  <w:num w:numId="21">
    <w:abstractNumId w:val="20"/>
  </w:num>
  <w:num w:numId="22">
    <w:abstractNumId w:val="16"/>
  </w:num>
  <w:num w:numId="23">
    <w:abstractNumId w:val="9"/>
  </w:num>
  <w:num w:numId="24">
    <w:abstractNumId w:val="15"/>
  </w:num>
  <w:num w:numId="25">
    <w:abstractNumId w:val="14"/>
  </w:num>
  <w:num w:numId="26">
    <w:abstractNumId w:val="29"/>
  </w:num>
  <w:num w:numId="27">
    <w:abstractNumId w:val="7"/>
  </w:num>
  <w:num w:numId="28">
    <w:abstractNumId w:val="6"/>
  </w:num>
  <w:num w:numId="29">
    <w:abstractNumId w:val="23"/>
  </w:num>
  <w:num w:numId="30">
    <w:abstractNumId w:val="30"/>
  </w:num>
  <w:num w:numId="31">
    <w:abstractNumId w:val="5"/>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cumentProtection w:edit="forms" w:enforcement="0"/>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2"/>
  </w:compat>
  <w:rsids>
    <w:rsidRoot w:val="008A403A"/>
    <w:rsid w:val="00001D73"/>
    <w:rsid w:val="00003469"/>
    <w:rsid w:val="00005E08"/>
    <w:rsid w:val="0001094F"/>
    <w:rsid w:val="000110FB"/>
    <w:rsid w:val="00021170"/>
    <w:rsid w:val="0002128B"/>
    <w:rsid w:val="00024DFD"/>
    <w:rsid w:val="000269AA"/>
    <w:rsid w:val="00027AB8"/>
    <w:rsid w:val="000309DD"/>
    <w:rsid w:val="00031414"/>
    <w:rsid w:val="00033038"/>
    <w:rsid w:val="00033D63"/>
    <w:rsid w:val="0003436F"/>
    <w:rsid w:val="000346CB"/>
    <w:rsid w:val="000414E8"/>
    <w:rsid w:val="0004593A"/>
    <w:rsid w:val="00050A3E"/>
    <w:rsid w:val="00052A6F"/>
    <w:rsid w:val="0005351D"/>
    <w:rsid w:val="00053F02"/>
    <w:rsid w:val="0005612B"/>
    <w:rsid w:val="000574AB"/>
    <w:rsid w:val="0006147A"/>
    <w:rsid w:val="00065330"/>
    <w:rsid w:val="000704D5"/>
    <w:rsid w:val="000775F8"/>
    <w:rsid w:val="00080CF7"/>
    <w:rsid w:val="000851B2"/>
    <w:rsid w:val="00092566"/>
    <w:rsid w:val="000968F8"/>
    <w:rsid w:val="00097012"/>
    <w:rsid w:val="000B032A"/>
    <w:rsid w:val="000B2DF7"/>
    <w:rsid w:val="000B3880"/>
    <w:rsid w:val="000D7948"/>
    <w:rsid w:val="000D7C84"/>
    <w:rsid w:val="000E4BB7"/>
    <w:rsid w:val="000E4E13"/>
    <w:rsid w:val="000E60DD"/>
    <w:rsid w:val="000E78F6"/>
    <w:rsid w:val="000F06B5"/>
    <w:rsid w:val="000F39E9"/>
    <w:rsid w:val="000F77EF"/>
    <w:rsid w:val="00104B45"/>
    <w:rsid w:val="00105D8B"/>
    <w:rsid w:val="00107E0D"/>
    <w:rsid w:val="0011342F"/>
    <w:rsid w:val="001202E9"/>
    <w:rsid w:val="0012454F"/>
    <w:rsid w:val="00127C06"/>
    <w:rsid w:val="00142B6B"/>
    <w:rsid w:val="00145149"/>
    <w:rsid w:val="0014773C"/>
    <w:rsid w:val="001509B6"/>
    <w:rsid w:val="0015202A"/>
    <w:rsid w:val="00160150"/>
    <w:rsid w:val="0017696D"/>
    <w:rsid w:val="001848FC"/>
    <w:rsid w:val="001969C5"/>
    <w:rsid w:val="001A6CDD"/>
    <w:rsid w:val="001C0E55"/>
    <w:rsid w:val="001C12EE"/>
    <w:rsid w:val="001C7B02"/>
    <w:rsid w:val="001D2939"/>
    <w:rsid w:val="001E0712"/>
    <w:rsid w:val="001E4DD4"/>
    <w:rsid w:val="001E56D6"/>
    <w:rsid w:val="001E69DC"/>
    <w:rsid w:val="001F169D"/>
    <w:rsid w:val="001F1DA1"/>
    <w:rsid w:val="0021195A"/>
    <w:rsid w:val="00213383"/>
    <w:rsid w:val="00216587"/>
    <w:rsid w:val="00220250"/>
    <w:rsid w:val="0022691B"/>
    <w:rsid w:val="00226FFC"/>
    <w:rsid w:val="00230B2B"/>
    <w:rsid w:val="002320BA"/>
    <w:rsid w:val="00232163"/>
    <w:rsid w:val="002376F8"/>
    <w:rsid w:val="002408E4"/>
    <w:rsid w:val="00241591"/>
    <w:rsid w:val="00250B4F"/>
    <w:rsid w:val="00253E43"/>
    <w:rsid w:val="0025762F"/>
    <w:rsid w:val="00287649"/>
    <w:rsid w:val="00287E84"/>
    <w:rsid w:val="0029286C"/>
    <w:rsid w:val="0029300E"/>
    <w:rsid w:val="002A73AF"/>
    <w:rsid w:val="002B0C3A"/>
    <w:rsid w:val="002B2116"/>
    <w:rsid w:val="002B2D9B"/>
    <w:rsid w:val="002B5016"/>
    <w:rsid w:val="002B7F4D"/>
    <w:rsid w:val="002C285C"/>
    <w:rsid w:val="002C7BE4"/>
    <w:rsid w:val="002D417D"/>
    <w:rsid w:val="002E78A0"/>
    <w:rsid w:val="002F2687"/>
    <w:rsid w:val="002F48E1"/>
    <w:rsid w:val="002F4F3B"/>
    <w:rsid w:val="002F684E"/>
    <w:rsid w:val="00304F61"/>
    <w:rsid w:val="00305068"/>
    <w:rsid w:val="003059EB"/>
    <w:rsid w:val="003116AC"/>
    <w:rsid w:val="00315567"/>
    <w:rsid w:val="00330144"/>
    <w:rsid w:val="00346245"/>
    <w:rsid w:val="00356267"/>
    <w:rsid w:val="00356BAD"/>
    <w:rsid w:val="003605B4"/>
    <w:rsid w:val="003627AC"/>
    <w:rsid w:val="00366914"/>
    <w:rsid w:val="003755CB"/>
    <w:rsid w:val="00383F85"/>
    <w:rsid w:val="0039317A"/>
    <w:rsid w:val="003A306C"/>
    <w:rsid w:val="003A7DE7"/>
    <w:rsid w:val="003B1006"/>
    <w:rsid w:val="003C5F11"/>
    <w:rsid w:val="003C7D67"/>
    <w:rsid w:val="003D6401"/>
    <w:rsid w:val="003E1863"/>
    <w:rsid w:val="003F3E6F"/>
    <w:rsid w:val="00402892"/>
    <w:rsid w:val="0041606D"/>
    <w:rsid w:val="00416962"/>
    <w:rsid w:val="004275A6"/>
    <w:rsid w:val="004348CC"/>
    <w:rsid w:val="0043578F"/>
    <w:rsid w:val="0045792F"/>
    <w:rsid w:val="004658FF"/>
    <w:rsid w:val="00472A04"/>
    <w:rsid w:val="00474ED7"/>
    <w:rsid w:val="004756E1"/>
    <w:rsid w:val="004763EF"/>
    <w:rsid w:val="0048008A"/>
    <w:rsid w:val="00483E94"/>
    <w:rsid w:val="00484120"/>
    <w:rsid w:val="004853A0"/>
    <w:rsid w:val="00496B5F"/>
    <w:rsid w:val="004A2E10"/>
    <w:rsid w:val="004B17FF"/>
    <w:rsid w:val="004B1BA0"/>
    <w:rsid w:val="004B691B"/>
    <w:rsid w:val="004B6CEE"/>
    <w:rsid w:val="004C2107"/>
    <w:rsid w:val="004C2443"/>
    <w:rsid w:val="004C498F"/>
    <w:rsid w:val="004C5D29"/>
    <w:rsid w:val="004C681A"/>
    <w:rsid w:val="004D3DD2"/>
    <w:rsid w:val="004D4D8A"/>
    <w:rsid w:val="004F68EE"/>
    <w:rsid w:val="005038D5"/>
    <w:rsid w:val="00511BA4"/>
    <w:rsid w:val="005135BE"/>
    <w:rsid w:val="005149E7"/>
    <w:rsid w:val="00514E92"/>
    <w:rsid w:val="005232D6"/>
    <w:rsid w:val="00523613"/>
    <w:rsid w:val="005307E2"/>
    <w:rsid w:val="005333CC"/>
    <w:rsid w:val="005363F1"/>
    <w:rsid w:val="0053675C"/>
    <w:rsid w:val="00544137"/>
    <w:rsid w:val="0055007C"/>
    <w:rsid w:val="00551DAD"/>
    <w:rsid w:val="00554886"/>
    <w:rsid w:val="00554922"/>
    <w:rsid w:val="00555282"/>
    <w:rsid w:val="005612CC"/>
    <w:rsid w:val="00563029"/>
    <w:rsid w:val="00565025"/>
    <w:rsid w:val="00567D12"/>
    <w:rsid w:val="00573BA4"/>
    <w:rsid w:val="00576062"/>
    <w:rsid w:val="0058626E"/>
    <w:rsid w:val="00587932"/>
    <w:rsid w:val="0059559F"/>
    <w:rsid w:val="005A3ED8"/>
    <w:rsid w:val="005A49FF"/>
    <w:rsid w:val="005A7634"/>
    <w:rsid w:val="005C0447"/>
    <w:rsid w:val="005C739F"/>
    <w:rsid w:val="005C73CA"/>
    <w:rsid w:val="005D4768"/>
    <w:rsid w:val="005D6158"/>
    <w:rsid w:val="005E2CAB"/>
    <w:rsid w:val="005E429E"/>
    <w:rsid w:val="005F54EE"/>
    <w:rsid w:val="00601ED4"/>
    <w:rsid w:val="006030BC"/>
    <w:rsid w:val="00612866"/>
    <w:rsid w:val="00616EB5"/>
    <w:rsid w:val="006269D4"/>
    <w:rsid w:val="006309CB"/>
    <w:rsid w:val="006327D8"/>
    <w:rsid w:val="0064070A"/>
    <w:rsid w:val="00642997"/>
    <w:rsid w:val="00643A01"/>
    <w:rsid w:val="006574D2"/>
    <w:rsid w:val="006676D4"/>
    <w:rsid w:val="00675535"/>
    <w:rsid w:val="00681359"/>
    <w:rsid w:val="006848AE"/>
    <w:rsid w:val="00696262"/>
    <w:rsid w:val="006A0070"/>
    <w:rsid w:val="006B70E4"/>
    <w:rsid w:val="006B79C8"/>
    <w:rsid w:val="006C3A4F"/>
    <w:rsid w:val="006C4845"/>
    <w:rsid w:val="006D6BC1"/>
    <w:rsid w:val="006E2BFC"/>
    <w:rsid w:val="006E5C57"/>
    <w:rsid w:val="006E7102"/>
    <w:rsid w:val="006E7382"/>
    <w:rsid w:val="006F22A5"/>
    <w:rsid w:val="00702C73"/>
    <w:rsid w:val="007039AA"/>
    <w:rsid w:val="00713394"/>
    <w:rsid w:val="00724677"/>
    <w:rsid w:val="00725AC2"/>
    <w:rsid w:val="00732880"/>
    <w:rsid w:val="007416B9"/>
    <w:rsid w:val="007422FD"/>
    <w:rsid w:val="00743E46"/>
    <w:rsid w:val="00747C45"/>
    <w:rsid w:val="00751508"/>
    <w:rsid w:val="00756FDB"/>
    <w:rsid w:val="007665BF"/>
    <w:rsid w:val="007757CE"/>
    <w:rsid w:val="00775800"/>
    <w:rsid w:val="00783D5B"/>
    <w:rsid w:val="00786A5F"/>
    <w:rsid w:val="0079180E"/>
    <w:rsid w:val="007950CC"/>
    <w:rsid w:val="0079538B"/>
    <w:rsid w:val="007961B8"/>
    <w:rsid w:val="007A4828"/>
    <w:rsid w:val="007A4E18"/>
    <w:rsid w:val="007B093D"/>
    <w:rsid w:val="007B2069"/>
    <w:rsid w:val="007C04A1"/>
    <w:rsid w:val="007C21FA"/>
    <w:rsid w:val="007D4351"/>
    <w:rsid w:val="007D7019"/>
    <w:rsid w:val="007E18DB"/>
    <w:rsid w:val="007E6F1C"/>
    <w:rsid w:val="007F2DCE"/>
    <w:rsid w:val="00804C69"/>
    <w:rsid w:val="00805743"/>
    <w:rsid w:val="0080711D"/>
    <w:rsid w:val="008155CD"/>
    <w:rsid w:val="00827009"/>
    <w:rsid w:val="00832EE3"/>
    <w:rsid w:val="00833325"/>
    <w:rsid w:val="00840A41"/>
    <w:rsid w:val="00842F3C"/>
    <w:rsid w:val="00846ED3"/>
    <w:rsid w:val="008505D1"/>
    <w:rsid w:val="008525BA"/>
    <w:rsid w:val="00855158"/>
    <w:rsid w:val="00857EE8"/>
    <w:rsid w:val="0086464B"/>
    <w:rsid w:val="008647FC"/>
    <w:rsid w:val="00864CA8"/>
    <w:rsid w:val="00865E2D"/>
    <w:rsid w:val="00870E6C"/>
    <w:rsid w:val="008774FE"/>
    <w:rsid w:val="00884486"/>
    <w:rsid w:val="008871A9"/>
    <w:rsid w:val="008916BA"/>
    <w:rsid w:val="00892176"/>
    <w:rsid w:val="008A1DB7"/>
    <w:rsid w:val="008A403A"/>
    <w:rsid w:val="008A4C13"/>
    <w:rsid w:val="008A7C3A"/>
    <w:rsid w:val="008B7E1E"/>
    <w:rsid w:val="008C54A9"/>
    <w:rsid w:val="008E67C3"/>
    <w:rsid w:val="008F589F"/>
    <w:rsid w:val="008F76A9"/>
    <w:rsid w:val="00900DBF"/>
    <w:rsid w:val="009031A9"/>
    <w:rsid w:val="009048B9"/>
    <w:rsid w:val="00904E91"/>
    <w:rsid w:val="009214DC"/>
    <w:rsid w:val="00927027"/>
    <w:rsid w:val="009344BA"/>
    <w:rsid w:val="0094195D"/>
    <w:rsid w:val="00947F78"/>
    <w:rsid w:val="00953234"/>
    <w:rsid w:val="00961EAF"/>
    <w:rsid w:val="0096278F"/>
    <w:rsid w:val="009726E1"/>
    <w:rsid w:val="00975545"/>
    <w:rsid w:val="00977591"/>
    <w:rsid w:val="00980E75"/>
    <w:rsid w:val="00981B36"/>
    <w:rsid w:val="00994BE0"/>
    <w:rsid w:val="0099561F"/>
    <w:rsid w:val="009A0017"/>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193E"/>
    <w:rsid w:val="00A35F8F"/>
    <w:rsid w:val="00A41377"/>
    <w:rsid w:val="00A4263D"/>
    <w:rsid w:val="00A509B8"/>
    <w:rsid w:val="00A52AB9"/>
    <w:rsid w:val="00A6210B"/>
    <w:rsid w:val="00A7323A"/>
    <w:rsid w:val="00A94874"/>
    <w:rsid w:val="00A97798"/>
    <w:rsid w:val="00AA490D"/>
    <w:rsid w:val="00AA5213"/>
    <w:rsid w:val="00AA63BB"/>
    <w:rsid w:val="00AA65A6"/>
    <w:rsid w:val="00AC1D8E"/>
    <w:rsid w:val="00AC48FA"/>
    <w:rsid w:val="00AD0240"/>
    <w:rsid w:val="00AD2A15"/>
    <w:rsid w:val="00AD4137"/>
    <w:rsid w:val="00AD6E14"/>
    <w:rsid w:val="00AF26D9"/>
    <w:rsid w:val="00AF6233"/>
    <w:rsid w:val="00B037BA"/>
    <w:rsid w:val="00B05218"/>
    <w:rsid w:val="00B067EA"/>
    <w:rsid w:val="00B06B2B"/>
    <w:rsid w:val="00B20139"/>
    <w:rsid w:val="00B218DA"/>
    <w:rsid w:val="00B3148B"/>
    <w:rsid w:val="00B342FA"/>
    <w:rsid w:val="00B53E8B"/>
    <w:rsid w:val="00B55D0D"/>
    <w:rsid w:val="00B774D2"/>
    <w:rsid w:val="00B8015A"/>
    <w:rsid w:val="00B82A57"/>
    <w:rsid w:val="00B9719C"/>
    <w:rsid w:val="00BA100D"/>
    <w:rsid w:val="00BA3000"/>
    <w:rsid w:val="00BB21CB"/>
    <w:rsid w:val="00BB35AE"/>
    <w:rsid w:val="00BB5116"/>
    <w:rsid w:val="00BC03A1"/>
    <w:rsid w:val="00BC0D25"/>
    <w:rsid w:val="00BD2505"/>
    <w:rsid w:val="00BE1D19"/>
    <w:rsid w:val="00BE592D"/>
    <w:rsid w:val="00BF52B0"/>
    <w:rsid w:val="00BF5697"/>
    <w:rsid w:val="00C14CCC"/>
    <w:rsid w:val="00C2287E"/>
    <w:rsid w:val="00C22C1C"/>
    <w:rsid w:val="00C33F2E"/>
    <w:rsid w:val="00C3430A"/>
    <w:rsid w:val="00C34936"/>
    <w:rsid w:val="00C34C14"/>
    <w:rsid w:val="00C355B9"/>
    <w:rsid w:val="00C401C4"/>
    <w:rsid w:val="00C402F9"/>
    <w:rsid w:val="00C41680"/>
    <w:rsid w:val="00C458CD"/>
    <w:rsid w:val="00C4637A"/>
    <w:rsid w:val="00C60A25"/>
    <w:rsid w:val="00C765C5"/>
    <w:rsid w:val="00C82479"/>
    <w:rsid w:val="00C83950"/>
    <w:rsid w:val="00C867F0"/>
    <w:rsid w:val="00C93B6B"/>
    <w:rsid w:val="00CA06D8"/>
    <w:rsid w:val="00CA345A"/>
    <w:rsid w:val="00CA4756"/>
    <w:rsid w:val="00CA527E"/>
    <w:rsid w:val="00CA7448"/>
    <w:rsid w:val="00CB49FF"/>
    <w:rsid w:val="00CC02CF"/>
    <w:rsid w:val="00CC086A"/>
    <w:rsid w:val="00CD0F66"/>
    <w:rsid w:val="00CD364B"/>
    <w:rsid w:val="00CE23B8"/>
    <w:rsid w:val="00CE50D7"/>
    <w:rsid w:val="00D00344"/>
    <w:rsid w:val="00D16AAC"/>
    <w:rsid w:val="00D1754D"/>
    <w:rsid w:val="00D2223F"/>
    <w:rsid w:val="00D23426"/>
    <w:rsid w:val="00D274A4"/>
    <w:rsid w:val="00D277AF"/>
    <w:rsid w:val="00D31130"/>
    <w:rsid w:val="00D31163"/>
    <w:rsid w:val="00D320B1"/>
    <w:rsid w:val="00D33AFD"/>
    <w:rsid w:val="00D36489"/>
    <w:rsid w:val="00D4146E"/>
    <w:rsid w:val="00D42195"/>
    <w:rsid w:val="00D4503B"/>
    <w:rsid w:val="00D50704"/>
    <w:rsid w:val="00D5760A"/>
    <w:rsid w:val="00D61410"/>
    <w:rsid w:val="00D8181D"/>
    <w:rsid w:val="00D968D8"/>
    <w:rsid w:val="00DA4E70"/>
    <w:rsid w:val="00DA563D"/>
    <w:rsid w:val="00DA7277"/>
    <w:rsid w:val="00DB3627"/>
    <w:rsid w:val="00DB4724"/>
    <w:rsid w:val="00DC4746"/>
    <w:rsid w:val="00DE7149"/>
    <w:rsid w:val="00E0314C"/>
    <w:rsid w:val="00E1508F"/>
    <w:rsid w:val="00E27240"/>
    <w:rsid w:val="00E27EDD"/>
    <w:rsid w:val="00E310B9"/>
    <w:rsid w:val="00E361E9"/>
    <w:rsid w:val="00E37E1B"/>
    <w:rsid w:val="00E40250"/>
    <w:rsid w:val="00E562C0"/>
    <w:rsid w:val="00E62245"/>
    <w:rsid w:val="00E672D6"/>
    <w:rsid w:val="00E76024"/>
    <w:rsid w:val="00E856A2"/>
    <w:rsid w:val="00E96884"/>
    <w:rsid w:val="00EA5435"/>
    <w:rsid w:val="00EA5F47"/>
    <w:rsid w:val="00EB4ED0"/>
    <w:rsid w:val="00EC5693"/>
    <w:rsid w:val="00EC79DE"/>
    <w:rsid w:val="00ED4693"/>
    <w:rsid w:val="00ED4ACE"/>
    <w:rsid w:val="00EE4BD1"/>
    <w:rsid w:val="00EF2A18"/>
    <w:rsid w:val="00EF2DA7"/>
    <w:rsid w:val="00F038FE"/>
    <w:rsid w:val="00F110A1"/>
    <w:rsid w:val="00F435AA"/>
    <w:rsid w:val="00F43FDB"/>
    <w:rsid w:val="00F5738A"/>
    <w:rsid w:val="00F612D4"/>
    <w:rsid w:val="00F62BC9"/>
    <w:rsid w:val="00F76F8C"/>
    <w:rsid w:val="00F77F1D"/>
    <w:rsid w:val="00F87CCB"/>
    <w:rsid w:val="00F915A3"/>
    <w:rsid w:val="00F94B0F"/>
    <w:rsid w:val="00FA09F3"/>
    <w:rsid w:val="00FA4768"/>
    <w:rsid w:val="00FA48C7"/>
    <w:rsid w:val="00FA57B3"/>
    <w:rsid w:val="00FB4F32"/>
    <w:rsid w:val="00FB73C1"/>
    <w:rsid w:val="00FC69E8"/>
    <w:rsid w:val="00FD7AB1"/>
    <w:rsid w:val="00FE1513"/>
    <w:rsid w:val="00FE28A0"/>
    <w:rsid w:val="00FF349B"/>
    <w:rsid w:val="00FF6173"/>
    <w:rsid w:val="00FF6E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A5F"/>
  </w:style>
  <w:style w:type="paragraph" w:styleId="Heading5">
    <w:name w:val="heading 5"/>
    <w:basedOn w:val="Normal"/>
    <w:next w:val="Normal"/>
    <w:link w:val="Heading5Char"/>
    <w:autoRedefine/>
    <w:qFormat/>
    <w:rsid w:val="00554886"/>
    <w:pPr>
      <w:keepNext/>
      <w:spacing w:before="160" w:after="120" w:line="240" w:lineRule="auto"/>
      <w:outlineLvl w:val="4"/>
    </w:pPr>
    <w:rPr>
      <w:rFonts w:eastAsiaTheme="minorHAnsi" w:cstheme="minorHAnsi"/>
      <w:b/>
      <w:bCs/>
      <w:i/>
      <w:color w:val="0000F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rsid w:val="00145149"/>
    <w:rPr>
      <w:rFonts w:cs="Times New Roman"/>
      <w:vertAlign w:val="superscript"/>
    </w:rPr>
  </w:style>
  <w:style w:type="paragraph" w:styleId="PlainText">
    <w:name w:val="Plain Text"/>
    <w:basedOn w:val="Normal"/>
    <w:link w:val="PlainTextChar"/>
    <w:uiPriority w:val="99"/>
    <w:unhideWhenUsed/>
    <w:rsid w:val="0058626E"/>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58626E"/>
    <w:rPr>
      <w:rFonts w:ascii="Consolas" w:eastAsiaTheme="minorHAnsi" w:hAnsi="Consolas"/>
      <w:sz w:val="21"/>
      <w:szCs w:val="21"/>
    </w:rPr>
  </w:style>
  <w:style w:type="character" w:customStyle="1" w:styleId="Heading5Char">
    <w:name w:val="Heading 5 Char"/>
    <w:basedOn w:val="DefaultParagraphFont"/>
    <w:link w:val="Heading5"/>
    <w:rsid w:val="00554886"/>
    <w:rPr>
      <w:rFonts w:eastAsiaTheme="minorHAnsi" w:cstheme="minorHAnsi"/>
      <w:b/>
      <w:bCs/>
      <w:i/>
      <w:color w:val="0000FF"/>
      <w:sz w:val="24"/>
      <w:szCs w:val="24"/>
    </w:rPr>
  </w:style>
  <w:style w:type="paragraph" w:customStyle="1" w:styleId="TableTitle">
    <w:name w:val="Table Title"/>
    <w:basedOn w:val="Normal"/>
    <w:rsid w:val="00554886"/>
    <w:pPr>
      <w:keepNext/>
      <w:spacing w:before="240" w:after="240" w:line="240" w:lineRule="auto"/>
      <w:jc w:val="center"/>
    </w:pPr>
    <w:rPr>
      <w:rFonts w:ascii="Times New Roman" w:eastAsiaTheme="minorHAnsi" w:hAnsi="Times New Roman" w:cs="Times New Roman"/>
      <w:b/>
      <w:bCs/>
      <w:sz w:val="24"/>
      <w:szCs w:val="24"/>
    </w:rPr>
  </w:style>
  <w:style w:type="paragraph" w:styleId="ListBullet">
    <w:name w:val="List Bullet"/>
    <w:basedOn w:val="Normal"/>
    <w:rsid w:val="00554886"/>
    <w:pPr>
      <w:numPr>
        <w:numId w:val="29"/>
      </w:numPr>
      <w:spacing w:before="60" w:after="60" w:line="240" w:lineRule="auto"/>
      <w:jc w:val="both"/>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autoRedefine/>
    <w:qFormat/>
    <w:rsid w:val="00554886"/>
    <w:pPr>
      <w:keepNext/>
      <w:spacing w:before="160" w:after="120" w:line="240" w:lineRule="auto"/>
      <w:outlineLvl w:val="4"/>
    </w:pPr>
    <w:rPr>
      <w:rFonts w:eastAsiaTheme="minorHAnsi" w:cstheme="minorHAnsi"/>
      <w:b/>
      <w:bCs/>
      <w:i/>
      <w:color w:val="0000F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rsid w:val="00145149"/>
    <w:rPr>
      <w:rFonts w:cs="Times New Roman"/>
      <w:vertAlign w:val="superscript"/>
    </w:rPr>
  </w:style>
  <w:style w:type="paragraph" w:styleId="PlainText">
    <w:name w:val="Plain Text"/>
    <w:basedOn w:val="Normal"/>
    <w:link w:val="PlainTextChar"/>
    <w:uiPriority w:val="99"/>
    <w:unhideWhenUsed/>
    <w:rsid w:val="0058626E"/>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58626E"/>
    <w:rPr>
      <w:rFonts w:ascii="Consolas" w:eastAsiaTheme="minorHAnsi" w:hAnsi="Consolas"/>
      <w:sz w:val="21"/>
      <w:szCs w:val="21"/>
    </w:rPr>
  </w:style>
  <w:style w:type="character" w:customStyle="1" w:styleId="Heading5Char">
    <w:name w:val="Heading 5 Char"/>
    <w:basedOn w:val="DefaultParagraphFont"/>
    <w:link w:val="Heading5"/>
    <w:rsid w:val="00554886"/>
    <w:rPr>
      <w:rFonts w:eastAsiaTheme="minorHAnsi" w:cstheme="minorHAnsi"/>
      <w:b/>
      <w:bCs/>
      <w:i/>
      <w:color w:val="0000FF"/>
      <w:sz w:val="24"/>
      <w:szCs w:val="24"/>
    </w:rPr>
  </w:style>
  <w:style w:type="paragraph" w:customStyle="1" w:styleId="TableTitle">
    <w:name w:val="Table Title"/>
    <w:basedOn w:val="Normal"/>
    <w:rsid w:val="00554886"/>
    <w:pPr>
      <w:keepNext/>
      <w:spacing w:before="240" w:after="240" w:line="240" w:lineRule="auto"/>
      <w:jc w:val="center"/>
    </w:pPr>
    <w:rPr>
      <w:rFonts w:ascii="Times New Roman" w:eastAsiaTheme="minorHAnsi" w:hAnsi="Times New Roman" w:cs="Times New Roman"/>
      <w:b/>
      <w:bCs/>
      <w:sz w:val="24"/>
      <w:szCs w:val="24"/>
    </w:rPr>
  </w:style>
  <w:style w:type="paragraph" w:styleId="ListBullet">
    <w:name w:val="List Bullet"/>
    <w:basedOn w:val="Normal"/>
    <w:rsid w:val="00554886"/>
    <w:pPr>
      <w:numPr>
        <w:numId w:val="29"/>
      </w:numPr>
      <w:spacing w:before="60" w:after="6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941734">
      <w:bodyDiv w:val="1"/>
      <w:marLeft w:val="0"/>
      <w:marRight w:val="0"/>
      <w:marTop w:val="0"/>
      <w:marBottom w:val="0"/>
      <w:divBdr>
        <w:top w:val="none" w:sz="0" w:space="0" w:color="auto"/>
        <w:left w:val="none" w:sz="0" w:space="0" w:color="auto"/>
        <w:bottom w:val="none" w:sz="0" w:space="0" w:color="auto"/>
        <w:right w:val="none" w:sz="0" w:space="0" w:color="auto"/>
      </w:divBdr>
    </w:div>
    <w:div w:id="312871950">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ms.gov/Medicare/Health-Plans/MedicareAdvtgSpecRateStats/Risk-Adjustors.html" TargetMode="External"/><Relationship Id="rId18" Type="http://schemas.openxmlformats.org/officeDocument/2006/relationships/chart" Target="charts/chart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hcup-us.ahrq.gov/toolssoftware/ccs/ccs.jsp" TargetMode="External"/><Relationship Id="rId17" Type="http://schemas.openxmlformats.org/officeDocument/2006/relationships/oleObject" Target="embeddings/oleObject1.bin"/><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spe.hhs.gov/datacncl/datadir/cms.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cms.gov/Medicare/Coding/ICD10/2014-ICD-10-PCS.html" TargetMode="External"/><Relationship Id="rId23" Type="http://schemas.openxmlformats.org/officeDocument/2006/relationships/header" Target="header3.xml"/><Relationship Id="rId10" Type="http://schemas.openxmlformats.org/officeDocument/2006/relationships/hyperlink" Target="http://www.resdac.org/cms-data/files/ip-rif/data-documentation" TargetMode="External"/><Relationship Id="rId19"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hcup-us.ahrq.gov/toolssoftware/beta/icd_10_beta.jsp" TargetMode="Externa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linux-samba.rcc_nt.rti.org\vol1\project\0211942.200_mids\common\rpickett\v15%20compare\lc22\irf\IRF%20Histograms%209-2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linux-samba.rcc_nt.rti.org\vol1\project\0211942.200_mids\common\rpickett\v15%20compare\lc22\irf\IRF%20Histogram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Histograms!$P$7</c:f>
              <c:strCache>
                <c:ptCount val="1"/>
                <c:pt idx="0">
                  <c:v>Percent of IRFs</c:v>
                </c:pt>
              </c:strCache>
            </c:strRef>
          </c:tx>
          <c:spPr>
            <a:ln w="28575">
              <a:solidFill>
                <a:srgbClr val="1F497D">
                  <a:lumMod val="75000"/>
                </a:srgbClr>
              </a:solidFill>
            </a:ln>
          </c:spPr>
          <c:invertIfNegative val="0"/>
          <c:cat>
            <c:numRef>
              <c:f>Histograms!$N$8:$N$108</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cat>
          <c:val>
            <c:numRef>
              <c:f>Histograms!$P$8:$P$108</c:f>
              <c:numCache>
                <c:formatCode>General</c:formatCode>
                <c:ptCount val="101"/>
                <c:pt idx="0">
                  <c:v>0.59777967549103594</c:v>
                </c:pt>
                <c:pt idx="1">
                  <c:v>0</c:v>
                </c:pt>
                <c:pt idx="2">
                  <c:v>8.5397096498719266E-2</c:v>
                </c:pt>
                <c:pt idx="3">
                  <c:v>0.3415883859948845</c:v>
                </c:pt>
                <c:pt idx="4">
                  <c:v>0.3415883859948845</c:v>
                </c:pt>
                <c:pt idx="5">
                  <c:v>0.68317677198975157</c:v>
                </c:pt>
                <c:pt idx="6">
                  <c:v>1.1955593509820666</c:v>
                </c:pt>
                <c:pt idx="7">
                  <c:v>2.3057216054654202</c:v>
                </c:pt>
                <c:pt idx="8">
                  <c:v>4.0136635354397994</c:v>
                </c:pt>
                <c:pt idx="9">
                  <c:v>5.3800170794192645</c:v>
                </c:pt>
                <c:pt idx="10">
                  <c:v>8.0273270708795419</c:v>
                </c:pt>
                <c:pt idx="11">
                  <c:v>10.07685738684885</c:v>
                </c:pt>
                <c:pt idx="12">
                  <c:v>11.870196413322065</c:v>
                </c:pt>
                <c:pt idx="13">
                  <c:v>11.357813834329756</c:v>
                </c:pt>
                <c:pt idx="14">
                  <c:v>11.614005123825788</c:v>
                </c:pt>
                <c:pt idx="15">
                  <c:v>11.016225448334698</c:v>
                </c:pt>
                <c:pt idx="16">
                  <c:v>7.0879590093936811</c:v>
                </c:pt>
                <c:pt idx="17">
                  <c:v>5.123825789923143</c:v>
                </c:pt>
                <c:pt idx="18">
                  <c:v>2.8181041844577277</c:v>
                </c:pt>
                <c:pt idx="19">
                  <c:v>2.3911187019641331</c:v>
                </c:pt>
                <c:pt idx="20">
                  <c:v>1.2809564474807857</c:v>
                </c:pt>
                <c:pt idx="21">
                  <c:v>0.85397096498719061</c:v>
                </c:pt>
                <c:pt idx="22">
                  <c:v>0.51238257899230444</c:v>
                </c:pt>
                <c:pt idx="23">
                  <c:v>0.17079419299744059</c:v>
                </c:pt>
                <c:pt idx="24">
                  <c:v>0.17079419299744059</c:v>
                </c:pt>
                <c:pt idx="25">
                  <c:v>8.5397096498719266E-2</c:v>
                </c:pt>
                <c:pt idx="26">
                  <c:v>8.5397096498719266E-2</c:v>
                </c:pt>
                <c:pt idx="27">
                  <c:v>0.17079419299744059</c:v>
                </c:pt>
                <c:pt idx="28">
                  <c:v>0</c:v>
                </c:pt>
                <c:pt idx="29">
                  <c:v>0</c:v>
                </c:pt>
                <c:pt idx="30">
                  <c:v>8.5397096498719266E-2</c:v>
                </c:pt>
                <c:pt idx="31">
                  <c:v>0</c:v>
                </c:pt>
                <c:pt idx="32">
                  <c:v>0</c:v>
                </c:pt>
                <c:pt idx="33">
                  <c:v>0</c:v>
                </c:pt>
                <c:pt idx="34">
                  <c:v>0</c:v>
                </c:pt>
                <c:pt idx="35">
                  <c:v>0</c:v>
                </c:pt>
                <c:pt idx="36">
                  <c:v>0</c:v>
                </c:pt>
                <c:pt idx="37">
                  <c:v>0</c:v>
                </c:pt>
                <c:pt idx="38">
                  <c:v>0</c:v>
                </c:pt>
                <c:pt idx="39">
                  <c:v>0</c:v>
                </c:pt>
                <c:pt idx="40">
                  <c:v>8.5397096498719266E-2</c:v>
                </c:pt>
                <c:pt idx="41">
                  <c:v>0</c:v>
                </c:pt>
                <c:pt idx="42">
                  <c:v>0</c:v>
                </c:pt>
                <c:pt idx="43">
                  <c:v>0</c:v>
                </c:pt>
                <c:pt idx="44">
                  <c:v>0</c:v>
                </c:pt>
                <c:pt idx="45">
                  <c:v>0</c:v>
                </c:pt>
                <c:pt idx="46">
                  <c:v>0</c:v>
                </c:pt>
                <c:pt idx="47">
                  <c:v>0</c:v>
                </c:pt>
                <c:pt idx="48">
                  <c:v>0</c:v>
                </c:pt>
                <c:pt idx="49">
                  <c:v>0</c:v>
                </c:pt>
                <c:pt idx="50">
                  <c:v>8.5397096498719266E-2</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8.5397096498719266E-2</c:v>
                </c:pt>
              </c:numCache>
            </c:numRef>
          </c:val>
        </c:ser>
        <c:dLbls>
          <c:showLegendKey val="0"/>
          <c:showVal val="0"/>
          <c:showCatName val="0"/>
          <c:showSerName val="0"/>
          <c:showPercent val="0"/>
          <c:showBubbleSize val="0"/>
        </c:dLbls>
        <c:gapWidth val="0"/>
        <c:axId val="134066176"/>
        <c:axId val="134068096"/>
      </c:barChart>
      <c:catAx>
        <c:axId val="134066176"/>
        <c:scaling>
          <c:orientation val="minMax"/>
        </c:scaling>
        <c:delete val="0"/>
        <c:axPos val="b"/>
        <c:title>
          <c:tx>
            <c:rich>
              <a:bodyPr/>
              <a:lstStyle/>
              <a:p>
                <a:pPr>
                  <a:defRPr/>
                </a:pPr>
                <a:r>
                  <a:rPr lang="en-US"/>
                  <a:t>30-Day Observed Readmission Rate (%)</a:t>
                </a:r>
              </a:p>
            </c:rich>
          </c:tx>
          <c:overlay val="0"/>
        </c:title>
        <c:numFmt formatCode="General" sourceLinked="1"/>
        <c:majorTickMark val="out"/>
        <c:minorTickMark val="none"/>
        <c:tickLblPos val="nextTo"/>
        <c:crossAx val="134068096"/>
        <c:crosses val="autoZero"/>
        <c:auto val="1"/>
        <c:lblAlgn val="ctr"/>
        <c:lblOffset val="100"/>
        <c:noMultiLvlLbl val="0"/>
      </c:catAx>
      <c:valAx>
        <c:axId val="134068096"/>
        <c:scaling>
          <c:orientation val="minMax"/>
        </c:scaling>
        <c:delete val="0"/>
        <c:axPos val="l"/>
        <c:title>
          <c:tx>
            <c:rich>
              <a:bodyPr rot="-5400000" vert="horz"/>
              <a:lstStyle/>
              <a:p>
                <a:pPr>
                  <a:defRPr/>
                </a:pPr>
                <a:r>
                  <a:rPr lang="en-US"/>
                  <a:t>Percent of IRFs</a:t>
                </a:r>
              </a:p>
            </c:rich>
          </c:tx>
          <c:overlay val="0"/>
        </c:title>
        <c:numFmt formatCode="General" sourceLinked="1"/>
        <c:majorTickMark val="out"/>
        <c:minorTickMark val="none"/>
        <c:tickLblPos val="nextTo"/>
        <c:crossAx val="134066176"/>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Histograms!$AM$7</c:f>
              <c:strCache>
                <c:ptCount val="1"/>
                <c:pt idx="0">
                  <c:v>Percent of IRFs</c:v>
                </c:pt>
              </c:strCache>
            </c:strRef>
          </c:tx>
          <c:spPr>
            <a:ln w="28575">
              <a:solidFill>
                <a:srgbClr val="1F497D">
                  <a:lumMod val="75000"/>
                </a:srgbClr>
              </a:solidFill>
            </a:ln>
          </c:spPr>
          <c:invertIfNegative val="0"/>
          <c:cat>
            <c:numRef>
              <c:f>Histograms!$AK$119:$AK$169</c:f>
              <c:numCache>
                <c:formatCode>General</c:formatCode>
                <c:ptCount val="51"/>
                <c:pt idx="0">
                  <c:v>11.1</c:v>
                </c:pt>
                <c:pt idx="1">
                  <c:v>11.2</c:v>
                </c:pt>
                <c:pt idx="2">
                  <c:v>11.3</c:v>
                </c:pt>
                <c:pt idx="3">
                  <c:v>11.4</c:v>
                </c:pt>
                <c:pt idx="4">
                  <c:v>11.5</c:v>
                </c:pt>
                <c:pt idx="5">
                  <c:v>11.6</c:v>
                </c:pt>
                <c:pt idx="6">
                  <c:v>11.7</c:v>
                </c:pt>
                <c:pt idx="7">
                  <c:v>11.8</c:v>
                </c:pt>
                <c:pt idx="8">
                  <c:v>11.9</c:v>
                </c:pt>
                <c:pt idx="9">
                  <c:v>12</c:v>
                </c:pt>
                <c:pt idx="10">
                  <c:v>12.1</c:v>
                </c:pt>
                <c:pt idx="11">
                  <c:v>12.2</c:v>
                </c:pt>
                <c:pt idx="12">
                  <c:v>12.3</c:v>
                </c:pt>
                <c:pt idx="13">
                  <c:v>12.4</c:v>
                </c:pt>
                <c:pt idx="14">
                  <c:v>12.5</c:v>
                </c:pt>
                <c:pt idx="15">
                  <c:v>12.6</c:v>
                </c:pt>
                <c:pt idx="16">
                  <c:v>12.7</c:v>
                </c:pt>
                <c:pt idx="17">
                  <c:v>12.8</c:v>
                </c:pt>
                <c:pt idx="18">
                  <c:v>12.9</c:v>
                </c:pt>
                <c:pt idx="19">
                  <c:v>13</c:v>
                </c:pt>
                <c:pt idx="20">
                  <c:v>13.1</c:v>
                </c:pt>
                <c:pt idx="21">
                  <c:v>13.2</c:v>
                </c:pt>
                <c:pt idx="22">
                  <c:v>13.3</c:v>
                </c:pt>
                <c:pt idx="23">
                  <c:v>13.4</c:v>
                </c:pt>
                <c:pt idx="24">
                  <c:v>13.5</c:v>
                </c:pt>
                <c:pt idx="25">
                  <c:v>13.6</c:v>
                </c:pt>
                <c:pt idx="26">
                  <c:v>13.7</c:v>
                </c:pt>
                <c:pt idx="27">
                  <c:v>13.8</c:v>
                </c:pt>
                <c:pt idx="28">
                  <c:v>13.9</c:v>
                </c:pt>
                <c:pt idx="29">
                  <c:v>14</c:v>
                </c:pt>
                <c:pt idx="30">
                  <c:v>14.1</c:v>
                </c:pt>
                <c:pt idx="31">
                  <c:v>14.2</c:v>
                </c:pt>
                <c:pt idx="32">
                  <c:v>14.3</c:v>
                </c:pt>
                <c:pt idx="33">
                  <c:v>14.4</c:v>
                </c:pt>
                <c:pt idx="34">
                  <c:v>14.5</c:v>
                </c:pt>
                <c:pt idx="35">
                  <c:v>14.6</c:v>
                </c:pt>
                <c:pt idx="36">
                  <c:v>14.7</c:v>
                </c:pt>
                <c:pt idx="37">
                  <c:v>14.8</c:v>
                </c:pt>
                <c:pt idx="38">
                  <c:v>14.9</c:v>
                </c:pt>
                <c:pt idx="39">
                  <c:v>15</c:v>
                </c:pt>
                <c:pt idx="40">
                  <c:v>15.1</c:v>
                </c:pt>
                <c:pt idx="41">
                  <c:v>15.2</c:v>
                </c:pt>
                <c:pt idx="42">
                  <c:v>15.3</c:v>
                </c:pt>
                <c:pt idx="43">
                  <c:v>15.4</c:v>
                </c:pt>
                <c:pt idx="44">
                  <c:v>15.5</c:v>
                </c:pt>
                <c:pt idx="45">
                  <c:v>15.6</c:v>
                </c:pt>
                <c:pt idx="46">
                  <c:v>15.7</c:v>
                </c:pt>
                <c:pt idx="47">
                  <c:v>15.8</c:v>
                </c:pt>
                <c:pt idx="48">
                  <c:v>15.9</c:v>
                </c:pt>
                <c:pt idx="49">
                  <c:v>16</c:v>
                </c:pt>
                <c:pt idx="50">
                  <c:v>16.100000000000001</c:v>
                </c:pt>
              </c:numCache>
            </c:numRef>
          </c:cat>
          <c:val>
            <c:numRef>
              <c:f>Histograms!$AM$119:$AM$169</c:f>
              <c:numCache>
                <c:formatCode>General</c:formatCode>
                <c:ptCount val="51"/>
                <c:pt idx="0">
                  <c:v>8.5397096498719044E-2</c:v>
                </c:pt>
                <c:pt idx="1">
                  <c:v>8.5397096498719044E-2</c:v>
                </c:pt>
                <c:pt idx="2">
                  <c:v>0</c:v>
                </c:pt>
                <c:pt idx="3">
                  <c:v>0</c:v>
                </c:pt>
                <c:pt idx="4">
                  <c:v>0.17079419299744059</c:v>
                </c:pt>
                <c:pt idx="5">
                  <c:v>0</c:v>
                </c:pt>
                <c:pt idx="6">
                  <c:v>8.5397096498719044E-2</c:v>
                </c:pt>
                <c:pt idx="7">
                  <c:v>0.51238257899230444</c:v>
                </c:pt>
                <c:pt idx="8">
                  <c:v>8.5397096498719044E-2</c:v>
                </c:pt>
                <c:pt idx="9">
                  <c:v>0.68317677198975157</c:v>
                </c:pt>
                <c:pt idx="10">
                  <c:v>0.59777967549103361</c:v>
                </c:pt>
                <c:pt idx="11">
                  <c:v>0.85397096498719061</c:v>
                </c:pt>
                <c:pt idx="12">
                  <c:v>1.110162254483348</c:v>
                </c:pt>
                <c:pt idx="13">
                  <c:v>1.0247651579846278</c:v>
                </c:pt>
                <c:pt idx="14">
                  <c:v>2.7327070879590094</c:v>
                </c:pt>
                <c:pt idx="15">
                  <c:v>2.4765157984628532</c:v>
                </c:pt>
                <c:pt idx="16">
                  <c:v>3.0742954739538528</c:v>
                </c:pt>
                <c:pt idx="17">
                  <c:v>3.245089666951348</c:v>
                </c:pt>
                <c:pt idx="18">
                  <c:v>3.6720751494449178</c:v>
                </c:pt>
                <c:pt idx="19">
                  <c:v>5.123825789923143</c:v>
                </c:pt>
                <c:pt idx="20">
                  <c:v>4.7822374039282733</c:v>
                </c:pt>
                <c:pt idx="21">
                  <c:v>6.4047822374039276</c:v>
                </c:pt>
                <c:pt idx="22">
                  <c:v>6.4047822374039276</c:v>
                </c:pt>
                <c:pt idx="23">
                  <c:v>6.3193851409051955</c:v>
                </c:pt>
                <c:pt idx="24">
                  <c:v>5.0384286934244731</c:v>
                </c:pt>
                <c:pt idx="25">
                  <c:v>6.2339880444064875</c:v>
                </c:pt>
                <c:pt idx="26">
                  <c:v>5.8923996584116125</c:v>
                </c:pt>
                <c:pt idx="27">
                  <c:v>5.4654141759180055</c:v>
                </c:pt>
                <c:pt idx="28">
                  <c:v>4.6968403074295475</c:v>
                </c:pt>
                <c:pt idx="29">
                  <c:v>3.5012809564474812</c:v>
                </c:pt>
                <c:pt idx="30">
                  <c:v>3.3304867634500428</c:v>
                </c:pt>
                <c:pt idx="31">
                  <c:v>2.9888983774551665</c:v>
                </c:pt>
                <c:pt idx="32">
                  <c:v>2.0495303159692582</c:v>
                </c:pt>
                <c:pt idx="33">
                  <c:v>1.9641332194705381</c:v>
                </c:pt>
                <c:pt idx="34">
                  <c:v>2.3057216054654202</c:v>
                </c:pt>
                <c:pt idx="35">
                  <c:v>1.9641332194705381</c:v>
                </c:pt>
                <c:pt idx="36">
                  <c:v>1.0247651579846278</c:v>
                </c:pt>
                <c:pt idx="37">
                  <c:v>0.85397096498719061</c:v>
                </c:pt>
                <c:pt idx="38">
                  <c:v>0.93936806148590857</c:v>
                </c:pt>
                <c:pt idx="39">
                  <c:v>0.76857386848847986</c:v>
                </c:pt>
                <c:pt idx="40">
                  <c:v>0.2561912894961545</c:v>
                </c:pt>
                <c:pt idx="41">
                  <c:v>0.2561912894961545</c:v>
                </c:pt>
                <c:pt idx="42">
                  <c:v>0.2561912894961545</c:v>
                </c:pt>
                <c:pt idx="43">
                  <c:v>8.5397096498719044E-2</c:v>
                </c:pt>
                <c:pt idx="44">
                  <c:v>0.34158838599488334</c:v>
                </c:pt>
                <c:pt idx="45">
                  <c:v>8.5397096498719044E-2</c:v>
                </c:pt>
                <c:pt idx="46">
                  <c:v>8.5397096498719044E-2</c:v>
                </c:pt>
                <c:pt idx="47">
                  <c:v>0</c:v>
                </c:pt>
                <c:pt idx="48">
                  <c:v>0</c:v>
                </c:pt>
                <c:pt idx="49">
                  <c:v>0</c:v>
                </c:pt>
                <c:pt idx="50">
                  <c:v>8.5397096498719044E-2</c:v>
                </c:pt>
              </c:numCache>
            </c:numRef>
          </c:val>
        </c:ser>
        <c:dLbls>
          <c:showLegendKey val="0"/>
          <c:showVal val="0"/>
          <c:showCatName val="0"/>
          <c:showSerName val="0"/>
          <c:showPercent val="0"/>
          <c:showBubbleSize val="0"/>
        </c:dLbls>
        <c:gapWidth val="0"/>
        <c:axId val="134239744"/>
        <c:axId val="134241664"/>
      </c:barChart>
      <c:catAx>
        <c:axId val="134239744"/>
        <c:scaling>
          <c:orientation val="minMax"/>
        </c:scaling>
        <c:delete val="0"/>
        <c:axPos val="b"/>
        <c:title>
          <c:tx>
            <c:rich>
              <a:bodyPr/>
              <a:lstStyle/>
              <a:p>
                <a:pPr>
                  <a:defRPr/>
                </a:pPr>
                <a:r>
                  <a:rPr lang="en-US"/>
                  <a:t>30-Day Risk-standardized Readmission</a:t>
                </a:r>
                <a:r>
                  <a:rPr lang="en-US" baseline="0"/>
                  <a:t> Rate (RSRR) (%)</a:t>
                </a:r>
                <a:endParaRPr lang="en-US"/>
              </a:p>
            </c:rich>
          </c:tx>
          <c:overlay val="0"/>
        </c:title>
        <c:numFmt formatCode="General" sourceLinked="1"/>
        <c:majorTickMark val="out"/>
        <c:minorTickMark val="none"/>
        <c:tickLblPos val="nextTo"/>
        <c:crossAx val="134241664"/>
        <c:crosses val="autoZero"/>
        <c:auto val="1"/>
        <c:lblAlgn val="ctr"/>
        <c:lblOffset val="100"/>
        <c:noMultiLvlLbl val="0"/>
      </c:catAx>
      <c:valAx>
        <c:axId val="134241664"/>
        <c:scaling>
          <c:orientation val="minMax"/>
        </c:scaling>
        <c:delete val="0"/>
        <c:axPos val="l"/>
        <c:title>
          <c:tx>
            <c:rich>
              <a:bodyPr rot="-5400000" vert="horz"/>
              <a:lstStyle/>
              <a:p>
                <a:pPr>
                  <a:defRPr/>
                </a:pPr>
                <a:r>
                  <a:rPr lang="en-US"/>
                  <a:t>Percent of IRFs</a:t>
                </a:r>
              </a:p>
            </c:rich>
          </c:tx>
          <c:overlay val="0"/>
        </c:title>
        <c:numFmt formatCode="General" sourceLinked="1"/>
        <c:majorTickMark val="out"/>
        <c:minorTickMark val="none"/>
        <c:tickLblPos val="nextTo"/>
        <c:crossAx val="134239744"/>
        <c:crosses val="autoZero"/>
        <c:crossBetween val="between"/>
      </c:valAx>
    </c:plotArea>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
      <w:docPartPr>
        <w:name w:val="60D61EEF96EF4777AD0C25848A62FE40"/>
        <w:category>
          <w:name w:val="General"/>
          <w:gallery w:val="placeholder"/>
        </w:category>
        <w:types>
          <w:type w:val="bbPlcHdr"/>
        </w:types>
        <w:behaviors>
          <w:behavior w:val="content"/>
        </w:behaviors>
        <w:guid w:val="{E63E4CE0-EA1F-4992-8272-3B5002FE55E9}"/>
      </w:docPartPr>
      <w:docPartBody>
        <w:p w:rsidR="00843BFB" w:rsidRDefault="00843BFB" w:rsidP="00843BFB">
          <w:pPr>
            <w:pStyle w:val="60D61EEF96EF4777AD0C25848A62FE40"/>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C90121"/>
    <w:rsid w:val="00021F89"/>
    <w:rsid w:val="000357D5"/>
    <w:rsid w:val="00127222"/>
    <w:rsid w:val="001524C5"/>
    <w:rsid w:val="00190AF4"/>
    <w:rsid w:val="00223FA3"/>
    <w:rsid w:val="002A288F"/>
    <w:rsid w:val="002F052A"/>
    <w:rsid w:val="00341147"/>
    <w:rsid w:val="00350176"/>
    <w:rsid w:val="003840F0"/>
    <w:rsid w:val="003D0B9B"/>
    <w:rsid w:val="003D7A20"/>
    <w:rsid w:val="0053654E"/>
    <w:rsid w:val="00605B31"/>
    <w:rsid w:val="00632A7E"/>
    <w:rsid w:val="00632AB6"/>
    <w:rsid w:val="0069699D"/>
    <w:rsid w:val="006A0F02"/>
    <w:rsid w:val="006C4E5C"/>
    <w:rsid w:val="00730B33"/>
    <w:rsid w:val="00752321"/>
    <w:rsid w:val="00772B2A"/>
    <w:rsid w:val="007A7170"/>
    <w:rsid w:val="007C0663"/>
    <w:rsid w:val="007C672A"/>
    <w:rsid w:val="007D4368"/>
    <w:rsid w:val="00822666"/>
    <w:rsid w:val="00823ECC"/>
    <w:rsid w:val="00843BFB"/>
    <w:rsid w:val="00866C97"/>
    <w:rsid w:val="009017AE"/>
    <w:rsid w:val="00937AC1"/>
    <w:rsid w:val="009C542D"/>
    <w:rsid w:val="00A209B3"/>
    <w:rsid w:val="00A87941"/>
    <w:rsid w:val="00A95183"/>
    <w:rsid w:val="00AB4AF7"/>
    <w:rsid w:val="00AD7C4F"/>
    <w:rsid w:val="00B30E38"/>
    <w:rsid w:val="00B445F5"/>
    <w:rsid w:val="00BD40CB"/>
    <w:rsid w:val="00C24771"/>
    <w:rsid w:val="00C66684"/>
    <w:rsid w:val="00C90121"/>
    <w:rsid w:val="00CA344F"/>
    <w:rsid w:val="00D1676E"/>
    <w:rsid w:val="00D86F40"/>
    <w:rsid w:val="00DC0246"/>
    <w:rsid w:val="00E5115D"/>
    <w:rsid w:val="00E56BC9"/>
    <w:rsid w:val="00E6518A"/>
    <w:rsid w:val="00E86960"/>
    <w:rsid w:val="00F457C7"/>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B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43BFB"/>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60D61EEF96EF4777AD0C25848A62FE40">
    <w:name w:val="60D61EEF96EF4777AD0C25848A62FE40"/>
    <w:rsid w:val="00843BF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E3E59-039E-4CDE-BE88-46FDBDAEC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29</Pages>
  <Words>9801</Words>
  <Characters>55871</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65541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Reva Winkler</dc:creator>
  <cp:lastModifiedBy>Katherine Leibel</cp:lastModifiedBy>
  <cp:revision>18</cp:revision>
  <cp:lastPrinted>2014-02-04T15:55:00Z</cp:lastPrinted>
  <dcterms:created xsi:type="dcterms:W3CDTF">2014-02-04T15:29:00Z</dcterms:created>
  <dcterms:modified xsi:type="dcterms:W3CDTF">2014-02-11T17:23:00Z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-1682153857</vt:i4>
  </property>
  <property fmtid="{D5CDD505-2E9C-101B-9397-08002B2CF9AE}" pid="4" name="_EmailSubject">
    <vt:lpwstr>Revised IRF Readmission Measure Submission Forms </vt:lpwstr>
  </property>
  <property fmtid="{D5CDD505-2E9C-101B-9397-08002B2CF9AE}" pid="5" name="_AuthorEmail">
    <vt:lpwstr>Alan.Levitt@cms.hhs.gov</vt:lpwstr>
  </property>
  <property fmtid="{D5CDD505-2E9C-101B-9397-08002B2CF9AE}" pid="6" name="_AuthorEmailDisplayName">
    <vt:lpwstr>Levitt, Alan F. (CMS/CCSQ)</vt:lpwstr>
  </property>
  <property fmtid="{D5CDD505-2E9C-101B-9397-08002B2CF9AE}" pid="7" name="_ReviewingToolsShownOnce">
    <vt:lpwstr/>
  </property>
</Properties>
</file>