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755AA">
            <w:rPr>
              <w:rStyle w:val="Style1"/>
              <w:rFonts w:cstheme="minorHAnsi"/>
            </w:rPr>
            <w:t>Ultrafiltration rate greater than 13</w:t>
          </w:r>
          <w:r w:rsidR="00D6488C" w:rsidRPr="00D6488C">
            <w:t xml:space="preserve"> </w:t>
          </w:r>
          <w:r w:rsidR="00D6488C" w:rsidRPr="00D6488C">
            <w:rPr>
              <w:rStyle w:val="Style1"/>
              <w:rFonts w:cstheme="minorHAnsi"/>
            </w:rPr>
            <w:t>ml/kg/hr</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9-25T00:00:00Z">
            <w:dateFormat w:val="M/d/yyyy"/>
            <w:lid w:val="en-US"/>
            <w:storeMappedDataAs w:val="dateTime"/>
            <w:calendar w:val="gregorian"/>
          </w:date>
        </w:sdtPr>
        <w:sdtEndPr>
          <w:rPr>
            <w:rStyle w:val="DefaultParagraphFont"/>
            <w:noProof/>
            <w:color w:val="auto"/>
            <w:u w:val="none"/>
          </w:rPr>
        </w:sdtEndPr>
        <w:sdtContent>
          <w:r w:rsidR="00D755AA">
            <w:rPr>
              <w:rStyle w:val="Style2"/>
              <w:rFonts w:cstheme="minorHAnsi"/>
            </w:rPr>
            <w:t>9/25/2014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r w:rsidR="0055537F">
        <w:rPr>
          <w:rStyle w:val="Style2"/>
          <w:rFonts w:cstheme="minorHAnsi"/>
          <w:b/>
          <w:color w:val="auto"/>
          <w:u w:val="none"/>
        </w:rPr>
        <w:t xml:space="preserve"> </w:t>
      </w:r>
      <w:r w:rsidR="0055537F" w:rsidRPr="0055537F">
        <w:rPr>
          <w:rStyle w:val="Style2"/>
          <w:rFonts w:cstheme="minorHAnsi"/>
          <w:color w:val="auto"/>
          <w:u w:val="none"/>
        </w:rPr>
        <w:t>Intermediate outcome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F83184"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F83184"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D755AA">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F83184"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F8318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F83184"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F8318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proofErr w:type="spellStart"/>
            <w:r w:rsidRPr="000F034A">
              <w:rPr>
                <w:rFonts w:ascii="Calibri" w:eastAsia="Calibri" w:hAnsi="Calibri" w:cs="Calibri"/>
                <w:b/>
              </w:rPr>
              <w:t>eMeasures</w:t>
            </w:r>
            <w:proofErr w:type="spellEnd"/>
            <w:r w:rsidRPr="000F034A">
              <w:rPr>
                <w:rFonts w:ascii="Calibri" w:eastAsia="Calibri" w:hAnsi="Calibri" w:cs="Calibri"/>
                <w:b/>
              </w:rPr>
              <w:t>,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0F034A">
              <w:rPr>
                <w:rFonts w:ascii="Calibri" w:eastAsia="Calibri" w:hAnsi="Calibri" w:cs="Calibri"/>
              </w:rPr>
              <w:t>nonresponders</w:t>
            </w:r>
            <w:proofErr w:type="spellEnd"/>
            <w:r w:rsidRPr="000F034A">
              <w:rPr>
                <w:rFonts w:ascii="Calibri" w:eastAsia="Calibri" w:hAnsi="Calibri" w:cs="Calibri"/>
              </w:rPr>
              <w:t>)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w:t>
            </w:r>
            <w:proofErr w:type="gramStart"/>
            <w:r w:rsidRPr="00A831B4">
              <w:rPr>
                <w:rFonts w:asciiTheme="minorHAnsi" w:hAnsiTheme="minorHAnsi" w:cstheme="minorHAnsi"/>
              </w:rPr>
              <w:t>an exclusion</w:t>
            </w:r>
            <w:proofErr w:type="gramEnd"/>
            <w:r w:rsidRPr="00A831B4">
              <w:rPr>
                <w:rFonts w:asciiTheme="minorHAnsi" w:hAnsiTheme="minorHAnsi" w:cstheme="minorHAnsi"/>
              </w:rPr>
              <w:t xml:space="preserve">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C81E22">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F8318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F8318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Pr="00F83184" w:rsidRDefault="008656BA" w:rsidP="00DB3627">
      <w:pPr>
        <w:autoSpaceDE w:val="0"/>
        <w:autoSpaceDN w:val="0"/>
        <w:adjustRightInd w:val="0"/>
        <w:spacing w:after="0" w:line="240" w:lineRule="auto"/>
        <w:rPr>
          <w:rFonts w:cstheme="minorHAnsi"/>
        </w:rPr>
      </w:pPr>
      <w:r w:rsidRPr="00F83184">
        <w:rPr>
          <w:rFonts w:cstheme="minorHAnsi"/>
        </w:rPr>
        <w:t xml:space="preserve">2013 </w:t>
      </w:r>
      <w:proofErr w:type="spellStart"/>
      <w:r w:rsidRPr="00F83184">
        <w:rPr>
          <w:rFonts w:cstheme="minorHAnsi"/>
        </w:rPr>
        <w:t>CROWNWeb</w:t>
      </w:r>
      <w:proofErr w:type="spellEnd"/>
      <w:r w:rsidRPr="00F83184">
        <w:rPr>
          <w:rFonts w:cstheme="minorHAnsi"/>
        </w:rPr>
        <w:t xml:space="preserve"> data</w:t>
      </w:r>
    </w:p>
    <w:p w:rsidR="008656BA" w:rsidRDefault="008656BA"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32213D">
            <w:rPr>
              <w:rStyle w:val="Style1"/>
            </w:rPr>
            <w:t>January 2013-December 2013</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F8318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p>
    <w:p w:rsidR="008656BA" w:rsidRDefault="008656BA" w:rsidP="00DB3627">
      <w:pPr>
        <w:autoSpaceDE w:val="0"/>
        <w:autoSpaceDN w:val="0"/>
        <w:adjustRightInd w:val="0"/>
        <w:spacing w:after="0" w:line="240" w:lineRule="auto"/>
        <w:rPr>
          <w:szCs w:val="20"/>
        </w:rPr>
      </w:pPr>
      <w:r w:rsidRPr="0032213D">
        <w:rPr>
          <w:szCs w:val="20"/>
        </w:rPr>
        <w:t>The measured entities include ultrafiltration rate values (calculated from non-missing data elements in pre-dialysis weight (kg), post-dialysis weight (kg), and delivered time of dialysis (</w:t>
      </w:r>
      <w:proofErr w:type="spellStart"/>
      <w:r w:rsidRPr="0032213D">
        <w:rPr>
          <w:szCs w:val="20"/>
        </w:rPr>
        <w:t>mins</w:t>
      </w:r>
      <w:proofErr w:type="spellEnd"/>
      <w:r w:rsidRPr="0032213D">
        <w:rPr>
          <w:szCs w:val="20"/>
        </w:rPr>
        <w:t>)) from 400,308 chronic adult ESRD patients on hemodialysis from 5,556 dialysis facilities with a minimum of 11 patients across all regions of the United States in 2013. Facilities vary in size, and include anywhere from 11 to 448 patients.</w:t>
      </w:r>
    </w:p>
    <w:p w:rsidR="00F83184" w:rsidRDefault="00F83184" w:rsidP="00DB3627">
      <w:pPr>
        <w:autoSpaceDE w:val="0"/>
        <w:autoSpaceDN w:val="0"/>
        <w:adjustRightInd w:val="0"/>
        <w:spacing w:after="0" w:line="240" w:lineRule="auto"/>
        <w:rPr>
          <w:szCs w:val="20"/>
        </w:rPr>
      </w:pPr>
    </w:p>
    <w:p w:rsidR="00F83184" w:rsidRPr="0032213D" w:rsidRDefault="00F83184" w:rsidP="00DB3627">
      <w:pPr>
        <w:autoSpaceDE w:val="0"/>
        <w:autoSpaceDN w:val="0"/>
        <w:adjustRightInd w:val="0"/>
        <w:spacing w:after="0" w:line="240" w:lineRule="auto"/>
        <w:rPr>
          <w:rFonts w:cstheme="minorHAnsi"/>
          <w:bCs/>
          <w:sz w:val="24"/>
        </w:rPr>
      </w:pPr>
      <w:r w:rsidRPr="00F83184">
        <w:rPr>
          <w:rFonts w:cstheme="minorHAnsi"/>
          <w:bCs/>
          <w:sz w:val="24"/>
        </w:rPr>
        <w:t>Public reporting of this measure on DFC or in the ESRD QIP would be restricted to facilities with at least 11 eligible patients for the measure. We have applied this restriction to all the reliability and validity testing reported here.</w:t>
      </w:r>
    </w:p>
    <w:p w:rsidR="002B5016" w:rsidRPr="00A25024" w:rsidRDefault="002B5016" w:rsidP="00DB3627">
      <w:pPr>
        <w:autoSpaceDE w:val="0"/>
        <w:autoSpaceDN w:val="0"/>
        <w:adjustRightInd w:val="0"/>
        <w:spacing w:after="0" w:line="240" w:lineRule="auto"/>
        <w:rPr>
          <w:rFonts w:cstheme="minorHAnsi"/>
          <w:bCs/>
        </w:rPr>
      </w:pP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p>
    <w:p w:rsidR="008656BA" w:rsidRPr="0032213D" w:rsidRDefault="008656BA" w:rsidP="008656BA">
      <w:pPr>
        <w:spacing w:after="120"/>
      </w:pPr>
      <w:r w:rsidRPr="0032213D">
        <w:t xml:space="preserve">Testing was performed on adult (&gt;=18 years old) hemodialysis patients at dialysis facilities with a minimum of 11 patients for 2013 using </w:t>
      </w:r>
      <w:proofErr w:type="spellStart"/>
      <w:r w:rsidRPr="0032213D">
        <w:t>CROWNWeb</w:t>
      </w:r>
      <w:proofErr w:type="spellEnd"/>
      <w:r w:rsidRPr="0032213D">
        <w:t xml:space="preserve"> data. The sample included 400,308 patients from 5,556 facilities. </w:t>
      </w:r>
    </w:p>
    <w:tbl>
      <w:tblPr>
        <w:tblW w:w="0" w:type="auto"/>
        <w:tblLook w:val="04A0" w:firstRow="1" w:lastRow="0" w:firstColumn="1" w:lastColumn="0" w:noHBand="0" w:noVBand="1"/>
      </w:tblPr>
      <w:tblGrid>
        <w:gridCol w:w="2124"/>
        <w:gridCol w:w="1168"/>
        <w:gridCol w:w="920"/>
      </w:tblGrid>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b/>
                <w:bCs/>
              </w:rPr>
            </w:pPr>
            <w:r w:rsidRPr="0032213D">
              <w:rPr>
                <w:rFonts w:eastAsia="Times New Roman"/>
                <w:b/>
                <w:bCs/>
              </w:rPr>
              <w:t>Race</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b/>
                <w:bCs/>
              </w:rPr>
            </w:pPr>
            <w:r w:rsidRPr="0032213D">
              <w:rPr>
                <w:rFonts w:eastAsia="Times New Roman"/>
                <w:b/>
                <w:bCs/>
              </w:rPr>
              <w:t>Frequency</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b/>
                <w:bCs/>
              </w:rPr>
            </w:pPr>
            <w:r w:rsidRPr="0032213D">
              <w:rPr>
                <w:rFonts w:eastAsia="Times New Roman"/>
                <w:b/>
                <w:bCs/>
              </w:rPr>
              <w:t>Percent</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White</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160384</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54.03%</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Black</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116165</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39.13%</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Asian/Pacific Islander</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14153</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4.77%</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Native American</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4371</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1.47%</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p w:rsidR="008656BA" w:rsidRPr="0032213D" w:rsidRDefault="008656BA" w:rsidP="004A2217">
            <w:pPr>
              <w:spacing w:after="0"/>
              <w:rPr>
                <w:rFonts w:eastAsia="Times New Roman"/>
              </w:rPr>
            </w:pPr>
            <w:proofErr w:type="spellStart"/>
            <w:r w:rsidRPr="0032213D">
              <w:rPr>
                <w:rFonts w:eastAsia="Times New Roman"/>
              </w:rPr>
              <w:t>Mid East</w:t>
            </w:r>
            <w:proofErr w:type="spellEnd"/>
            <w:r w:rsidRPr="0032213D">
              <w:rPr>
                <w:rFonts w:eastAsia="Times New Roman"/>
              </w:rPr>
              <w:t xml:space="preserve"> Arabian</w:t>
            </w:r>
          </w:p>
          <w:p w:rsidR="008656BA" w:rsidRPr="0032213D" w:rsidRDefault="008656BA" w:rsidP="004A2217">
            <w:pPr>
              <w:spacing w:after="0"/>
              <w:rPr>
                <w:rFonts w:eastAsia="Times New Roman"/>
              </w:rPr>
            </w:pPr>
            <w:r w:rsidRPr="0032213D">
              <w:rPr>
                <w:rFonts w:eastAsia="Times New Roman"/>
              </w:rPr>
              <w:t>/Indian Subcontinent</w:t>
            </w:r>
          </w:p>
          <w:p w:rsidR="008656BA" w:rsidRPr="0032213D" w:rsidRDefault="008656BA" w:rsidP="004A2217">
            <w:pPr>
              <w:spacing w:after="0"/>
              <w:rPr>
                <w:rFonts w:eastAsia="Times New Roman"/>
              </w:rPr>
            </w:pPr>
            <w:r w:rsidRPr="0032213D">
              <w:rPr>
                <w:rFonts w:eastAsia="Times New Roman"/>
              </w:rPr>
              <w:t>/Multi-racial/other</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1761</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0.59%</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b/>
                <w:bCs/>
              </w:rPr>
            </w:pPr>
            <w:r w:rsidRPr="0032213D">
              <w:rPr>
                <w:rFonts w:eastAsia="Times New Roman"/>
                <w:b/>
                <w:bCs/>
              </w:rPr>
              <w:t>Sex</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Female</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129780</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43.72%</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Male</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167025</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56.27%</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b/>
                <w:bCs/>
              </w:rPr>
            </w:pPr>
            <w:r w:rsidRPr="0032213D">
              <w:rPr>
                <w:rFonts w:eastAsia="Times New Roman"/>
                <w:b/>
                <w:bCs/>
              </w:rPr>
              <w:t>Ethnicity</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Hispanic</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54088</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18.22%</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Non-Hispanic</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242705</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81.78%</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b/>
                <w:bCs/>
              </w:rPr>
            </w:pPr>
            <w:r w:rsidRPr="0032213D">
              <w:rPr>
                <w:rFonts w:eastAsia="Times New Roman"/>
                <w:b/>
                <w:bCs/>
              </w:rPr>
              <w:t>Age</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18 to 64</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160836</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54.18%</w:t>
            </w:r>
          </w:p>
        </w:tc>
      </w:tr>
      <w:tr w:rsidR="008656BA" w:rsidRPr="0032213D" w:rsidTr="004A2217">
        <w:trPr>
          <w:trHeight w:val="300"/>
        </w:trPr>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rPr>
                <w:rFonts w:eastAsia="Times New Roman"/>
              </w:rPr>
            </w:pPr>
            <w:r w:rsidRPr="0032213D">
              <w:rPr>
                <w:rFonts w:eastAsia="Times New Roman"/>
              </w:rPr>
              <w:t>65 and Older</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135999</w:t>
            </w:r>
          </w:p>
        </w:tc>
        <w:tc>
          <w:tcPr>
            <w:tcW w:w="0" w:type="auto"/>
            <w:tcBorders>
              <w:top w:val="nil"/>
              <w:left w:val="nil"/>
              <w:bottom w:val="nil"/>
              <w:right w:val="nil"/>
            </w:tcBorders>
            <w:shd w:val="clear" w:color="auto" w:fill="auto"/>
            <w:noWrap/>
            <w:vAlign w:val="bottom"/>
            <w:hideMark/>
          </w:tcPr>
          <w:p w:rsidR="008656BA" w:rsidRPr="0032213D" w:rsidRDefault="008656BA" w:rsidP="004A2217">
            <w:pPr>
              <w:spacing w:after="0"/>
              <w:jc w:val="right"/>
              <w:rPr>
                <w:rFonts w:eastAsia="Times New Roman"/>
              </w:rPr>
            </w:pPr>
            <w:r w:rsidRPr="0032213D">
              <w:rPr>
                <w:rFonts w:eastAsia="Times New Roman"/>
              </w:rPr>
              <w:t>45.82%</w:t>
            </w:r>
          </w:p>
        </w:tc>
      </w:tr>
    </w:tbl>
    <w:p w:rsidR="008656BA" w:rsidRDefault="008656BA"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8656BA" w:rsidRDefault="008656BA" w:rsidP="008656BA">
      <w:pPr>
        <w:spacing w:after="120"/>
        <w:rPr>
          <w:sz w:val="20"/>
          <w:szCs w:val="20"/>
        </w:rPr>
      </w:pPr>
    </w:p>
    <w:p w:rsidR="008656BA" w:rsidRPr="0032213D" w:rsidRDefault="008656BA" w:rsidP="008656BA">
      <w:pPr>
        <w:spacing w:after="120"/>
        <w:rPr>
          <w:szCs w:val="20"/>
        </w:rPr>
      </w:pPr>
      <w:r w:rsidRPr="0032213D">
        <w:rPr>
          <w:szCs w:val="20"/>
        </w:rPr>
        <w:t xml:space="preserve">Validity testing was against 2013 outcomes. </w:t>
      </w:r>
      <w:proofErr w:type="spellStart"/>
      <w:r w:rsidRPr="0032213D">
        <w:rPr>
          <w:szCs w:val="20"/>
        </w:rPr>
        <w:t>CROWNweb</w:t>
      </w:r>
      <w:proofErr w:type="spellEnd"/>
      <w:r w:rsidRPr="0032213D">
        <w:rPr>
          <w:szCs w:val="20"/>
        </w:rPr>
        <w:t xml:space="preserve"> 2013  data consisting of 400,308 patients from 5,556 facilities was merged with 2013 facility-level outcomes data used for the 2014 Dialysis Facility Report (DFR), and was restricted to facilities with at least 11 patients. The merged file consisted of 3,566 facilities. The sample used for validity testing was also used for a risk-adjusted analysis in section 2b4.2.</w:t>
      </w:r>
    </w:p>
    <w:p w:rsidR="00E37E1B" w:rsidRDefault="00E37E1B" w:rsidP="00E37E1B">
      <w:pPr>
        <w:autoSpaceDE w:val="0"/>
        <w:autoSpaceDN w:val="0"/>
        <w:adjustRightInd w:val="0"/>
        <w:spacing w:after="0" w:line="240" w:lineRule="auto"/>
        <w:rPr>
          <w:rFonts w:cstheme="minorHAnsi"/>
          <w:bCs/>
        </w:rPr>
      </w:pPr>
    </w:p>
    <w:p w:rsidR="008656BA" w:rsidRDefault="008656BA" w:rsidP="00E37E1B">
      <w:pPr>
        <w:autoSpaceDE w:val="0"/>
        <w:autoSpaceDN w:val="0"/>
        <w:adjustRightInd w:val="0"/>
        <w:spacing w:after="0" w:line="240" w:lineRule="auto"/>
        <w:rPr>
          <w:rFonts w:cstheme="minorHAnsi"/>
          <w:bCs/>
        </w:rPr>
      </w:pPr>
    </w:p>
    <w:p w:rsidR="008656BA" w:rsidRDefault="008656BA" w:rsidP="00E37E1B">
      <w:pPr>
        <w:autoSpaceDE w:val="0"/>
        <w:autoSpaceDN w:val="0"/>
        <w:adjustRightInd w:val="0"/>
        <w:spacing w:after="0" w:line="240" w:lineRule="auto"/>
        <w:rPr>
          <w:rFonts w:cstheme="minorHAnsi"/>
          <w:bCs/>
        </w:rPr>
      </w:pPr>
    </w:p>
    <w:p w:rsidR="008656BA" w:rsidRDefault="008656BA"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Default="008C54A9" w:rsidP="008C54A9">
      <w:pPr>
        <w:autoSpaceDE w:val="0"/>
        <w:autoSpaceDN w:val="0"/>
        <w:adjustRightInd w:val="0"/>
        <w:spacing w:after="0" w:line="240" w:lineRule="auto"/>
        <w:rPr>
          <w:rFonts w:cstheme="minorHAnsi"/>
          <w:bCs/>
        </w:rPr>
      </w:pPr>
    </w:p>
    <w:p w:rsidR="008656BA" w:rsidRPr="0032213D" w:rsidRDefault="008656BA" w:rsidP="008C54A9">
      <w:pPr>
        <w:autoSpaceDE w:val="0"/>
        <w:autoSpaceDN w:val="0"/>
        <w:adjustRightInd w:val="0"/>
        <w:spacing w:after="0" w:line="240" w:lineRule="auto"/>
        <w:rPr>
          <w:rFonts w:cs="Helvetica"/>
          <w:szCs w:val="20"/>
        </w:rPr>
      </w:pPr>
      <w:r w:rsidRPr="0032213D">
        <w:rPr>
          <w:rFonts w:cs="Helvetica"/>
          <w:szCs w:val="20"/>
        </w:rPr>
        <w:t xml:space="preserve">January 2013 – December 2013 </w:t>
      </w:r>
      <w:proofErr w:type="spellStart"/>
      <w:r w:rsidRPr="0032213D">
        <w:rPr>
          <w:rFonts w:cs="Helvetica"/>
          <w:szCs w:val="20"/>
        </w:rPr>
        <w:t>CROWNWeb</w:t>
      </w:r>
      <w:proofErr w:type="spellEnd"/>
      <w:r w:rsidRPr="0032213D">
        <w:rPr>
          <w:rFonts w:cs="Helvetica"/>
          <w:szCs w:val="20"/>
        </w:rPr>
        <w:t xml:space="preserve"> data were used to calculate the inter-unit reliability (IUR) for the overall 12 months to assess the reliability of this measure. The NQF-recommended approach for determining measure reliability is a one-way analysis of variance (ANOVA), in which the between and within facility variation in the measure is determined. The inter-unit reliability (IUR) measures the proportion of the measure variability that is attributable to the between-facility variance. The yearly based IUR was estimated using a bootstrap approach, which uses a resampling scheme to estimate the within facility variation that cannot be directly estimated by ANOVA. We note that the method for calculating the IUR was developed for measures that are approximately normally distributed across facilities.  </w:t>
      </w:r>
    </w:p>
    <w:p w:rsidR="008656BA" w:rsidRPr="00A25024" w:rsidRDefault="008656BA" w:rsidP="008C54A9">
      <w:pPr>
        <w:autoSpaceDE w:val="0"/>
        <w:autoSpaceDN w:val="0"/>
        <w:adjustRightInd w:val="0"/>
        <w:spacing w:after="0" w:line="240" w:lineRule="auto"/>
        <w:rPr>
          <w:rFonts w:cstheme="minorHAnsi"/>
          <w:bCs/>
        </w:rPr>
      </w:pPr>
    </w:p>
    <w:p w:rsidR="007422FD"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p>
    <w:p w:rsidR="008656BA" w:rsidRPr="0032213D" w:rsidRDefault="008656BA" w:rsidP="008C54A9">
      <w:pPr>
        <w:autoSpaceDE w:val="0"/>
        <w:autoSpaceDN w:val="0"/>
        <w:adjustRightInd w:val="0"/>
        <w:spacing w:after="0" w:line="240" w:lineRule="auto"/>
        <w:rPr>
          <w:szCs w:val="20"/>
        </w:rPr>
      </w:pPr>
      <w:r w:rsidRPr="0032213D">
        <w:rPr>
          <w:szCs w:val="20"/>
        </w:rPr>
        <w:t>The overall IUR was 0.84.</w:t>
      </w:r>
    </w:p>
    <w:p w:rsidR="008656BA" w:rsidRPr="00A25024" w:rsidRDefault="008656BA" w:rsidP="008C54A9">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8656BA" w:rsidRPr="0032213D" w:rsidRDefault="008656BA" w:rsidP="00DB3627">
      <w:pPr>
        <w:autoSpaceDE w:val="0"/>
        <w:autoSpaceDN w:val="0"/>
        <w:adjustRightInd w:val="0"/>
        <w:spacing w:after="0" w:line="240" w:lineRule="auto"/>
        <w:rPr>
          <w:rFonts w:cstheme="minorHAnsi"/>
          <w:bCs/>
          <w:sz w:val="24"/>
        </w:rPr>
      </w:pPr>
      <w:r w:rsidRPr="0032213D">
        <w:rPr>
          <w:szCs w:val="20"/>
        </w:rPr>
        <w:t>The IUR of 0.84indicates that about 84% of the variation in the UFR&gt;13 can be attributed to the between facility differences and 16% to within facility variation. This suggests that most of the variation observed in the measure is due to the differences between facilities as opposed to random variation within facilities.</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F8318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F8318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656BA" w:rsidRDefault="00092566" w:rsidP="008656BA">
      <w:pPr>
        <w:rPr>
          <w:sz w:val="20"/>
          <w:szCs w:val="20"/>
        </w:rPr>
      </w:pPr>
      <w:r>
        <w:rPr>
          <w:b/>
        </w:rPr>
        <w:t>2b2.</w:t>
      </w:r>
      <w:r w:rsidR="007757CE" w:rsidRPr="00A25024">
        <w:rPr>
          <w:b/>
        </w:rPr>
        <w:t xml:space="preserve">2. For each level </w:t>
      </w:r>
      <w:r w:rsidR="008F7E67">
        <w:rPr>
          <w:b/>
        </w:rPr>
        <w:t xml:space="preserve">of testing </w:t>
      </w:r>
      <w:r w:rsidR="007757CE" w:rsidRPr="00A25024">
        <w:rPr>
          <w:b/>
        </w:rPr>
        <w:t>checked above, describe the method of validity testing and what it tests</w:t>
      </w:r>
      <w:r w:rsidR="00833325" w:rsidRPr="00A25024">
        <w:t xml:space="preserve"> (</w:t>
      </w:r>
      <w:r w:rsidR="007757CE" w:rsidRPr="00A25024">
        <w:rPr>
          <w:i/>
        </w:rPr>
        <w:t>describe the steps―</w:t>
      </w:r>
      <w:r w:rsidR="00696262" w:rsidRPr="00A25024">
        <w:rPr>
          <w:i/>
        </w:rPr>
        <w:t xml:space="preserve">do </w:t>
      </w:r>
      <w:r w:rsidR="00A25024" w:rsidRPr="00A25024">
        <w:rPr>
          <w:i/>
        </w:rPr>
        <w:t xml:space="preserve">not just name a method; what was </w:t>
      </w:r>
      <w:r w:rsidR="00696262" w:rsidRPr="00A25024">
        <w:rPr>
          <w:i/>
        </w:rPr>
        <w:t>tested, e.g., accuracy of data elements compared to authoritative source, relationship to a</w:t>
      </w:r>
      <w:r w:rsidR="0022691B">
        <w:rPr>
          <w:i/>
        </w:rPr>
        <w:t>nother measure as expected; what statistical analysis was used</w:t>
      </w:r>
      <w:r w:rsidR="00696262" w:rsidRPr="00A25024">
        <w:rPr>
          <w:i/>
        </w:rPr>
        <w:t>)</w:t>
      </w:r>
      <w:r w:rsidR="00833325" w:rsidRPr="00A25024">
        <w:br/>
      </w:r>
    </w:p>
    <w:p w:rsidR="008656BA" w:rsidRPr="0032213D" w:rsidRDefault="008656BA" w:rsidP="008656BA">
      <w:pPr>
        <w:rPr>
          <w:szCs w:val="20"/>
        </w:rPr>
      </w:pPr>
      <w:r w:rsidRPr="0032213D">
        <w:rPr>
          <w:szCs w:val="20"/>
        </w:rPr>
        <w:t xml:space="preserve">Using </w:t>
      </w:r>
      <w:proofErr w:type="spellStart"/>
      <w:r w:rsidRPr="0032213D">
        <w:rPr>
          <w:szCs w:val="20"/>
        </w:rPr>
        <w:t>CROWNWeb</w:t>
      </w:r>
      <w:proofErr w:type="spellEnd"/>
      <w:r w:rsidRPr="0032213D">
        <w:rPr>
          <w:szCs w:val="20"/>
        </w:rPr>
        <w:t xml:space="preserve"> data for 2013, a Poisson regression analysis was performed with observed hospitalization, and mortality, respectively, by quintile levels of facilities with ultrafiltration &gt; 13 ml/kg/hr. The model using mortality was offset by expected mortality. The models included only facilities with at least 11 patients. The relative risk and 95% confidence intervals for hospitalization, and mortality, respectively, were reported for UFR quintiles 2-5, in reference to quintile 1. These were unpublished internal analyses performed by the University of Michigan - Kidney Epidemiology and Cost Center.</w:t>
      </w:r>
    </w:p>
    <w:p w:rsidR="008656BA" w:rsidRPr="0032213D" w:rsidRDefault="008656BA" w:rsidP="008656BA">
      <w:pPr>
        <w:rPr>
          <w:sz w:val="24"/>
        </w:rPr>
      </w:pPr>
      <w:r w:rsidRPr="0032213D">
        <w:rPr>
          <w:szCs w:val="20"/>
        </w:rPr>
        <w:t>In addition, in June 2013 there was an assessment of face validity based on polling of a CMS Technical Expert Panel (TEP) that took place after the in-person conference held in April 2013. 5/8 voting members of the Technical Expert Panel (TEP) voted to recommend development of a facility-level measure for reporting the percent of patients at dialysis facilities with an ultrafiltration rate greater than 13 ml/kg/hr. A recent observational study that examined different thresholds of UFR and their relationship to cardiovascular mortality showed an increased risk of cardiovascular mortality for UFR greater than 13 ml/kg/hr.</w:t>
      </w:r>
    </w:p>
    <w:p w:rsidR="00833325" w:rsidRPr="00A25024" w:rsidRDefault="00833325" w:rsidP="00DB3627">
      <w:pPr>
        <w:autoSpaceDE w:val="0"/>
        <w:autoSpaceDN w:val="0"/>
        <w:adjustRightInd w:val="0"/>
        <w:spacing w:after="0" w:line="240" w:lineRule="auto"/>
        <w:rPr>
          <w:rFonts w:cstheme="minorHAnsi"/>
          <w:bCs/>
        </w:rPr>
      </w:pPr>
    </w:p>
    <w:p w:rsidR="007422FD" w:rsidRPr="0032213D" w:rsidRDefault="00092566" w:rsidP="00092566">
      <w:pPr>
        <w:autoSpaceDE w:val="0"/>
        <w:autoSpaceDN w:val="0"/>
        <w:adjustRightInd w:val="0"/>
        <w:spacing w:after="0" w:line="240" w:lineRule="auto"/>
        <w:rPr>
          <w:rFonts w:cstheme="minorHAnsi"/>
          <w:bCs/>
          <w:sz w:val="24"/>
        </w:rPr>
      </w:pPr>
      <w:r>
        <w:rPr>
          <w:rFonts w:cstheme="minorHAnsi"/>
          <w:b/>
          <w:bCs/>
        </w:rPr>
        <w:t>2b2.</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p>
    <w:p w:rsidR="008656BA" w:rsidRPr="0032213D" w:rsidRDefault="008656BA" w:rsidP="008656BA">
      <w:pPr>
        <w:spacing w:after="0"/>
        <w:rPr>
          <w:rFonts w:eastAsiaTheme="minorHAnsi"/>
          <w:szCs w:val="20"/>
        </w:rPr>
      </w:pPr>
      <w:r w:rsidRPr="0032213D">
        <w:rPr>
          <w:rFonts w:eastAsiaTheme="minorHAnsi"/>
          <w:i/>
          <w:szCs w:val="20"/>
          <w:u w:val="single"/>
        </w:rPr>
        <w:t xml:space="preserve">Hospitalizations (admissions): </w:t>
      </w:r>
    </w:p>
    <w:tbl>
      <w:tblPr>
        <w:tblW w:w="11520" w:type="dxa"/>
        <w:tblInd w:w="10" w:type="dxa"/>
        <w:tblCellMar>
          <w:left w:w="10" w:type="dxa"/>
          <w:right w:w="10" w:type="dxa"/>
        </w:tblCellMar>
        <w:tblLook w:val="0000" w:firstRow="0" w:lastRow="0" w:firstColumn="0" w:lastColumn="0" w:noHBand="0" w:noVBand="0"/>
      </w:tblPr>
      <w:tblGrid>
        <w:gridCol w:w="11520"/>
      </w:tblGrid>
      <w:tr w:rsidR="008656BA" w:rsidRPr="0032213D" w:rsidTr="004A2217">
        <w:trPr>
          <w:cantSplit/>
        </w:trPr>
        <w:tc>
          <w:tcPr>
            <w:tcW w:w="11520" w:type="dxa"/>
            <w:tcBorders>
              <w:top w:val="nil"/>
              <w:left w:val="nil"/>
              <w:bottom w:val="nil"/>
              <w:right w:val="nil"/>
            </w:tcBorders>
            <w:shd w:val="clear" w:color="auto" w:fill="FFFFFF"/>
          </w:tcPr>
          <w:p w:rsidR="008656BA" w:rsidRPr="0032213D" w:rsidRDefault="008656BA" w:rsidP="004A2217">
            <w:pPr>
              <w:spacing w:after="0"/>
              <w:rPr>
                <w:rFonts w:eastAsiaTheme="minorHAnsi"/>
                <w:b/>
                <w:bCs/>
                <w:i/>
                <w:iCs/>
                <w:szCs w:val="20"/>
              </w:rPr>
            </w:pPr>
            <w:r w:rsidRPr="0032213D">
              <w:rPr>
                <w:rFonts w:eastAsiaTheme="minorHAnsi"/>
                <w:b/>
                <w:bCs/>
                <w:i/>
                <w:iCs/>
                <w:szCs w:val="20"/>
              </w:rPr>
              <w:t>Poisson Regression of Facility UFR &gt; 13 Quintiles</w:t>
            </w:r>
          </w:p>
        </w:tc>
      </w:tr>
      <w:tr w:rsidR="008656BA" w:rsidRPr="0032213D" w:rsidTr="004A2217">
        <w:trPr>
          <w:cantSplit/>
        </w:trPr>
        <w:tc>
          <w:tcPr>
            <w:tcW w:w="11520" w:type="dxa"/>
            <w:tcBorders>
              <w:top w:val="nil"/>
              <w:left w:val="nil"/>
              <w:bottom w:val="nil"/>
              <w:right w:val="nil"/>
            </w:tcBorders>
            <w:shd w:val="clear" w:color="auto" w:fill="FFFFFF"/>
          </w:tcPr>
          <w:p w:rsidR="008656BA" w:rsidRPr="0032213D" w:rsidRDefault="008656BA" w:rsidP="004A2217">
            <w:pPr>
              <w:spacing w:after="0"/>
              <w:rPr>
                <w:rFonts w:eastAsiaTheme="minorHAnsi"/>
                <w:b/>
                <w:bCs/>
                <w:i/>
                <w:iCs/>
                <w:szCs w:val="20"/>
              </w:rPr>
            </w:pPr>
            <w:r w:rsidRPr="0032213D">
              <w:rPr>
                <w:rFonts w:eastAsiaTheme="minorHAnsi"/>
                <w:b/>
                <w:bCs/>
                <w:i/>
                <w:iCs/>
                <w:szCs w:val="20"/>
              </w:rPr>
              <w:t>Facilities with at least 11 patients and at least 5 patient years at risk</w:t>
            </w:r>
          </w:p>
        </w:tc>
      </w:tr>
    </w:tbl>
    <w:p w:rsidR="008656BA" w:rsidRPr="004702B6" w:rsidRDefault="008656BA" w:rsidP="008656BA">
      <w:pPr>
        <w:spacing w:after="0"/>
        <w:rPr>
          <w:rFonts w:eastAsiaTheme="minorHAnsi"/>
          <w:sz w:val="20"/>
          <w:szCs w:val="20"/>
        </w:rPr>
      </w:pPr>
    </w:p>
    <w:tbl>
      <w:tblPr>
        <w:tblW w:w="10040" w:type="dxa"/>
        <w:tblInd w:w="93" w:type="dxa"/>
        <w:tblLook w:val="04A0" w:firstRow="1" w:lastRow="0" w:firstColumn="1" w:lastColumn="0" w:noHBand="0" w:noVBand="1"/>
      </w:tblPr>
      <w:tblGrid>
        <w:gridCol w:w="2416"/>
        <w:gridCol w:w="622"/>
        <w:gridCol w:w="944"/>
        <w:gridCol w:w="1232"/>
        <w:gridCol w:w="891"/>
        <w:gridCol w:w="774"/>
        <w:gridCol w:w="774"/>
        <w:gridCol w:w="1339"/>
        <w:gridCol w:w="1048"/>
      </w:tblGrid>
      <w:tr w:rsidR="008656BA" w:rsidRPr="004702B6" w:rsidTr="004A2217">
        <w:trPr>
          <w:cantSplit/>
          <w:trHeight w:val="754"/>
        </w:trPr>
        <w:tc>
          <w:tcPr>
            <w:tcW w:w="2760" w:type="dxa"/>
            <w:tcBorders>
              <w:top w:val="single" w:sz="8" w:space="0" w:color="auto"/>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bookmarkStart w:id="11" w:name="IDX"/>
            <w:bookmarkEnd w:id="11"/>
            <w:r w:rsidRPr="004702B6">
              <w:rPr>
                <w:rFonts w:eastAsia="Times New Roman"/>
                <w:b/>
                <w:bCs/>
                <w:sz w:val="20"/>
                <w:szCs w:val="20"/>
              </w:rPr>
              <w:t>Parameter</w:t>
            </w:r>
          </w:p>
        </w:tc>
        <w:tc>
          <w:tcPr>
            <w:tcW w:w="520"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N</w:t>
            </w:r>
          </w:p>
        </w:tc>
        <w:tc>
          <w:tcPr>
            <w:tcW w:w="820"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Estimate</w:t>
            </w:r>
          </w:p>
        </w:tc>
        <w:tc>
          <w:tcPr>
            <w:tcW w:w="1300"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Standard Error</w:t>
            </w:r>
          </w:p>
        </w:tc>
        <w:tc>
          <w:tcPr>
            <w:tcW w:w="760"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 xml:space="preserve">Relative </w:t>
            </w:r>
            <w:r w:rsidRPr="004702B6">
              <w:rPr>
                <w:rFonts w:eastAsia="Times New Roman"/>
                <w:b/>
                <w:bCs/>
                <w:sz w:val="20"/>
                <w:szCs w:val="20"/>
              </w:rPr>
              <w:br/>
              <w:t>Risk</w:t>
            </w:r>
          </w:p>
        </w:tc>
        <w:tc>
          <w:tcPr>
            <w:tcW w:w="1480" w:type="dxa"/>
            <w:gridSpan w:val="2"/>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Wald 95% Confidence Limits</w:t>
            </w:r>
          </w:p>
        </w:tc>
        <w:tc>
          <w:tcPr>
            <w:tcW w:w="1480"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Wald Chi-Square</w:t>
            </w:r>
          </w:p>
        </w:tc>
        <w:tc>
          <w:tcPr>
            <w:tcW w:w="920" w:type="dxa"/>
            <w:tcBorders>
              <w:top w:val="single" w:sz="8" w:space="0" w:color="auto"/>
              <w:left w:val="nil"/>
              <w:bottom w:val="single" w:sz="4" w:space="0" w:color="auto"/>
              <w:right w:val="single" w:sz="8" w:space="0" w:color="auto"/>
            </w:tcBorders>
            <w:shd w:val="clear" w:color="000000" w:fill="BBBBBB"/>
            <w:vAlign w:val="center"/>
            <w:hideMark/>
          </w:tcPr>
          <w:p w:rsidR="008656BA" w:rsidRPr="004702B6" w:rsidRDefault="008656BA" w:rsidP="004A2217">
            <w:pPr>
              <w:spacing w:after="0"/>
              <w:jc w:val="center"/>
              <w:rPr>
                <w:rFonts w:eastAsia="Times New Roman"/>
                <w:b/>
                <w:bCs/>
                <w:sz w:val="20"/>
                <w:szCs w:val="20"/>
              </w:rPr>
            </w:pPr>
            <w:proofErr w:type="spellStart"/>
            <w:r w:rsidRPr="004702B6">
              <w:rPr>
                <w:rFonts w:eastAsia="Times New Roman"/>
                <w:b/>
                <w:bCs/>
                <w:sz w:val="20"/>
                <w:szCs w:val="20"/>
              </w:rPr>
              <w:t>Pr</w:t>
            </w:r>
            <w:proofErr w:type="spellEnd"/>
            <w:r w:rsidRPr="004702B6">
              <w:rPr>
                <w:rFonts w:eastAsia="Times New Roman"/>
                <w:b/>
                <w:bCs/>
                <w:sz w:val="20"/>
                <w:szCs w:val="20"/>
              </w:rPr>
              <w:t> &gt; </w:t>
            </w:r>
            <w:proofErr w:type="spellStart"/>
            <w:r w:rsidRPr="004702B6">
              <w:rPr>
                <w:rFonts w:eastAsia="Times New Roman"/>
                <w:b/>
                <w:bCs/>
                <w:sz w:val="20"/>
                <w:szCs w:val="20"/>
              </w:rPr>
              <w:t>ChiSq</w:t>
            </w:r>
            <w:proofErr w:type="spellEnd"/>
          </w:p>
        </w:tc>
      </w:tr>
      <w:tr w:rsidR="008656BA" w:rsidRPr="004702B6" w:rsidTr="004A2217">
        <w:trPr>
          <w:cantSplit/>
          <w:trHeight w:val="300"/>
        </w:trPr>
        <w:tc>
          <w:tcPr>
            <w:tcW w:w="2760"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r w:rsidRPr="004702B6">
              <w:rPr>
                <w:rFonts w:eastAsia="Times New Roman"/>
                <w:b/>
                <w:bCs/>
                <w:sz w:val="20"/>
                <w:szCs w:val="20"/>
              </w:rPr>
              <w:t>Intercept</w:t>
            </w:r>
          </w:p>
        </w:tc>
        <w:tc>
          <w:tcPr>
            <w:tcW w:w="5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8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-0.0537</w:t>
            </w:r>
          </w:p>
        </w:tc>
        <w:tc>
          <w:tcPr>
            <w:tcW w:w="130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0.0086</w:t>
            </w:r>
          </w:p>
        </w:tc>
        <w:tc>
          <w:tcPr>
            <w:tcW w:w="76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-0.071</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-0.037</w:t>
            </w:r>
          </w:p>
        </w:tc>
        <w:tc>
          <w:tcPr>
            <w:tcW w:w="148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39.05</w:t>
            </w:r>
          </w:p>
        </w:tc>
        <w:tc>
          <w:tcPr>
            <w:tcW w:w="92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jc w:val="right"/>
              <w:rPr>
                <w:rFonts w:eastAsia="Times New Roman"/>
                <w:sz w:val="20"/>
                <w:szCs w:val="20"/>
              </w:rPr>
            </w:pPr>
            <w:r w:rsidRPr="004702B6">
              <w:rPr>
                <w:rFonts w:eastAsia="Times New Roman"/>
                <w:sz w:val="20"/>
                <w:szCs w:val="20"/>
              </w:rPr>
              <w:t>&lt;.0001</w:t>
            </w:r>
          </w:p>
        </w:tc>
      </w:tr>
      <w:tr w:rsidR="008656BA" w:rsidRPr="004702B6" w:rsidTr="004A2217">
        <w:trPr>
          <w:trHeight w:val="300"/>
        </w:trPr>
        <w:tc>
          <w:tcPr>
            <w:tcW w:w="2760"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r w:rsidRPr="004702B6">
              <w:rPr>
                <w:rFonts w:eastAsia="Times New Roman"/>
                <w:b/>
                <w:bCs/>
                <w:sz w:val="20"/>
                <w:szCs w:val="20"/>
              </w:rPr>
              <w:t>Reference (Quintile 1) (0 - 9.49)</w:t>
            </w:r>
          </w:p>
        </w:tc>
        <w:tc>
          <w:tcPr>
            <w:tcW w:w="5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1111</w:t>
            </w:r>
          </w:p>
        </w:tc>
        <w:tc>
          <w:tcPr>
            <w:tcW w:w="8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130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76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148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 </w:t>
            </w:r>
          </w:p>
        </w:tc>
        <w:tc>
          <w:tcPr>
            <w:tcW w:w="92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jc w:val="right"/>
              <w:rPr>
                <w:rFonts w:eastAsia="Times New Roman"/>
                <w:sz w:val="20"/>
                <w:szCs w:val="20"/>
              </w:rPr>
            </w:pPr>
            <w:r w:rsidRPr="004702B6">
              <w:rPr>
                <w:rFonts w:eastAsia="Times New Roman"/>
                <w:sz w:val="20"/>
                <w:szCs w:val="20"/>
              </w:rPr>
              <w:t> </w:t>
            </w:r>
          </w:p>
        </w:tc>
      </w:tr>
      <w:tr w:rsidR="008656BA" w:rsidRPr="004702B6" w:rsidTr="004A2217">
        <w:trPr>
          <w:cantSplit/>
          <w:trHeight w:val="300"/>
        </w:trPr>
        <w:tc>
          <w:tcPr>
            <w:tcW w:w="2760"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r w:rsidRPr="004702B6">
              <w:rPr>
                <w:rFonts w:eastAsia="Times New Roman"/>
                <w:b/>
                <w:bCs/>
                <w:sz w:val="20"/>
                <w:szCs w:val="20"/>
              </w:rPr>
              <w:t>Quintile 2 (9.50 - 13.18)</w:t>
            </w:r>
          </w:p>
        </w:tc>
        <w:tc>
          <w:tcPr>
            <w:tcW w:w="5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1111</w:t>
            </w:r>
          </w:p>
        </w:tc>
        <w:tc>
          <w:tcPr>
            <w:tcW w:w="8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0.0489</w:t>
            </w:r>
          </w:p>
        </w:tc>
        <w:tc>
          <w:tcPr>
            <w:tcW w:w="130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0.0116</w:t>
            </w:r>
          </w:p>
        </w:tc>
        <w:tc>
          <w:tcPr>
            <w:tcW w:w="76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1.05</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0.0262</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0.0717</w:t>
            </w:r>
          </w:p>
        </w:tc>
        <w:tc>
          <w:tcPr>
            <w:tcW w:w="148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17.74</w:t>
            </w:r>
          </w:p>
        </w:tc>
        <w:tc>
          <w:tcPr>
            <w:tcW w:w="92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jc w:val="right"/>
              <w:rPr>
                <w:rFonts w:eastAsia="Times New Roman"/>
                <w:b/>
                <w:bCs/>
                <w:sz w:val="20"/>
                <w:szCs w:val="20"/>
              </w:rPr>
            </w:pPr>
            <w:r w:rsidRPr="004702B6">
              <w:rPr>
                <w:rFonts w:eastAsia="Times New Roman"/>
                <w:b/>
                <w:bCs/>
                <w:sz w:val="20"/>
                <w:szCs w:val="20"/>
              </w:rPr>
              <w:t>&lt;.0001</w:t>
            </w:r>
          </w:p>
        </w:tc>
      </w:tr>
      <w:tr w:rsidR="008656BA" w:rsidRPr="004702B6" w:rsidTr="004A2217">
        <w:trPr>
          <w:cantSplit/>
          <w:trHeight w:val="300"/>
        </w:trPr>
        <w:tc>
          <w:tcPr>
            <w:tcW w:w="2760"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r w:rsidRPr="004702B6">
              <w:rPr>
                <w:rFonts w:eastAsia="Times New Roman"/>
                <w:b/>
                <w:bCs/>
                <w:sz w:val="20"/>
                <w:szCs w:val="20"/>
              </w:rPr>
              <w:t>Quintile 3 (13.19 - 16.78)</w:t>
            </w:r>
          </w:p>
        </w:tc>
        <w:tc>
          <w:tcPr>
            <w:tcW w:w="5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1112</w:t>
            </w:r>
          </w:p>
        </w:tc>
        <w:tc>
          <w:tcPr>
            <w:tcW w:w="8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0.0731</w:t>
            </w:r>
          </w:p>
        </w:tc>
        <w:tc>
          <w:tcPr>
            <w:tcW w:w="130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0.0115</w:t>
            </w:r>
          </w:p>
        </w:tc>
        <w:tc>
          <w:tcPr>
            <w:tcW w:w="76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1.08</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0.0506</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0.0957</w:t>
            </w:r>
          </w:p>
        </w:tc>
        <w:tc>
          <w:tcPr>
            <w:tcW w:w="148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40.4</w:t>
            </w:r>
          </w:p>
        </w:tc>
        <w:tc>
          <w:tcPr>
            <w:tcW w:w="92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jc w:val="right"/>
              <w:rPr>
                <w:rFonts w:eastAsia="Times New Roman"/>
                <w:b/>
                <w:bCs/>
                <w:sz w:val="20"/>
                <w:szCs w:val="20"/>
              </w:rPr>
            </w:pPr>
            <w:r w:rsidRPr="004702B6">
              <w:rPr>
                <w:rFonts w:eastAsia="Times New Roman"/>
                <w:b/>
                <w:bCs/>
                <w:sz w:val="20"/>
                <w:szCs w:val="20"/>
              </w:rPr>
              <w:t>&lt;.0001</w:t>
            </w:r>
          </w:p>
        </w:tc>
      </w:tr>
      <w:tr w:rsidR="008656BA" w:rsidRPr="004702B6" w:rsidTr="004A2217">
        <w:trPr>
          <w:cantSplit/>
          <w:trHeight w:val="300"/>
        </w:trPr>
        <w:tc>
          <w:tcPr>
            <w:tcW w:w="2760"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r w:rsidRPr="004702B6">
              <w:rPr>
                <w:rFonts w:eastAsia="Times New Roman"/>
                <w:b/>
                <w:bCs/>
                <w:sz w:val="20"/>
                <w:szCs w:val="20"/>
              </w:rPr>
              <w:t>Quintile 4 (16.78 - 21.61)</w:t>
            </w:r>
          </w:p>
        </w:tc>
        <w:tc>
          <w:tcPr>
            <w:tcW w:w="5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1110</w:t>
            </w:r>
          </w:p>
        </w:tc>
        <w:tc>
          <w:tcPr>
            <w:tcW w:w="82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0.061</w:t>
            </w:r>
          </w:p>
        </w:tc>
        <w:tc>
          <w:tcPr>
            <w:tcW w:w="130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0.0116</w:t>
            </w:r>
          </w:p>
        </w:tc>
        <w:tc>
          <w:tcPr>
            <w:tcW w:w="76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1.06</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0.0383</w:t>
            </w:r>
          </w:p>
        </w:tc>
        <w:tc>
          <w:tcPr>
            <w:tcW w:w="74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0.0837</w:t>
            </w:r>
          </w:p>
        </w:tc>
        <w:tc>
          <w:tcPr>
            <w:tcW w:w="1480"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27.71</w:t>
            </w:r>
          </w:p>
        </w:tc>
        <w:tc>
          <w:tcPr>
            <w:tcW w:w="92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jc w:val="right"/>
              <w:rPr>
                <w:rFonts w:eastAsia="Times New Roman"/>
                <w:b/>
                <w:bCs/>
                <w:sz w:val="20"/>
                <w:szCs w:val="20"/>
              </w:rPr>
            </w:pPr>
            <w:r w:rsidRPr="004702B6">
              <w:rPr>
                <w:rFonts w:eastAsia="Times New Roman"/>
                <w:b/>
                <w:bCs/>
                <w:sz w:val="20"/>
                <w:szCs w:val="20"/>
              </w:rPr>
              <w:t>&lt;.0001</w:t>
            </w:r>
          </w:p>
        </w:tc>
      </w:tr>
      <w:tr w:rsidR="008656BA" w:rsidRPr="004702B6" w:rsidTr="004A2217">
        <w:trPr>
          <w:cantSplit/>
          <w:trHeight w:val="315"/>
        </w:trPr>
        <w:tc>
          <w:tcPr>
            <w:tcW w:w="2760" w:type="dxa"/>
            <w:tcBorders>
              <w:top w:val="nil"/>
              <w:left w:val="single" w:sz="8" w:space="0" w:color="auto"/>
              <w:bottom w:val="single" w:sz="8" w:space="0" w:color="auto"/>
              <w:right w:val="single" w:sz="4" w:space="0" w:color="auto"/>
            </w:tcBorders>
            <w:shd w:val="clear" w:color="000000" w:fill="BBBBBB"/>
            <w:vAlign w:val="center"/>
            <w:hideMark/>
          </w:tcPr>
          <w:p w:rsidR="008656BA" w:rsidRPr="004702B6" w:rsidRDefault="008656BA" w:rsidP="004A2217">
            <w:pPr>
              <w:spacing w:after="0"/>
              <w:rPr>
                <w:rFonts w:eastAsia="Times New Roman"/>
                <w:b/>
                <w:bCs/>
                <w:sz w:val="20"/>
                <w:szCs w:val="20"/>
              </w:rPr>
            </w:pPr>
            <w:r w:rsidRPr="004702B6">
              <w:rPr>
                <w:rFonts w:eastAsia="Times New Roman"/>
                <w:b/>
                <w:bCs/>
                <w:sz w:val="20"/>
                <w:szCs w:val="20"/>
              </w:rPr>
              <w:lastRenderedPageBreak/>
              <w:t>Quintile 5 (21.62 - 74.19)</w:t>
            </w:r>
          </w:p>
        </w:tc>
        <w:tc>
          <w:tcPr>
            <w:tcW w:w="52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1112</w:t>
            </w:r>
          </w:p>
        </w:tc>
        <w:tc>
          <w:tcPr>
            <w:tcW w:w="82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0.0286</w:t>
            </w:r>
          </w:p>
        </w:tc>
        <w:tc>
          <w:tcPr>
            <w:tcW w:w="130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0.0117</w:t>
            </w:r>
          </w:p>
        </w:tc>
        <w:tc>
          <w:tcPr>
            <w:tcW w:w="76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b/>
                <w:bCs/>
                <w:sz w:val="20"/>
                <w:szCs w:val="20"/>
              </w:rPr>
            </w:pPr>
            <w:r w:rsidRPr="004702B6">
              <w:rPr>
                <w:rFonts w:eastAsia="Times New Roman"/>
                <w:b/>
                <w:bCs/>
                <w:sz w:val="20"/>
                <w:szCs w:val="20"/>
              </w:rPr>
              <w:t>1.03</w:t>
            </w:r>
          </w:p>
        </w:tc>
        <w:tc>
          <w:tcPr>
            <w:tcW w:w="74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0.0057</w:t>
            </w:r>
          </w:p>
        </w:tc>
        <w:tc>
          <w:tcPr>
            <w:tcW w:w="74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0.0515</w:t>
            </w:r>
          </w:p>
        </w:tc>
        <w:tc>
          <w:tcPr>
            <w:tcW w:w="1480"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jc w:val="center"/>
              <w:rPr>
                <w:rFonts w:eastAsia="Times New Roman"/>
                <w:sz w:val="20"/>
                <w:szCs w:val="20"/>
              </w:rPr>
            </w:pPr>
            <w:r w:rsidRPr="004702B6">
              <w:rPr>
                <w:rFonts w:eastAsia="Times New Roman"/>
                <w:sz w:val="20"/>
                <w:szCs w:val="20"/>
              </w:rPr>
              <w:t>6.01</w:t>
            </w:r>
          </w:p>
        </w:tc>
        <w:tc>
          <w:tcPr>
            <w:tcW w:w="920" w:type="dxa"/>
            <w:tcBorders>
              <w:top w:val="nil"/>
              <w:left w:val="nil"/>
              <w:bottom w:val="single" w:sz="8" w:space="0" w:color="auto"/>
              <w:right w:val="single" w:sz="8" w:space="0" w:color="auto"/>
            </w:tcBorders>
            <w:shd w:val="clear" w:color="000000" w:fill="FFFFFF"/>
            <w:vAlign w:val="center"/>
            <w:hideMark/>
          </w:tcPr>
          <w:p w:rsidR="008656BA" w:rsidRPr="004702B6" w:rsidRDefault="008656BA" w:rsidP="004A2217">
            <w:pPr>
              <w:spacing w:after="0"/>
              <w:jc w:val="right"/>
              <w:rPr>
                <w:rFonts w:eastAsia="Times New Roman"/>
                <w:b/>
                <w:bCs/>
                <w:sz w:val="20"/>
                <w:szCs w:val="20"/>
              </w:rPr>
            </w:pPr>
            <w:r w:rsidRPr="004702B6">
              <w:rPr>
                <w:rFonts w:eastAsia="Times New Roman"/>
                <w:b/>
                <w:bCs/>
                <w:sz w:val="20"/>
                <w:szCs w:val="20"/>
              </w:rPr>
              <w:t>0.0143</w:t>
            </w:r>
          </w:p>
        </w:tc>
      </w:tr>
    </w:tbl>
    <w:p w:rsidR="008656BA" w:rsidRPr="004702B6" w:rsidRDefault="008656BA" w:rsidP="008656BA">
      <w:pPr>
        <w:spacing w:after="0"/>
        <w:rPr>
          <w:rFonts w:eastAsiaTheme="minorHAnsi"/>
          <w:sz w:val="20"/>
          <w:szCs w:val="20"/>
        </w:rPr>
      </w:pPr>
    </w:p>
    <w:p w:rsidR="008656BA" w:rsidRDefault="008656BA" w:rsidP="008656BA">
      <w:pPr>
        <w:spacing w:after="0"/>
        <w:rPr>
          <w:rFonts w:eastAsiaTheme="minorHAnsi"/>
          <w:i/>
          <w:sz w:val="20"/>
          <w:szCs w:val="20"/>
          <w:u w:val="single"/>
        </w:rPr>
      </w:pPr>
    </w:p>
    <w:p w:rsidR="008656BA" w:rsidRPr="0032213D" w:rsidRDefault="008656BA" w:rsidP="008656BA">
      <w:pPr>
        <w:spacing w:after="0"/>
        <w:rPr>
          <w:rFonts w:eastAsiaTheme="minorHAnsi"/>
          <w:szCs w:val="20"/>
        </w:rPr>
      </w:pPr>
      <w:r w:rsidRPr="0032213D">
        <w:rPr>
          <w:rFonts w:eastAsiaTheme="minorHAnsi"/>
          <w:i/>
          <w:szCs w:val="20"/>
          <w:u w:val="single"/>
        </w:rPr>
        <w:t xml:space="preserve">Mortality: </w:t>
      </w:r>
    </w:p>
    <w:tbl>
      <w:tblPr>
        <w:tblW w:w="0" w:type="auto"/>
        <w:tblInd w:w="10" w:type="dxa"/>
        <w:tblCellMar>
          <w:left w:w="10" w:type="dxa"/>
          <w:right w:w="10" w:type="dxa"/>
        </w:tblCellMar>
        <w:tblLook w:val="0000" w:firstRow="0" w:lastRow="0" w:firstColumn="0" w:lastColumn="0" w:noHBand="0" w:noVBand="0"/>
      </w:tblPr>
      <w:tblGrid>
        <w:gridCol w:w="9370"/>
      </w:tblGrid>
      <w:tr w:rsidR="008656BA" w:rsidRPr="0032213D" w:rsidTr="008656BA">
        <w:trPr>
          <w:cantSplit/>
        </w:trPr>
        <w:tc>
          <w:tcPr>
            <w:tcW w:w="9370" w:type="dxa"/>
            <w:tcBorders>
              <w:top w:val="nil"/>
              <w:left w:val="nil"/>
              <w:bottom w:val="nil"/>
              <w:right w:val="nil"/>
            </w:tcBorders>
            <w:shd w:val="clear" w:color="auto" w:fill="FFFFFF"/>
          </w:tcPr>
          <w:p w:rsidR="008656BA" w:rsidRPr="0032213D" w:rsidRDefault="008656BA" w:rsidP="004A2217">
            <w:pPr>
              <w:spacing w:after="0"/>
              <w:rPr>
                <w:rFonts w:eastAsiaTheme="minorHAnsi"/>
                <w:b/>
                <w:bCs/>
                <w:i/>
                <w:iCs/>
                <w:szCs w:val="20"/>
              </w:rPr>
            </w:pPr>
            <w:r w:rsidRPr="0032213D">
              <w:rPr>
                <w:rFonts w:eastAsiaTheme="minorHAnsi"/>
                <w:b/>
                <w:bCs/>
                <w:i/>
                <w:iCs/>
                <w:szCs w:val="20"/>
              </w:rPr>
              <w:t>Poisson Regression of Facility UFR &gt; 13 Quintiles</w:t>
            </w:r>
          </w:p>
        </w:tc>
      </w:tr>
      <w:tr w:rsidR="008656BA" w:rsidRPr="0032213D" w:rsidTr="008656BA">
        <w:trPr>
          <w:cantSplit/>
        </w:trPr>
        <w:tc>
          <w:tcPr>
            <w:tcW w:w="9370" w:type="dxa"/>
            <w:tcBorders>
              <w:top w:val="nil"/>
              <w:left w:val="nil"/>
              <w:bottom w:val="nil"/>
              <w:right w:val="nil"/>
            </w:tcBorders>
            <w:shd w:val="clear" w:color="auto" w:fill="FFFFFF"/>
          </w:tcPr>
          <w:p w:rsidR="008656BA" w:rsidRPr="0032213D" w:rsidRDefault="008656BA" w:rsidP="004A2217">
            <w:pPr>
              <w:spacing w:after="0"/>
              <w:rPr>
                <w:rFonts w:eastAsiaTheme="minorHAnsi"/>
                <w:b/>
                <w:bCs/>
                <w:i/>
                <w:iCs/>
                <w:szCs w:val="20"/>
              </w:rPr>
            </w:pPr>
            <w:r w:rsidRPr="0032213D">
              <w:rPr>
                <w:rFonts w:eastAsiaTheme="minorHAnsi"/>
                <w:b/>
                <w:bCs/>
                <w:i/>
                <w:iCs/>
                <w:szCs w:val="20"/>
              </w:rPr>
              <w:t>Facilities with at least 11 patients and at least 3 expected deaths</w:t>
            </w:r>
          </w:p>
        </w:tc>
      </w:tr>
    </w:tbl>
    <w:p w:rsidR="008656BA" w:rsidRPr="004702B6" w:rsidRDefault="008656BA" w:rsidP="008656BA">
      <w:pPr>
        <w:spacing w:after="0"/>
        <w:rPr>
          <w:rFonts w:eastAsiaTheme="minorHAnsi"/>
          <w:sz w:val="20"/>
          <w:szCs w:val="20"/>
        </w:rPr>
      </w:pPr>
    </w:p>
    <w:tbl>
      <w:tblPr>
        <w:tblW w:w="9915" w:type="dxa"/>
        <w:tblInd w:w="93" w:type="dxa"/>
        <w:tblLook w:val="04A0" w:firstRow="1" w:lastRow="0" w:firstColumn="1" w:lastColumn="0" w:noHBand="0" w:noVBand="1"/>
      </w:tblPr>
      <w:tblGrid>
        <w:gridCol w:w="2289"/>
        <w:gridCol w:w="671"/>
        <w:gridCol w:w="1018"/>
        <w:gridCol w:w="1047"/>
        <w:gridCol w:w="961"/>
        <w:gridCol w:w="835"/>
        <w:gridCol w:w="918"/>
        <w:gridCol w:w="1096"/>
        <w:gridCol w:w="1080"/>
      </w:tblGrid>
      <w:tr w:rsidR="008656BA" w:rsidRPr="004702B6" w:rsidTr="004A2217">
        <w:trPr>
          <w:cantSplit/>
          <w:trHeight w:val="503"/>
        </w:trPr>
        <w:tc>
          <w:tcPr>
            <w:tcW w:w="2289" w:type="dxa"/>
            <w:tcBorders>
              <w:top w:val="single" w:sz="8" w:space="0" w:color="auto"/>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Parameter</w:t>
            </w:r>
          </w:p>
        </w:tc>
        <w:tc>
          <w:tcPr>
            <w:tcW w:w="671"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N</w:t>
            </w:r>
          </w:p>
        </w:tc>
        <w:tc>
          <w:tcPr>
            <w:tcW w:w="1018"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Estimate</w:t>
            </w:r>
          </w:p>
        </w:tc>
        <w:tc>
          <w:tcPr>
            <w:tcW w:w="1047"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Standard Error</w:t>
            </w:r>
          </w:p>
        </w:tc>
        <w:tc>
          <w:tcPr>
            <w:tcW w:w="961"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 xml:space="preserve">Relative Risk </w:t>
            </w:r>
          </w:p>
        </w:tc>
        <w:tc>
          <w:tcPr>
            <w:tcW w:w="1753" w:type="dxa"/>
            <w:gridSpan w:val="2"/>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Wald 95% Confidence Limits</w:t>
            </w:r>
          </w:p>
        </w:tc>
        <w:tc>
          <w:tcPr>
            <w:tcW w:w="1096" w:type="dxa"/>
            <w:tcBorders>
              <w:top w:val="single" w:sz="8" w:space="0" w:color="auto"/>
              <w:left w:val="nil"/>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Wald Chi-Square</w:t>
            </w:r>
          </w:p>
        </w:tc>
        <w:tc>
          <w:tcPr>
            <w:tcW w:w="1080" w:type="dxa"/>
            <w:tcBorders>
              <w:top w:val="single" w:sz="8" w:space="0" w:color="auto"/>
              <w:left w:val="nil"/>
              <w:bottom w:val="single" w:sz="4" w:space="0" w:color="auto"/>
              <w:right w:val="single" w:sz="8"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proofErr w:type="spellStart"/>
            <w:r w:rsidRPr="004702B6">
              <w:rPr>
                <w:rFonts w:eastAsiaTheme="minorHAnsi"/>
                <w:b/>
                <w:bCs/>
                <w:sz w:val="20"/>
                <w:szCs w:val="20"/>
              </w:rPr>
              <w:t>Pr</w:t>
            </w:r>
            <w:proofErr w:type="spellEnd"/>
            <w:r w:rsidRPr="004702B6">
              <w:rPr>
                <w:rFonts w:eastAsiaTheme="minorHAnsi"/>
                <w:b/>
                <w:bCs/>
                <w:sz w:val="20"/>
                <w:szCs w:val="20"/>
              </w:rPr>
              <w:t> &gt; </w:t>
            </w:r>
            <w:proofErr w:type="spellStart"/>
            <w:r w:rsidRPr="004702B6">
              <w:rPr>
                <w:rFonts w:eastAsiaTheme="minorHAnsi"/>
                <w:b/>
                <w:bCs/>
                <w:sz w:val="20"/>
                <w:szCs w:val="20"/>
              </w:rPr>
              <w:t>ChiSq</w:t>
            </w:r>
            <w:proofErr w:type="spellEnd"/>
          </w:p>
        </w:tc>
      </w:tr>
      <w:tr w:rsidR="008656BA" w:rsidRPr="004702B6" w:rsidTr="004A2217">
        <w:trPr>
          <w:cantSplit/>
          <w:trHeight w:val="252"/>
        </w:trPr>
        <w:tc>
          <w:tcPr>
            <w:tcW w:w="2289"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Intercept</w:t>
            </w:r>
          </w:p>
        </w:tc>
        <w:tc>
          <w:tcPr>
            <w:tcW w:w="67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10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-0.0327</w:t>
            </w:r>
          </w:p>
        </w:tc>
        <w:tc>
          <w:tcPr>
            <w:tcW w:w="1047"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0.011</w:t>
            </w:r>
          </w:p>
        </w:tc>
        <w:tc>
          <w:tcPr>
            <w:tcW w:w="96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835"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-0.054</w:t>
            </w:r>
          </w:p>
        </w:tc>
        <w:tc>
          <w:tcPr>
            <w:tcW w:w="9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-0.011</w:t>
            </w:r>
          </w:p>
        </w:tc>
        <w:tc>
          <w:tcPr>
            <w:tcW w:w="1096"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8.87</w:t>
            </w:r>
          </w:p>
        </w:tc>
        <w:tc>
          <w:tcPr>
            <w:tcW w:w="108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0.0029</w:t>
            </w:r>
          </w:p>
        </w:tc>
      </w:tr>
      <w:tr w:rsidR="008656BA" w:rsidRPr="004702B6" w:rsidTr="004A2217">
        <w:trPr>
          <w:trHeight w:val="252"/>
        </w:trPr>
        <w:tc>
          <w:tcPr>
            <w:tcW w:w="2289"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Reference (Quintile 1) (0 - 9.49)</w:t>
            </w:r>
          </w:p>
        </w:tc>
        <w:tc>
          <w:tcPr>
            <w:tcW w:w="67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1111</w:t>
            </w:r>
          </w:p>
        </w:tc>
        <w:tc>
          <w:tcPr>
            <w:tcW w:w="10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1047"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96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835"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9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1096"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c>
          <w:tcPr>
            <w:tcW w:w="108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 </w:t>
            </w:r>
          </w:p>
        </w:tc>
      </w:tr>
      <w:tr w:rsidR="008656BA" w:rsidRPr="004702B6" w:rsidTr="004A2217">
        <w:trPr>
          <w:cantSplit/>
          <w:trHeight w:val="252"/>
        </w:trPr>
        <w:tc>
          <w:tcPr>
            <w:tcW w:w="2289"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Quintile 2 (9.50 - 13.18)</w:t>
            </w:r>
          </w:p>
        </w:tc>
        <w:tc>
          <w:tcPr>
            <w:tcW w:w="67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1111</w:t>
            </w:r>
          </w:p>
        </w:tc>
        <w:tc>
          <w:tcPr>
            <w:tcW w:w="10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0.0383</w:t>
            </w:r>
          </w:p>
        </w:tc>
        <w:tc>
          <w:tcPr>
            <w:tcW w:w="1047"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0.0149</w:t>
            </w:r>
          </w:p>
        </w:tc>
        <w:tc>
          <w:tcPr>
            <w:tcW w:w="96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1.04</w:t>
            </w:r>
          </w:p>
        </w:tc>
        <w:tc>
          <w:tcPr>
            <w:tcW w:w="835"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0.009</w:t>
            </w:r>
          </w:p>
        </w:tc>
        <w:tc>
          <w:tcPr>
            <w:tcW w:w="9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0.0676</w:t>
            </w:r>
          </w:p>
        </w:tc>
        <w:tc>
          <w:tcPr>
            <w:tcW w:w="1096"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6.55</w:t>
            </w:r>
          </w:p>
        </w:tc>
        <w:tc>
          <w:tcPr>
            <w:tcW w:w="108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0.0105</w:t>
            </w:r>
          </w:p>
        </w:tc>
      </w:tr>
      <w:tr w:rsidR="008656BA" w:rsidRPr="004702B6" w:rsidTr="004A2217">
        <w:trPr>
          <w:trHeight w:val="252"/>
        </w:trPr>
        <w:tc>
          <w:tcPr>
            <w:tcW w:w="2289"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Quintile 3 (13.19 - 16.78)</w:t>
            </w:r>
          </w:p>
        </w:tc>
        <w:tc>
          <w:tcPr>
            <w:tcW w:w="67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1112</w:t>
            </w:r>
          </w:p>
        </w:tc>
        <w:tc>
          <w:tcPr>
            <w:tcW w:w="10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0.0408</w:t>
            </w:r>
          </w:p>
        </w:tc>
        <w:tc>
          <w:tcPr>
            <w:tcW w:w="1047"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0.0149</w:t>
            </w:r>
          </w:p>
        </w:tc>
        <w:tc>
          <w:tcPr>
            <w:tcW w:w="96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1.04</w:t>
            </w:r>
          </w:p>
        </w:tc>
        <w:tc>
          <w:tcPr>
            <w:tcW w:w="835"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0.0116</w:t>
            </w:r>
          </w:p>
        </w:tc>
        <w:tc>
          <w:tcPr>
            <w:tcW w:w="9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0.07</w:t>
            </w:r>
          </w:p>
        </w:tc>
        <w:tc>
          <w:tcPr>
            <w:tcW w:w="1096"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7.48</w:t>
            </w:r>
          </w:p>
        </w:tc>
        <w:tc>
          <w:tcPr>
            <w:tcW w:w="108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0.0062</w:t>
            </w:r>
          </w:p>
        </w:tc>
      </w:tr>
      <w:tr w:rsidR="008656BA" w:rsidRPr="004702B6" w:rsidTr="004A2217">
        <w:trPr>
          <w:cantSplit/>
          <w:trHeight w:val="252"/>
        </w:trPr>
        <w:tc>
          <w:tcPr>
            <w:tcW w:w="2289" w:type="dxa"/>
            <w:tcBorders>
              <w:top w:val="nil"/>
              <w:left w:val="single" w:sz="8" w:space="0" w:color="auto"/>
              <w:bottom w:val="single" w:sz="4"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Quintile 4 (16.78 - 21.61)</w:t>
            </w:r>
          </w:p>
        </w:tc>
        <w:tc>
          <w:tcPr>
            <w:tcW w:w="67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1110</w:t>
            </w:r>
          </w:p>
        </w:tc>
        <w:tc>
          <w:tcPr>
            <w:tcW w:w="10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0.0599</w:t>
            </w:r>
          </w:p>
        </w:tc>
        <w:tc>
          <w:tcPr>
            <w:tcW w:w="1047"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0.0149</w:t>
            </w:r>
          </w:p>
        </w:tc>
        <w:tc>
          <w:tcPr>
            <w:tcW w:w="961"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1.06</w:t>
            </w:r>
          </w:p>
        </w:tc>
        <w:tc>
          <w:tcPr>
            <w:tcW w:w="835"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0.0306</w:t>
            </w:r>
          </w:p>
        </w:tc>
        <w:tc>
          <w:tcPr>
            <w:tcW w:w="918"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0.0892</w:t>
            </w:r>
          </w:p>
        </w:tc>
        <w:tc>
          <w:tcPr>
            <w:tcW w:w="1096" w:type="dxa"/>
            <w:tcBorders>
              <w:top w:val="nil"/>
              <w:left w:val="nil"/>
              <w:bottom w:val="single" w:sz="4"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16.08</w:t>
            </w:r>
          </w:p>
        </w:tc>
        <w:tc>
          <w:tcPr>
            <w:tcW w:w="1080" w:type="dxa"/>
            <w:tcBorders>
              <w:top w:val="nil"/>
              <w:left w:val="nil"/>
              <w:bottom w:val="single" w:sz="4" w:space="0" w:color="auto"/>
              <w:right w:val="single" w:sz="8" w:space="0" w:color="auto"/>
            </w:tcBorders>
            <w:shd w:val="clear" w:color="000000" w:fill="FFFFFF"/>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&lt;.0001</w:t>
            </w:r>
          </w:p>
        </w:tc>
      </w:tr>
      <w:tr w:rsidR="008656BA" w:rsidRPr="004702B6" w:rsidTr="004A2217">
        <w:trPr>
          <w:cantSplit/>
          <w:trHeight w:val="266"/>
        </w:trPr>
        <w:tc>
          <w:tcPr>
            <w:tcW w:w="2289" w:type="dxa"/>
            <w:tcBorders>
              <w:top w:val="nil"/>
              <w:left w:val="single" w:sz="8" w:space="0" w:color="auto"/>
              <w:bottom w:val="single" w:sz="8" w:space="0" w:color="auto"/>
              <w:right w:val="single" w:sz="4" w:space="0" w:color="auto"/>
            </w:tcBorders>
            <w:shd w:val="clear" w:color="000000" w:fill="BBBBBB"/>
            <w:vAlign w:val="center"/>
            <w:hideMark/>
          </w:tcPr>
          <w:p w:rsidR="008656BA" w:rsidRPr="004702B6" w:rsidRDefault="008656BA" w:rsidP="004A2217">
            <w:pPr>
              <w:spacing w:after="0"/>
              <w:rPr>
                <w:rFonts w:eastAsiaTheme="minorHAnsi"/>
                <w:b/>
                <w:bCs/>
                <w:sz w:val="20"/>
                <w:szCs w:val="20"/>
              </w:rPr>
            </w:pPr>
            <w:r w:rsidRPr="004702B6">
              <w:rPr>
                <w:rFonts w:eastAsiaTheme="minorHAnsi"/>
                <w:b/>
                <w:bCs/>
                <w:sz w:val="20"/>
                <w:szCs w:val="20"/>
              </w:rPr>
              <w:t>Quintile 5 (21.62 - 74.19)</w:t>
            </w:r>
          </w:p>
        </w:tc>
        <w:tc>
          <w:tcPr>
            <w:tcW w:w="671"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1112</w:t>
            </w:r>
          </w:p>
        </w:tc>
        <w:tc>
          <w:tcPr>
            <w:tcW w:w="1018"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0.0287</w:t>
            </w:r>
          </w:p>
        </w:tc>
        <w:tc>
          <w:tcPr>
            <w:tcW w:w="1047"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0.0151</w:t>
            </w:r>
          </w:p>
        </w:tc>
        <w:tc>
          <w:tcPr>
            <w:tcW w:w="961"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1.03</w:t>
            </w:r>
          </w:p>
        </w:tc>
        <w:tc>
          <w:tcPr>
            <w:tcW w:w="835"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-9E-04</w:t>
            </w:r>
          </w:p>
        </w:tc>
        <w:tc>
          <w:tcPr>
            <w:tcW w:w="918"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0.0583</w:t>
            </w:r>
          </w:p>
        </w:tc>
        <w:tc>
          <w:tcPr>
            <w:tcW w:w="1096" w:type="dxa"/>
            <w:tcBorders>
              <w:top w:val="nil"/>
              <w:left w:val="nil"/>
              <w:bottom w:val="single" w:sz="8" w:space="0" w:color="auto"/>
              <w:right w:val="single" w:sz="4"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3.61</w:t>
            </w:r>
          </w:p>
        </w:tc>
        <w:tc>
          <w:tcPr>
            <w:tcW w:w="1080" w:type="dxa"/>
            <w:tcBorders>
              <w:top w:val="nil"/>
              <w:left w:val="nil"/>
              <w:bottom w:val="single" w:sz="8" w:space="0" w:color="auto"/>
              <w:right w:val="single" w:sz="8" w:space="0" w:color="auto"/>
            </w:tcBorders>
            <w:shd w:val="clear" w:color="000000" w:fill="FFFFFF"/>
            <w:vAlign w:val="center"/>
            <w:hideMark/>
          </w:tcPr>
          <w:p w:rsidR="008656BA" w:rsidRPr="004702B6" w:rsidRDefault="008656BA" w:rsidP="004A2217">
            <w:pPr>
              <w:spacing w:after="0"/>
              <w:rPr>
                <w:rFonts w:eastAsiaTheme="minorHAnsi"/>
                <w:sz w:val="20"/>
                <w:szCs w:val="20"/>
              </w:rPr>
            </w:pPr>
            <w:r w:rsidRPr="004702B6">
              <w:rPr>
                <w:rFonts w:eastAsiaTheme="minorHAnsi"/>
                <w:sz w:val="20"/>
                <w:szCs w:val="20"/>
              </w:rPr>
              <w:t>0.0573</w:t>
            </w:r>
          </w:p>
        </w:tc>
      </w:tr>
    </w:tbl>
    <w:p w:rsidR="008656BA" w:rsidRPr="004702B6" w:rsidRDefault="008656BA" w:rsidP="008656BA">
      <w:pPr>
        <w:spacing w:after="0"/>
        <w:rPr>
          <w:rFonts w:eastAsiaTheme="minorHAnsi"/>
          <w:sz w:val="20"/>
          <w:szCs w:val="20"/>
        </w:rPr>
      </w:pPr>
    </w:p>
    <w:p w:rsidR="008656BA" w:rsidRDefault="008656BA" w:rsidP="00092566">
      <w:pPr>
        <w:autoSpaceDE w:val="0"/>
        <w:autoSpaceDN w:val="0"/>
        <w:adjustRightInd w:val="0"/>
        <w:spacing w:after="0" w:line="240" w:lineRule="auto"/>
        <w:rPr>
          <w:rFonts w:cstheme="minorHAnsi"/>
          <w:bCs/>
        </w:rPr>
      </w:pPr>
    </w:p>
    <w:p w:rsidR="008656BA" w:rsidRPr="00092566" w:rsidRDefault="008656BA" w:rsidP="00092566">
      <w:pPr>
        <w:autoSpaceDE w:val="0"/>
        <w:autoSpaceDN w:val="0"/>
        <w:adjustRightInd w:val="0"/>
        <w:spacing w:after="0" w:line="240" w:lineRule="auto"/>
        <w:rPr>
          <w:rFonts w:cstheme="minorHAnsi"/>
          <w:bCs/>
        </w:rPr>
      </w:pPr>
    </w:p>
    <w:p w:rsidR="008656BA" w:rsidRDefault="00092566" w:rsidP="008656BA">
      <w:pPr>
        <w:spacing w:after="120"/>
        <w:rPr>
          <w:sz w:val="20"/>
          <w:szCs w:val="20"/>
        </w:rPr>
      </w:pPr>
      <w:r>
        <w:rPr>
          <w:rFonts w:cstheme="minorHAnsi"/>
          <w:b/>
          <w:bCs/>
        </w:rPr>
        <w:t>2b2.</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rsidR="008656BA" w:rsidRPr="0032213D" w:rsidRDefault="008656BA" w:rsidP="008656BA">
      <w:pPr>
        <w:spacing w:after="120"/>
        <w:rPr>
          <w:szCs w:val="20"/>
        </w:rPr>
      </w:pPr>
      <w:r w:rsidRPr="0032213D">
        <w:rPr>
          <w:szCs w:val="20"/>
        </w:rPr>
        <w:t>The analyses presented above examine associations between quintiles of facility performance (defined by the percent of patients with an ultrafiltration rate above 13 ml/kg/</w:t>
      </w:r>
      <w:proofErr w:type="spellStart"/>
      <w:r w:rsidRPr="0032213D">
        <w:rPr>
          <w:szCs w:val="20"/>
        </w:rPr>
        <w:t>hr</w:t>
      </w:r>
      <w:proofErr w:type="spellEnd"/>
      <w:r w:rsidRPr="0032213D">
        <w:rPr>
          <w:szCs w:val="20"/>
        </w:rPr>
        <w:t>) and the outcomes of hospitalization and mortality. In general, for both outcomes, facilities in the lowest quintile (i.e. who had the least percent of patients with an ultrafiltration rate above 13 ml/kg/</w:t>
      </w:r>
      <w:proofErr w:type="spellStart"/>
      <w:r w:rsidRPr="0032213D">
        <w:rPr>
          <w:szCs w:val="20"/>
        </w:rPr>
        <w:t>hr</w:t>
      </w:r>
      <w:proofErr w:type="spellEnd"/>
      <w:r w:rsidRPr="0032213D">
        <w:rPr>
          <w:szCs w:val="20"/>
        </w:rPr>
        <w:t>) had a significantly lower risk of hospitalization or mortality compared to higher quintiles. This provides support for the potential beneficial impact of a measure to encourage facilities to limit ultrafiltration rates in their patients. Of note, there was no clear gradient of risk across increasing quintiles, driven by the more modest risk in the highest quintile (which also just failed to achieve statistical significance for the outcome of mortality). This is likely a manifestation of selection bias relating to healthier patients being more tolerant of higher ultrafiltration rates. Facilities in the highest quintile may therefore have greater proportion of healthier patients in their panel, blunting the apparent risk of higher ultrafiltration rates. Adjustment for this effect would require complex analyses beyond the scope of what is possible here. However, previously published patient-level analyses have consistently demonstrated worse outcomes associated with higher ultrafiltration rates (</w:t>
      </w:r>
      <w:proofErr w:type="spellStart"/>
      <w:r w:rsidRPr="0032213D">
        <w:rPr>
          <w:szCs w:val="20"/>
        </w:rPr>
        <w:t>Movilli</w:t>
      </w:r>
      <w:proofErr w:type="spellEnd"/>
      <w:r w:rsidRPr="0032213D">
        <w:rPr>
          <w:szCs w:val="20"/>
        </w:rPr>
        <w:t xml:space="preserve"> 2007, </w:t>
      </w:r>
      <w:proofErr w:type="spellStart"/>
      <w:r w:rsidRPr="0032213D">
        <w:rPr>
          <w:szCs w:val="20"/>
        </w:rPr>
        <w:t>Flythe</w:t>
      </w:r>
      <w:proofErr w:type="spellEnd"/>
      <w:r w:rsidRPr="0032213D">
        <w:rPr>
          <w:szCs w:val="20"/>
        </w:rPr>
        <w:t xml:space="preserve"> 2011, Saran 2006, </w:t>
      </w:r>
      <w:proofErr w:type="spellStart"/>
      <w:r w:rsidRPr="0032213D">
        <w:rPr>
          <w:szCs w:val="20"/>
        </w:rPr>
        <w:t>Flythe</w:t>
      </w:r>
      <w:proofErr w:type="spellEnd"/>
      <w:r w:rsidRPr="0032213D">
        <w:rPr>
          <w:szCs w:val="20"/>
        </w:rPr>
        <w:t xml:space="preserve"> 2013, Saran 2006, Shoji 2004, Burton 2009, McIntyre 2010)*</w:t>
      </w:r>
    </w:p>
    <w:p w:rsidR="007422FD" w:rsidRPr="00A25024" w:rsidRDefault="007422FD" w:rsidP="00DB3627">
      <w:pPr>
        <w:autoSpaceDE w:val="0"/>
        <w:autoSpaceDN w:val="0"/>
        <w:adjustRightInd w:val="0"/>
        <w:spacing w:after="0" w:line="240" w:lineRule="auto"/>
        <w:rPr>
          <w:rFonts w:cstheme="minorHAnsi"/>
          <w:bCs/>
        </w:rPr>
      </w:pP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lastRenderedPageBreak/>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Default="0055537F" w:rsidP="00DB3627">
      <w:pPr>
        <w:autoSpaceDE w:val="0"/>
        <w:autoSpaceDN w:val="0"/>
        <w:adjustRightInd w:val="0"/>
        <w:spacing w:after="0" w:line="240" w:lineRule="auto"/>
        <w:rPr>
          <w:rFonts w:cstheme="minorHAnsi"/>
          <w:bCs/>
        </w:rPr>
      </w:pPr>
      <w:r>
        <w:rPr>
          <w:rFonts w:cstheme="minorHAnsi"/>
          <w:bCs/>
        </w:rPr>
        <w:t>N/A</w:t>
      </w:r>
    </w:p>
    <w:p w:rsidR="0055537F" w:rsidRPr="00A25024" w:rsidRDefault="0055537F"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Default="0055537F" w:rsidP="00092566">
      <w:pPr>
        <w:autoSpaceDE w:val="0"/>
        <w:autoSpaceDN w:val="0"/>
        <w:adjustRightInd w:val="0"/>
        <w:spacing w:after="0" w:line="240" w:lineRule="auto"/>
        <w:rPr>
          <w:rFonts w:cstheme="minorHAnsi"/>
          <w:bCs/>
        </w:rPr>
      </w:pPr>
      <w:r>
        <w:rPr>
          <w:rFonts w:cstheme="minorHAnsi"/>
          <w:bCs/>
        </w:rPr>
        <w:t>N/A</w:t>
      </w:r>
    </w:p>
    <w:p w:rsidR="0055537F" w:rsidRPr="00092566" w:rsidRDefault="0055537F" w:rsidP="00092566">
      <w:pPr>
        <w:autoSpaceDE w:val="0"/>
        <w:autoSpaceDN w:val="0"/>
        <w:adjustRightInd w:val="0"/>
        <w:spacing w:after="0" w:line="240" w:lineRule="auto"/>
        <w:rPr>
          <w:rFonts w:cstheme="minorHAnsi"/>
          <w:bCs/>
        </w:rPr>
      </w:pPr>
    </w:p>
    <w:p w:rsidR="007422FD"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55537F" w:rsidRPr="00A25024" w:rsidRDefault="0055537F" w:rsidP="00DB3627">
      <w:pPr>
        <w:autoSpaceDE w:val="0"/>
        <w:autoSpaceDN w:val="0"/>
        <w:adjustRightInd w:val="0"/>
        <w:spacing w:after="0" w:line="240" w:lineRule="auto"/>
        <w:rPr>
          <w:rFonts w:cstheme="minorHAnsi"/>
          <w:bCs/>
        </w:rPr>
      </w:pPr>
      <w:r>
        <w:rPr>
          <w:rFonts w:cstheme="minorHAnsi"/>
          <w:bCs/>
        </w:rPr>
        <w:t>N/A</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F8318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8656BA">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F8318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F8318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F8318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8656BA" w:rsidRPr="0032213D" w:rsidRDefault="008656BA" w:rsidP="008656BA">
      <w:pPr>
        <w:spacing w:after="120"/>
        <w:rPr>
          <w:szCs w:val="20"/>
        </w:rPr>
      </w:pPr>
      <w:r w:rsidRPr="0032213D">
        <w:rPr>
          <w:szCs w:val="20"/>
        </w:rPr>
        <w:t>No risk adjustment or stratification is being performed at this time. The impact of a risk-adjusted measure, especially in terms of body size (i.e. BMI, BSA), is not supported in the current body of evidence for UFR&gt;13 ml/kg/hr. The UFR&gt;13 measure is strictly indexing to its relevance as a measure of rate of fluid removal. While noticeable differences in the percentages of UFR&gt;13 were observed in various subgroups at the national level, stratification at the facility level would result in few facilities with sufficient subgroup populations for stratified reporting. These differences will continue to be monitored in aggregated data, such as at the national level (see table in appendix for 1b.4).</w:t>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092566" w:rsidRDefault="00092566" w:rsidP="00001D73">
      <w:pPr>
        <w:autoSpaceDE w:val="0"/>
        <w:autoSpaceDN w:val="0"/>
        <w:adjustRightInd w:val="0"/>
        <w:spacing w:after="0" w:line="240" w:lineRule="auto"/>
        <w:rPr>
          <w:rFonts w:cstheme="minorHAnsi"/>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p>
    <w:p w:rsidR="008656BA" w:rsidRDefault="008656BA" w:rsidP="00001D73">
      <w:pPr>
        <w:autoSpaceDE w:val="0"/>
        <w:autoSpaceDN w:val="0"/>
        <w:adjustRightInd w:val="0"/>
        <w:spacing w:after="0" w:line="240" w:lineRule="auto"/>
        <w:rPr>
          <w:rFonts w:cstheme="minorHAnsi"/>
          <w:bCs/>
        </w:rPr>
      </w:pPr>
      <w:r>
        <w:rPr>
          <w:rFonts w:cstheme="minorHAnsi"/>
          <w:bCs/>
        </w:rPr>
        <w:t>N/A</w:t>
      </w:r>
    </w:p>
    <w:p w:rsidR="00001D73" w:rsidRPr="00001D73" w:rsidRDefault="00001D73" w:rsidP="00001D73">
      <w:pPr>
        <w:autoSpaceDE w:val="0"/>
        <w:autoSpaceDN w:val="0"/>
        <w:adjustRightInd w:val="0"/>
        <w:spacing w:after="0" w:line="240" w:lineRule="auto"/>
        <w:rPr>
          <w:rFonts w:cstheme="minorHAnsi"/>
          <w:bCs/>
        </w:rPr>
      </w:pP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proofErr w:type="gramStart"/>
      <w:r w:rsidRPr="00A25024">
        <w:rPr>
          <w:rFonts w:cstheme="minorHAnsi"/>
          <w:b/>
          <w:bCs/>
        </w:rPr>
        <w:t>What</w:t>
      </w:r>
      <w:proofErr w:type="gramEnd"/>
      <w:r w:rsidRPr="00A25024">
        <w:rPr>
          <w:rFonts w:cstheme="minorHAnsi"/>
          <w:b/>
          <w:bCs/>
        </w:rPr>
        <w:t xml:space="preserve"> were the statistical results of the analyses used to select risk factors?</w:t>
      </w:r>
      <w:r w:rsidR="00001D73">
        <w:rPr>
          <w:rFonts w:cstheme="minorHAnsi"/>
          <w:b/>
          <w:bCs/>
        </w:rPr>
        <w:br/>
      </w:r>
    </w:p>
    <w:p w:rsidR="00001D73" w:rsidRPr="008656BA" w:rsidRDefault="008656BA" w:rsidP="00001D73">
      <w:pPr>
        <w:autoSpaceDE w:val="0"/>
        <w:autoSpaceDN w:val="0"/>
        <w:adjustRightInd w:val="0"/>
        <w:spacing w:after="0" w:line="240" w:lineRule="auto"/>
        <w:rPr>
          <w:rFonts w:cstheme="minorHAnsi"/>
          <w:bCs/>
        </w:rPr>
      </w:pPr>
      <w:r w:rsidRPr="008656BA">
        <w:rPr>
          <w:rFonts w:cstheme="minorHAnsi"/>
          <w:bCs/>
        </w:rPr>
        <w:t>N/A</w:t>
      </w:r>
    </w:p>
    <w:p w:rsidR="008656BA" w:rsidRPr="00001D73" w:rsidRDefault="008656BA" w:rsidP="00001D73">
      <w:pPr>
        <w:autoSpaceDE w:val="0"/>
        <w:autoSpaceDN w:val="0"/>
        <w:adjustRightInd w:val="0"/>
        <w:spacing w:after="0" w:line="240" w:lineRule="auto"/>
        <w:rPr>
          <w:rFonts w:cstheme="minorHAnsi"/>
          <w:b/>
          <w:bCs/>
        </w:rPr>
      </w:pPr>
    </w:p>
    <w:p w:rsidR="00092566"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DD5643" w:rsidRDefault="00DD5643" w:rsidP="00092566">
      <w:pPr>
        <w:autoSpaceDE w:val="0"/>
        <w:autoSpaceDN w:val="0"/>
        <w:adjustRightInd w:val="0"/>
        <w:spacing w:after="0" w:line="240" w:lineRule="auto"/>
        <w:rPr>
          <w:rFonts w:cstheme="minorHAnsi"/>
          <w:bCs/>
        </w:rPr>
      </w:pPr>
      <w:r>
        <w:rPr>
          <w:rFonts w:cstheme="minorHAnsi"/>
          <w:bCs/>
        </w:rPr>
        <w:t>N/A</w:t>
      </w:r>
    </w:p>
    <w:p w:rsidR="00DD5643" w:rsidRPr="00A25024" w:rsidRDefault="00DD5643"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Style w:val="Hyperlink"/>
          <w:rFonts w:cstheme="minorHAnsi"/>
          <w:b/>
          <w:bCs/>
          <w:i/>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DD5643" w:rsidRDefault="00DD5643" w:rsidP="00092566">
      <w:pPr>
        <w:autoSpaceDE w:val="0"/>
        <w:autoSpaceDN w:val="0"/>
        <w:adjustRightInd w:val="0"/>
        <w:spacing w:after="0" w:line="240" w:lineRule="auto"/>
        <w:rPr>
          <w:rStyle w:val="Hyperlink"/>
          <w:rFonts w:cstheme="minorHAnsi"/>
          <w:b/>
          <w:bCs/>
          <w:i/>
        </w:rPr>
      </w:pPr>
    </w:p>
    <w:p w:rsid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DD5643" w:rsidRPr="00DD5643" w:rsidRDefault="00DD5643" w:rsidP="00092566">
      <w:pPr>
        <w:autoSpaceDE w:val="0"/>
        <w:autoSpaceDN w:val="0"/>
        <w:adjustRightInd w:val="0"/>
        <w:spacing w:after="0" w:line="240" w:lineRule="auto"/>
        <w:rPr>
          <w:rFonts w:cstheme="minorHAnsi"/>
          <w:bCs/>
        </w:rPr>
      </w:pPr>
      <w:r w:rsidRPr="00DD5643">
        <w:rPr>
          <w:rFonts w:cstheme="minorHAnsi"/>
          <w:bCs/>
        </w:rPr>
        <w:t>N/A</w:t>
      </w:r>
    </w:p>
    <w:p w:rsidR="00DD5643" w:rsidRPr="00001D73" w:rsidRDefault="00DD5643" w:rsidP="00092566">
      <w:pPr>
        <w:autoSpaceDE w:val="0"/>
        <w:autoSpaceDN w:val="0"/>
        <w:adjustRightInd w:val="0"/>
        <w:spacing w:after="0" w:line="240" w:lineRule="auto"/>
        <w:rPr>
          <w:rFonts w:cstheme="minorHAnsi"/>
          <w:b/>
          <w:bCs/>
        </w:rPr>
      </w:pP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DD5643" w:rsidRPr="00DD5643" w:rsidRDefault="00DD5643" w:rsidP="00092566">
      <w:pPr>
        <w:autoSpaceDE w:val="0"/>
        <w:autoSpaceDN w:val="0"/>
        <w:adjustRightInd w:val="0"/>
        <w:spacing w:after="0" w:line="240" w:lineRule="auto"/>
        <w:rPr>
          <w:rFonts w:cstheme="minorHAnsi"/>
          <w:bCs/>
        </w:rPr>
      </w:pPr>
      <w:r w:rsidRPr="00DD5643">
        <w:rPr>
          <w:rFonts w:cstheme="minorHAnsi"/>
          <w:bCs/>
        </w:rPr>
        <w:t>N/A</w:t>
      </w:r>
    </w:p>
    <w:p w:rsidR="00DD5643" w:rsidRDefault="00DD5643" w:rsidP="00092566">
      <w:pPr>
        <w:autoSpaceDE w:val="0"/>
        <w:autoSpaceDN w:val="0"/>
        <w:adjustRightInd w:val="0"/>
        <w:spacing w:after="0" w:line="240" w:lineRule="auto"/>
        <w:rPr>
          <w:rFonts w:cstheme="minorHAnsi"/>
          <w:b/>
          <w:bCs/>
        </w:rPr>
      </w:pP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r w:rsidR="00092566" w:rsidRPr="00A25024">
        <w:rPr>
          <w:rFonts w:cstheme="minorHAnsi"/>
        </w:rPr>
        <w:br/>
      </w:r>
      <w:r w:rsidR="00DD5643" w:rsidRPr="00DD5643">
        <w:rPr>
          <w:rFonts w:cstheme="minorHAnsi"/>
        </w:rPr>
        <w:t>N/A</w:t>
      </w:r>
    </w:p>
    <w:p w:rsidR="00DD5643" w:rsidRDefault="00DD5643" w:rsidP="00092566">
      <w:pPr>
        <w:autoSpaceDE w:val="0"/>
        <w:autoSpaceDN w:val="0"/>
        <w:adjustRightInd w:val="0"/>
        <w:spacing w:after="0" w:line="240" w:lineRule="auto"/>
        <w:rPr>
          <w:rFonts w:cstheme="minorHAnsi"/>
          <w:b/>
        </w:rPr>
      </w:pPr>
    </w:p>
    <w:p w:rsidR="00092566" w:rsidRDefault="00743E46" w:rsidP="00092566">
      <w:pPr>
        <w:autoSpaceDE w:val="0"/>
        <w:autoSpaceDN w:val="0"/>
        <w:adjustRightInd w:val="0"/>
        <w:spacing w:after="0" w:line="240" w:lineRule="auto"/>
        <w:rPr>
          <w:rFonts w:cstheme="minorHAnsi"/>
          <w:bCs/>
        </w:rPr>
      </w:pPr>
      <w:bookmarkStart w:id="13" w:name="question2b49"/>
      <w:bookmarkEnd w:id="13"/>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DD5643" w:rsidRDefault="00DD5643" w:rsidP="00092566">
      <w:pPr>
        <w:autoSpaceDE w:val="0"/>
        <w:autoSpaceDN w:val="0"/>
        <w:adjustRightInd w:val="0"/>
        <w:spacing w:after="0" w:line="240" w:lineRule="auto"/>
        <w:rPr>
          <w:rFonts w:cstheme="minorHAnsi"/>
          <w:bCs/>
        </w:rPr>
      </w:pPr>
    </w:p>
    <w:p w:rsidR="00092566" w:rsidRDefault="00DD5643" w:rsidP="00DD5643">
      <w:pPr>
        <w:autoSpaceDE w:val="0"/>
        <w:autoSpaceDN w:val="0"/>
        <w:adjustRightInd w:val="0"/>
        <w:spacing w:after="0" w:line="240" w:lineRule="auto"/>
        <w:rPr>
          <w:rFonts w:cstheme="minorHAnsi"/>
          <w:bCs/>
        </w:rPr>
      </w:pPr>
      <w:r>
        <w:rPr>
          <w:rFonts w:cstheme="minorHAnsi"/>
          <w:bCs/>
        </w:rPr>
        <w:t>N/A</w:t>
      </w:r>
    </w:p>
    <w:p w:rsidR="00DD5643" w:rsidRPr="00A25024" w:rsidRDefault="00DD5643" w:rsidP="00DD5643">
      <w:pPr>
        <w:autoSpaceDE w:val="0"/>
        <w:autoSpaceDN w:val="0"/>
        <w:adjustRightInd w:val="0"/>
        <w:spacing w:after="0" w:line="240" w:lineRule="auto"/>
        <w:rPr>
          <w:rFonts w:cstheme="minorHAnsi"/>
          <w:bCs/>
        </w:rPr>
      </w:pPr>
    </w:p>
    <w:p w:rsidR="00DD5643"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092566" w:rsidRPr="00A25024" w:rsidRDefault="00DD5643" w:rsidP="00092566">
      <w:pPr>
        <w:autoSpaceDE w:val="0"/>
        <w:autoSpaceDN w:val="0"/>
        <w:adjustRightInd w:val="0"/>
        <w:spacing w:after="0" w:line="240" w:lineRule="auto"/>
        <w:rPr>
          <w:rFonts w:cstheme="minorHAnsi"/>
          <w:bCs/>
        </w:rPr>
      </w:pPr>
      <w:r>
        <w:rPr>
          <w:rFonts w:cstheme="minorHAnsi"/>
          <w:bCs/>
        </w:rPr>
        <w:t>N/A</w:t>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D5643" w:rsidRPr="00DD5643" w:rsidRDefault="00DD5643" w:rsidP="00D61410">
      <w:pPr>
        <w:autoSpaceDE w:val="0"/>
        <w:autoSpaceDN w:val="0"/>
        <w:adjustRightInd w:val="0"/>
        <w:spacing w:after="0" w:line="240" w:lineRule="auto"/>
        <w:rPr>
          <w:rFonts w:cstheme="minorHAnsi"/>
          <w:bCs/>
        </w:rPr>
      </w:pPr>
      <w:r w:rsidRPr="00DD5643">
        <w:rPr>
          <w:rFonts w:cstheme="minorHAnsi"/>
          <w:bCs/>
        </w:rPr>
        <w:t>N/A</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4" w:name="section2b5"/>
      <w:bookmarkEnd w:id="14"/>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xml:space="preserve">; what statistical analysis was used? Do not just repeat </w:t>
      </w:r>
      <w:r>
        <w:rPr>
          <w:rFonts w:cstheme="minorHAnsi"/>
          <w:bCs/>
          <w:i/>
        </w:rPr>
        <w:lastRenderedPageBreak/>
        <w:t>the information provided related to performance gap in 1b</w:t>
      </w:r>
      <w:r w:rsidRPr="00A25024">
        <w:rPr>
          <w:rFonts w:cstheme="minorHAnsi"/>
          <w:bCs/>
          <w:i/>
        </w:rPr>
        <w:t xml:space="preserve">) </w:t>
      </w:r>
      <w:r w:rsidRPr="00A25024">
        <w:rPr>
          <w:rFonts w:cstheme="minorHAnsi"/>
          <w:bCs/>
        </w:rPr>
        <w:br/>
        <w:t xml:space="preserve"> </w:t>
      </w:r>
    </w:p>
    <w:p w:rsidR="00DD5643" w:rsidRPr="0032213D" w:rsidRDefault="00DD5643" w:rsidP="00DD5643">
      <w:pPr>
        <w:spacing w:after="120"/>
        <w:rPr>
          <w:szCs w:val="20"/>
        </w:rPr>
      </w:pPr>
      <w:r w:rsidRPr="0032213D">
        <w:rPr>
          <w:szCs w:val="20"/>
        </w:rPr>
        <w:t xml:space="preserve">Differences in measure performance were evaluated separately for each facility using patient level analyses. The proportion of patients with yearly based percentage of patients with UFR&gt;13 was compared between one facility and the overall national distribution, and repeated for each individual facility.  </w:t>
      </w:r>
    </w:p>
    <w:p w:rsidR="00DD5643" w:rsidRPr="00A25024" w:rsidRDefault="00DD5643" w:rsidP="0032213D">
      <w:pPr>
        <w:spacing w:after="120"/>
        <w:rPr>
          <w:rFonts w:cstheme="minorHAnsi"/>
          <w:bCs/>
        </w:rPr>
      </w:pPr>
      <w:r w:rsidRPr="0032213D">
        <w:rPr>
          <w:szCs w:val="20"/>
        </w:rPr>
        <w:t xml:space="preserve">Note that the monthly based measure is a simple average of binary outcomes across individuals in the facility, for which the binary outcome equals to 0 (failure) if the value is less than the threshold or if the value is missing.  The differences in proportions can be compared using Fisher’s </w:t>
      </w:r>
      <w:proofErr w:type="gramStart"/>
      <w:r w:rsidRPr="0032213D">
        <w:rPr>
          <w:szCs w:val="20"/>
        </w:rPr>
        <w:t>Exact</w:t>
      </w:r>
      <w:proofErr w:type="gramEnd"/>
      <w:r w:rsidRPr="0032213D">
        <w:rPr>
          <w:szCs w:val="20"/>
        </w:rPr>
        <w:t xml:space="preserve"> tests or its normal approximation. The yearly based measure, however, is not a simple average of binary outcomes and we instead used a re-sampling based exact test, with re-sampling generated from the population distribution of the patient level outcomes. More details for the testing method are provided in Appendix. Due to non-symmetric of the measure distributions, one-sided test with significance level 0.025 is used (corresponding to cutoff=0.05 in two-sided test). To calculate the p-value, we assess the probability that the facility would experience a number of events more extreme than that observed if the null hypothesis were true.</w:t>
      </w:r>
    </w:p>
    <w:p w:rsidR="00D61410" w:rsidRPr="00A25024"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2b5.2. </w:t>
      </w:r>
      <w:proofErr w:type="gramStart"/>
      <w:r w:rsidRPr="00A25024">
        <w:rPr>
          <w:rFonts w:cstheme="minorHAnsi"/>
          <w:b/>
          <w:bCs/>
        </w:rPr>
        <w:t>What</w:t>
      </w:r>
      <w:proofErr w:type="gramEnd"/>
      <w:r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p>
    <w:p w:rsidR="00DD5643" w:rsidRPr="0032213D" w:rsidRDefault="00DD5643" w:rsidP="00DD5643">
      <w:pPr>
        <w:spacing w:after="120"/>
        <w:rPr>
          <w:szCs w:val="20"/>
        </w:rPr>
      </w:pPr>
      <w:r w:rsidRPr="0032213D">
        <w:rPr>
          <w:szCs w:val="20"/>
        </w:rPr>
        <w:t xml:space="preserve">Proportion of facilities with significant p-values (0-as expected; 1-worse than expected; significance level cutoff=0.025) is shown as follows:  </w:t>
      </w:r>
    </w:p>
    <w:p w:rsidR="00DD5643" w:rsidRPr="0032213D" w:rsidRDefault="00DD5643" w:rsidP="00DD5643">
      <w:pPr>
        <w:spacing w:after="120"/>
        <w:rPr>
          <w:szCs w:val="20"/>
        </w:rPr>
      </w:pPr>
      <w:r w:rsidRPr="0032213D">
        <w:rPr>
          <w:szCs w:val="20"/>
        </w:rPr>
        <w:t>Classification of facility performance for UFR &gt; 13 (</w:t>
      </w:r>
      <w:proofErr w:type="spellStart"/>
      <w:r w:rsidRPr="0032213D">
        <w:rPr>
          <w:szCs w:val="20"/>
        </w:rPr>
        <w:t>CROWNWeb</w:t>
      </w:r>
      <w:proofErr w:type="spellEnd"/>
      <w:r w:rsidRPr="0032213D">
        <w:rPr>
          <w:szCs w:val="20"/>
        </w:rPr>
        <w:t xml:space="preserve"> 20</w:t>
      </w:r>
      <w:bookmarkStart w:id="15" w:name="_GoBack"/>
      <w:bookmarkEnd w:id="15"/>
      <w:r w:rsidRPr="0032213D">
        <w:rPr>
          <w:szCs w:val="20"/>
        </w:rPr>
        <w:t>13)</w:t>
      </w:r>
    </w:p>
    <w:tbl>
      <w:tblPr>
        <w:tblW w:w="8412" w:type="dxa"/>
        <w:tblLook w:val="04A0" w:firstRow="1" w:lastRow="0" w:firstColumn="1" w:lastColumn="0" w:noHBand="0" w:noVBand="1"/>
      </w:tblPr>
      <w:tblGrid>
        <w:gridCol w:w="3340"/>
        <w:gridCol w:w="1880"/>
        <w:gridCol w:w="1620"/>
        <w:gridCol w:w="1572"/>
      </w:tblGrid>
      <w:tr w:rsidR="00DD5643" w:rsidRPr="0032213D" w:rsidTr="004A2217">
        <w:trPr>
          <w:trHeight w:val="300"/>
        </w:trPr>
        <w:tc>
          <w:tcPr>
            <w:tcW w:w="3340" w:type="dxa"/>
            <w:tcBorders>
              <w:top w:val="nil"/>
              <w:left w:val="nil"/>
              <w:bottom w:val="nil"/>
              <w:right w:val="nil"/>
            </w:tcBorders>
            <w:shd w:val="clear" w:color="auto" w:fill="auto"/>
            <w:noWrap/>
            <w:vAlign w:val="bottom"/>
            <w:hideMark/>
          </w:tcPr>
          <w:p w:rsidR="00DD5643" w:rsidRPr="0032213D" w:rsidRDefault="00DD5643" w:rsidP="004A2217">
            <w:pPr>
              <w:spacing w:after="0"/>
              <w:rPr>
                <w:rFonts w:eastAsia="Times New Roman"/>
                <w:szCs w:val="20"/>
              </w:rPr>
            </w:pPr>
            <w:bookmarkStart w:id="16" w:name="RANGE!A1:D3"/>
            <w:bookmarkEnd w:id="16"/>
          </w:p>
        </w:tc>
        <w:tc>
          <w:tcPr>
            <w:tcW w:w="1880" w:type="dxa"/>
            <w:tcBorders>
              <w:top w:val="nil"/>
              <w:left w:val="nil"/>
              <w:bottom w:val="nil"/>
              <w:right w:val="nil"/>
            </w:tcBorders>
            <w:shd w:val="clear" w:color="auto" w:fill="auto"/>
            <w:noWrap/>
            <w:vAlign w:val="bottom"/>
            <w:hideMark/>
          </w:tcPr>
          <w:p w:rsidR="00DD5643" w:rsidRPr="0032213D" w:rsidRDefault="00DD5643" w:rsidP="00F83184">
            <w:pPr>
              <w:spacing w:after="0"/>
              <w:jc w:val="right"/>
              <w:rPr>
                <w:rFonts w:eastAsia="Times New Roman"/>
                <w:szCs w:val="20"/>
              </w:rPr>
            </w:pPr>
            <w:r w:rsidRPr="0032213D">
              <w:rPr>
                <w:rFonts w:eastAsia="Times New Roman"/>
                <w:szCs w:val="20"/>
              </w:rPr>
              <w:t># of Facilities</w:t>
            </w:r>
          </w:p>
        </w:tc>
        <w:tc>
          <w:tcPr>
            <w:tcW w:w="1620" w:type="dxa"/>
            <w:tcBorders>
              <w:top w:val="nil"/>
              <w:left w:val="nil"/>
              <w:bottom w:val="nil"/>
              <w:right w:val="nil"/>
            </w:tcBorders>
            <w:shd w:val="clear" w:color="auto" w:fill="auto"/>
            <w:noWrap/>
            <w:vAlign w:val="bottom"/>
            <w:hideMark/>
          </w:tcPr>
          <w:p w:rsidR="00DD5643" w:rsidRPr="0032213D" w:rsidRDefault="00DD5643" w:rsidP="00F83184">
            <w:pPr>
              <w:spacing w:after="0"/>
              <w:jc w:val="right"/>
              <w:rPr>
                <w:rFonts w:eastAsia="Times New Roman"/>
                <w:szCs w:val="20"/>
              </w:rPr>
            </w:pPr>
            <w:r w:rsidRPr="0032213D">
              <w:rPr>
                <w:rFonts w:eastAsia="Times New Roman"/>
                <w:szCs w:val="20"/>
              </w:rPr>
              <w:t>Percent of facilities</w:t>
            </w:r>
          </w:p>
        </w:tc>
        <w:tc>
          <w:tcPr>
            <w:tcW w:w="1572" w:type="dxa"/>
            <w:tcBorders>
              <w:top w:val="nil"/>
              <w:left w:val="nil"/>
              <w:bottom w:val="nil"/>
              <w:right w:val="nil"/>
            </w:tcBorders>
            <w:shd w:val="clear" w:color="auto" w:fill="auto"/>
            <w:noWrap/>
            <w:vAlign w:val="bottom"/>
            <w:hideMark/>
          </w:tcPr>
          <w:p w:rsidR="00DD5643" w:rsidRPr="0032213D" w:rsidRDefault="00DD5643" w:rsidP="00F83184">
            <w:pPr>
              <w:spacing w:after="0"/>
              <w:jc w:val="right"/>
              <w:rPr>
                <w:rFonts w:eastAsia="Times New Roman"/>
                <w:szCs w:val="20"/>
              </w:rPr>
            </w:pPr>
            <w:r w:rsidRPr="0032213D">
              <w:rPr>
                <w:rFonts w:eastAsia="Times New Roman"/>
                <w:szCs w:val="20"/>
              </w:rPr>
              <w:t>Median Performance Score</w:t>
            </w:r>
          </w:p>
        </w:tc>
      </w:tr>
      <w:tr w:rsidR="00DD5643" w:rsidRPr="0032213D" w:rsidTr="004A2217">
        <w:trPr>
          <w:trHeight w:val="300"/>
        </w:trPr>
        <w:tc>
          <w:tcPr>
            <w:tcW w:w="3340" w:type="dxa"/>
            <w:tcBorders>
              <w:top w:val="nil"/>
              <w:left w:val="nil"/>
              <w:bottom w:val="nil"/>
              <w:right w:val="nil"/>
            </w:tcBorders>
            <w:shd w:val="clear" w:color="auto" w:fill="auto"/>
            <w:noWrap/>
            <w:vAlign w:val="bottom"/>
            <w:hideMark/>
          </w:tcPr>
          <w:p w:rsidR="00DD5643" w:rsidRPr="0032213D" w:rsidRDefault="00DD5643" w:rsidP="004A2217">
            <w:pPr>
              <w:spacing w:after="0"/>
              <w:rPr>
                <w:rFonts w:eastAsia="Times New Roman"/>
                <w:szCs w:val="20"/>
              </w:rPr>
            </w:pPr>
            <w:r w:rsidRPr="0032213D">
              <w:rPr>
                <w:rFonts w:eastAsia="Times New Roman"/>
                <w:szCs w:val="20"/>
              </w:rPr>
              <w:t>As Expected/Better than Expected</w:t>
            </w:r>
          </w:p>
        </w:tc>
        <w:tc>
          <w:tcPr>
            <w:tcW w:w="1880" w:type="dxa"/>
            <w:tcBorders>
              <w:top w:val="nil"/>
              <w:left w:val="nil"/>
              <w:bottom w:val="nil"/>
              <w:right w:val="nil"/>
            </w:tcBorders>
            <w:shd w:val="clear" w:color="auto" w:fill="auto"/>
            <w:noWrap/>
            <w:vAlign w:val="bottom"/>
            <w:hideMark/>
          </w:tcPr>
          <w:p w:rsidR="00DD5643" w:rsidRPr="0032213D" w:rsidRDefault="00DD5643" w:rsidP="004A2217">
            <w:pPr>
              <w:spacing w:after="0"/>
              <w:jc w:val="right"/>
              <w:rPr>
                <w:rFonts w:eastAsia="Times New Roman"/>
                <w:szCs w:val="20"/>
              </w:rPr>
            </w:pPr>
            <w:r w:rsidRPr="0032213D">
              <w:rPr>
                <w:rFonts w:eastAsia="Times New Roman"/>
                <w:szCs w:val="20"/>
              </w:rPr>
              <w:t>4656</w:t>
            </w:r>
          </w:p>
        </w:tc>
        <w:tc>
          <w:tcPr>
            <w:tcW w:w="1620" w:type="dxa"/>
            <w:tcBorders>
              <w:top w:val="nil"/>
              <w:left w:val="nil"/>
              <w:bottom w:val="nil"/>
              <w:right w:val="nil"/>
            </w:tcBorders>
            <w:shd w:val="clear" w:color="auto" w:fill="auto"/>
            <w:noWrap/>
            <w:vAlign w:val="bottom"/>
            <w:hideMark/>
          </w:tcPr>
          <w:p w:rsidR="00DD5643" w:rsidRPr="0032213D" w:rsidRDefault="00DD5643" w:rsidP="004A2217">
            <w:pPr>
              <w:spacing w:after="0"/>
              <w:jc w:val="right"/>
              <w:rPr>
                <w:rFonts w:eastAsia="Times New Roman"/>
                <w:szCs w:val="20"/>
              </w:rPr>
            </w:pPr>
            <w:r w:rsidRPr="0032213D">
              <w:rPr>
                <w:rFonts w:eastAsia="Times New Roman"/>
                <w:szCs w:val="20"/>
              </w:rPr>
              <w:t>83.80%</w:t>
            </w:r>
          </w:p>
        </w:tc>
        <w:tc>
          <w:tcPr>
            <w:tcW w:w="1572" w:type="dxa"/>
            <w:tcBorders>
              <w:top w:val="nil"/>
              <w:left w:val="nil"/>
              <w:bottom w:val="nil"/>
              <w:right w:val="nil"/>
            </w:tcBorders>
            <w:shd w:val="clear" w:color="auto" w:fill="auto"/>
            <w:noWrap/>
            <w:vAlign w:val="bottom"/>
            <w:hideMark/>
          </w:tcPr>
          <w:p w:rsidR="00DD5643" w:rsidRPr="0032213D" w:rsidRDefault="00DD5643" w:rsidP="004A2217">
            <w:pPr>
              <w:spacing w:after="0"/>
              <w:jc w:val="right"/>
              <w:rPr>
                <w:rFonts w:eastAsia="Times New Roman"/>
                <w:szCs w:val="20"/>
              </w:rPr>
            </w:pPr>
            <w:r w:rsidRPr="0032213D">
              <w:rPr>
                <w:rFonts w:eastAsia="Times New Roman"/>
                <w:szCs w:val="20"/>
              </w:rPr>
              <w:t>13.50%</w:t>
            </w:r>
          </w:p>
        </w:tc>
      </w:tr>
      <w:tr w:rsidR="00DD5643" w:rsidRPr="0032213D" w:rsidTr="004A2217">
        <w:trPr>
          <w:trHeight w:val="300"/>
        </w:trPr>
        <w:tc>
          <w:tcPr>
            <w:tcW w:w="3340" w:type="dxa"/>
            <w:tcBorders>
              <w:top w:val="nil"/>
              <w:left w:val="nil"/>
              <w:bottom w:val="nil"/>
              <w:right w:val="nil"/>
            </w:tcBorders>
            <w:shd w:val="clear" w:color="auto" w:fill="auto"/>
            <w:noWrap/>
            <w:vAlign w:val="bottom"/>
            <w:hideMark/>
          </w:tcPr>
          <w:p w:rsidR="00DD5643" w:rsidRPr="0032213D" w:rsidRDefault="00DD5643" w:rsidP="004A2217">
            <w:pPr>
              <w:spacing w:after="0"/>
              <w:rPr>
                <w:rFonts w:eastAsia="Times New Roman"/>
                <w:szCs w:val="20"/>
              </w:rPr>
            </w:pPr>
            <w:r w:rsidRPr="0032213D">
              <w:rPr>
                <w:rFonts w:eastAsia="Times New Roman"/>
                <w:szCs w:val="20"/>
              </w:rPr>
              <w:t>Worse than Expected</w:t>
            </w:r>
          </w:p>
        </w:tc>
        <w:tc>
          <w:tcPr>
            <w:tcW w:w="1880" w:type="dxa"/>
            <w:tcBorders>
              <w:top w:val="nil"/>
              <w:left w:val="nil"/>
              <w:bottom w:val="nil"/>
              <w:right w:val="nil"/>
            </w:tcBorders>
            <w:shd w:val="clear" w:color="auto" w:fill="auto"/>
            <w:noWrap/>
            <w:vAlign w:val="bottom"/>
            <w:hideMark/>
          </w:tcPr>
          <w:p w:rsidR="00DD5643" w:rsidRPr="0032213D" w:rsidRDefault="00DD5643" w:rsidP="004A2217">
            <w:pPr>
              <w:spacing w:after="0"/>
              <w:jc w:val="right"/>
              <w:rPr>
                <w:rFonts w:eastAsia="Times New Roman"/>
                <w:szCs w:val="20"/>
              </w:rPr>
            </w:pPr>
            <w:r w:rsidRPr="0032213D">
              <w:rPr>
                <w:rFonts w:eastAsia="Times New Roman"/>
                <w:szCs w:val="20"/>
              </w:rPr>
              <w:t>900</w:t>
            </w:r>
          </w:p>
        </w:tc>
        <w:tc>
          <w:tcPr>
            <w:tcW w:w="1620" w:type="dxa"/>
            <w:tcBorders>
              <w:top w:val="nil"/>
              <w:left w:val="nil"/>
              <w:bottom w:val="nil"/>
              <w:right w:val="nil"/>
            </w:tcBorders>
            <w:shd w:val="clear" w:color="auto" w:fill="auto"/>
            <w:noWrap/>
            <w:vAlign w:val="bottom"/>
            <w:hideMark/>
          </w:tcPr>
          <w:p w:rsidR="00DD5643" w:rsidRPr="0032213D" w:rsidRDefault="00DD5643" w:rsidP="004A2217">
            <w:pPr>
              <w:spacing w:after="0"/>
              <w:jc w:val="right"/>
              <w:rPr>
                <w:rFonts w:eastAsia="Times New Roman"/>
                <w:szCs w:val="20"/>
              </w:rPr>
            </w:pPr>
            <w:r w:rsidRPr="0032213D">
              <w:rPr>
                <w:rFonts w:eastAsia="Times New Roman"/>
                <w:szCs w:val="20"/>
              </w:rPr>
              <w:t>16.20%</w:t>
            </w:r>
          </w:p>
        </w:tc>
        <w:tc>
          <w:tcPr>
            <w:tcW w:w="1572" w:type="dxa"/>
            <w:tcBorders>
              <w:top w:val="nil"/>
              <w:left w:val="nil"/>
              <w:bottom w:val="nil"/>
              <w:right w:val="nil"/>
            </w:tcBorders>
            <w:shd w:val="clear" w:color="auto" w:fill="auto"/>
            <w:noWrap/>
            <w:vAlign w:val="bottom"/>
            <w:hideMark/>
          </w:tcPr>
          <w:p w:rsidR="00DD5643" w:rsidRPr="0032213D" w:rsidRDefault="00DD5643" w:rsidP="004A2217">
            <w:pPr>
              <w:spacing w:after="0"/>
              <w:jc w:val="right"/>
              <w:rPr>
                <w:rFonts w:eastAsia="Times New Roman"/>
                <w:szCs w:val="20"/>
              </w:rPr>
            </w:pPr>
            <w:r w:rsidRPr="0032213D">
              <w:rPr>
                <w:rFonts w:eastAsia="Times New Roman"/>
                <w:szCs w:val="20"/>
              </w:rPr>
              <w:t>26.60%</w:t>
            </w:r>
          </w:p>
        </w:tc>
      </w:tr>
    </w:tbl>
    <w:p w:rsidR="00DD5643" w:rsidRDefault="00DD5643" w:rsidP="00D61410">
      <w:pPr>
        <w:autoSpaceDE w:val="0"/>
        <w:autoSpaceDN w:val="0"/>
        <w:adjustRightInd w:val="0"/>
        <w:spacing w:after="0" w:line="240" w:lineRule="auto"/>
        <w:rPr>
          <w:rFonts w:cstheme="minorHAnsi"/>
          <w:bCs/>
        </w:rPr>
      </w:pPr>
    </w:p>
    <w:p w:rsidR="00D61410" w:rsidRPr="00927027" w:rsidRDefault="00D61410" w:rsidP="00D61410">
      <w:pPr>
        <w:autoSpaceDE w:val="0"/>
        <w:autoSpaceDN w:val="0"/>
        <w:adjustRightInd w:val="0"/>
        <w:spacing w:after="0" w:line="240" w:lineRule="auto"/>
        <w:rPr>
          <w:rFonts w:cstheme="minorHAnsi"/>
          <w:bCs/>
        </w:rPr>
      </w:pPr>
    </w:p>
    <w:p w:rsidR="00D61410" w:rsidRDefault="00D61410" w:rsidP="00D61410">
      <w:pPr>
        <w:autoSpaceDE w:val="0"/>
        <w:autoSpaceDN w:val="0"/>
        <w:adjustRightInd w:val="0"/>
        <w:spacing w:after="0" w:line="240" w:lineRule="auto"/>
        <w:rPr>
          <w:rFonts w:cstheme="minorHAnsi"/>
          <w:bCs/>
        </w:rPr>
      </w:pP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p>
    <w:p w:rsidR="00DD5643" w:rsidRPr="0032213D" w:rsidRDefault="00DD5643" w:rsidP="00D61410">
      <w:pPr>
        <w:autoSpaceDE w:val="0"/>
        <w:autoSpaceDN w:val="0"/>
        <w:adjustRightInd w:val="0"/>
        <w:spacing w:after="0" w:line="240" w:lineRule="auto"/>
        <w:rPr>
          <w:szCs w:val="20"/>
        </w:rPr>
      </w:pPr>
      <w:r w:rsidRPr="0032213D">
        <w:rPr>
          <w:szCs w:val="20"/>
        </w:rPr>
        <w:t xml:space="preserve">Significance testing identifies 900 facilities (16.2%) with worse than expected performance at a median of 26.6% of patients with UFR &gt;13. The clear separation in measure performance between facilities identified with worse than expected performance versus those with as </w:t>
      </w:r>
      <w:proofErr w:type="gramStart"/>
      <w:r w:rsidRPr="0032213D">
        <w:rPr>
          <w:szCs w:val="20"/>
        </w:rPr>
        <w:t>expected or</w:t>
      </w:r>
      <w:proofErr w:type="gramEnd"/>
      <w:r w:rsidRPr="0032213D">
        <w:rPr>
          <w:szCs w:val="20"/>
        </w:rPr>
        <w:t xml:space="preserve"> better than expected performance provides support for the ability to identify clinically important differences in performance on this measure through significance testing.</w:t>
      </w:r>
    </w:p>
    <w:p w:rsidR="00DD5643" w:rsidRPr="00A25024" w:rsidRDefault="00DD5643"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lastRenderedPageBreak/>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E1508F" w:rsidP="00DB3627">
      <w:pPr>
        <w:autoSpaceDE w:val="0"/>
        <w:autoSpaceDN w:val="0"/>
        <w:adjustRightInd w:val="0"/>
        <w:spacing w:after="0" w:line="240" w:lineRule="auto"/>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rsidR="000F06B5" w:rsidRDefault="00DD5643" w:rsidP="00DB3627">
      <w:pPr>
        <w:pStyle w:val="ListParagraph"/>
        <w:autoSpaceDE w:val="0"/>
        <w:autoSpaceDN w:val="0"/>
        <w:adjustRightInd w:val="0"/>
        <w:spacing w:after="0" w:line="240" w:lineRule="auto"/>
        <w:ind w:left="0"/>
        <w:rPr>
          <w:rFonts w:cstheme="minorHAnsi"/>
          <w:bCs/>
        </w:rPr>
      </w:pPr>
      <w:r>
        <w:rPr>
          <w:rFonts w:cstheme="minorHAnsi"/>
          <w:bCs/>
        </w:rPr>
        <w:t>N/A</w:t>
      </w:r>
    </w:p>
    <w:p w:rsidR="00DD5643" w:rsidRPr="00A25024" w:rsidRDefault="00DD5643"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DD5643" w:rsidRDefault="00DD5643" w:rsidP="00E1508F">
      <w:pPr>
        <w:autoSpaceDE w:val="0"/>
        <w:autoSpaceDN w:val="0"/>
        <w:adjustRightInd w:val="0"/>
        <w:spacing w:after="0" w:line="240" w:lineRule="auto"/>
        <w:rPr>
          <w:rFonts w:cstheme="minorHAnsi"/>
          <w:bCs/>
        </w:rPr>
      </w:pPr>
      <w:r>
        <w:rPr>
          <w:rFonts w:cstheme="minorHAnsi"/>
          <w:bCs/>
        </w:rPr>
        <w:t>N/A</w:t>
      </w:r>
    </w:p>
    <w:p w:rsidR="00E1508F" w:rsidRPr="00E1508F" w:rsidRDefault="00E1508F" w:rsidP="00E1508F">
      <w:pPr>
        <w:autoSpaceDE w:val="0"/>
        <w:autoSpaceDN w:val="0"/>
        <w:adjustRightInd w:val="0"/>
        <w:spacing w:after="0" w:line="240" w:lineRule="auto"/>
        <w:rPr>
          <w:rFonts w:cstheme="minorHAnsi"/>
          <w:bCs/>
        </w:rPr>
      </w:pPr>
    </w:p>
    <w:p w:rsidR="0079180E" w:rsidRDefault="00E1508F" w:rsidP="00DB3627">
      <w:pPr>
        <w:autoSpaceDE w:val="0"/>
        <w:autoSpaceDN w:val="0"/>
        <w:adjustRightInd w:val="0"/>
        <w:spacing w:after="0" w:line="240" w:lineRule="auto"/>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rsidR="00DD5643" w:rsidRDefault="00DD5643" w:rsidP="00DB3627">
      <w:pPr>
        <w:autoSpaceDE w:val="0"/>
        <w:autoSpaceDN w:val="0"/>
        <w:adjustRightInd w:val="0"/>
        <w:spacing w:after="0" w:line="240" w:lineRule="auto"/>
        <w:rPr>
          <w:rFonts w:cstheme="minorHAnsi"/>
          <w:bCs/>
        </w:rPr>
      </w:pPr>
      <w:r>
        <w:rPr>
          <w:rFonts w:cstheme="minorHAnsi"/>
          <w:bCs/>
        </w:rPr>
        <w:t>N/A</w:t>
      </w:r>
    </w:p>
    <w:p w:rsidR="00DD5643" w:rsidRDefault="00DD5643" w:rsidP="00DB3627">
      <w:pPr>
        <w:autoSpaceDE w:val="0"/>
        <w:autoSpaceDN w:val="0"/>
        <w:adjustRightInd w:val="0"/>
        <w:spacing w:after="0" w:line="240" w:lineRule="auto"/>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907BDB" w:rsidRDefault="00907BDB" w:rsidP="008F7E67">
      <w:pPr>
        <w:autoSpaceDE w:val="0"/>
        <w:autoSpaceDN w:val="0"/>
        <w:adjustRightInd w:val="0"/>
        <w:spacing w:after="0" w:line="240" w:lineRule="auto"/>
        <w:rPr>
          <w:rFonts w:cstheme="minorHAnsi"/>
          <w:bCs/>
        </w:rPr>
      </w:pPr>
    </w:p>
    <w:p w:rsidR="00907BDB" w:rsidRPr="00907BDB" w:rsidRDefault="00907BDB" w:rsidP="008F7E67">
      <w:pPr>
        <w:autoSpaceDE w:val="0"/>
        <w:autoSpaceDN w:val="0"/>
        <w:adjustRightInd w:val="0"/>
        <w:spacing w:after="0" w:line="240" w:lineRule="auto"/>
        <w:rPr>
          <w:rFonts w:cstheme="minorHAnsi"/>
          <w:bCs/>
        </w:rPr>
      </w:pPr>
      <w:r w:rsidRPr="00907BDB">
        <w:rPr>
          <w:rFonts w:cstheme="minorHAnsi"/>
          <w:bCs/>
        </w:rPr>
        <w:t>N/A</w:t>
      </w:r>
    </w:p>
    <w:p w:rsidR="00907BDB" w:rsidRDefault="00907BDB"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Default="0055537F" w:rsidP="008F7E67">
      <w:pPr>
        <w:pStyle w:val="ListParagraph"/>
        <w:autoSpaceDE w:val="0"/>
        <w:autoSpaceDN w:val="0"/>
        <w:adjustRightInd w:val="0"/>
        <w:spacing w:after="0" w:line="240" w:lineRule="auto"/>
        <w:ind w:left="0"/>
        <w:rPr>
          <w:rFonts w:cstheme="minorHAnsi"/>
          <w:bCs/>
        </w:rPr>
      </w:pPr>
      <w:r>
        <w:rPr>
          <w:rFonts w:cstheme="minorHAnsi"/>
          <w:bCs/>
        </w:rPr>
        <w:t>N/A</w:t>
      </w:r>
    </w:p>
    <w:p w:rsidR="0055537F" w:rsidRPr="00A25024" w:rsidRDefault="0055537F"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55537F" w:rsidRDefault="0055537F" w:rsidP="008F7E67">
      <w:pPr>
        <w:autoSpaceDE w:val="0"/>
        <w:autoSpaceDN w:val="0"/>
        <w:adjustRightInd w:val="0"/>
        <w:spacing w:after="0" w:line="240" w:lineRule="auto"/>
        <w:rPr>
          <w:rFonts w:cstheme="minorHAnsi"/>
          <w:bCs/>
        </w:rPr>
      </w:pPr>
      <w:r>
        <w:rPr>
          <w:rFonts w:cstheme="minorHAnsi"/>
          <w:bCs/>
        </w:rPr>
        <w:t>N/A</w:t>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lastRenderedPageBreak/>
        <w:t xml:space="preserve">2b7.3.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Default="00BA053B">
      <w:pPr>
        <w:autoSpaceDE w:val="0"/>
        <w:autoSpaceDN w:val="0"/>
        <w:adjustRightInd w:val="0"/>
        <w:spacing w:after="0" w:line="240" w:lineRule="auto"/>
        <w:rPr>
          <w:rFonts w:cstheme="minorHAnsi"/>
          <w:bCs/>
        </w:rPr>
      </w:pPr>
    </w:p>
    <w:p w:rsidR="0055537F" w:rsidRPr="005560E7" w:rsidRDefault="0055537F">
      <w:pPr>
        <w:autoSpaceDE w:val="0"/>
        <w:autoSpaceDN w:val="0"/>
        <w:adjustRightInd w:val="0"/>
        <w:spacing w:after="0" w:line="240" w:lineRule="auto"/>
        <w:rPr>
          <w:rFonts w:cstheme="minorHAnsi"/>
          <w:bCs/>
        </w:rPr>
      </w:pPr>
      <w:r>
        <w:rPr>
          <w:rFonts w:cstheme="minorHAnsi"/>
          <w:bCs/>
        </w:rPr>
        <w:t>N/A</w:t>
      </w:r>
    </w:p>
    <w:sectPr w:rsidR="0055537F"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w:t>
    </w:r>
    <w:proofErr w:type="gramStart"/>
    <w:r>
      <w:t xml:space="preserve">6.5 </w:t>
    </w:r>
    <w:r w:rsidR="003A7DE7">
      <w:t xml:space="preserve"> </w:t>
    </w:r>
    <w:r w:rsidR="008F7E67">
      <w:t>08</w:t>
    </w:r>
    <w:proofErr w:type="gramEnd"/>
    <w:r w:rsidR="008F7E67">
      <w:t>/20/13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F83184">
      <w:rPr>
        <w:noProof/>
      </w:rPr>
      <w:t>12</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2213D"/>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537F"/>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6BA"/>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07BDB"/>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42FA"/>
    <w:rsid w:val="00B53E8B"/>
    <w:rsid w:val="00B774D2"/>
    <w:rsid w:val="00B8015A"/>
    <w:rsid w:val="00B82A57"/>
    <w:rsid w:val="00BA053B"/>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616B0"/>
    <w:rsid w:val="00C765C5"/>
    <w:rsid w:val="00C81E22"/>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6488C"/>
    <w:rsid w:val="00D755AA"/>
    <w:rsid w:val="00D8181D"/>
    <w:rsid w:val="00D968D8"/>
    <w:rsid w:val="00DA563D"/>
    <w:rsid w:val="00DA7277"/>
    <w:rsid w:val="00DB3627"/>
    <w:rsid w:val="00DB4724"/>
    <w:rsid w:val="00DC4746"/>
    <w:rsid w:val="00DD5643"/>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3184"/>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qualityforum.org/Measuring_Performance/Submitting_Standards.aspx"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BB2DF5-3BEE-48E2-8237-4578E6579BF1}">
  <ds:schemaRefs>
    <ds:schemaRef ds:uri="http://purl.org/dc/terms/"/>
    <ds:schemaRef ds:uri="http://schemas.microsoft.com/office/2006/metadata/propertie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28A57F0-1026-42DA-ABF9-A39CD784C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8F60693-590D-4624-B1CF-5A2BD14ED9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12</Pages>
  <Words>4585</Words>
  <Characters>26136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30660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Jennifer Sardone</cp:lastModifiedBy>
  <cp:revision>10</cp:revision>
  <dcterms:created xsi:type="dcterms:W3CDTF">2014-09-22T16:26:00Z</dcterms:created>
  <dcterms:modified xsi:type="dcterms:W3CDTF">2015-02-25T23:52:00Z</dcterms:modified>
</cp:coreProperties>
</file>