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1F085C35"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D1121C">
            <w:rPr>
              <w:rStyle w:val="Style1"/>
            </w:rPr>
            <w:t>2860</w:t>
          </w:r>
        </w:sdtContent>
      </w:sdt>
    </w:p>
    <w:p w14:paraId="55B8DA2F" w14:textId="72C35EAB"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764354484"/>
              <w:placeholder>
                <w:docPart w:val="F64656174AC04DE0A890AF04F203BE9F"/>
              </w:placeholder>
            </w:sdtPr>
            <w:sdtEndPr>
              <w:rPr>
                <w:rStyle w:val="DefaultParagraphFont"/>
                <w:noProof/>
                <w:color w:val="auto"/>
              </w:rPr>
            </w:sdtEndPr>
            <w:sdtContent>
              <w:r w:rsidR="00D1121C" w:rsidRPr="00E13075">
                <w:rPr>
                  <w:rStyle w:val="Style1"/>
                  <w:rFonts w:cstheme="minorHAnsi"/>
                  <w:color w:val="0070C0"/>
                </w:rPr>
                <w:t xml:space="preserve">Thirty-day all-cause unplanned readmission following psychiatric hospitalization in an </w:t>
              </w:r>
              <w:r w:rsidR="00D1121C">
                <w:rPr>
                  <w:rStyle w:val="Style1"/>
                  <w:rFonts w:cstheme="minorHAnsi"/>
                  <w:color w:val="0070C0"/>
                </w:rPr>
                <w:t>i</w:t>
              </w:r>
              <w:r w:rsidR="00D1121C" w:rsidRPr="00E13075">
                <w:rPr>
                  <w:rStyle w:val="Style1"/>
                  <w:rFonts w:cstheme="minorHAnsi"/>
                  <w:color w:val="0070C0"/>
                </w:rPr>
                <w:t xml:space="preserve">npatient </w:t>
              </w:r>
              <w:r w:rsidR="00D1121C">
                <w:rPr>
                  <w:rStyle w:val="Style1"/>
                  <w:rFonts w:cstheme="minorHAnsi"/>
                  <w:color w:val="0070C0"/>
                </w:rPr>
                <w:t>p</w:t>
              </w:r>
              <w:r w:rsidR="00D1121C" w:rsidRPr="00E13075">
                <w:rPr>
                  <w:rStyle w:val="Style1"/>
                  <w:rFonts w:cstheme="minorHAnsi"/>
                  <w:color w:val="0070C0"/>
                </w:rPr>
                <w:t xml:space="preserve">sychiatric </w:t>
              </w:r>
              <w:r w:rsidR="00D1121C">
                <w:rPr>
                  <w:rStyle w:val="Style1"/>
                  <w:rFonts w:cstheme="minorHAnsi"/>
                  <w:color w:val="0070C0"/>
                </w:rPr>
                <w:t>f</w:t>
              </w:r>
              <w:r w:rsidR="00D1121C" w:rsidRPr="00E13075">
                <w:rPr>
                  <w:rStyle w:val="Style1"/>
                  <w:rFonts w:cstheme="minorHAnsi"/>
                  <w:color w:val="0070C0"/>
                </w:rPr>
                <w:t xml:space="preserve">acility (IPF)  </w:t>
              </w:r>
            </w:sdtContent>
          </w:sdt>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0C85A4C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21-04-02T00:00:00Z">
            <w:dateFormat w:val="M/d/yyyy"/>
            <w:lid w:val="en-US"/>
            <w:storeMappedDataAs w:val="dateTime"/>
            <w:calendar w:val="gregorian"/>
          </w:date>
        </w:sdtPr>
        <w:sdtEndPr>
          <w:rPr>
            <w:rStyle w:val="DefaultParagraphFont"/>
            <w:noProof/>
            <w:color w:val="auto"/>
            <w:u w:val="none"/>
          </w:rPr>
        </w:sdtEndPr>
        <w:sdtContent>
          <w:r w:rsidR="00915F3B">
            <w:rPr>
              <w:rStyle w:val="Style2"/>
            </w:rPr>
            <w:t>4/2/2021</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209F2BA8"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99BCF9C"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45BFEE74" w:rsidR="00F81FE3" w:rsidRDefault="00F81FE3" w:rsidP="002E2177">
      <w:pPr>
        <w:ind w:left="0" w:firstLine="0"/>
        <w:rPr>
          <w:b/>
          <w:bCs/>
          <w:color w:val="0000FF"/>
        </w:rPr>
      </w:pPr>
    </w:p>
    <w:p w14:paraId="55B8DA4F" w14:textId="13769E9F"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46244EEE"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A00D939" w:rsidR="00496AF8" w:rsidRPr="003B1CC5" w:rsidRDefault="002A1BF2"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D1121C">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D1121C">
            <w:rPr>
              <w:rStyle w:val="Style2"/>
              <w:rFonts w:cstheme="minorHAnsi"/>
            </w:rPr>
            <w:t>Readmission</w:t>
          </w:r>
        </w:sdtContent>
      </w:sdt>
    </w:p>
    <w:p w14:paraId="55B8DA52" w14:textId="77777777" w:rsidR="00236F87" w:rsidRPr="003B1CC5" w:rsidRDefault="002A1BF2"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18B34CCD"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2A1BF2"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2A1BF2"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2A1BF2"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2A1BF2"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4ECFB91C" w:rsidR="00496AF8" w:rsidRPr="003B1CC5" w:rsidRDefault="00496AF8" w:rsidP="002E2177">
      <w:pPr>
        <w:ind w:left="0" w:firstLine="0"/>
        <w:rPr>
          <w:bCs/>
        </w:rPr>
      </w:pPr>
    </w:p>
    <w:p w14:paraId="55B8DA5A" w14:textId="7A42CE37"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33FBE65D" w14:textId="6EC6BB27" w:rsidR="0014669F" w:rsidRDefault="0014669F" w:rsidP="0014669F">
      <w:pPr>
        <w:ind w:left="432" w:hanging="432"/>
        <w:rPr>
          <w:color w:val="0070C0"/>
        </w:rPr>
      </w:pPr>
      <w:commentRangeStart w:id="5"/>
      <w:r w:rsidRPr="00EC43E6">
        <w:rPr>
          <w:color w:val="0070C0"/>
        </w:rPr>
        <w:t xml:space="preserve">Readmissions </w:t>
      </w:r>
      <w:commentRangeEnd w:id="5"/>
      <w:r w:rsidR="00275192">
        <w:rPr>
          <w:rStyle w:val="CommentReference"/>
        </w:rPr>
        <w:commentReference w:id="5"/>
      </w:r>
      <w:r w:rsidRPr="00EC43E6">
        <w:rPr>
          <w:color w:val="0070C0"/>
        </w:rPr>
        <w:t xml:space="preserve">can be influenced by the care received during </w:t>
      </w:r>
      <w:r w:rsidR="00B7121E">
        <w:rPr>
          <w:color w:val="0070C0"/>
        </w:rPr>
        <w:t xml:space="preserve">both </w:t>
      </w:r>
      <w:r w:rsidRPr="00EC43E6">
        <w:rPr>
          <w:color w:val="0070C0"/>
        </w:rPr>
        <w:t xml:space="preserve">the index admission and the discharge process. </w:t>
      </w:r>
    </w:p>
    <w:p w14:paraId="5906C618" w14:textId="77777777" w:rsidR="002A1BF2" w:rsidRDefault="002A1BF2" w:rsidP="0014669F">
      <w:pPr>
        <w:ind w:left="432" w:hanging="432"/>
        <w:rPr>
          <w:color w:val="0070C0"/>
        </w:rPr>
      </w:pPr>
      <w:bookmarkStart w:id="6" w:name="_GoBack"/>
      <w:bookmarkEnd w:id="6"/>
    </w:p>
    <w:p w14:paraId="1F96E244" w14:textId="06AB2568" w:rsidR="00FC443C" w:rsidRDefault="002A1BF2" w:rsidP="0014669F">
      <w:pPr>
        <w:ind w:left="432" w:hanging="432"/>
        <w:rPr>
          <w:color w:val="0070C0"/>
        </w:rPr>
      </w:pPr>
      <w:r>
        <w:rPr>
          <w:noProof/>
          <w:color w:val="0070C0"/>
        </w:rPr>
        <w:drawing>
          <wp:inline distT="0" distB="0" distL="0" distR="0" wp14:anchorId="7AD9ACB8" wp14:editId="5E1C81C4">
            <wp:extent cx="6401435" cy="3251200"/>
            <wp:effectExtent l="0" t="0" r="0" b="635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1435" cy="3251200"/>
                    </a:xfrm>
                    <a:prstGeom prst="rect">
                      <a:avLst/>
                    </a:prstGeom>
                    <a:noFill/>
                  </pic:spPr>
                </pic:pic>
              </a:graphicData>
            </a:graphic>
          </wp:inline>
        </w:drawing>
      </w:r>
    </w:p>
    <w:p w14:paraId="4EEF44CF" w14:textId="14CFE0EE" w:rsidR="00770686" w:rsidRDefault="00770686">
      <w:pPr>
        <w:rPr>
          <w:b/>
          <w:bCs/>
          <w:color w:val="0000FF"/>
        </w:rPr>
      </w:pPr>
    </w:p>
    <w:p w14:paraId="58B871D6" w14:textId="6D557AD9" w:rsidR="00770686" w:rsidRDefault="00770686">
      <w:pPr>
        <w:rPr>
          <w:b/>
          <w:bCs/>
          <w:color w:val="0000FF"/>
        </w:rPr>
      </w:pPr>
    </w:p>
    <w:p w14:paraId="6B42C3B3" w14:textId="7AC21711" w:rsidR="005447C8" w:rsidRDefault="005447C8">
      <w:pPr>
        <w:rPr>
          <w:b/>
          <w:bCs/>
          <w:color w:val="0000FF"/>
        </w:rPr>
      </w:pPr>
      <w:r>
        <w:rPr>
          <w:b/>
          <w:bCs/>
          <w:color w:val="0000FF"/>
        </w:rPr>
        <w:br w:type="page"/>
      </w:r>
    </w:p>
    <w:p w14:paraId="33C7741B" w14:textId="75CA4194" w:rsidR="004922E4" w:rsidRPr="004922E4" w:rsidRDefault="004922E4" w:rsidP="004922E4">
      <w:pPr>
        <w:ind w:right="140"/>
        <w:rPr>
          <w:b/>
          <w:iCs/>
        </w:rPr>
      </w:pPr>
      <w:r>
        <w:rPr>
          <w:b/>
          <w:bCs/>
          <w:color w:val="0000FF"/>
        </w:rPr>
        <w:lastRenderedPageBreak/>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5D" w14:textId="77777777" w:rsidR="00676BD4" w:rsidRDefault="00676BD4" w:rsidP="002E2177">
      <w:pPr>
        <w:ind w:left="432" w:hanging="432"/>
        <w:rPr>
          <w:b/>
          <w:color w:val="0000FF"/>
        </w:rPr>
      </w:pPr>
    </w:p>
    <w:p w14:paraId="55B8DA5E" w14:textId="4ABC7DDD" w:rsidR="00F90F82" w:rsidRPr="009B2813" w:rsidRDefault="009B2813" w:rsidP="002E2177">
      <w:pPr>
        <w:ind w:left="432" w:hanging="432"/>
        <w:rPr>
          <w:color w:val="0070C0"/>
        </w:rPr>
      </w:pPr>
      <w:r w:rsidRPr="009B2813">
        <w:rPr>
          <w:color w:val="0070C0"/>
        </w:rPr>
        <w:t>n/a</w:t>
      </w:r>
    </w:p>
    <w:p w14:paraId="55B8DA5F" w14:textId="77777777" w:rsidR="00676BD4" w:rsidRDefault="00676BD4" w:rsidP="00A9011D">
      <w:pPr>
        <w:ind w:left="0" w:firstLine="0"/>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60DD039" w14:textId="1AA909F3" w:rsidR="00F37823" w:rsidRDefault="000C4B9B" w:rsidP="006C4682">
      <w:pPr>
        <w:spacing w:after="200"/>
        <w:ind w:firstLine="0"/>
        <w:rPr>
          <w:rFonts w:eastAsia="Trebuchet MS" w:cs="Trebuchet MS"/>
          <w:color w:val="FF0000"/>
          <w:u w:val="single"/>
        </w:rPr>
      </w:pPr>
      <w:r>
        <w:rPr>
          <w:rFonts w:eastAsia="Trebuchet MS" w:cs="Trebuchet MS"/>
          <w:color w:val="FF0000"/>
          <w:u w:val="single"/>
        </w:rPr>
        <w:t xml:space="preserve">2021 </w:t>
      </w:r>
      <w:r w:rsidR="00F37823">
        <w:rPr>
          <w:rFonts w:eastAsia="Trebuchet MS" w:cs="Trebuchet MS"/>
          <w:color w:val="FF0000"/>
          <w:u w:val="single"/>
        </w:rPr>
        <w:t>submission content:</w:t>
      </w:r>
    </w:p>
    <w:p w14:paraId="4343028A" w14:textId="22C1E641" w:rsidR="007523E6" w:rsidRDefault="007523E6" w:rsidP="006C4682">
      <w:pPr>
        <w:spacing w:after="200"/>
        <w:ind w:firstLine="0"/>
        <w:rPr>
          <w:color w:val="FF0000"/>
        </w:rPr>
      </w:pPr>
      <w:r>
        <w:rPr>
          <w:color w:val="FF0000"/>
        </w:rPr>
        <w:t xml:space="preserve">Building on the initial endorsement submission, we identified </w:t>
      </w:r>
      <w:r w:rsidR="009B2813">
        <w:rPr>
          <w:color w:val="FF0000"/>
        </w:rPr>
        <w:t>three</w:t>
      </w:r>
      <w:r>
        <w:rPr>
          <w:color w:val="FF0000"/>
        </w:rPr>
        <w:t xml:space="preserve"> recent stud</w:t>
      </w:r>
      <w:r w:rsidR="00845A90">
        <w:rPr>
          <w:color w:val="FF0000"/>
        </w:rPr>
        <w:t>ies</w:t>
      </w:r>
      <w:r w:rsidR="008B3B92">
        <w:rPr>
          <w:color w:val="FF0000"/>
        </w:rPr>
        <w:t xml:space="preserve"> th</w:t>
      </w:r>
      <w:r>
        <w:rPr>
          <w:color w:val="FF0000"/>
        </w:rPr>
        <w:t>at provide</w:t>
      </w:r>
      <w:r w:rsidR="00845A90">
        <w:rPr>
          <w:color w:val="FF0000"/>
        </w:rPr>
        <w:t xml:space="preserve"> additional </w:t>
      </w:r>
      <w:r>
        <w:rPr>
          <w:color w:val="FF0000"/>
        </w:rPr>
        <w:t xml:space="preserve">evidence </w:t>
      </w:r>
      <w:r w:rsidR="00845A90">
        <w:rPr>
          <w:color w:val="FF0000"/>
        </w:rPr>
        <w:t>of</w:t>
      </w:r>
      <w:r>
        <w:rPr>
          <w:color w:val="FF0000"/>
        </w:rPr>
        <w:t xml:space="preserve"> interventions t</w:t>
      </w:r>
      <w:r w:rsidR="00845A90">
        <w:rPr>
          <w:color w:val="FF0000"/>
        </w:rPr>
        <w:t>hat can</w:t>
      </w:r>
      <w:r w:rsidR="000C4B9B">
        <w:rPr>
          <w:color w:val="FF0000"/>
        </w:rPr>
        <w:t xml:space="preserve"> help to</w:t>
      </w:r>
      <w:r>
        <w:rPr>
          <w:color w:val="FF0000"/>
        </w:rPr>
        <w:t xml:space="preserve"> </w:t>
      </w:r>
      <w:r w:rsidR="00845A90">
        <w:rPr>
          <w:color w:val="FF0000"/>
        </w:rPr>
        <w:t>reduce</w:t>
      </w:r>
      <w:r>
        <w:rPr>
          <w:color w:val="FF0000"/>
        </w:rPr>
        <w:t xml:space="preserve"> readmission</w:t>
      </w:r>
      <w:r w:rsidR="00845A90">
        <w:rPr>
          <w:color w:val="FF0000"/>
        </w:rPr>
        <w:t xml:space="preserve"> rates</w:t>
      </w:r>
      <w:r>
        <w:rPr>
          <w:color w:val="FF0000"/>
        </w:rPr>
        <w:t>.</w:t>
      </w:r>
      <w:r w:rsidR="00C7043A">
        <w:rPr>
          <w:color w:val="FF0000"/>
        </w:rPr>
        <w:t xml:space="preserve"> Similar to the evidence below that was provided for initial endorsement, </w:t>
      </w:r>
      <w:r w:rsidR="00C7043A" w:rsidRPr="003755B1">
        <w:rPr>
          <w:color w:val="FF0000"/>
        </w:rPr>
        <w:t>the following studies support the relationship between IPF processes of care and readmission rates.</w:t>
      </w:r>
    </w:p>
    <w:p w14:paraId="29236ECE" w14:textId="6C6B4BCF" w:rsidR="007505CF" w:rsidRDefault="000C4B9B" w:rsidP="006C4682">
      <w:pPr>
        <w:spacing w:after="200"/>
        <w:ind w:firstLine="0"/>
        <w:rPr>
          <w:color w:val="FF0000"/>
        </w:rPr>
      </w:pPr>
      <w:r w:rsidRPr="00E46CC2">
        <w:rPr>
          <w:color w:val="FF0000"/>
        </w:rPr>
        <w:t>Akerele</w:t>
      </w:r>
      <w:r>
        <w:rPr>
          <w:color w:val="FF0000"/>
        </w:rPr>
        <w:t xml:space="preserve"> </w:t>
      </w:r>
      <w:r w:rsidR="007505CF">
        <w:rPr>
          <w:color w:val="FF0000"/>
        </w:rPr>
        <w:t xml:space="preserve">et al. (2017) found that </w:t>
      </w:r>
      <w:r>
        <w:rPr>
          <w:color w:val="FF0000"/>
        </w:rPr>
        <w:t xml:space="preserve">the </w:t>
      </w:r>
      <w:r w:rsidR="007505CF">
        <w:rPr>
          <w:color w:val="FF0000"/>
        </w:rPr>
        <w:t>30-day readmission rate was reduced by 27 percent (</w:t>
      </w:r>
      <w:r w:rsidR="007505CF">
        <w:rPr>
          <w:i/>
          <w:iCs/>
          <w:color w:val="FF0000"/>
        </w:rPr>
        <w:t xml:space="preserve">p </w:t>
      </w:r>
      <w:r w:rsidR="007505CF">
        <w:rPr>
          <w:color w:val="FF0000"/>
        </w:rPr>
        <w:t>= 0.004) among inpatient psychiatric patients who participated in an intervention program</w:t>
      </w:r>
      <w:r>
        <w:rPr>
          <w:color w:val="FF0000"/>
        </w:rPr>
        <w:t>. The program</w:t>
      </w:r>
      <w:r w:rsidR="007505CF">
        <w:rPr>
          <w:color w:val="FF0000"/>
        </w:rPr>
        <w:t xml:space="preserve"> delivered patients’ medications from the pharmacy to the psychiatric unit on the day of discharge</w:t>
      </w:r>
      <w:r w:rsidR="00407F10">
        <w:rPr>
          <w:color w:val="FF0000"/>
        </w:rPr>
        <w:t>, provided a follow-up phone call within 72 hours of discharge, and provided the option for additional patient navigator services, such as weekly check-in phone calls.</w:t>
      </w:r>
    </w:p>
    <w:p w14:paraId="5CD863BD" w14:textId="4D0225EC" w:rsidR="009C071C" w:rsidRDefault="008E17CB" w:rsidP="00DE2232">
      <w:pPr>
        <w:spacing w:after="200"/>
        <w:ind w:firstLine="0"/>
        <w:rPr>
          <w:color w:val="FF0000"/>
        </w:rPr>
      </w:pPr>
      <w:r>
        <w:rPr>
          <w:color w:val="FF0000"/>
        </w:rPr>
        <w:t xml:space="preserve">Similarly, Comer et al. (2017) found that </w:t>
      </w:r>
      <w:r w:rsidR="000C4B9B">
        <w:rPr>
          <w:color w:val="FF0000"/>
        </w:rPr>
        <w:t xml:space="preserve">the </w:t>
      </w:r>
      <w:r>
        <w:rPr>
          <w:color w:val="FF0000"/>
        </w:rPr>
        <w:t>30-day readmission rate was reduced by 16 percent</w:t>
      </w:r>
      <w:r w:rsidR="002C28D1">
        <w:rPr>
          <w:color w:val="FF0000"/>
        </w:rPr>
        <w:t xml:space="preserve"> (</w:t>
      </w:r>
      <w:r w:rsidR="002C28D1">
        <w:rPr>
          <w:i/>
          <w:iCs/>
          <w:color w:val="FF0000"/>
        </w:rPr>
        <w:t xml:space="preserve">p </w:t>
      </w:r>
      <w:r w:rsidR="002C28D1">
        <w:rPr>
          <w:color w:val="FF0000"/>
        </w:rPr>
        <w:t>&lt; 0.05) among inpatient psychiatric patients who participat</w:t>
      </w:r>
      <w:r w:rsidR="000C4B9B">
        <w:rPr>
          <w:color w:val="FF0000"/>
        </w:rPr>
        <w:t>ed</w:t>
      </w:r>
      <w:r w:rsidR="002C28D1">
        <w:rPr>
          <w:color w:val="FF0000"/>
        </w:rPr>
        <w:t xml:space="preserve"> in an intervention program that allowed patients to pick up their medications prior to discharge</w:t>
      </w:r>
      <w:r w:rsidR="000C4B9B">
        <w:rPr>
          <w:color w:val="FF0000"/>
        </w:rPr>
        <w:t xml:space="preserve">. They also </w:t>
      </w:r>
      <w:r w:rsidR="002C28D1">
        <w:rPr>
          <w:color w:val="FF0000"/>
        </w:rPr>
        <w:t>receive</w:t>
      </w:r>
      <w:r w:rsidR="000C4B9B">
        <w:rPr>
          <w:color w:val="FF0000"/>
        </w:rPr>
        <w:t>d</w:t>
      </w:r>
      <w:r w:rsidR="002C28D1">
        <w:rPr>
          <w:color w:val="FF0000"/>
        </w:rPr>
        <w:t xml:space="preserve"> a phone call from a hospital pharmacist with 72 hours of discharge.</w:t>
      </w:r>
    </w:p>
    <w:p w14:paraId="1DC56C14" w14:textId="6536B1D2" w:rsidR="00F24141" w:rsidRPr="009E3D4D" w:rsidRDefault="00F24141" w:rsidP="00F24141">
      <w:pPr>
        <w:spacing w:after="200"/>
        <w:ind w:firstLine="0"/>
        <w:rPr>
          <w:rFonts w:eastAsia="Trebuchet MS" w:cs="Trebuchet MS"/>
          <w:color w:val="FF0000"/>
        </w:rPr>
      </w:pPr>
      <w:r>
        <w:rPr>
          <w:color w:val="FF0000"/>
        </w:rPr>
        <w:t>Taylor et al</w:t>
      </w:r>
      <w:r w:rsidR="00FD199A">
        <w:rPr>
          <w:color w:val="FF0000"/>
        </w:rPr>
        <w:t>.</w:t>
      </w:r>
      <w:r>
        <w:rPr>
          <w:color w:val="FF0000"/>
        </w:rPr>
        <w:t xml:space="preserve"> (2016)</w:t>
      </w:r>
      <w:r>
        <w:rPr>
          <w:rFonts w:eastAsia="Trebuchet MS" w:cs="Trebuchet MS"/>
          <w:color w:val="FF0000"/>
        </w:rPr>
        <w:t xml:space="preserve"> studied an intervention for psychiatric patients that consisted of a</w:t>
      </w:r>
      <w:r w:rsidR="002F46BE">
        <w:rPr>
          <w:rFonts w:eastAsia="Trebuchet MS" w:cs="Trebuchet MS"/>
          <w:color w:val="FF0000"/>
        </w:rPr>
        <w:t>n interview with a care manager</w:t>
      </w:r>
      <w:r>
        <w:rPr>
          <w:rFonts w:eastAsia="Trebuchet MS" w:cs="Trebuchet MS"/>
          <w:color w:val="FF0000"/>
        </w:rPr>
        <w:t xml:space="preserve"> prior to discharge</w:t>
      </w:r>
      <w:r w:rsidR="002F46BE">
        <w:rPr>
          <w:rFonts w:eastAsia="Trebuchet MS" w:cs="Trebuchet MS"/>
          <w:color w:val="FF0000"/>
        </w:rPr>
        <w:t xml:space="preserve"> to identify and address barriers to continuing treatment</w:t>
      </w:r>
      <w:r w:rsidR="009E3D4D">
        <w:rPr>
          <w:rFonts w:eastAsia="Trebuchet MS" w:cs="Trebuchet MS"/>
          <w:color w:val="FF0000"/>
        </w:rPr>
        <w:t>. Patients who did not receive the interventions</w:t>
      </w:r>
      <w:r>
        <w:rPr>
          <w:rFonts w:eastAsia="Trebuchet MS" w:cs="Trebuchet MS"/>
          <w:color w:val="FF0000"/>
        </w:rPr>
        <w:t xml:space="preserve"> were significantly </w:t>
      </w:r>
      <w:r w:rsidR="009E3D4D">
        <w:rPr>
          <w:rFonts w:eastAsia="Trebuchet MS" w:cs="Trebuchet MS"/>
          <w:color w:val="FF0000"/>
        </w:rPr>
        <w:t>more</w:t>
      </w:r>
      <w:r>
        <w:rPr>
          <w:rFonts w:eastAsia="Trebuchet MS" w:cs="Trebuchet MS"/>
          <w:color w:val="FF0000"/>
        </w:rPr>
        <w:t xml:space="preserve"> likely to be readmitted within 30 days of discharge </w:t>
      </w:r>
      <w:r w:rsidR="009E3D4D">
        <w:rPr>
          <w:rFonts w:eastAsia="Trebuchet MS" w:cs="Trebuchet MS"/>
          <w:color w:val="FF0000"/>
        </w:rPr>
        <w:t>than those who received the intervention (OR</w:t>
      </w:r>
      <w:r w:rsidR="009E3D4D">
        <w:rPr>
          <w:rFonts w:eastAsia="Trebuchet MS" w:cs="Trebuchet MS"/>
          <w:i/>
          <w:iCs/>
          <w:color w:val="FF0000"/>
        </w:rPr>
        <w:t xml:space="preserve"> </w:t>
      </w:r>
      <w:r w:rsidR="009E3D4D">
        <w:rPr>
          <w:rFonts w:eastAsia="Trebuchet MS" w:cs="Trebuchet MS"/>
          <w:color w:val="FF0000"/>
        </w:rPr>
        <w:t xml:space="preserve">= 2.44, </w:t>
      </w:r>
      <w:r w:rsidR="009E3D4D">
        <w:rPr>
          <w:rFonts w:eastAsia="Trebuchet MS" w:cs="Trebuchet MS"/>
          <w:i/>
          <w:iCs/>
          <w:color w:val="FF0000"/>
        </w:rPr>
        <w:t xml:space="preserve">p </w:t>
      </w:r>
      <w:r w:rsidR="009E3D4D">
        <w:rPr>
          <w:rFonts w:eastAsia="Trebuchet MS" w:cs="Trebuchet MS"/>
          <w:color w:val="FF0000"/>
        </w:rPr>
        <w:t>= 0.02).</w:t>
      </w:r>
    </w:p>
    <w:p w14:paraId="074AB188" w14:textId="77777777" w:rsidR="009C071C" w:rsidRDefault="009C071C" w:rsidP="007505CF">
      <w:pPr>
        <w:autoSpaceDE w:val="0"/>
        <w:autoSpaceDN w:val="0"/>
        <w:adjustRightInd w:val="0"/>
        <w:ind w:firstLine="0"/>
        <w:rPr>
          <w:color w:val="FF0000"/>
        </w:rPr>
      </w:pPr>
    </w:p>
    <w:p w14:paraId="7282CC2C" w14:textId="53DA28B3" w:rsidR="007505CF" w:rsidRDefault="007505CF" w:rsidP="00E46CC2">
      <w:pPr>
        <w:autoSpaceDE w:val="0"/>
        <w:autoSpaceDN w:val="0"/>
        <w:adjustRightInd w:val="0"/>
        <w:ind w:left="0" w:firstLine="0"/>
        <w:rPr>
          <w:color w:val="FF0000"/>
        </w:rPr>
      </w:pPr>
      <w:r w:rsidRPr="007505CF">
        <w:rPr>
          <w:color w:val="FF0000"/>
        </w:rPr>
        <w:t>Akerele, E</w:t>
      </w:r>
      <w:r w:rsidR="000C4B9B" w:rsidRPr="007505CF">
        <w:rPr>
          <w:color w:val="FF0000"/>
        </w:rPr>
        <w:t>.,</w:t>
      </w:r>
      <w:r w:rsidR="000C4B9B">
        <w:rPr>
          <w:color w:val="FF0000"/>
        </w:rPr>
        <w:t xml:space="preserve"> C. </w:t>
      </w:r>
      <w:r w:rsidRPr="007505CF">
        <w:rPr>
          <w:color w:val="FF0000"/>
        </w:rPr>
        <w:t xml:space="preserve">Lim, </w:t>
      </w:r>
      <w:r w:rsidR="000C4B9B">
        <w:rPr>
          <w:color w:val="FF0000"/>
        </w:rPr>
        <w:t>T.</w:t>
      </w:r>
      <w:r w:rsidRPr="007505CF">
        <w:rPr>
          <w:color w:val="FF0000"/>
        </w:rPr>
        <w:t xml:space="preserve"> Olupona, </w:t>
      </w:r>
      <w:r w:rsidR="000C4B9B">
        <w:rPr>
          <w:color w:val="FF0000"/>
        </w:rPr>
        <w:t xml:space="preserve">O. </w:t>
      </w:r>
      <w:r w:rsidRPr="007505CF">
        <w:rPr>
          <w:color w:val="FF0000"/>
        </w:rPr>
        <w:t xml:space="preserve"> Ojo, </w:t>
      </w:r>
      <w:r w:rsidR="000C4B9B">
        <w:rPr>
          <w:color w:val="FF0000"/>
        </w:rPr>
        <w:t>N.</w:t>
      </w:r>
      <w:r w:rsidRPr="007505CF">
        <w:rPr>
          <w:color w:val="FF0000"/>
        </w:rPr>
        <w:t xml:space="preserve"> Co, </w:t>
      </w:r>
      <w:r w:rsidR="000C4B9B">
        <w:rPr>
          <w:color w:val="FF0000"/>
        </w:rPr>
        <w:t>and J.J.</w:t>
      </w:r>
      <w:r w:rsidRPr="007505CF">
        <w:rPr>
          <w:color w:val="FF0000"/>
        </w:rPr>
        <w:t xml:space="preserve"> Lim. </w:t>
      </w:r>
      <w:r w:rsidR="000C4B9B">
        <w:rPr>
          <w:color w:val="FF0000"/>
        </w:rPr>
        <w:t>“</w:t>
      </w:r>
      <w:r w:rsidRPr="007505CF">
        <w:rPr>
          <w:color w:val="FF0000"/>
        </w:rPr>
        <w:t xml:space="preserve">Reducing </w:t>
      </w:r>
      <w:r w:rsidR="000C4B9B">
        <w:rPr>
          <w:color w:val="FF0000"/>
        </w:rPr>
        <w:t>R</w:t>
      </w:r>
      <w:r w:rsidR="000C4B9B" w:rsidRPr="007505CF">
        <w:rPr>
          <w:color w:val="FF0000"/>
        </w:rPr>
        <w:t>eadmission</w:t>
      </w:r>
      <w:r w:rsidR="000C4B9B">
        <w:rPr>
          <w:color w:val="FF0000"/>
        </w:rPr>
        <w:t xml:space="preserve"> R</w:t>
      </w:r>
      <w:r w:rsidR="000C4B9B" w:rsidRPr="007505CF">
        <w:rPr>
          <w:color w:val="FF0000"/>
        </w:rPr>
        <w:t xml:space="preserve">ates </w:t>
      </w:r>
      <w:r w:rsidRPr="007505CF">
        <w:rPr>
          <w:color w:val="FF0000"/>
        </w:rPr>
        <w:t xml:space="preserve">in </w:t>
      </w:r>
      <w:r w:rsidR="000C4B9B">
        <w:rPr>
          <w:color w:val="FF0000"/>
        </w:rPr>
        <w:t>I</w:t>
      </w:r>
      <w:r w:rsidR="000C4B9B" w:rsidRPr="007505CF">
        <w:rPr>
          <w:color w:val="FF0000"/>
        </w:rPr>
        <w:t xml:space="preserve">npatient </w:t>
      </w:r>
      <w:r w:rsidR="000C4B9B">
        <w:rPr>
          <w:color w:val="FF0000"/>
        </w:rPr>
        <w:t>S</w:t>
      </w:r>
      <w:r w:rsidR="000C4B9B" w:rsidRPr="007505CF">
        <w:rPr>
          <w:color w:val="FF0000"/>
        </w:rPr>
        <w:t>ettings</w:t>
      </w:r>
      <w:r w:rsidRPr="007505CF">
        <w:rPr>
          <w:color w:val="FF0000"/>
        </w:rPr>
        <w:t>.</w:t>
      </w:r>
      <w:r w:rsidR="000C4B9B">
        <w:rPr>
          <w:color w:val="FF0000"/>
        </w:rPr>
        <w:t>”</w:t>
      </w:r>
      <w:r w:rsidRPr="007505CF">
        <w:rPr>
          <w:color w:val="FF0000"/>
        </w:rPr>
        <w:t xml:space="preserve"> </w:t>
      </w:r>
      <w:r w:rsidRPr="00E46CC2">
        <w:rPr>
          <w:i/>
          <w:iCs/>
          <w:color w:val="FF0000"/>
        </w:rPr>
        <w:t>International Journal of Mental Health</w:t>
      </w:r>
      <w:r w:rsidRPr="007505CF">
        <w:rPr>
          <w:color w:val="FF0000"/>
        </w:rPr>
        <w:t xml:space="preserve">, </w:t>
      </w:r>
      <w:r w:rsidR="000C4B9B">
        <w:rPr>
          <w:color w:val="FF0000"/>
        </w:rPr>
        <w:t xml:space="preserve">vol. </w:t>
      </w:r>
      <w:r w:rsidRPr="007505CF">
        <w:rPr>
          <w:color w:val="FF0000"/>
        </w:rPr>
        <w:t xml:space="preserve">46, </w:t>
      </w:r>
      <w:r w:rsidR="00CB49F1">
        <w:rPr>
          <w:color w:val="FF0000"/>
        </w:rPr>
        <w:t xml:space="preserve">no. 3, </w:t>
      </w:r>
      <w:r w:rsidR="000C4B9B">
        <w:rPr>
          <w:color w:val="FF0000"/>
        </w:rPr>
        <w:t xml:space="preserve">2017, pp. </w:t>
      </w:r>
      <w:r w:rsidRPr="007505CF">
        <w:rPr>
          <w:color w:val="FF0000"/>
        </w:rPr>
        <w:t>168</w:t>
      </w:r>
      <w:r w:rsidR="000C4B9B">
        <w:rPr>
          <w:color w:val="FF0000"/>
        </w:rPr>
        <w:t>–</w:t>
      </w:r>
      <w:r w:rsidRPr="007505CF">
        <w:rPr>
          <w:color w:val="FF0000"/>
        </w:rPr>
        <w:t xml:space="preserve">176. </w:t>
      </w:r>
      <w:r w:rsidR="00CB49F1">
        <w:rPr>
          <w:color w:val="FF0000"/>
        </w:rPr>
        <w:t>https://</w:t>
      </w:r>
      <w:r w:rsidRPr="007505CF">
        <w:rPr>
          <w:color w:val="FF0000"/>
        </w:rPr>
        <w:t>doi:</w:t>
      </w:r>
      <w:r w:rsidR="00D0391F">
        <w:rPr>
          <w:color w:val="FF0000"/>
        </w:rPr>
        <w:t xml:space="preserve"> </w:t>
      </w:r>
      <w:r w:rsidRPr="007505CF">
        <w:rPr>
          <w:color w:val="FF0000"/>
        </w:rPr>
        <w:t>10.1080/00207411.2017.1295782</w:t>
      </w:r>
    </w:p>
    <w:p w14:paraId="54E46467" w14:textId="77777777" w:rsidR="00D0391F" w:rsidRDefault="00D0391F" w:rsidP="00D0391F">
      <w:pPr>
        <w:autoSpaceDE w:val="0"/>
        <w:autoSpaceDN w:val="0"/>
        <w:adjustRightInd w:val="0"/>
        <w:ind w:firstLine="0"/>
        <w:rPr>
          <w:color w:val="FF0000"/>
        </w:rPr>
      </w:pPr>
    </w:p>
    <w:p w14:paraId="7C6637A2" w14:textId="596A48A6" w:rsidR="004F55F0" w:rsidRDefault="00CB49F1" w:rsidP="00D0391F">
      <w:pPr>
        <w:autoSpaceDE w:val="0"/>
        <w:autoSpaceDN w:val="0"/>
        <w:adjustRightInd w:val="0"/>
        <w:ind w:left="0" w:firstLine="0"/>
        <w:rPr>
          <w:color w:val="FF0000"/>
        </w:rPr>
      </w:pPr>
      <w:r w:rsidRPr="00E46CC2">
        <w:rPr>
          <w:color w:val="FF0000"/>
        </w:rPr>
        <w:t>Comer, D., J. Goldsack, J. Flaherty, K. Van Velzen, R. Caplan, K. Britt, H. Viohl et al. “Impact of a Discharge Prescription Program on Hospital Readmissions and Patient Satisfaction. Journal of the American Pharmacist Association, vol. 57, no. 4, 2017, pp. 498–502. https://doi:10.1016/j.japh.2017.04.</w:t>
      </w:r>
      <w:r w:rsidR="00915F3B" w:rsidRPr="00E46CC2">
        <w:rPr>
          <w:color w:val="FF0000"/>
        </w:rPr>
        <w:t>007</w:t>
      </w:r>
    </w:p>
    <w:p w14:paraId="3D8E7CF3" w14:textId="77777777" w:rsidR="00D0391F" w:rsidRDefault="00D0391F" w:rsidP="00D0391F">
      <w:pPr>
        <w:autoSpaceDE w:val="0"/>
        <w:autoSpaceDN w:val="0"/>
        <w:adjustRightInd w:val="0"/>
        <w:ind w:left="0" w:firstLine="0"/>
        <w:rPr>
          <w:color w:val="FF0000"/>
        </w:rPr>
      </w:pPr>
    </w:p>
    <w:p w14:paraId="0EB3A698" w14:textId="55845003" w:rsidR="00DE2232" w:rsidRDefault="00CB49F1" w:rsidP="00DE2232">
      <w:pPr>
        <w:autoSpaceDE w:val="0"/>
        <w:autoSpaceDN w:val="0"/>
        <w:adjustRightInd w:val="0"/>
        <w:ind w:left="0" w:firstLine="0"/>
        <w:rPr>
          <w:color w:val="FF0000"/>
        </w:rPr>
      </w:pPr>
      <w:r w:rsidRPr="00E46CC2">
        <w:rPr>
          <w:color w:val="FF0000"/>
        </w:rPr>
        <w:t>Taylor, C., B. Holsinger, J.V. Flanagan, A.M. Ayers, S.L. Hutchinson, and L. Terhorst. “Effectiveness of a Brief Care Management Intervention for Reducing Psychiatric Hospitalization Readmissions.” Journal of Behavioral Health Services &amp; Research, vol. 43, no. 2, 2014, pp. 262–271. https://doi.10.1007/s11414-014-9400</w:t>
      </w:r>
      <w:r w:rsidR="00915F3B" w:rsidRPr="00E46CC2">
        <w:rPr>
          <w:color w:val="FF0000"/>
        </w:rPr>
        <w:t>-4</w:t>
      </w:r>
    </w:p>
    <w:p w14:paraId="54E2C12E" w14:textId="6EDC7845" w:rsidR="00DE2232" w:rsidRDefault="00DE2232" w:rsidP="00DE2232">
      <w:pPr>
        <w:autoSpaceDE w:val="0"/>
        <w:autoSpaceDN w:val="0"/>
        <w:adjustRightInd w:val="0"/>
        <w:ind w:left="0" w:firstLine="0"/>
        <w:rPr>
          <w:color w:val="FF0000"/>
        </w:rPr>
      </w:pPr>
    </w:p>
    <w:p w14:paraId="1AFED7AB" w14:textId="77777777" w:rsidR="00FD199A" w:rsidRDefault="00FD199A" w:rsidP="00DE2232">
      <w:pPr>
        <w:autoSpaceDE w:val="0"/>
        <w:autoSpaceDN w:val="0"/>
        <w:adjustRightInd w:val="0"/>
        <w:ind w:left="0" w:firstLine="0"/>
        <w:rPr>
          <w:color w:val="FF0000"/>
        </w:rPr>
      </w:pPr>
    </w:p>
    <w:p w14:paraId="518F3CD1" w14:textId="20A41845" w:rsidR="00F37823" w:rsidRPr="00F37823" w:rsidRDefault="00F37823" w:rsidP="006C4682">
      <w:pPr>
        <w:spacing w:after="200"/>
        <w:ind w:firstLine="0"/>
        <w:rPr>
          <w:rFonts w:eastAsia="Trebuchet MS" w:cs="Trebuchet MS"/>
          <w:color w:val="0070C0"/>
          <w:u w:val="single"/>
        </w:rPr>
      </w:pPr>
      <w:r w:rsidRPr="00F37823">
        <w:rPr>
          <w:rFonts w:eastAsia="Trebuchet MS" w:cs="Trebuchet MS"/>
          <w:color w:val="0070C0"/>
          <w:u w:val="single"/>
        </w:rPr>
        <w:lastRenderedPageBreak/>
        <w:t>2016 submission content:</w:t>
      </w:r>
    </w:p>
    <w:p w14:paraId="22D39CA8" w14:textId="25693E7E" w:rsidR="006C4682" w:rsidRPr="00142E5A" w:rsidRDefault="006C4682" w:rsidP="006C4682">
      <w:pPr>
        <w:spacing w:after="200"/>
        <w:ind w:firstLine="0"/>
        <w:rPr>
          <w:rFonts w:eastAsia="Trebuchet MS" w:cs="Trebuchet MS"/>
          <w:color w:val="0070C0"/>
        </w:rPr>
      </w:pPr>
      <w:r w:rsidRPr="00142E5A">
        <w:rPr>
          <w:rFonts w:eastAsia="Trebuchet MS" w:cs="Trebuchet MS"/>
          <w:color w:val="0070C0"/>
        </w:rPr>
        <w:t xml:space="preserve">Focused primarily on systematic reviews of the evidence for interventions to prevent readmission, the following information supports the relationship between IPF processes of care and the outcome of readmission. Studies have demonstrated that improvements in the following areas can reduce readmissions: </w:t>
      </w:r>
    </w:p>
    <w:p w14:paraId="2B2DA3A9" w14:textId="77777777" w:rsidR="006C4682" w:rsidRPr="00142E5A" w:rsidRDefault="006C4682" w:rsidP="006C4682">
      <w:pPr>
        <w:pStyle w:val="ListParagraph"/>
        <w:widowControl w:val="0"/>
        <w:numPr>
          <w:ilvl w:val="0"/>
          <w:numId w:val="13"/>
        </w:numPr>
        <w:autoSpaceDE w:val="0"/>
        <w:autoSpaceDN w:val="0"/>
        <w:adjustRightInd w:val="0"/>
        <w:spacing w:after="0" w:line="240" w:lineRule="auto"/>
        <w:rPr>
          <w:rFonts w:eastAsia="Trebuchet MS" w:cs="Trebuchet MS"/>
          <w:color w:val="0070C0"/>
        </w:rPr>
      </w:pPr>
      <w:r w:rsidRPr="00142E5A">
        <w:rPr>
          <w:rFonts w:eastAsia="Trebuchet MS" w:cs="Trebuchet MS"/>
          <w:color w:val="0070C0"/>
        </w:rPr>
        <w:t>Connecting patients with severe mental illness to intensive case management (ICM) may help prevent readmissions. A systematic review of ICM for those with severe mental illness found that compared to standard care, ICM reduced the average number of days in the hospital by 0.86 days per month.</w:t>
      </w:r>
      <w:r w:rsidRPr="00142E5A">
        <w:rPr>
          <w:rFonts w:eastAsia="Trebuchet MS" w:cs="Trebuchet MS"/>
          <w:color w:val="0070C0"/>
          <w:vertAlign w:val="superscript"/>
        </w:rPr>
        <w:t>1</w:t>
      </w:r>
    </w:p>
    <w:p w14:paraId="10EC60F1" w14:textId="77777777" w:rsidR="006C4682" w:rsidRPr="00142E5A" w:rsidRDefault="006C4682" w:rsidP="006C4682">
      <w:pPr>
        <w:pStyle w:val="ListParagraph"/>
        <w:widowControl w:val="0"/>
        <w:numPr>
          <w:ilvl w:val="0"/>
          <w:numId w:val="13"/>
        </w:numPr>
        <w:autoSpaceDE w:val="0"/>
        <w:autoSpaceDN w:val="0"/>
        <w:adjustRightInd w:val="0"/>
        <w:spacing w:after="0" w:line="240" w:lineRule="auto"/>
        <w:rPr>
          <w:rFonts w:eastAsia="Trebuchet MS" w:cs="Trebuchet MS"/>
          <w:color w:val="0070C0"/>
        </w:rPr>
      </w:pPr>
      <w:r w:rsidRPr="00142E5A">
        <w:rPr>
          <w:rFonts w:eastAsia="Trebuchet MS" w:cs="Trebuchet MS"/>
          <w:color w:val="0070C0"/>
        </w:rPr>
        <w:t>“Attending to stability of condition” at discharge was found to modestly prevent early readmission by a systematic review of literature on 30-90 day readmissions.</w:t>
      </w:r>
      <w:r w:rsidRPr="00142E5A">
        <w:rPr>
          <w:rFonts w:eastAsia="Trebuchet MS" w:cs="Trebuchet MS"/>
          <w:color w:val="0070C0"/>
          <w:vertAlign w:val="superscript"/>
        </w:rPr>
        <w:t>2</w:t>
      </w:r>
      <w:r w:rsidRPr="00142E5A">
        <w:rPr>
          <w:rFonts w:eastAsia="Trebuchet MS" w:cs="Trebuchet MS"/>
          <w:color w:val="0070C0"/>
        </w:rPr>
        <w:t xml:space="preserve"> Administering effective, evidence-based treatments for psychiatric conditions (e.g., the Veterans Affairs/Department of Defense guideline for management of bipolar disorder)</w:t>
      </w:r>
      <w:r w:rsidRPr="00142E5A">
        <w:rPr>
          <w:rFonts w:eastAsia="Trebuchet MS" w:cs="Trebuchet MS"/>
          <w:color w:val="0070C0"/>
          <w:vertAlign w:val="superscript"/>
        </w:rPr>
        <w:t>3</w:t>
      </w:r>
      <w:r w:rsidRPr="00142E5A">
        <w:rPr>
          <w:rFonts w:eastAsia="Trebuchet MS" w:cs="Trebuchet MS"/>
          <w:color w:val="0070C0"/>
        </w:rPr>
        <w:t xml:space="preserve"> is a pre-requisite to stabilizing patients experiencing an acute episode of a psychiatric disorder and preventing readmissions after discharge.</w:t>
      </w:r>
    </w:p>
    <w:p w14:paraId="574FA928" w14:textId="77777777" w:rsidR="006C4682" w:rsidRPr="00142E5A" w:rsidRDefault="006C4682" w:rsidP="006C4682">
      <w:pPr>
        <w:pStyle w:val="ListParagraph"/>
        <w:widowControl w:val="0"/>
        <w:numPr>
          <w:ilvl w:val="0"/>
          <w:numId w:val="13"/>
        </w:numPr>
        <w:autoSpaceDE w:val="0"/>
        <w:autoSpaceDN w:val="0"/>
        <w:adjustRightInd w:val="0"/>
        <w:spacing w:after="0" w:line="240" w:lineRule="auto"/>
        <w:rPr>
          <w:rFonts w:eastAsia="Trebuchet MS" w:cs="Trebuchet MS"/>
          <w:color w:val="0070C0"/>
        </w:rPr>
      </w:pPr>
      <w:r w:rsidRPr="00142E5A">
        <w:rPr>
          <w:rFonts w:eastAsia="Trebuchet MS" w:cs="Trebuchet MS"/>
          <w:color w:val="0070C0"/>
        </w:rPr>
        <w:t>Connecting patients to services they will need post-discharge can help prevent readmission. In a study of 30-day behavioral health readmissions using a multistate Medicaid database, a 1% increase in the percent of patients receiving follow-up within seven days of discharge was associated with a 5% reduction in the probability of being readmitted.</w:t>
      </w:r>
      <w:r w:rsidRPr="00142E5A">
        <w:rPr>
          <w:rFonts w:eastAsia="Trebuchet MS" w:cs="Trebuchet MS"/>
          <w:color w:val="0070C0"/>
          <w:vertAlign w:val="superscript"/>
        </w:rPr>
        <w:t>4</w:t>
      </w:r>
      <w:r w:rsidRPr="00142E5A">
        <w:rPr>
          <w:rFonts w:eastAsia="Trebuchet MS" w:cs="Trebuchet MS"/>
          <w:color w:val="0070C0"/>
        </w:rPr>
        <w:t xml:space="preserve"> </w:t>
      </w:r>
    </w:p>
    <w:p w14:paraId="261958CC" w14:textId="77777777" w:rsidR="006C4682" w:rsidRPr="00142E5A" w:rsidRDefault="006C4682" w:rsidP="006C4682">
      <w:pPr>
        <w:pStyle w:val="ListParagraph"/>
        <w:widowControl w:val="0"/>
        <w:numPr>
          <w:ilvl w:val="0"/>
          <w:numId w:val="13"/>
        </w:numPr>
        <w:autoSpaceDE w:val="0"/>
        <w:autoSpaceDN w:val="0"/>
        <w:adjustRightInd w:val="0"/>
        <w:spacing w:after="0" w:line="240" w:lineRule="auto"/>
        <w:rPr>
          <w:rFonts w:eastAsia="Trebuchet MS" w:cs="Trebuchet MS"/>
          <w:color w:val="0070C0"/>
        </w:rPr>
      </w:pPr>
      <w:r w:rsidRPr="00142E5A">
        <w:rPr>
          <w:rFonts w:eastAsia="Trebuchet MS" w:cs="Trebuchet MS"/>
          <w:color w:val="0070C0"/>
        </w:rPr>
        <w:t>Transitional interventions such as pre- and post-discharge patient education, structured needs assessments, medication reconciliation/education, transition managers, and inpatient/outpatient provider communication have been effective to reduce early psychiatric readmissions. A systematic review of such interventions observed reductions of 13.6% to 37.0%.</w:t>
      </w:r>
      <w:r w:rsidRPr="00142E5A">
        <w:rPr>
          <w:rFonts w:eastAsia="Trebuchet MS" w:cs="Trebuchet MS"/>
          <w:color w:val="0070C0"/>
          <w:vertAlign w:val="superscript"/>
        </w:rPr>
        <w:t>5</w:t>
      </w:r>
      <w:r w:rsidRPr="00142E5A">
        <w:rPr>
          <w:rFonts w:eastAsia="Trebuchet MS" w:cs="Trebuchet MS"/>
          <w:color w:val="0070C0"/>
        </w:rPr>
        <w:t xml:space="preserve"> The time period for counting readmissions varied across studies from 3-24 months post-discharge. </w:t>
      </w:r>
    </w:p>
    <w:p w14:paraId="357047DA" w14:textId="77777777" w:rsidR="006C4682" w:rsidRPr="00142E5A" w:rsidRDefault="006C4682" w:rsidP="006C4682">
      <w:pPr>
        <w:pStyle w:val="ListParagraph"/>
        <w:widowControl w:val="0"/>
        <w:numPr>
          <w:ilvl w:val="0"/>
          <w:numId w:val="13"/>
        </w:numPr>
        <w:autoSpaceDE w:val="0"/>
        <w:autoSpaceDN w:val="0"/>
        <w:adjustRightInd w:val="0"/>
        <w:spacing w:after="0" w:line="240" w:lineRule="auto"/>
        <w:rPr>
          <w:rFonts w:eastAsia="Trebuchet MS" w:cs="Trebuchet MS"/>
          <w:color w:val="0070C0"/>
        </w:rPr>
      </w:pPr>
      <w:r w:rsidRPr="00142E5A">
        <w:rPr>
          <w:rFonts w:eastAsia="Trebuchet MS" w:cs="Trebuchet MS"/>
          <w:color w:val="0070C0"/>
        </w:rPr>
        <w:t>Similarly, discharge planning in mental health was effective at reducing readmissions. In a systematic review, a meta-analysis of pooled data for 11 studies with a mean follow-up of 3.83 months demonstrated a 34% reduction in risk of readmission.</w:t>
      </w:r>
      <w:r w:rsidRPr="00142E5A">
        <w:rPr>
          <w:rFonts w:eastAsia="Trebuchet MS" w:cs="Trebuchet MS"/>
          <w:color w:val="0070C0"/>
          <w:vertAlign w:val="superscript"/>
        </w:rPr>
        <w:t>6</w:t>
      </w:r>
      <w:r w:rsidRPr="00142E5A">
        <w:rPr>
          <w:rFonts w:eastAsia="Trebuchet MS" w:cs="Trebuchet MS"/>
          <w:color w:val="0070C0"/>
        </w:rPr>
        <w:t xml:space="preserve"> </w:t>
      </w:r>
    </w:p>
    <w:p w14:paraId="0D0550AC" w14:textId="530B157E" w:rsidR="006C4682" w:rsidRPr="00E52382" w:rsidRDefault="006C4682" w:rsidP="006C4682">
      <w:pPr>
        <w:widowControl w:val="0"/>
        <w:autoSpaceDE w:val="0"/>
        <w:autoSpaceDN w:val="0"/>
        <w:adjustRightInd w:val="0"/>
        <w:ind w:left="0" w:firstLine="0"/>
        <w:rPr>
          <w:rFonts w:eastAsia="Times New Roman" w:cs="Times New Roman"/>
          <w:color w:val="0070C0"/>
          <w:sz w:val="24"/>
          <w:szCs w:val="24"/>
          <w:u w:val="single"/>
        </w:rPr>
      </w:pPr>
    </w:p>
    <w:p w14:paraId="1FF48B50" w14:textId="77777777" w:rsidR="006C4682" w:rsidRPr="00E52382" w:rsidRDefault="006C4682" w:rsidP="006C4682">
      <w:pPr>
        <w:numPr>
          <w:ilvl w:val="0"/>
          <w:numId w:val="12"/>
        </w:numPr>
        <w:rPr>
          <w:rFonts w:eastAsiaTheme="minorEastAsia" w:cs="Times New Roman"/>
          <w:noProof/>
          <w:color w:val="0070C0"/>
          <w:szCs w:val="24"/>
        </w:rPr>
      </w:pPr>
      <w:r w:rsidRPr="00E52382">
        <w:rPr>
          <w:rFonts w:eastAsiaTheme="minorEastAsia" w:cs="Times New Roman"/>
          <w:noProof/>
          <w:color w:val="0070C0"/>
          <w:szCs w:val="24"/>
        </w:rPr>
        <w:t xml:space="preserve">Dieterich M, Irving CB, Park B, Marshall M. Intensive case management for severe mental illness. </w:t>
      </w:r>
      <w:r w:rsidRPr="00E52382">
        <w:rPr>
          <w:rFonts w:eastAsiaTheme="minorEastAsia" w:cs="Times New Roman"/>
          <w:i/>
          <w:noProof/>
          <w:color w:val="0070C0"/>
          <w:szCs w:val="24"/>
        </w:rPr>
        <w:t xml:space="preserve">The Cochrane database of systematic reviews. </w:t>
      </w:r>
      <w:r w:rsidRPr="00E52382">
        <w:rPr>
          <w:rFonts w:eastAsiaTheme="minorEastAsia" w:cs="Times New Roman"/>
          <w:noProof/>
          <w:color w:val="0070C0"/>
          <w:szCs w:val="24"/>
        </w:rPr>
        <w:t>2010(10):Cd007906.</w:t>
      </w:r>
    </w:p>
    <w:p w14:paraId="039131B7" w14:textId="77777777" w:rsidR="006C4682" w:rsidRPr="00E52382" w:rsidRDefault="006C4682" w:rsidP="006C4682">
      <w:pPr>
        <w:numPr>
          <w:ilvl w:val="0"/>
          <w:numId w:val="12"/>
        </w:numPr>
        <w:rPr>
          <w:rFonts w:eastAsiaTheme="minorEastAsia" w:cs="Times New Roman"/>
          <w:noProof/>
          <w:color w:val="0070C0"/>
          <w:szCs w:val="24"/>
        </w:rPr>
      </w:pPr>
      <w:r w:rsidRPr="00E52382">
        <w:rPr>
          <w:rFonts w:eastAsiaTheme="minorEastAsia" w:cs="Times New Roman"/>
          <w:noProof/>
          <w:color w:val="0070C0"/>
          <w:szCs w:val="24"/>
        </w:rPr>
        <w:t xml:space="preserve">Durbin J, Lin E, Layne C, Teed M. Is readmission a valid indicator of the quality of inpatient psychiatric care? </w:t>
      </w:r>
      <w:r w:rsidRPr="00E52382">
        <w:rPr>
          <w:rFonts w:eastAsiaTheme="minorEastAsia" w:cs="Times New Roman"/>
          <w:i/>
          <w:noProof/>
          <w:color w:val="0070C0"/>
          <w:szCs w:val="24"/>
        </w:rPr>
        <w:t xml:space="preserve">J. Behav. Health Serv. Res. </w:t>
      </w:r>
      <w:r w:rsidRPr="00E52382">
        <w:rPr>
          <w:rFonts w:eastAsiaTheme="minorEastAsia" w:cs="Times New Roman"/>
          <w:noProof/>
          <w:color w:val="0070C0"/>
          <w:szCs w:val="24"/>
        </w:rPr>
        <w:t>2007;34(2):137-150.</w:t>
      </w:r>
    </w:p>
    <w:p w14:paraId="742CEF0D" w14:textId="77777777" w:rsidR="006C4682" w:rsidRPr="00E52382" w:rsidRDefault="006C4682" w:rsidP="006C4682">
      <w:pPr>
        <w:numPr>
          <w:ilvl w:val="0"/>
          <w:numId w:val="12"/>
        </w:numPr>
        <w:rPr>
          <w:rFonts w:eastAsiaTheme="minorEastAsia" w:cs="Times New Roman"/>
          <w:noProof/>
          <w:color w:val="0070C0"/>
          <w:szCs w:val="24"/>
        </w:rPr>
      </w:pPr>
      <w:r w:rsidRPr="00E52382">
        <w:rPr>
          <w:rFonts w:eastAsiaTheme="minorEastAsia" w:cs="Times New Roman"/>
          <w:noProof/>
          <w:color w:val="0070C0"/>
          <w:szCs w:val="24"/>
        </w:rPr>
        <w:t xml:space="preserve">Department of Veterans Affairs/Department of Defense. </w:t>
      </w:r>
      <w:r w:rsidRPr="00E52382">
        <w:rPr>
          <w:rFonts w:eastAsiaTheme="minorEastAsia" w:cs="Times New Roman"/>
          <w:i/>
          <w:noProof/>
          <w:color w:val="0070C0"/>
          <w:szCs w:val="24"/>
        </w:rPr>
        <w:t xml:space="preserve">Clinical Practice Guideline for Management of Bipolar Disorder in Adults. </w:t>
      </w:r>
      <w:r w:rsidRPr="00E52382">
        <w:rPr>
          <w:rFonts w:eastAsiaTheme="minorEastAsia" w:cs="Times New Roman"/>
          <w:noProof/>
          <w:color w:val="0070C0"/>
          <w:szCs w:val="24"/>
        </w:rPr>
        <w:t>Washington, DC: Department of Veterans Affairs, Department of Defense; May 2010.</w:t>
      </w:r>
    </w:p>
    <w:p w14:paraId="7ADBC10D" w14:textId="77777777" w:rsidR="006C4682" w:rsidRPr="00E52382" w:rsidRDefault="006C4682" w:rsidP="006C4682">
      <w:pPr>
        <w:numPr>
          <w:ilvl w:val="0"/>
          <w:numId w:val="12"/>
        </w:numPr>
        <w:rPr>
          <w:rFonts w:eastAsiaTheme="minorEastAsia" w:cs="Times New Roman"/>
          <w:noProof/>
          <w:color w:val="0070C0"/>
          <w:szCs w:val="24"/>
        </w:rPr>
      </w:pPr>
      <w:r w:rsidRPr="00E52382">
        <w:rPr>
          <w:rFonts w:eastAsiaTheme="minorEastAsia" w:cs="Times New Roman"/>
          <w:noProof/>
          <w:color w:val="0070C0"/>
          <w:szCs w:val="24"/>
        </w:rPr>
        <w:t xml:space="preserve">Mark T, Tomic KS, Kowlessar N, Chu BC, Vandivort-Warren R, Smith S. Hospital readmission among medicaid patients with an index hospitalization for mental and/or substance use disorder. </w:t>
      </w:r>
      <w:r w:rsidRPr="00E52382">
        <w:rPr>
          <w:rFonts w:eastAsiaTheme="minorEastAsia" w:cs="Times New Roman"/>
          <w:i/>
          <w:noProof/>
          <w:color w:val="0070C0"/>
          <w:szCs w:val="24"/>
        </w:rPr>
        <w:t xml:space="preserve">J. Behav. Health Serv. Res. </w:t>
      </w:r>
      <w:r w:rsidRPr="00E52382">
        <w:rPr>
          <w:rFonts w:eastAsiaTheme="minorEastAsia" w:cs="Times New Roman"/>
          <w:noProof/>
          <w:color w:val="0070C0"/>
          <w:szCs w:val="24"/>
        </w:rPr>
        <w:t>2013;40(2):207-221.</w:t>
      </w:r>
    </w:p>
    <w:p w14:paraId="5B8A0F53" w14:textId="77777777" w:rsidR="006C4682" w:rsidRPr="00E52382" w:rsidRDefault="006C4682" w:rsidP="006C4682">
      <w:pPr>
        <w:numPr>
          <w:ilvl w:val="0"/>
          <w:numId w:val="12"/>
        </w:numPr>
        <w:rPr>
          <w:rFonts w:eastAsiaTheme="minorEastAsia" w:cs="Times New Roman"/>
          <w:noProof/>
          <w:color w:val="0070C0"/>
          <w:szCs w:val="24"/>
        </w:rPr>
      </w:pPr>
      <w:r w:rsidRPr="00E52382">
        <w:rPr>
          <w:rFonts w:eastAsiaTheme="minorEastAsia" w:cs="Times New Roman"/>
          <w:noProof/>
          <w:color w:val="0070C0"/>
          <w:szCs w:val="24"/>
        </w:rPr>
        <w:t xml:space="preserve">Vigod SN, Kurdyak PA, Dennis CL, et al. Transitional interventions to reduce early psychiatric readmissions in adults: systematic review. </w:t>
      </w:r>
      <w:r w:rsidRPr="00E52382">
        <w:rPr>
          <w:rFonts w:eastAsiaTheme="minorEastAsia" w:cs="Times New Roman"/>
          <w:i/>
          <w:noProof/>
          <w:color w:val="0070C0"/>
          <w:szCs w:val="24"/>
        </w:rPr>
        <w:t xml:space="preserve">Br. J. Psychiatry. </w:t>
      </w:r>
      <w:r w:rsidRPr="00E52382">
        <w:rPr>
          <w:rFonts w:eastAsiaTheme="minorEastAsia" w:cs="Times New Roman"/>
          <w:noProof/>
          <w:color w:val="0070C0"/>
          <w:szCs w:val="24"/>
        </w:rPr>
        <w:t>2013;202(3):187-194.</w:t>
      </w:r>
    </w:p>
    <w:p w14:paraId="5A7AC9E1" w14:textId="77777777" w:rsidR="006C4682" w:rsidRPr="00E52382" w:rsidRDefault="006C4682" w:rsidP="006C4682">
      <w:pPr>
        <w:numPr>
          <w:ilvl w:val="0"/>
          <w:numId w:val="12"/>
        </w:numPr>
        <w:rPr>
          <w:rFonts w:eastAsiaTheme="minorEastAsia" w:cs="Times New Roman"/>
          <w:noProof/>
          <w:color w:val="0070C0"/>
          <w:szCs w:val="24"/>
        </w:rPr>
      </w:pPr>
      <w:r w:rsidRPr="00E52382">
        <w:rPr>
          <w:rFonts w:eastAsiaTheme="minorEastAsia" w:cs="Times New Roman"/>
          <w:noProof/>
          <w:color w:val="0070C0"/>
          <w:szCs w:val="24"/>
        </w:rPr>
        <w:t xml:space="preserve">Steffen S, Kosters M, Becker T, Puschner B. Discharge planning in mental health care: a systematic review of the recent literature. </w:t>
      </w:r>
      <w:r w:rsidRPr="00E52382">
        <w:rPr>
          <w:rFonts w:eastAsiaTheme="minorEastAsia" w:cs="Times New Roman"/>
          <w:i/>
          <w:noProof/>
          <w:color w:val="0070C0"/>
          <w:szCs w:val="24"/>
        </w:rPr>
        <w:t xml:space="preserve">Acta Psychiatr. Scand. </w:t>
      </w:r>
      <w:r w:rsidRPr="00E52382">
        <w:rPr>
          <w:rFonts w:eastAsiaTheme="minorEastAsia" w:cs="Times New Roman"/>
          <w:noProof/>
          <w:color w:val="0070C0"/>
          <w:szCs w:val="24"/>
        </w:rPr>
        <w:t>2009;120(1):1-9.</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7" w:name="Section1a3"/>
      <w:bookmarkEnd w:id="7"/>
      <w:r w:rsidRPr="003B1CC5">
        <w:rPr>
          <w:b/>
          <w:iCs/>
          <w:color w:val="0000FF"/>
        </w:rPr>
        <w:lastRenderedPageBreak/>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tbl>
      <w:tblPr>
        <w:tblStyle w:val="TableGrid"/>
        <w:tblW w:w="0" w:type="auto"/>
        <w:tblLook w:val="04A0" w:firstRow="1" w:lastRow="0" w:firstColumn="1" w:lastColumn="0" w:noHBand="0" w:noVBand="1"/>
      </w:tblPr>
      <w:tblGrid>
        <w:gridCol w:w="4405"/>
        <w:gridCol w:w="4793"/>
      </w:tblGrid>
      <w:tr w:rsidR="00AB4ECE" w14:paraId="55B8DA76" w14:textId="77777777" w:rsidTr="005447C8">
        <w:trPr>
          <w:cantSplit/>
        </w:trPr>
        <w:tc>
          <w:tcPr>
            <w:tcW w:w="4405" w:type="dxa"/>
          </w:tcPr>
          <w:p w14:paraId="55B8DA6F" w14:textId="77777777" w:rsidR="00AB4ECE" w:rsidRPr="00AB4ECE" w:rsidRDefault="00AB4ECE" w:rsidP="005447C8">
            <w:pPr>
              <w:ind w:left="0" w:firstLine="0"/>
              <w:rPr>
                <w:b/>
              </w:rPr>
            </w:pPr>
            <w:r w:rsidRPr="00AB4ECE">
              <w:rPr>
                <w:b/>
              </w:rPr>
              <w:t>Source of Systematic Review:</w:t>
            </w:r>
          </w:p>
          <w:p w14:paraId="55B8DA70" w14:textId="77777777" w:rsidR="00AB4ECE" w:rsidRPr="00AB4ECE" w:rsidRDefault="00AB4ECE" w:rsidP="005447C8">
            <w:pPr>
              <w:pStyle w:val="ListParagraph"/>
              <w:numPr>
                <w:ilvl w:val="0"/>
                <w:numId w:val="9"/>
              </w:numPr>
              <w:spacing w:after="0"/>
              <w:rPr>
                <w:b/>
              </w:rPr>
            </w:pPr>
            <w:r w:rsidRPr="00AB4ECE">
              <w:rPr>
                <w:b/>
              </w:rPr>
              <w:t>Title</w:t>
            </w:r>
          </w:p>
          <w:p w14:paraId="55B8DA71" w14:textId="77777777" w:rsidR="00AB4ECE" w:rsidRPr="00AB4ECE" w:rsidRDefault="00AB4ECE" w:rsidP="005447C8">
            <w:pPr>
              <w:pStyle w:val="ListParagraph"/>
              <w:numPr>
                <w:ilvl w:val="0"/>
                <w:numId w:val="9"/>
              </w:numPr>
              <w:spacing w:after="0"/>
              <w:rPr>
                <w:b/>
              </w:rPr>
            </w:pPr>
            <w:r w:rsidRPr="00AB4ECE">
              <w:rPr>
                <w:b/>
              </w:rPr>
              <w:t>Author</w:t>
            </w:r>
          </w:p>
          <w:p w14:paraId="55B8DA72" w14:textId="77777777" w:rsidR="00AB4ECE" w:rsidRPr="00AB4ECE" w:rsidRDefault="00AB4ECE" w:rsidP="005447C8">
            <w:pPr>
              <w:pStyle w:val="ListParagraph"/>
              <w:numPr>
                <w:ilvl w:val="0"/>
                <w:numId w:val="9"/>
              </w:numPr>
              <w:spacing w:after="0"/>
              <w:rPr>
                <w:b/>
              </w:rPr>
            </w:pPr>
            <w:r w:rsidRPr="00AB4ECE">
              <w:rPr>
                <w:b/>
              </w:rPr>
              <w:t>Date</w:t>
            </w:r>
          </w:p>
          <w:p w14:paraId="55B8DA73" w14:textId="77777777" w:rsidR="00AB4ECE" w:rsidRPr="00AB4ECE" w:rsidRDefault="00AB4ECE" w:rsidP="005447C8">
            <w:pPr>
              <w:pStyle w:val="ListParagraph"/>
              <w:numPr>
                <w:ilvl w:val="0"/>
                <w:numId w:val="9"/>
              </w:numPr>
              <w:spacing w:after="0"/>
              <w:rPr>
                <w:b/>
              </w:rPr>
            </w:pPr>
            <w:r w:rsidRPr="00AB4ECE">
              <w:rPr>
                <w:b/>
              </w:rPr>
              <w:t>Citation, including page number</w:t>
            </w:r>
          </w:p>
          <w:p w14:paraId="55B8DA74" w14:textId="77777777" w:rsidR="00AB4ECE" w:rsidRPr="00AB4ECE" w:rsidRDefault="00AB4ECE" w:rsidP="005447C8">
            <w:pPr>
              <w:pStyle w:val="ListParagraph"/>
              <w:numPr>
                <w:ilvl w:val="0"/>
                <w:numId w:val="9"/>
              </w:numPr>
              <w:spacing w:after="0"/>
              <w:rPr>
                <w:b/>
              </w:rPr>
            </w:pPr>
            <w:r w:rsidRPr="00AB4ECE">
              <w:rPr>
                <w:b/>
              </w:rPr>
              <w:t>URL</w:t>
            </w:r>
          </w:p>
        </w:tc>
        <w:tc>
          <w:tcPr>
            <w:tcW w:w="4793" w:type="dxa"/>
          </w:tcPr>
          <w:p w14:paraId="55B8DA75" w14:textId="77777777" w:rsidR="00AB4ECE" w:rsidRPr="00AB4ECE" w:rsidRDefault="00AB4ECE" w:rsidP="005447C8">
            <w:pPr>
              <w:ind w:left="0" w:firstLine="0"/>
              <w:rPr>
                <w:b/>
              </w:rPr>
            </w:pPr>
          </w:p>
        </w:tc>
      </w:tr>
      <w:tr w:rsidR="00AB4ECE" w14:paraId="55B8DA79" w14:textId="77777777" w:rsidTr="005447C8">
        <w:trPr>
          <w:cantSplit/>
        </w:trPr>
        <w:tc>
          <w:tcPr>
            <w:tcW w:w="4405" w:type="dxa"/>
          </w:tcPr>
          <w:p w14:paraId="55B8DA77" w14:textId="77777777" w:rsidR="00AB4ECE" w:rsidRDefault="00AB4ECE" w:rsidP="005447C8">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4793" w:type="dxa"/>
          </w:tcPr>
          <w:p w14:paraId="55B8DA78" w14:textId="77777777" w:rsidR="00AB4ECE" w:rsidRDefault="00AB4ECE" w:rsidP="005447C8">
            <w:pPr>
              <w:ind w:left="0" w:firstLine="0"/>
            </w:pPr>
          </w:p>
        </w:tc>
      </w:tr>
      <w:tr w:rsidR="00AB4ECE" w14:paraId="55B8DA7C" w14:textId="77777777" w:rsidTr="005447C8">
        <w:trPr>
          <w:cantSplit/>
        </w:trPr>
        <w:tc>
          <w:tcPr>
            <w:tcW w:w="4405" w:type="dxa"/>
          </w:tcPr>
          <w:p w14:paraId="55B8DA7A" w14:textId="77777777" w:rsidR="00AB4ECE" w:rsidRDefault="00AB4ECE" w:rsidP="005447C8">
            <w:pPr>
              <w:ind w:left="0" w:firstLine="0"/>
            </w:pPr>
            <w:r>
              <w:t xml:space="preserve">Grade assigned to the </w:t>
            </w:r>
            <w:r w:rsidRPr="004E7215">
              <w:rPr>
                <w:b/>
              </w:rPr>
              <w:t>evidence</w:t>
            </w:r>
            <w:r>
              <w:t xml:space="preserve"> associated with the recommendation with the definition of the grade</w:t>
            </w:r>
          </w:p>
        </w:tc>
        <w:tc>
          <w:tcPr>
            <w:tcW w:w="4793" w:type="dxa"/>
          </w:tcPr>
          <w:p w14:paraId="55B8DA7B" w14:textId="77777777" w:rsidR="00AB4ECE" w:rsidRDefault="00AB4ECE" w:rsidP="005447C8">
            <w:pPr>
              <w:ind w:left="0" w:firstLine="0"/>
            </w:pPr>
          </w:p>
        </w:tc>
      </w:tr>
      <w:tr w:rsidR="00AB4ECE" w14:paraId="55B8DA7F" w14:textId="77777777" w:rsidTr="005447C8">
        <w:trPr>
          <w:cantSplit/>
        </w:trPr>
        <w:tc>
          <w:tcPr>
            <w:tcW w:w="4405" w:type="dxa"/>
          </w:tcPr>
          <w:p w14:paraId="55B8DA7D" w14:textId="77777777" w:rsidR="00AB4ECE" w:rsidRDefault="00AB4ECE" w:rsidP="005447C8">
            <w:pPr>
              <w:ind w:left="0" w:firstLine="0"/>
            </w:pPr>
            <w:r>
              <w:t>Provide all other grades and definitions from the evidence grading system</w:t>
            </w:r>
          </w:p>
        </w:tc>
        <w:tc>
          <w:tcPr>
            <w:tcW w:w="4793" w:type="dxa"/>
          </w:tcPr>
          <w:p w14:paraId="55B8DA7E" w14:textId="77777777" w:rsidR="00AB4ECE" w:rsidRDefault="00AB4ECE" w:rsidP="005447C8">
            <w:pPr>
              <w:ind w:left="0" w:firstLine="0"/>
            </w:pPr>
          </w:p>
        </w:tc>
      </w:tr>
      <w:tr w:rsidR="00AB4ECE" w14:paraId="55B8DA82" w14:textId="77777777" w:rsidTr="005447C8">
        <w:trPr>
          <w:cantSplit/>
        </w:trPr>
        <w:tc>
          <w:tcPr>
            <w:tcW w:w="4405" w:type="dxa"/>
          </w:tcPr>
          <w:p w14:paraId="55B8DA80" w14:textId="77777777" w:rsidR="00AB4ECE" w:rsidRDefault="00AB4ECE" w:rsidP="005447C8">
            <w:pPr>
              <w:ind w:left="0" w:firstLine="0"/>
            </w:pPr>
            <w:r>
              <w:t xml:space="preserve">Grade assigned to the </w:t>
            </w:r>
            <w:r w:rsidRPr="004E7215">
              <w:rPr>
                <w:b/>
              </w:rPr>
              <w:t>recommendation</w:t>
            </w:r>
            <w:r>
              <w:t xml:space="preserve"> with definition of the grade</w:t>
            </w:r>
          </w:p>
        </w:tc>
        <w:tc>
          <w:tcPr>
            <w:tcW w:w="4793" w:type="dxa"/>
          </w:tcPr>
          <w:p w14:paraId="55B8DA81" w14:textId="77777777" w:rsidR="00AB4ECE" w:rsidRDefault="00AB4ECE" w:rsidP="005447C8">
            <w:pPr>
              <w:ind w:left="0" w:firstLine="0"/>
            </w:pPr>
          </w:p>
        </w:tc>
      </w:tr>
      <w:tr w:rsidR="00AB4ECE" w14:paraId="55B8DA85" w14:textId="77777777" w:rsidTr="005447C8">
        <w:trPr>
          <w:cantSplit/>
        </w:trPr>
        <w:tc>
          <w:tcPr>
            <w:tcW w:w="4405" w:type="dxa"/>
          </w:tcPr>
          <w:p w14:paraId="55B8DA83" w14:textId="77777777" w:rsidR="00AB4ECE" w:rsidRDefault="00AB4ECE" w:rsidP="005447C8">
            <w:pPr>
              <w:ind w:left="0" w:firstLine="0"/>
            </w:pPr>
            <w:r>
              <w:t>Provide all other grades and definitions from the recommendation grading system</w:t>
            </w:r>
          </w:p>
        </w:tc>
        <w:tc>
          <w:tcPr>
            <w:tcW w:w="4793" w:type="dxa"/>
          </w:tcPr>
          <w:p w14:paraId="55B8DA84" w14:textId="77777777" w:rsidR="00AB4ECE" w:rsidRDefault="00AB4ECE" w:rsidP="005447C8">
            <w:pPr>
              <w:ind w:left="0" w:firstLine="0"/>
            </w:pPr>
          </w:p>
        </w:tc>
      </w:tr>
      <w:tr w:rsidR="00AB4ECE" w14:paraId="55B8DA8A" w14:textId="77777777" w:rsidTr="005447C8">
        <w:trPr>
          <w:cantSplit/>
        </w:trPr>
        <w:tc>
          <w:tcPr>
            <w:tcW w:w="4405" w:type="dxa"/>
          </w:tcPr>
          <w:p w14:paraId="55B8DA86" w14:textId="77777777" w:rsidR="00AB4ECE" w:rsidRDefault="000E5C93" w:rsidP="005447C8">
            <w:pPr>
              <w:ind w:left="0" w:firstLine="0"/>
            </w:pPr>
            <w:r>
              <w:t>Body of evidence:</w:t>
            </w:r>
          </w:p>
          <w:p w14:paraId="55B8DA87" w14:textId="77777777" w:rsidR="000E5C93" w:rsidRDefault="000E5C93" w:rsidP="005447C8">
            <w:pPr>
              <w:pStyle w:val="ListParagraph"/>
              <w:numPr>
                <w:ilvl w:val="0"/>
                <w:numId w:val="10"/>
              </w:numPr>
              <w:spacing w:after="0"/>
            </w:pPr>
            <w:r>
              <w:t>Quantity – how many studies?</w:t>
            </w:r>
          </w:p>
          <w:p w14:paraId="55B8DA88" w14:textId="77777777" w:rsidR="000E5C93" w:rsidRDefault="000E5C93" w:rsidP="005447C8">
            <w:pPr>
              <w:pStyle w:val="ListParagraph"/>
              <w:numPr>
                <w:ilvl w:val="0"/>
                <w:numId w:val="10"/>
              </w:numPr>
              <w:spacing w:after="0"/>
            </w:pPr>
            <w:r>
              <w:t>Quality – what type of studies?</w:t>
            </w:r>
          </w:p>
        </w:tc>
        <w:tc>
          <w:tcPr>
            <w:tcW w:w="4793" w:type="dxa"/>
          </w:tcPr>
          <w:p w14:paraId="55B8DA89" w14:textId="77777777" w:rsidR="00AB4ECE" w:rsidRDefault="00AB4ECE" w:rsidP="005447C8">
            <w:pPr>
              <w:ind w:left="0" w:firstLine="0"/>
            </w:pPr>
          </w:p>
        </w:tc>
      </w:tr>
      <w:tr w:rsidR="00AB4ECE" w14:paraId="55B8DA8D" w14:textId="77777777" w:rsidTr="005447C8">
        <w:trPr>
          <w:cantSplit/>
        </w:trPr>
        <w:tc>
          <w:tcPr>
            <w:tcW w:w="4405" w:type="dxa"/>
          </w:tcPr>
          <w:p w14:paraId="55B8DA8B" w14:textId="77777777" w:rsidR="00AB4ECE" w:rsidRDefault="000E5C93" w:rsidP="005447C8">
            <w:pPr>
              <w:ind w:left="0" w:firstLine="0"/>
            </w:pPr>
            <w:r>
              <w:t xml:space="preserve">Estimates of benefit and consistency across studies </w:t>
            </w:r>
          </w:p>
        </w:tc>
        <w:tc>
          <w:tcPr>
            <w:tcW w:w="4793" w:type="dxa"/>
          </w:tcPr>
          <w:p w14:paraId="55B8DA8C" w14:textId="77777777" w:rsidR="00AB4ECE" w:rsidRDefault="00AB4ECE" w:rsidP="005447C8">
            <w:pPr>
              <w:ind w:left="0" w:firstLine="0"/>
            </w:pPr>
          </w:p>
        </w:tc>
      </w:tr>
      <w:tr w:rsidR="000E5C93" w14:paraId="55B8DA90" w14:textId="77777777" w:rsidTr="005447C8">
        <w:trPr>
          <w:cantSplit/>
        </w:trPr>
        <w:tc>
          <w:tcPr>
            <w:tcW w:w="4405" w:type="dxa"/>
          </w:tcPr>
          <w:p w14:paraId="55B8DA8E" w14:textId="77777777" w:rsidR="000E5C93" w:rsidRDefault="000E5C93" w:rsidP="005447C8">
            <w:pPr>
              <w:ind w:left="0" w:firstLine="0"/>
            </w:pPr>
            <w:r>
              <w:t>What harms were identified?</w:t>
            </w:r>
          </w:p>
        </w:tc>
        <w:tc>
          <w:tcPr>
            <w:tcW w:w="4793" w:type="dxa"/>
          </w:tcPr>
          <w:p w14:paraId="55B8DA8F" w14:textId="77777777" w:rsidR="000E5C93" w:rsidRDefault="000E5C93" w:rsidP="005447C8">
            <w:pPr>
              <w:ind w:left="0" w:firstLine="0"/>
            </w:pPr>
          </w:p>
        </w:tc>
      </w:tr>
      <w:tr w:rsidR="000E5C93" w14:paraId="55B8DA93" w14:textId="77777777" w:rsidTr="005447C8">
        <w:trPr>
          <w:cantSplit/>
        </w:trPr>
        <w:tc>
          <w:tcPr>
            <w:tcW w:w="4405" w:type="dxa"/>
          </w:tcPr>
          <w:p w14:paraId="55B8DA91" w14:textId="77777777" w:rsidR="000E5C93" w:rsidRDefault="000E5C93" w:rsidP="005447C8">
            <w:pPr>
              <w:ind w:left="0" w:firstLine="0"/>
            </w:pPr>
            <w:r>
              <w:t>Identify any new studies conducted since the SR. Do the new studies change the conclusions from the SR?</w:t>
            </w:r>
          </w:p>
        </w:tc>
        <w:tc>
          <w:tcPr>
            <w:tcW w:w="4793" w:type="dxa"/>
          </w:tcPr>
          <w:p w14:paraId="55B8DA92" w14:textId="77777777" w:rsidR="000E5C93" w:rsidRDefault="000E5C93" w:rsidP="005447C8">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8" w:name="Section1a8"/>
      <w:bookmarkEnd w:id="8"/>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19"/>
      <w:footerReference w:type="default" r:id="rId2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Jason Smoot" w:date="2021-04-15T16:31:00Z" w:initials="JS">
    <w:p w14:paraId="4B6954E7" w14:textId="77777777" w:rsidR="00275192" w:rsidRDefault="00275192">
      <w:pPr>
        <w:pStyle w:val="CommentText"/>
      </w:pPr>
      <w:r>
        <w:rPr>
          <w:rStyle w:val="CommentReference"/>
        </w:rPr>
        <w:annotationRef/>
      </w:r>
      <w:r>
        <w:t>Production, please help! Using text boxes or images with text, the same thing keeps happening: my first line of text starts to the left of the box so you can’t see it. Take a look at the bottom-left box</w:t>
      </w:r>
      <w:r w:rsidR="00565994">
        <w:t>, the middle box, and the right-hand box</w:t>
      </w:r>
      <w:r>
        <w:t>. I was able to play around with the sizes of the other boxes to get the text to at least all be in the box, but the text in all of them looks weirdly oriented to me.</w:t>
      </w:r>
    </w:p>
    <w:p w14:paraId="2C810AE0" w14:textId="77777777" w:rsidR="00565994" w:rsidRDefault="00565994">
      <w:pPr>
        <w:pStyle w:val="CommentText"/>
      </w:pPr>
    </w:p>
    <w:p w14:paraId="3C1B08FE" w14:textId="55CF3049" w:rsidR="00565994" w:rsidRDefault="00565994">
      <w:pPr>
        <w:pStyle w:val="CommentText"/>
      </w:pPr>
      <w:r>
        <w:t>Also, can you get the right-most arrow to be horizontal?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C1B08F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FA7CC" w16cex:dateUtc="2021-02-23T21:11:00Z"/>
  <w16cex:commentExtensible w16cex:durableId="23DFA85C" w16cex:dateUtc="2021-02-23T2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C1B08FE" w16cid:durableId="2422E8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53291" w14:textId="77777777" w:rsidR="00366013" w:rsidRDefault="00366013" w:rsidP="007E37A5">
      <w:r>
        <w:separator/>
      </w:r>
    </w:p>
  </w:endnote>
  <w:endnote w:type="continuationSeparator" w:id="0">
    <w:p w14:paraId="3CB00215" w14:textId="77777777" w:rsidR="00366013" w:rsidRDefault="00366013"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278EF352"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194913">
      <w:rPr>
        <w:noProof/>
      </w:rPr>
      <w:t>2</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8FDE1" w14:textId="77777777" w:rsidR="00366013" w:rsidRDefault="00366013" w:rsidP="007E37A5">
      <w:r>
        <w:separator/>
      </w:r>
    </w:p>
  </w:footnote>
  <w:footnote w:type="continuationSeparator" w:id="0">
    <w:p w14:paraId="31DAA379" w14:textId="77777777" w:rsidR="00366013" w:rsidRDefault="00366013"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A23B6"/>
    <w:multiLevelType w:val="hybridMultilevel"/>
    <w:tmpl w:val="57EC7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91C3650"/>
    <w:multiLevelType w:val="hybridMultilevel"/>
    <w:tmpl w:val="B95A458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3"/>
  </w:num>
  <w:num w:numId="5">
    <w:abstractNumId w:val="5"/>
  </w:num>
  <w:num w:numId="6">
    <w:abstractNumId w:val="4"/>
  </w:num>
  <w:num w:numId="7">
    <w:abstractNumId w:val="11"/>
  </w:num>
  <w:num w:numId="8">
    <w:abstractNumId w:val="10"/>
  </w:num>
  <w:num w:numId="9">
    <w:abstractNumId w:val="12"/>
  </w:num>
  <w:num w:numId="10">
    <w:abstractNumId w:val="1"/>
  </w:num>
  <w:num w:numId="11">
    <w:abstractNumId w:val="7"/>
  </w:num>
  <w:num w:numId="12">
    <w:abstractNumId w:val="0"/>
  </w:num>
  <w:num w:numId="1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son Smoot">
    <w15:presenceInfo w15:providerId="AD" w15:userId="S::JSmoot@mathematica-mpr.com::6ccd1efa-0118-4f22-9455-d1833f5187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109"/>
  <w:revisionView w:inkAnnotation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072A7"/>
    <w:rsid w:val="00015986"/>
    <w:rsid w:val="000160E6"/>
    <w:rsid w:val="000161B6"/>
    <w:rsid w:val="00024526"/>
    <w:rsid w:val="00030F43"/>
    <w:rsid w:val="00040DCF"/>
    <w:rsid w:val="00052C0B"/>
    <w:rsid w:val="00061CF3"/>
    <w:rsid w:val="00063601"/>
    <w:rsid w:val="00073079"/>
    <w:rsid w:val="0007593F"/>
    <w:rsid w:val="00095EC9"/>
    <w:rsid w:val="00096A37"/>
    <w:rsid w:val="000A0810"/>
    <w:rsid w:val="000B627F"/>
    <w:rsid w:val="000C322A"/>
    <w:rsid w:val="000C4B9B"/>
    <w:rsid w:val="000D649E"/>
    <w:rsid w:val="000D6D06"/>
    <w:rsid w:val="000E5C93"/>
    <w:rsid w:val="000F4A7F"/>
    <w:rsid w:val="00114848"/>
    <w:rsid w:val="00120934"/>
    <w:rsid w:val="00132070"/>
    <w:rsid w:val="00141875"/>
    <w:rsid w:val="0014347E"/>
    <w:rsid w:val="0014669F"/>
    <w:rsid w:val="00154438"/>
    <w:rsid w:val="001551F6"/>
    <w:rsid w:val="0015535B"/>
    <w:rsid w:val="00162036"/>
    <w:rsid w:val="001632DD"/>
    <w:rsid w:val="00176E60"/>
    <w:rsid w:val="00194913"/>
    <w:rsid w:val="00194D9A"/>
    <w:rsid w:val="001A196B"/>
    <w:rsid w:val="001A6D05"/>
    <w:rsid w:val="001B38BF"/>
    <w:rsid w:val="001B772D"/>
    <w:rsid w:val="001C45D3"/>
    <w:rsid w:val="001D5B5D"/>
    <w:rsid w:val="001E6153"/>
    <w:rsid w:val="00201FF9"/>
    <w:rsid w:val="00205857"/>
    <w:rsid w:val="00235ADC"/>
    <w:rsid w:val="00236F87"/>
    <w:rsid w:val="00265702"/>
    <w:rsid w:val="002662B2"/>
    <w:rsid w:val="002717C7"/>
    <w:rsid w:val="00275192"/>
    <w:rsid w:val="002875E9"/>
    <w:rsid w:val="00287EB3"/>
    <w:rsid w:val="00292296"/>
    <w:rsid w:val="002A1BF2"/>
    <w:rsid w:val="002A47BA"/>
    <w:rsid w:val="002A6777"/>
    <w:rsid w:val="002B06BD"/>
    <w:rsid w:val="002C0E48"/>
    <w:rsid w:val="002C28D1"/>
    <w:rsid w:val="002C6F04"/>
    <w:rsid w:val="002E2177"/>
    <w:rsid w:val="002E2E41"/>
    <w:rsid w:val="002E78CD"/>
    <w:rsid w:val="002F20A7"/>
    <w:rsid w:val="002F46BE"/>
    <w:rsid w:val="003008F4"/>
    <w:rsid w:val="00302B1D"/>
    <w:rsid w:val="00307FA5"/>
    <w:rsid w:val="003161F2"/>
    <w:rsid w:val="00324D64"/>
    <w:rsid w:val="00352B52"/>
    <w:rsid w:val="0035760D"/>
    <w:rsid w:val="00363ECC"/>
    <w:rsid w:val="00366013"/>
    <w:rsid w:val="003755B1"/>
    <w:rsid w:val="0039020B"/>
    <w:rsid w:val="00395263"/>
    <w:rsid w:val="003956E0"/>
    <w:rsid w:val="0039609A"/>
    <w:rsid w:val="00397500"/>
    <w:rsid w:val="003B1CC5"/>
    <w:rsid w:val="003B36DA"/>
    <w:rsid w:val="003B65CE"/>
    <w:rsid w:val="003D6721"/>
    <w:rsid w:val="003E039E"/>
    <w:rsid w:val="0040230E"/>
    <w:rsid w:val="00407F10"/>
    <w:rsid w:val="0041662F"/>
    <w:rsid w:val="00422917"/>
    <w:rsid w:val="00440687"/>
    <w:rsid w:val="0044131D"/>
    <w:rsid w:val="00441ADA"/>
    <w:rsid w:val="0044662C"/>
    <w:rsid w:val="00450281"/>
    <w:rsid w:val="00457E46"/>
    <w:rsid w:val="004922E4"/>
    <w:rsid w:val="00496AF8"/>
    <w:rsid w:val="004A575D"/>
    <w:rsid w:val="004B65C6"/>
    <w:rsid w:val="004D1DC7"/>
    <w:rsid w:val="004E7215"/>
    <w:rsid w:val="004F55F0"/>
    <w:rsid w:val="004F7D7E"/>
    <w:rsid w:val="00500B0C"/>
    <w:rsid w:val="0050540F"/>
    <w:rsid w:val="00525F30"/>
    <w:rsid w:val="00537150"/>
    <w:rsid w:val="00540984"/>
    <w:rsid w:val="00543851"/>
    <w:rsid w:val="005447C8"/>
    <w:rsid w:val="0055559D"/>
    <w:rsid w:val="005569AE"/>
    <w:rsid w:val="00565994"/>
    <w:rsid w:val="00580427"/>
    <w:rsid w:val="005857F8"/>
    <w:rsid w:val="005B0D18"/>
    <w:rsid w:val="005B12C3"/>
    <w:rsid w:val="005B409D"/>
    <w:rsid w:val="005D0FDB"/>
    <w:rsid w:val="005D25E9"/>
    <w:rsid w:val="005D6D59"/>
    <w:rsid w:val="0061327A"/>
    <w:rsid w:val="00617390"/>
    <w:rsid w:val="00623420"/>
    <w:rsid w:val="00634768"/>
    <w:rsid w:val="0063596F"/>
    <w:rsid w:val="00645348"/>
    <w:rsid w:val="006709EB"/>
    <w:rsid w:val="00672824"/>
    <w:rsid w:val="00676BD4"/>
    <w:rsid w:val="0068184A"/>
    <w:rsid w:val="006A0249"/>
    <w:rsid w:val="006B5C51"/>
    <w:rsid w:val="006C19C4"/>
    <w:rsid w:val="006C4682"/>
    <w:rsid w:val="006C6D07"/>
    <w:rsid w:val="006C7F30"/>
    <w:rsid w:val="006D43FF"/>
    <w:rsid w:val="006E6FDD"/>
    <w:rsid w:val="006F4B7F"/>
    <w:rsid w:val="006F760B"/>
    <w:rsid w:val="00701CC3"/>
    <w:rsid w:val="00724801"/>
    <w:rsid w:val="00734949"/>
    <w:rsid w:val="00736AEC"/>
    <w:rsid w:val="00736E0F"/>
    <w:rsid w:val="00741AD5"/>
    <w:rsid w:val="007434FA"/>
    <w:rsid w:val="00743D30"/>
    <w:rsid w:val="007505CF"/>
    <w:rsid w:val="007523E6"/>
    <w:rsid w:val="007573F0"/>
    <w:rsid w:val="00765156"/>
    <w:rsid w:val="00767669"/>
    <w:rsid w:val="00770686"/>
    <w:rsid w:val="00773485"/>
    <w:rsid w:val="00776E8F"/>
    <w:rsid w:val="00776F6D"/>
    <w:rsid w:val="007C0297"/>
    <w:rsid w:val="007C1887"/>
    <w:rsid w:val="007D4775"/>
    <w:rsid w:val="007D5DC6"/>
    <w:rsid w:val="007E37A5"/>
    <w:rsid w:val="007F49D8"/>
    <w:rsid w:val="00805940"/>
    <w:rsid w:val="0081599C"/>
    <w:rsid w:val="00837121"/>
    <w:rsid w:val="00845A90"/>
    <w:rsid w:val="008471E5"/>
    <w:rsid w:val="00850C35"/>
    <w:rsid w:val="00851466"/>
    <w:rsid w:val="00863E43"/>
    <w:rsid w:val="008647C3"/>
    <w:rsid w:val="008659ED"/>
    <w:rsid w:val="008708DC"/>
    <w:rsid w:val="00870987"/>
    <w:rsid w:val="0087564A"/>
    <w:rsid w:val="00881160"/>
    <w:rsid w:val="0088371C"/>
    <w:rsid w:val="008A45F3"/>
    <w:rsid w:val="008B3B92"/>
    <w:rsid w:val="008B51D9"/>
    <w:rsid w:val="008B652E"/>
    <w:rsid w:val="008D05B7"/>
    <w:rsid w:val="008E17CB"/>
    <w:rsid w:val="008F1DC6"/>
    <w:rsid w:val="008F6F51"/>
    <w:rsid w:val="00905C5B"/>
    <w:rsid w:val="00915F3B"/>
    <w:rsid w:val="00923295"/>
    <w:rsid w:val="00925F11"/>
    <w:rsid w:val="00935265"/>
    <w:rsid w:val="0094689F"/>
    <w:rsid w:val="009477D6"/>
    <w:rsid w:val="00953ED3"/>
    <w:rsid w:val="00965FF6"/>
    <w:rsid w:val="009846D6"/>
    <w:rsid w:val="0098657F"/>
    <w:rsid w:val="009941FE"/>
    <w:rsid w:val="009A3236"/>
    <w:rsid w:val="009B2813"/>
    <w:rsid w:val="009B5A93"/>
    <w:rsid w:val="009B5BEA"/>
    <w:rsid w:val="009C071C"/>
    <w:rsid w:val="009C291F"/>
    <w:rsid w:val="009E37BD"/>
    <w:rsid w:val="009E3D4D"/>
    <w:rsid w:val="009E6B86"/>
    <w:rsid w:val="009E77AF"/>
    <w:rsid w:val="00A03301"/>
    <w:rsid w:val="00A12762"/>
    <w:rsid w:val="00A13867"/>
    <w:rsid w:val="00A26FED"/>
    <w:rsid w:val="00A421D4"/>
    <w:rsid w:val="00A44FF0"/>
    <w:rsid w:val="00A50E55"/>
    <w:rsid w:val="00A67EB1"/>
    <w:rsid w:val="00A9011D"/>
    <w:rsid w:val="00A91A47"/>
    <w:rsid w:val="00A95D2B"/>
    <w:rsid w:val="00AA5587"/>
    <w:rsid w:val="00AB4ECE"/>
    <w:rsid w:val="00AC1E53"/>
    <w:rsid w:val="00AD79C8"/>
    <w:rsid w:val="00AE1767"/>
    <w:rsid w:val="00AE6CE0"/>
    <w:rsid w:val="00B058A6"/>
    <w:rsid w:val="00B117D0"/>
    <w:rsid w:val="00B13998"/>
    <w:rsid w:val="00B20307"/>
    <w:rsid w:val="00B35C5F"/>
    <w:rsid w:val="00B439DD"/>
    <w:rsid w:val="00B52E0F"/>
    <w:rsid w:val="00B7121E"/>
    <w:rsid w:val="00B74629"/>
    <w:rsid w:val="00B80AA9"/>
    <w:rsid w:val="00B91F58"/>
    <w:rsid w:val="00BA579E"/>
    <w:rsid w:val="00BE2295"/>
    <w:rsid w:val="00BE6373"/>
    <w:rsid w:val="00BF533A"/>
    <w:rsid w:val="00C41794"/>
    <w:rsid w:val="00C45E5A"/>
    <w:rsid w:val="00C46677"/>
    <w:rsid w:val="00C5180E"/>
    <w:rsid w:val="00C54E40"/>
    <w:rsid w:val="00C55F56"/>
    <w:rsid w:val="00C57BA4"/>
    <w:rsid w:val="00C613EB"/>
    <w:rsid w:val="00C7043A"/>
    <w:rsid w:val="00C71C1A"/>
    <w:rsid w:val="00C84623"/>
    <w:rsid w:val="00CB06C9"/>
    <w:rsid w:val="00CB1E41"/>
    <w:rsid w:val="00CB271C"/>
    <w:rsid w:val="00CB49F1"/>
    <w:rsid w:val="00CB4C0A"/>
    <w:rsid w:val="00CC0F87"/>
    <w:rsid w:val="00CE4F96"/>
    <w:rsid w:val="00CF0AB1"/>
    <w:rsid w:val="00CF4B9B"/>
    <w:rsid w:val="00CF55E6"/>
    <w:rsid w:val="00CF772F"/>
    <w:rsid w:val="00D0391F"/>
    <w:rsid w:val="00D048DB"/>
    <w:rsid w:val="00D1121C"/>
    <w:rsid w:val="00D14F0B"/>
    <w:rsid w:val="00D178CA"/>
    <w:rsid w:val="00D3311C"/>
    <w:rsid w:val="00D53405"/>
    <w:rsid w:val="00D5457B"/>
    <w:rsid w:val="00D72995"/>
    <w:rsid w:val="00D73685"/>
    <w:rsid w:val="00DA7FA2"/>
    <w:rsid w:val="00DC2D8D"/>
    <w:rsid w:val="00DC7F67"/>
    <w:rsid w:val="00DE1F5D"/>
    <w:rsid w:val="00DE2232"/>
    <w:rsid w:val="00DE50D8"/>
    <w:rsid w:val="00DF278A"/>
    <w:rsid w:val="00E129C4"/>
    <w:rsid w:val="00E1664B"/>
    <w:rsid w:val="00E30D12"/>
    <w:rsid w:val="00E3394E"/>
    <w:rsid w:val="00E35241"/>
    <w:rsid w:val="00E41417"/>
    <w:rsid w:val="00E42FAA"/>
    <w:rsid w:val="00E46CC2"/>
    <w:rsid w:val="00E536D3"/>
    <w:rsid w:val="00E57BE2"/>
    <w:rsid w:val="00E62A95"/>
    <w:rsid w:val="00E72711"/>
    <w:rsid w:val="00E73F14"/>
    <w:rsid w:val="00E746A2"/>
    <w:rsid w:val="00E90D06"/>
    <w:rsid w:val="00E97E59"/>
    <w:rsid w:val="00EA79C9"/>
    <w:rsid w:val="00EB66AC"/>
    <w:rsid w:val="00EC1225"/>
    <w:rsid w:val="00EC2247"/>
    <w:rsid w:val="00EE1F87"/>
    <w:rsid w:val="00EE3931"/>
    <w:rsid w:val="00EE5AF6"/>
    <w:rsid w:val="00EF2CEF"/>
    <w:rsid w:val="00F1092D"/>
    <w:rsid w:val="00F24141"/>
    <w:rsid w:val="00F37823"/>
    <w:rsid w:val="00F42C20"/>
    <w:rsid w:val="00F431D8"/>
    <w:rsid w:val="00F63E8D"/>
    <w:rsid w:val="00F64319"/>
    <w:rsid w:val="00F67706"/>
    <w:rsid w:val="00F81FE3"/>
    <w:rsid w:val="00F90F82"/>
    <w:rsid w:val="00F92D75"/>
    <w:rsid w:val="00F97327"/>
    <w:rsid w:val="00FA296F"/>
    <w:rsid w:val="00FA7323"/>
    <w:rsid w:val="00FB1299"/>
    <w:rsid w:val="00FC03DB"/>
    <w:rsid w:val="00FC32D3"/>
    <w:rsid w:val="00FC443C"/>
    <w:rsid w:val="00FD199A"/>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Numbered List"/>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aliases w:val="Bulleted List Level 1 Char,Numbered List Char"/>
    <w:basedOn w:val="DefaultParagraphFont"/>
    <w:link w:val="ListParagraph"/>
    <w:uiPriority w:val="34"/>
    <w:locked/>
    <w:rsid w:val="00B35C5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microsoft.com/office/2016/09/relationships/commentsIds" Target="commentsIds.xml"/><Relationship Id="rId25" Type="http://schemas.microsoft.com/office/2018/08/relationships/commentsExtensible" Target="commentsExtensi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F64656174AC04DE0A890AF04F203BE9F"/>
        <w:category>
          <w:name w:val="General"/>
          <w:gallery w:val="placeholder"/>
        </w:category>
        <w:types>
          <w:type w:val="bbPlcHdr"/>
        </w:types>
        <w:behaviors>
          <w:behavior w:val="content"/>
        </w:behaviors>
        <w:guid w:val="{9E52BB90-B1C5-4033-93BD-D490C9703EF0}"/>
      </w:docPartPr>
      <w:docPartBody>
        <w:p w:rsidR="00A46E50" w:rsidRDefault="00FB43B1" w:rsidP="00FB43B1">
          <w:pPr>
            <w:pStyle w:val="F64656174AC04DE0A890AF04F203BE9F"/>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F47A0"/>
    <w:rsid w:val="002B5F47"/>
    <w:rsid w:val="003A1E4B"/>
    <w:rsid w:val="00455EB5"/>
    <w:rsid w:val="00461C1C"/>
    <w:rsid w:val="004E2027"/>
    <w:rsid w:val="005F21F3"/>
    <w:rsid w:val="008F6A9B"/>
    <w:rsid w:val="00A46E50"/>
    <w:rsid w:val="00A77B15"/>
    <w:rsid w:val="00BE0F2D"/>
    <w:rsid w:val="00C03643"/>
    <w:rsid w:val="00C2797F"/>
    <w:rsid w:val="00C80225"/>
    <w:rsid w:val="00D228C9"/>
    <w:rsid w:val="00D2552B"/>
    <w:rsid w:val="00D45DE0"/>
    <w:rsid w:val="00D75B64"/>
    <w:rsid w:val="00DB5324"/>
    <w:rsid w:val="00E97654"/>
    <w:rsid w:val="00EA555A"/>
    <w:rsid w:val="00F24303"/>
    <w:rsid w:val="00F87EB9"/>
    <w:rsid w:val="00FB43B1"/>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B43B1"/>
    <w:rPr>
      <w:color w:val="808080"/>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F64656174AC04DE0A890AF04F203BE9F">
    <w:name w:val="F64656174AC04DE0A890AF04F203BE9F"/>
    <w:rsid w:val="00FB43B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BC9A17F18FF549A1A4E878A069D6EE" ma:contentTypeVersion="0" ma:contentTypeDescription="Create a new document." ma:contentTypeScope="" ma:versionID="fe71821fc1561602d900a6cea830e0af">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schemas.openxmlformats.org/package/2006/metadata/core-properties"/>
    <ds:schemaRef ds:uri="http://schemas.microsoft.com/office/infopath/2007/PartnerControls"/>
    <ds:schemaRef ds:uri="http://schemas.microsoft.com/office/2006/metadata/properties"/>
    <ds:schemaRef ds:uri="http://purl.org/dc/elements/1.1/"/>
    <ds:schemaRef ds:uri="http://purl.org/dc/term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DF20EDA0-A7FF-416E-AE35-BFAD377B49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174CFC53-B6C2-4EA3-BFBD-CE219747E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2150</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Allison Pinckney</cp:lastModifiedBy>
  <cp:revision>4</cp:revision>
  <dcterms:created xsi:type="dcterms:W3CDTF">2021-04-16T16:25:00Z</dcterms:created>
  <dcterms:modified xsi:type="dcterms:W3CDTF">2021-04-16T16:37:00Z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0x010100FDBC9A17F18FF549A1A4E878A069D6EE</vt:lpwstr>
  </property>
</Properties>
</file>