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C211D" w14:textId="77777777" w:rsidR="00086FAC" w:rsidRDefault="00086FAC" w:rsidP="00086FAC">
      <w:pPr>
        <w:contextualSpacing/>
        <w:jc w:val="center"/>
        <w:rPr>
          <w:rFonts w:cstheme="minorHAnsi"/>
          <w:b/>
          <w:noProof/>
        </w:rPr>
      </w:pPr>
      <w:bookmarkStart w:id="0" w:name="_Hlk28244220"/>
      <w:bookmarkEnd w:id="0"/>
      <w:r>
        <w:rPr>
          <w:b/>
          <w:smallCaps/>
          <w:noProof/>
          <w:sz w:val="24"/>
          <w:szCs w:val="24"/>
        </w:rPr>
        <w:t>N</w:t>
      </w:r>
      <w:r w:rsidRPr="001A6D05">
        <w:rPr>
          <w:b/>
          <w:smallCaps/>
          <w:noProof/>
          <w:sz w:val="24"/>
          <w:szCs w:val="24"/>
        </w:rPr>
        <w:t>ational Quality Forum</w:t>
      </w:r>
      <w:r w:rsidRPr="001A6D05">
        <w:rPr>
          <w:b/>
          <w:noProof/>
          <w:sz w:val="24"/>
          <w:szCs w:val="24"/>
        </w:rPr>
        <w:t>—</w:t>
      </w:r>
      <w:r>
        <w:rPr>
          <w:rFonts w:cstheme="minorHAnsi"/>
          <w:b/>
          <w:noProof/>
        </w:rPr>
        <w:t>Measure Testing (subcriteria 2a2, 2b1-2b6)</w:t>
      </w:r>
    </w:p>
    <w:p w14:paraId="352F3D50" w14:textId="77777777" w:rsidR="00086FAC" w:rsidRDefault="00086FAC" w:rsidP="00086FAC">
      <w:pPr>
        <w:contextualSpacing/>
        <w:rPr>
          <w:rFonts w:cstheme="minorHAnsi"/>
          <w:b/>
          <w:noProof/>
        </w:rPr>
      </w:pPr>
    </w:p>
    <w:p w14:paraId="704FEF7D" w14:textId="7A0C03E7" w:rsidR="00086FAC" w:rsidRDefault="00086FAC" w:rsidP="00086FAC">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5CEB101F7E214810B22A946E58187D67"/>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14:paraId="45A38EEA" w14:textId="28EBC8BE" w:rsidR="00086FAC" w:rsidRPr="00A25024" w:rsidRDefault="00086FAC" w:rsidP="00086FAC">
      <w:pPr>
        <w:contextualSpacing/>
        <w:rPr>
          <w:rFonts w:cstheme="minorHAnsi"/>
          <w:noProof/>
        </w:rPr>
      </w:pPr>
      <w:r w:rsidRPr="00A25024">
        <w:rPr>
          <w:rFonts w:cstheme="minorHAnsi"/>
          <w:b/>
          <w:noProof/>
        </w:rPr>
        <w:t>Measure Title</w:t>
      </w:r>
      <w:r w:rsidRPr="00733190">
        <w:rPr>
          <w:rStyle w:val="Style2"/>
        </w:rPr>
        <w:t xml:space="preserve">:  </w:t>
      </w:r>
      <w:sdt>
        <w:sdtPr>
          <w:rPr>
            <w:rStyle w:val="Style2"/>
          </w:rPr>
          <w:id w:val="-882640736"/>
          <w:placeholder>
            <w:docPart w:val="EC97C438F9E84762AA7AC7E002C3F1AA"/>
          </w:placeholder>
        </w:sdtPr>
        <w:sdtEndPr>
          <w:rPr>
            <w:rStyle w:val="Style2"/>
          </w:rPr>
        </w:sdtEndPr>
        <w:sdtContent>
          <w:sdt>
            <w:sdtPr>
              <w:rPr>
                <w:rStyle w:val="Style2"/>
              </w:rPr>
              <w:id w:val="-663555130"/>
              <w:placeholder>
                <w:docPart w:val="4FE855C2338A451BA4D0700E0D51D52C"/>
              </w:placeholder>
            </w:sdtPr>
            <w:sdtEndPr>
              <w:rPr>
                <w:rStyle w:val="Style2"/>
              </w:rPr>
            </w:sdtEndPr>
            <w:sdtContent>
              <w:r w:rsidRPr="00733190">
                <w:rPr>
                  <w:rStyle w:val="Style2"/>
                  <w:rFonts w:cstheme="minorHAnsi"/>
                </w:rPr>
                <w:t xml:space="preserve">Thirty-day all-cause unplanned readmission following psychiatric hospitalization in an inpatient psychiatric facility (IPF)  </w:t>
              </w:r>
            </w:sdtContent>
          </w:sdt>
        </w:sdtContent>
      </w:sdt>
    </w:p>
    <w:p w14:paraId="2EAE6E44" w14:textId="2B22F9B9" w:rsidR="00086FAC" w:rsidRPr="00450C58" w:rsidRDefault="00086FAC" w:rsidP="00086FAC">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C246A7502F3B4520B8F9AD641162F7AB"/>
          </w:placeholder>
          <w:date w:fullDate="2020-01-05T00:00:00Z">
            <w:dateFormat w:val="M/d/yyyy"/>
            <w:lid w:val="en-US"/>
            <w:storeMappedDataAs w:val="dateTime"/>
            <w:calendar w:val="gregorian"/>
          </w:date>
        </w:sdtPr>
        <w:sdtEndPr>
          <w:rPr>
            <w:rStyle w:val="DefaultParagraphFont"/>
            <w:noProof/>
            <w:color w:val="auto"/>
            <w:u w:val="none"/>
          </w:rPr>
        </w:sdtEndPr>
        <w:sdtContent>
          <w:r>
            <w:rPr>
              <w:rStyle w:val="Style2"/>
              <w:rFonts w:cstheme="minorHAnsi"/>
            </w:rPr>
            <w:t>1/5/2020</w:t>
          </w:r>
        </w:sdtContent>
      </w:sdt>
    </w:p>
    <w:p w14:paraId="74C8F693" w14:textId="77777777" w:rsidR="00086FAC" w:rsidRPr="00450C58" w:rsidRDefault="00086FAC" w:rsidP="00086FAC">
      <w:pPr>
        <w:spacing w:after="0"/>
        <w:rPr>
          <w:rFonts w:cstheme="minorHAnsi"/>
          <w:b/>
        </w:rPr>
      </w:pPr>
      <w:r w:rsidRPr="00450C58">
        <w:rPr>
          <w:rStyle w:val="Style2"/>
          <w:rFonts w:cstheme="minorHAnsi"/>
          <w:b/>
        </w:rPr>
        <w:t>Type of Measure:</w:t>
      </w:r>
    </w:p>
    <w:tbl>
      <w:tblPr>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86FAC" w:rsidRPr="00450C58" w14:paraId="66750B37" w14:textId="77777777" w:rsidTr="00760F39">
        <w:trPr>
          <w:trHeight w:val="683"/>
          <w:jc w:val="center"/>
        </w:trPr>
        <w:tc>
          <w:tcPr>
            <w:tcW w:w="2513" w:type="pct"/>
          </w:tcPr>
          <w:p w14:paraId="5CA8575E" w14:textId="41003EF6" w:rsidR="00086FAC" w:rsidRPr="00C775CE" w:rsidRDefault="00A92E82" w:rsidP="00937FC1">
            <w:pPr>
              <w:autoSpaceDE w:val="0"/>
              <w:autoSpaceDN w:val="0"/>
              <w:adjustRightInd w:val="0"/>
              <w:spacing w:after="60" w:line="240" w:lineRule="auto"/>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sidRPr="00C775CE">
              <w:rPr>
                <w:rFonts w:cstheme="minorHAnsi"/>
                <w:bCs/>
              </w:rPr>
              <w:t xml:space="preserve"> Outcome (</w:t>
            </w:r>
            <w:r w:rsidR="00086FAC" w:rsidRPr="00C775CE">
              <w:rPr>
                <w:rFonts w:cstheme="minorHAnsi"/>
                <w:bCs/>
                <w:i/>
              </w:rPr>
              <w:t>including PRO-PM</w:t>
            </w:r>
            <w:r w:rsidR="00086FAC" w:rsidRPr="00C775CE">
              <w:rPr>
                <w:rFonts w:cstheme="minorHAnsi"/>
                <w:bCs/>
              </w:rPr>
              <w:t>)</w:t>
            </w:r>
          </w:p>
        </w:tc>
        <w:tc>
          <w:tcPr>
            <w:tcW w:w="2487" w:type="pct"/>
          </w:tcPr>
          <w:p w14:paraId="412C95A1" w14:textId="2B9A094D" w:rsidR="00086FAC" w:rsidRPr="00C775CE" w:rsidRDefault="00A92E82" w:rsidP="00937FC1">
            <w:pPr>
              <w:autoSpaceDE w:val="0"/>
              <w:autoSpaceDN w:val="0"/>
              <w:adjustRightInd w:val="0"/>
              <w:spacing w:after="60" w:line="240" w:lineRule="auto"/>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86FAC" w:rsidRPr="00C775CE">
                  <w:rPr>
                    <w:rFonts w:ascii="MS Gothic" w:eastAsia="MS Gothic" w:hAnsi="MS Gothic" w:cstheme="minorHAnsi" w:hint="eastAsia"/>
                    <w:bCs/>
                  </w:rPr>
                  <w:t>☐</w:t>
                </w:r>
              </w:sdtContent>
            </w:sdt>
            <w:r w:rsidR="00086FAC" w:rsidRPr="00C775CE">
              <w:rPr>
                <w:rFonts w:cstheme="minorHAnsi"/>
                <w:bCs/>
              </w:rPr>
              <w:t xml:space="preserve"> Composite – </w:t>
            </w:r>
            <w:r w:rsidR="00086FAC" w:rsidRPr="00C775CE">
              <w:rPr>
                <w:rFonts w:cstheme="minorHAnsi"/>
                <w:b/>
                <w:bCs/>
                <w:i/>
              </w:rPr>
              <w:t>STOP – use composite testing form</w:t>
            </w:r>
          </w:p>
        </w:tc>
      </w:tr>
      <w:tr w:rsidR="00086FAC" w:rsidRPr="00450C58" w14:paraId="04F508A6" w14:textId="77777777" w:rsidTr="00806CEB">
        <w:trPr>
          <w:jc w:val="center"/>
        </w:trPr>
        <w:tc>
          <w:tcPr>
            <w:tcW w:w="2513" w:type="pct"/>
          </w:tcPr>
          <w:p w14:paraId="333C32FE" w14:textId="77601219" w:rsidR="00086FAC" w:rsidRPr="00C775CE" w:rsidRDefault="00A92E82" w:rsidP="00937FC1">
            <w:pPr>
              <w:autoSpaceDE w:val="0"/>
              <w:autoSpaceDN w:val="0"/>
              <w:adjustRightInd w:val="0"/>
              <w:spacing w:after="60" w:line="240" w:lineRule="auto"/>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86FAC" w:rsidRPr="00C775CE">
                  <w:rPr>
                    <w:rFonts w:cstheme="minorHAnsi" w:hint="eastAsia"/>
                    <w:bCs/>
                    <w:color w:val="0000FF"/>
                  </w:rPr>
                  <w:t>☐</w:t>
                </w:r>
              </w:sdtContent>
            </w:sdt>
            <w:r w:rsidR="00086FAC" w:rsidRPr="00C775CE">
              <w:rPr>
                <w:rFonts w:cstheme="minorHAnsi"/>
                <w:bCs/>
                <w:color w:val="0000FF"/>
              </w:rPr>
              <w:t xml:space="preserve"> </w:t>
            </w:r>
            <w:r w:rsidR="00086FAC" w:rsidRPr="00C775CE">
              <w:rPr>
                <w:rFonts w:cstheme="minorHAnsi"/>
                <w:bCs/>
              </w:rPr>
              <w:t>Intermediate Clinical Outcome</w:t>
            </w:r>
          </w:p>
        </w:tc>
        <w:tc>
          <w:tcPr>
            <w:tcW w:w="2487" w:type="pct"/>
          </w:tcPr>
          <w:p w14:paraId="277D1756" w14:textId="3143D9A7" w:rsidR="00086FAC" w:rsidRPr="00C775CE" w:rsidRDefault="00A92E82" w:rsidP="00937FC1">
            <w:pPr>
              <w:autoSpaceDE w:val="0"/>
              <w:autoSpaceDN w:val="0"/>
              <w:adjustRightInd w:val="0"/>
              <w:spacing w:after="60" w:line="240" w:lineRule="auto"/>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86FAC" w:rsidRPr="00C775CE">
                  <w:rPr>
                    <w:rFonts w:ascii="MS Gothic" w:eastAsia="MS Gothic" w:hAnsi="MS Gothic" w:cstheme="minorHAnsi" w:hint="eastAsia"/>
                    <w:bCs/>
                  </w:rPr>
                  <w:t>☐</w:t>
                </w:r>
              </w:sdtContent>
            </w:sdt>
            <w:r w:rsidR="00086FAC" w:rsidRPr="00C775CE">
              <w:rPr>
                <w:rFonts w:cstheme="minorHAnsi"/>
                <w:bCs/>
              </w:rPr>
              <w:t xml:space="preserve"> Cost/resource</w:t>
            </w:r>
          </w:p>
        </w:tc>
      </w:tr>
      <w:tr w:rsidR="00086FAC" w:rsidRPr="00450C58" w14:paraId="17AD923E" w14:textId="77777777" w:rsidTr="00806CEB">
        <w:trPr>
          <w:jc w:val="center"/>
        </w:trPr>
        <w:tc>
          <w:tcPr>
            <w:tcW w:w="2513" w:type="pct"/>
          </w:tcPr>
          <w:p w14:paraId="475989F1" w14:textId="640C8D5C" w:rsidR="00086FAC" w:rsidRPr="00C775CE" w:rsidRDefault="00A92E82" w:rsidP="00937FC1">
            <w:pPr>
              <w:autoSpaceDE w:val="0"/>
              <w:autoSpaceDN w:val="0"/>
              <w:adjustRightInd w:val="0"/>
              <w:spacing w:after="60" w:line="240" w:lineRule="auto"/>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sidRPr="00C775CE">
              <w:rPr>
                <w:rFonts w:cstheme="minorHAnsi"/>
                <w:bCs/>
              </w:rPr>
              <w:t xml:space="preserve"> </w:t>
            </w:r>
            <w:r w:rsidR="00086FAC" w:rsidRPr="00C775CE">
              <w:rPr>
                <w:rFonts w:eastAsia="MS Gothic" w:cstheme="minorHAnsi"/>
                <w:bCs/>
              </w:rPr>
              <w:t xml:space="preserve">Process </w:t>
            </w:r>
            <w:r w:rsidR="00086FAC" w:rsidRPr="00C775CE">
              <w:rPr>
                <w:rFonts w:eastAsia="MS Gothic" w:cstheme="minorHAnsi"/>
                <w:bCs/>
                <w:i/>
              </w:rPr>
              <w:t>(including Appropriate Use)</w:t>
            </w:r>
          </w:p>
        </w:tc>
        <w:tc>
          <w:tcPr>
            <w:tcW w:w="2487" w:type="pct"/>
          </w:tcPr>
          <w:p w14:paraId="510DC0E3" w14:textId="514D9898" w:rsidR="00086FAC" w:rsidRPr="00C775CE" w:rsidRDefault="00A92E82" w:rsidP="00937FC1">
            <w:pPr>
              <w:autoSpaceDE w:val="0"/>
              <w:autoSpaceDN w:val="0"/>
              <w:adjustRightInd w:val="0"/>
              <w:spacing w:after="60" w:line="240" w:lineRule="auto"/>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86FAC" w:rsidRPr="00C775CE">
                  <w:rPr>
                    <w:rFonts w:ascii="MS Gothic" w:eastAsia="MS Gothic" w:hAnsi="MS Gothic" w:cstheme="minorHAnsi" w:hint="eastAsia"/>
                    <w:bCs/>
                  </w:rPr>
                  <w:t>☐</w:t>
                </w:r>
              </w:sdtContent>
            </w:sdt>
            <w:r w:rsidR="00086FAC" w:rsidRPr="00C775CE">
              <w:rPr>
                <w:rFonts w:cstheme="minorHAnsi"/>
                <w:bCs/>
              </w:rPr>
              <w:t xml:space="preserve"> Efficiency</w:t>
            </w:r>
          </w:p>
        </w:tc>
      </w:tr>
      <w:tr w:rsidR="00086FAC" w:rsidRPr="00B82A57" w14:paraId="7F89D27A" w14:textId="77777777" w:rsidTr="00806CEB">
        <w:trPr>
          <w:jc w:val="center"/>
        </w:trPr>
        <w:tc>
          <w:tcPr>
            <w:tcW w:w="2513" w:type="pct"/>
          </w:tcPr>
          <w:p w14:paraId="78D01CD3" w14:textId="34EC758E" w:rsidR="00086FAC" w:rsidRPr="00C775CE" w:rsidRDefault="00A92E82" w:rsidP="00937FC1">
            <w:pPr>
              <w:autoSpaceDE w:val="0"/>
              <w:autoSpaceDN w:val="0"/>
              <w:adjustRightInd w:val="0"/>
              <w:spacing w:after="60" w:line="240" w:lineRule="auto"/>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86FAC" w:rsidRPr="00C775CE">
                  <w:rPr>
                    <w:rFonts w:ascii="MS Gothic" w:eastAsia="MS Gothic" w:cstheme="minorHAnsi" w:hint="eastAsia"/>
                    <w:bCs/>
                    <w:color w:val="0000FF"/>
                  </w:rPr>
                  <w:t>☐</w:t>
                </w:r>
              </w:sdtContent>
            </w:sdt>
            <w:r w:rsidR="00086FAC" w:rsidRPr="00C775CE">
              <w:rPr>
                <w:rFonts w:cstheme="minorHAnsi"/>
                <w:bCs/>
              </w:rPr>
              <w:t xml:space="preserve"> </w:t>
            </w:r>
            <w:r w:rsidR="00086FAC" w:rsidRPr="00C775CE">
              <w:rPr>
                <w:rFonts w:eastAsia="MS Gothic" w:cstheme="minorHAnsi"/>
                <w:bCs/>
              </w:rPr>
              <w:t>Structure</w:t>
            </w:r>
          </w:p>
        </w:tc>
        <w:tc>
          <w:tcPr>
            <w:tcW w:w="2487" w:type="pct"/>
          </w:tcPr>
          <w:p w14:paraId="62EED5B8" w14:textId="77777777" w:rsidR="00086FAC" w:rsidRDefault="00086FAC" w:rsidP="00937FC1">
            <w:pPr>
              <w:autoSpaceDE w:val="0"/>
              <w:autoSpaceDN w:val="0"/>
              <w:adjustRightInd w:val="0"/>
              <w:spacing w:after="60" w:line="240" w:lineRule="auto"/>
              <w:rPr>
                <w:rFonts w:cstheme="minorHAnsi"/>
                <w:bCs/>
                <w:color w:val="0000FF"/>
              </w:rPr>
            </w:pPr>
          </w:p>
        </w:tc>
      </w:tr>
    </w:tbl>
    <w:p w14:paraId="655C7BF8" w14:textId="77777777" w:rsidR="00086FAC" w:rsidRDefault="00086FAC" w:rsidP="00086FAC">
      <w:pPr>
        <w:spacing w:after="0" w:line="240" w:lineRule="auto"/>
        <w:rPr>
          <w:rFonts w:cstheme="minorHAnsi"/>
          <w:noProof/>
        </w:rPr>
      </w:pPr>
    </w:p>
    <w:tbl>
      <w:tblPr>
        <w:tblW w:w="5500" w:type="pct"/>
        <w:jc w:val="center"/>
        <w:tblLook w:val="04A0" w:firstRow="1" w:lastRow="0" w:firstColumn="1" w:lastColumn="0" w:noHBand="0" w:noVBand="1"/>
      </w:tblPr>
      <w:tblGrid>
        <w:gridCol w:w="10296"/>
      </w:tblGrid>
      <w:tr w:rsidR="00086FAC" w14:paraId="6708AB23" w14:textId="77777777" w:rsidTr="00806CEB">
        <w:trPr>
          <w:jc w:val="center"/>
        </w:trPr>
        <w:tc>
          <w:tcPr>
            <w:tcW w:w="9576" w:type="dxa"/>
          </w:tcPr>
          <w:p w14:paraId="280CB76E" w14:textId="77777777" w:rsidR="00086FAC" w:rsidRPr="00B53E8B" w:rsidRDefault="00086FAC" w:rsidP="00806CEB">
            <w:pPr>
              <w:rPr>
                <w:rFonts w:cstheme="minorHAnsi"/>
                <w:b/>
                <w:noProof/>
              </w:rPr>
            </w:pPr>
            <w:r w:rsidRPr="00B53E8B">
              <w:rPr>
                <w:rFonts w:cstheme="minorHAnsi"/>
                <w:b/>
                <w:noProof/>
              </w:rPr>
              <w:t>Instructions</w:t>
            </w:r>
          </w:p>
          <w:p w14:paraId="0AE5C4BD" w14:textId="77777777" w:rsidR="00086FAC" w:rsidRPr="00C14CCC" w:rsidRDefault="00086FAC" w:rsidP="00086FAC">
            <w:pPr>
              <w:pStyle w:val="ListParagraph"/>
              <w:numPr>
                <w:ilvl w:val="0"/>
                <w:numId w:val="1"/>
              </w:numPr>
              <w:spacing w:after="0" w:line="240" w:lineRule="auto"/>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If there is more than one set of data specification</w:t>
            </w:r>
            <w:r>
              <w:rPr>
                <w:rFonts w:cstheme="minorHAnsi"/>
                <w:b/>
                <w:i/>
                <w:noProof/>
              </w:rPr>
              <w:t>s</w:t>
            </w:r>
            <w:r w:rsidRPr="00CB49FF">
              <w:rPr>
                <w:rFonts w:cstheme="minorHAnsi"/>
                <w:b/>
                <w:i/>
                <w:noProof/>
              </w:rPr>
              <w:t xml:space="preserve"> or </w:t>
            </w:r>
            <w:r>
              <w:rPr>
                <w:rFonts w:cstheme="minorHAnsi"/>
                <w:b/>
                <w:i/>
                <w:noProof/>
              </w:rPr>
              <w:t xml:space="preserve">more than one </w:t>
            </w:r>
            <w:r w:rsidRPr="00CB49FF">
              <w:rPr>
                <w:rFonts w:cstheme="minorHAnsi"/>
                <w:b/>
                <w:i/>
                <w:noProof/>
              </w:rPr>
              <w:t>level of analysis, contact NQF staff</w:t>
            </w:r>
            <w:r w:rsidRPr="00C14CCC">
              <w:rPr>
                <w:rFonts w:cstheme="minorHAnsi"/>
                <w:noProof/>
              </w:rPr>
              <w:t xml:space="preserve"> about how to present </w:t>
            </w:r>
            <w:r>
              <w:rPr>
                <w:rFonts w:cstheme="minorHAnsi"/>
                <w:noProof/>
              </w:rPr>
              <w:t xml:space="preserve">all </w:t>
            </w:r>
            <w:r w:rsidRPr="00C14CCC">
              <w:rPr>
                <w:rFonts w:cstheme="minorHAnsi"/>
                <w:noProof/>
              </w:rPr>
              <w:t>the testing information</w:t>
            </w:r>
            <w:r>
              <w:rPr>
                <w:rFonts w:cstheme="minorHAnsi"/>
                <w:noProof/>
              </w:rPr>
              <w:t xml:space="preserve"> in one form</w:t>
            </w:r>
            <w:r w:rsidRPr="00C14CCC">
              <w:rPr>
                <w:rFonts w:cstheme="minorHAnsi"/>
                <w:noProof/>
              </w:rPr>
              <w:t>.</w:t>
            </w:r>
          </w:p>
          <w:p w14:paraId="2BB94EF8" w14:textId="77777777" w:rsidR="00086FAC" w:rsidRPr="00053F02" w:rsidRDefault="00086FAC" w:rsidP="00086FAC">
            <w:pPr>
              <w:pStyle w:val="ListParagraph"/>
              <w:numPr>
                <w:ilvl w:val="0"/>
                <w:numId w:val="1"/>
              </w:numPr>
              <w:spacing w:after="0" w:line="240" w:lineRule="auto"/>
              <w:rPr>
                <w:rFonts w:cstheme="minorHAnsi"/>
                <w:b/>
                <w:noProof/>
              </w:rPr>
            </w:pPr>
            <w:r w:rsidRPr="00053F02">
              <w:rPr>
                <w:rFonts w:cstheme="minorHAnsi"/>
                <w:b/>
                <w:noProof/>
              </w:rPr>
              <w:t xml:space="preserve">For </w:t>
            </w:r>
            <w:r w:rsidRPr="00483E94">
              <w:rPr>
                <w:rFonts w:cstheme="minorHAnsi"/>
                <w:b/>
                <w:noProof/>
                <w:u w:val="single"/>
              </w:rPr>
              <w:t>all</w:t>
            </w:r>
            <w:r>
              <w:rPr>
                <w:rFonts w:cstheme="minorHAnsi"/>
                <w:b/>
                <w:noProof/>
              </w:rPr>
              <w:t xml:space="preserve"> measures, sections 1, 2a2, 2b1, 2b2</w:t>
            </w:r>
            <w:r w:rsidRPr="00053F02">
              <w:rPr>
                <w:rFonts w:cstheme="minorHAnsi"/>
                <w:b/>
                <w:noProof/>
              </w:rPr>
              <w:t xml:space="preserve">, </w:t>
            </w:r>
            <w:r>
              <w:rPr>
                <w:rFonts w:cstheme="minorHAnsi"/>
                <w:b/>
                <w:noProof/>
              </w:rPr>
              <w:t>and 2b4</w:t>
            </w:r>
            <w:r w:rsidRPr="00053F02">
              <w:rPr>
                <w:rFonts w:cstheme="minorHAnsi"/>
                <w:b/>
                <w:noProof/>
              </w:rPr>
              <w:t xml:space="preserve"> must be completed</w:t>
            </w:r>
            <w:r>
              <w:rPr>
                <w:rFonts w:cstheme="minorHAnsi"/>
                <w:b/>
                <w:noProof/>
              </w:rPr>
              <w:t>.</w:t>
            </w:r>
          </w:p>
          <w:p w14:paraId="7F173E6E" w14:textId="77777777" w:rsidR="00086FAC" w:rsidRDefault="00086FAC" w:rsidP="00086FAC">
            <w:pPr>
              <w:pStyle w:val="ListParagraph"/>
              <w:numPr>
                <w:ilvl w:val="0"/>
                <w:numId w:val="1"/>
              </w:numPr>
              <w:spacing w:after="0" w:line="240" w:lineRule="auto"/>
              <w:rPr>
                <w:rFonts w:cstheme="minorHAnsi"/>
                <w:noProof/>
              </w:rPr>
            </w:pPr>
            <w:r w:rsidRPr="00053F02">
              <w:rPr>
                <w:rFonts w:cstheme="minorHAnsi"/>
                <w:b/>
                <w:noProof/>
              </w:rPr>
              <w:t xml:space="preserve">For </w:t>
            </w:r>
            <w:r w:rsidRPr="00483E94">
              <w:rPr>
                <w:rFonts w:cstheme="minorHAnsi"/>
                <w:b/>
                <w:noProof/>
                <w:u w:val="single"/>
              </w:rPr>
              <w:t xml:space="preserve">outcome </w:t>
            </w:r>
            <w:r>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Pr>
                <w:rFonts w:cstheme="minorHAnsi"/>
                <w:b/>
                <w:noProof/>
              </w:rPr>
              <w:t xml:space="preserve">2b3 </w:t>
            </w:r>
            <w:r>
              <w:rPr>
                <w:rFonts w:cstheme="minorHAnsi"/>
                <w:noProof/>
              </w:rPr>
              <w:t>also must be completed.</w:t>
            </w:r>
          </w:p>
          <w:p w14:paraId="39C306F6" w14:textId="77777777" w:rsidR="00086FAC" w:rsidRDefault="00086FAC" w:rsidP="00086FAC">
            <w:pPr>
              <w:pStyle w:val="ListParagraph"/>
              <w:numPr>
                <w:ilvl w:val="0"/>
                <w:numId w:val="1"/>
              </w:numPr>
              <w:spacing w:after="0" w:line="240" w:lineRule="auto"/>
              <w:rPr>
                <w:rFonts w:cstheme="minorHAnsi"/>
                <w:noProof/>
              </w:rPr>
            </w:pPr>
            <w:r>
              <w:rPr>
                <w:rFonts w:cstheme="minorHAnsi"/>
                <w:noProof/>
              </w:rPr>
              <w:t xml:space="preserve">If specified for </w:t>
            </w:r>
            <w:r w:rsidRPr="00483E94">
              <w:rPr>
                <w:rFonts w:cstheme="minorHAnsi"/>
                <w:b/>
                <w:noProof/>
                <w:u w:val="single"/>
              </w:rPr>
              <w:t>multiple data sources</w:t>
            </w:r>
            <w:r>
              <w:rPr>
                <w:rFonts w:cstheme="minorHAnsi"/>
                <w:b/>
                <w:noProof/>
                <w:u w:val="single"/>
              </w:rPr>
              <w:t>/sets of specificaitons</w:t>
            </w:r>
            <w:r>
              <w:rPr>
                <w:rFonts w:cstheme="minorHAnsi"/>
                <w:noProof/>
              </w:rPr>
              <w:t xml:space="preserve"> (e.g., claims and EHRs), section </w:t>
            </w:r>
            <w:r>
              <w:rPr>
                <w:rFonts w:cstheme="minorHAnsi"/>
                <w:b/>
                <w:noProof/>
              </w:rPr>
              <w:t>2b5</w:t>
            </w:r>
            <w:r>
              <w:rPr>
                <w:rFonts w:cstheme="minorHAnsi"/>
                <w:noProof/>
              </w:rPr>
              <w:t xml:space="preserve"> also must be completed.</w:t>
            </w:r>
          </w:p>
          <w:p w14:paraId="09EECEBB" w14:textId="77777777" w:rsidR="00086FAC" w:rsidRPr="008F589F" w:rsidRDefault="00086FAC" w:rsidP="00086FAC">
            <w:pPr>
              <w:pStyle w:val="ListParagraph"/>
              <w:numPr>
                <w:ilvl w:val="0"/>
                <w:numId w:val="1"/>
              </w:numPr>
              <w:spacing w:after="0" w:line="240" w:lineRule="auto"/>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as instructed</w:t>
            </w:r>
            <w:r>
              <w:rPr>
                <w:rFonts w:cstheme="minorHAnsi"/>
                <w:noProof/>
              </w:rPr>
              <w:t xml:space="preserve"> </w:t>
            </w:r>
            <w:r w:rsidRPr="008F589F">
              <w:rPr>
                <w:rFonts w:cstheme="minorHAnsi"/>
                <w:noProof/>
              </w:rPr>
              <w:t xml:space="preserve">with answers immediately following the question. All information </w:t>
            </w:r>
            <w:r>
              <w:rPr>
                <w:rFonts w:cstheme="minorHAnsi"/>
                <w:noProof/>
              </w:rPr>
              <w:t xml:space="preserve">on testing </w:t>
            </w:r>
            <w:r w:rsidRPr="008F589F">
              <w:rPr>
                <w:rFonts w:cstheme="minorHAnsi"/>
                <w:noProof/>
              </w:rPr>
              <w:t>to demonstrate meeting</w:t>
            </w:r>
            <w:r>
              <w:rPr>
                <w:rFonts w:cstheme="minorHAnsi"/>
                <w:noProof/>
              </w:rPr>
              <w:t xml:space="preserve"> the </w:t>
            </w:r>
            <w:proofErr w:type="spellStart"/>
            <w:r>
              <w:t>subcriteria</w:t>
            </w:r>
            <w:proofErr w:type="spellEnd"/>
            <w:r>
              <w:t xml:space="preserve"> for reliability (2a2) and validity (2b1-2b6) </w:t>
            </w:r>
            <w:r w:rsidRPr="008F589F">
              <w:rPr>
                <w:rFonts w:cstheme="minorHAnsi"/>
                <w:noProof/>
              </w:rPr>
              <w:t xml:space="preserve">must be in this form. An appendix for </w:t>
            </w:r>
            <w:r w:rsidRPr="008F589F">
              <w:rPr>
                <w:rFonts w:cstheme="minorHAnsi"/>
                <w:i/>
                <w:noProof/>
              </w:rPr>
              <w:t>supplemental</w:t>
            </w:r>
            <w:r w:rsidRPr="008F589F">
              <w:rPr>
                <w:rFonts w:cstheme="minorHAnsi"/>
                <w:noProof/>
              </w:rPr>
              <w:t xml:space="preserve"> materials may be submitted, but there is no guarantee it will be reviewed.</w:t>
            </w:r>
          </w:p>
          <w:p w14:paraId="297D9ABA" w14:textId="77777777" w:rsidR="00086FAC" w:rsidRDefault="00086FAC" w:rsidP="00086FAC">
            <w:pPr>
              <w:pStyle w:val="ListParagraph"/>
              <w:numPr>
                <w:ilvl w:val="0"/>
                <w:numId w:val="1"/>
              </w:numPr>
              <w:spacing w:after="0" w:line="240" w:lineRule="auto"/>
              <w:rPr>
                <w:rFonts w:cstheme="minorHAnsi"/>
                <w:noProof/>
              </w:rPr>
            </w:pPr>
            <w:r>
              <w:t>If you are unable to check a box, please highlight or shade the box for your response.</w:t>
            </w:r>
          </w:p>
          <w:p w14:paraId="52A58D4A" w14:textId="77777777" w:rsidR="00086FAC" w:rsidRPr="008F589F" w:rsidRDefault="00086FAC" w:rsidP="00086FAC">
            <w:pPr>
              <w:pStyle w:val="ListParagraph"/>
              <w:numPr>
                <w:ilvl w:val="0"/>
                <w:numId w:val="1"/>
              </w:numPr>
              <w:spacing w:after="0" w:line="240" w:lineRule="auto"/>
              <w:rPr>
                <w:rFonts w:cstheme="minorHAnsi"/>
                <w:noProof/>
              </w:rPr>
            </w:pPr>
            <w:r>
              <w:rPr>
                <w:rFonts w:cstheme="minorHAnsi"/>
                <w:noProof/>
              </w:rPr>
              <w:t>Maximum of 25</w:t>
            </w:r>
            <w:r w:rsidRPr="006269D4">
              <w:rPr>
                <w:rFonts w:cstheme="minorHAnsi"/>
                <w:noProof/>
              </w:rPr>
              <w:t xml:space="preserve"> pages (</w:t>
            </w:r>
            <w:r>
              <w:rPr>
                <w:rFonts w:cstheme="minorHAnsi"/>
                <w:i/>
                <w:noProof/>
              </w:rPr>
              <w:t>incuding</w:t>
            </w:r>
            <w:r w:rsidRPr="006269D4">
              <w:rPr>
                <w:rFonts w:cstheme="minorHAnsi"/>
                <w:i/>
                <w:noProof/>
              </w:rPr>
              <w:t xml:space="preserve"> qu</w:t>
            </w:r>
            <w:r>
              <w:rPr>
                <w:rFonts w:cstheme="minorHAnsi"/>
                <w:i/>
                <w:noProof/>
              </w:rPr>
              <w:t xml:space="preserve">estions/instructions; </w:t>
            </w:r>
            <w:r>
              <w:t xml:space="preserve">minimum font size 11 </w:t>
            </w:r>
            <w:proofErr w:type="spellStart"/>
            <w:r>
              <w:t>pt</w:t>
            </w:r>
            <w:proofErr w:type="spellEnd"/>
            <w:r>
              <w:t xml:space="preserve">; do not change margins). </w:t>
            </w:r>
            <w:r w:rsidRPr="000D6D06">
              <w:rPr>
                <w:b/>
                <w:i/>
              </w:rPr>
              <w:t xml:space="preserve">Contact </w:t>
            </w:r>
            <w:r>
              <w:rPr>
                <w:b/>
                <w:i/>
              </w:rPr>
              <w:t>NQF staff if more pages are needed</w:t>
            </w:r>
            <w:r w:rsidRPr="000D6D06">
              <w:rPr>
                <w:b/>
                <w:i/>
              </w:rPr>
              <w:t>.</w:t>
            </w:r>
          </w:p>
          <w:p w14:paraId="342A20CE" w14:textId="77777777" w:rsidR="00086FAC" w:rsidRPr="00A71200" w:rsidRDefault="00086FAC" w:rsidP="00086FAC">
            <w:pPr>
              <w:pStyle w:val="ListParagraph"/>
              <w:numPr>
                <w:ilvl w:val="0"/>
                <w:numId w:val="1"/>
              </w:numPr>
              <w:spacing w:after="0" w:line="240" w:lineRule="auto"/>
              <w:rPr>
                <w:rFonts w:cstheme="minorHAnsi"/>
                <w:noProof/>
              </w:rPr>
            </w:pPr>
            <w:r w:rsidRPr="00496AF8">
              <w:t>Contact NQ</w:t>
            </w:r>
            <w:r>
              <w:t xml:space="preserve">F staff regarding questions. Check for resources at </w:t>
            </w:r>
            <w:hyperlink r:id="rId11" w:history="1">
              <w:r w:rsidRPr="00145149">
                <w:rPr>
                  <w:rStyle w:val="Hyperlink"/>
                </w:rPr>
                <w:t>Submitting Standards webpage</w:t>
              </w:r>
            </w:hyperlink>
            <w:r>
              <w:t>.</w:t>
            </w:r>
          </w:p>
          <w:p w14:paraId="4F395F45" w14:textId="77777777" w:rsidR="00086FAC" w:rsidRDefault="00086FAC" w:rsidP="00086FAC">
            <w:pPr>
              <w:pStyle w:val="ListParagraph"/>
              <w:numPr>
                <w:ilvl w:val="0"/>
                <w:numId w:val="1"/>
              </w:numPr>
              <w:spacing w:after="0" w:line="240" w:lineRule="auto"/>
              <w:rPr>
                <w:rFonts w:cstheme="minorHAnsi"/>
                <w:noProof/>
              </w:rPr>
            </w:pPr>
            <w:r>
              <w:t>For information on the most updated guidance on how to address social risk factors variables and testing in this form refer to the release notes for version 7.1 of the Measure Testing Attachment.</w:t>
            </w:r>
          </w:p>
        </w:tc>
      </w:tr>
    </w:tbl>
    <w:p w14:paraId="529A4C15" w14:textId="77777777" w:rsidR="00086FAC" w:rsidRDefault="00086FAC" w:rsidP="00086FAC">
      <w:pPr>
        <w:spacing w:after="0" w:line="240" w:lineRule="auto"/>
        <w:rPr>
          <w:rFonts w:cstheme="minorHAnsi"/>
          <w:noProof/>
        </w:rPr>
      </w:pPr>
    </w:p>
    <w:tbl>
      <w:tblPr>
        <w:tblW w:w="5500" w:type="pct"/>
        <w:jc w:val="center"/>
        <w:tblLook w:val="04A0" w:firstRow="1" w:lastRow="0" w:firstColumn="1" w:lastColumn="0" w:noHBand="0" w:noVBand="1"/>
      </w:tblPr>
      <w:tblGrid>
        <w:gridCol w:w="10296"/>
      </w:tblGrid>
      <w:tr w:rsidR="00086FAC" w:rsidRPr="00A831B4" w14:paraId="750E15C1" w14:textId="77777777" w:rsidTr="00806CEB">
        <w:trPr>
          <w:jc w:val="center"/>
        </w:trPr>
        <w:tc>
          <w:tcPr>
            <w:tcW w:w="9576" w:type="dxa"/>
          </w:tcPr>
          <w:p w14:paraId="0465B0D4" w14:textId="77777777" w:rsidR="00086FAC" w:rsidRPr="000F034A" w:rsidRDefault="00086FAC" w:rsidP="00806CEB">
            <w:pPr>
              <w:rPr>
                <w:rFonts w:cstheme="minorHAnsi"/>
                <w:b/>
                <w:bCs/>
              </w:rPr>
            </w:pPr>
            <w:r w:rsidRPr="000F034A">
              <w:rPr>
                <w:b/>
                <w:bCs/>
                <w:u w:val="single"/>
              </w:rPr>
              <w:t>Note</w:t>
            </w:r>
            <w:r w:rsidRPr="000F034A">
              <w:rPr>
                <w:b/>
                <w:bCs/>
              </w:rPr>
              <w:t xml:space="preserve">: </w:t>
            </w:r>
            <w:r w:rsidRPr="00D369E9">
              <w:rPr>
                <w:bCs/>
              </w:rPr>
              <w:t>The information provided in this form is intended to aid the Standing Committee and other stakeholders in understanding to what degree the testing results for this measure meet NQF’s evaluation criteria for testing.</w:t>
            </w:r>
          </w:p>
          <w:p w14:paraId="684F18EE" w14:textId="77777777" w:rsidR="00086FAC" w:rsidRPr="000F034A" w:rsidRDefault="00086FAC" w:rsidP="00806CEB">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 xml:space="preserve">. For </w:t>
            </w:r>
            <w:r w:rsidRPr="00651D44">
              <w:rPr>
                <w:rFonts w:cstheme="minorHAnsi"/>
                <w:b/>
                <w:bCs/>
                <w:iCs/>
              </w:rPr>
              <w:t xml:space="preserve">instrument-based measures </w:t>
            </w:r>
            <w:r w:rsidRPr="00651D44">
              <w:rPr>
                <w:rFonts w:cstheme="minorHAnsi"/>
                <w:bCs/>
                <w:iCs/>
              </w:rPr>
              <w:t>(including PRO-PMs)</w:t>
            </w:r>
            <w:r w:rsidRPr="00651D44">
              <w:rPr>
                <w:rFonts w:cstheme="minorHAnsi"/>
                <w:b/>
                <w:bCs/>
                <w:iCs/>
              </w:rPr>
              <w:t xml:space="preserve"> and composite performance measures</w:t>
            </w:r>
            <w:r w:rsidRPr="000F034A">
              <w:rPr>
                <w:rFonts w:cstheme="minorHAnsi"/>
                <w:bCs/>
                <w:iCs/>
              </w:rPr>
              <w:t>, reliability should be demonstrated for the computed performance score.</w:t>
            </w:r>
          </w:p>
          <w:p w14:paraId="64E547D4" w14:textId="77777777" w:rsidR="00086FAC" w:rsidRPr="000F034A" w:rsidRDefault="00086FAC" w:rsidP="00806CEB">
            <w:pPr>
              <w:autoSpaceDE w:val="0"/>
              <w:autoSpaceDN w:val="0"/>
              <w:adjustRightInd w:val="0"/>
              <w:rPr>
                <w:rFonts w:cstheme="minorHAnsi"/>
              </w:rPr>
            </w:pPr>
            <w:r w:rsidRPr="000F034A">
              <w:rPr>
                <w:rFonts w:cstheme="minorHAnsi"/>
                <w:b/>
                <w:iCs/>
              </w:rPr>
              <w:t>2b</w:t>
            </w:r>
            <w:r>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Pr="000F034A">
              <w:rPr>
                <w:rFonts w:cstheme="minorHAnsi"/>
                <w:bCs/>
                <w:iCs/>
              </w:rPr>
              <w:t xml:space="preserve">For </w:t>
            </w:r>
            <w:r w:rsidRPr="00651D44">
              <w:rPr>
                <w:rFonts w:cstheme="minorHAnsi"/>
                <w:b/>
                <w:bCs/>
                <w:iCs/>
              </w:rPr>
              <w:t>instrument-</w:t>
            </w:r>
            <w:r w:rsidRPr="00651D44">
              <w:rPr>
                <w:rFonts w:cstheme="minorHAnsi"/>
                <w:b/>
                <w:bCs/>
                <w:iCs/>
              </w:rPr>
              <w:lastRenderedPageBreak/>
              <w:t>based measures (including PRO-PMs) and composite performance measures</w:t>
            </w:r>
            <w:r w:rsidRPr="000F034A">
              <w:rPr>
                <w:rFonts w:cstheme="minorHAnsi"/>
                <w:bCs/>
                <w:iCs/>
              </w:rPr>
              <w:t xml:space="preserve">, </w:t>
            </w:r>
            <w:r>
              <w:rPr>
                <w:rFonts w:cstheme="minorHAnsi"/>
                <w:bCs/>
                <w:iCs/>
              </w:rPr>
              <w:t>validity</w:t>
            </w:r>
            <w:r w:rsidRPr="000F034A">
              <w:rPr>
                <w:rFonts w:cstheme="minorHAnsi"/>
                <w:bCs/>
                <w:iCs/>
              </w:rPr>
              <w:t xml:space="preserve"> should be demonstrated for the computed performance score.</w:t>
            </w:r>
          </w:p>
          <w:p w14:paraId="1382A2FD" w14:textId="77777777" w:rsidR="00086FAC" w:rsidRPr="000F034A" w:rsidRDefault="00086FAC" w:rsidP="00806CEB">
            <w:pPr>
              <w:rPr>
                <w:rFonts w:cstheme="minorHAnsi"/>
              </w:rPr>
            </w:pPr>
            <w:bookmarkStart w:id="1" w:name="_Toc256067249"/>
            <w:r w:rsidRPr="000F034A">
              <w:rPr>
                <w:rFonts w:cstheme="minorHAnsi"/>
                <w:b/>
                <w:bCs/>
              </w:rPr>
              <w:t>2b</w:t>
            </w:r>
            <w:r>
              <w:rPr>
                <w:rFonts w:cstheme="minorHAnsi"/>
                <w:b/>
                <w:bCs/>
              </w:rPr>
              <w:t>2</w:t>
            </w:r>
            <w:r w:rsidRPr="000F034A">
              <w:rPr>
                <w:rFonts w:cstheme="minorHAnsi"/>
                <w:b/>
                <w:bCs/>
              </w:rPr>
              <w:t>.</w:t>
            </w:r>
            <w:r w:rsidRPr="000F034A">
              <w:rPr>
                <w:rFonts w:cstheme="minorHAnsi"/>
              </w:rPr>
              <w:t xml:space="preserve"> </w:t>
            </w:r>
            <w:r w:rsidRPr="00651D44">
              <w:rPr>
                <w:rFonts w:cstheme="minorHAnsi"/>
                <w:b/>
              </w:rPr>
              <w:t>Exclusions</w:t>
            </w:r>
            <w:r w:rsidRPr="00651D44">
              <w:rPr>
                <w:rFonts w:cstheme="minorHAnsi"/>
              </w:rPr>
              <w:t xml:space="preserve"> are supported by the clinical evidence and are of </w:t>
            </w:r>
            <w:proofErr w:type="gramStart"/>
            <w:r w:rsidRPr="00651D44">
              <w:rPr>
                <w:rFonts w:cstheme="minorHAnsi"/>
              </w:rPr>
              <w:t>sufficient</w:t>
            </w:r>
            <w:proofErr w:type="gramEnd"/>
            <w:r w:rsidRPr="00651D44">
              <w:rPr>
                <w:rFonts w:cstheme="minorHAnsi"/>
              </w:rPr>
              <w:t xml:space="preserve"> frequency to warrant inclusion in the specifications of the measure</w:t>
            </w:r>
            <w:r w:rsidRPr="000F034A">
              <w:rPr>
                <w:rFonts w:cstheme="minorHAnsi"/>
              </w:rPr>
              <w:t xml:space="preserve">; </w:t>
            </w:r>
            <w:hyperlink w:anchor="Note12" w:history="1">
              <w:r w:rsidRPr="000F034A">
                <w:rPr>
                  <w:rStyle w:val="Hyperlink"/>
                  <w:rFonts w:cstheme="minorHAnsi"/>
                  <w:vertAlign w:val="superscript"/>
                </w:rPr>
                <w:t>12</w:t>
              </w:r>
            </w:hyperlink>
          </w:p>
          <w:p w14:paraId="15B37956" w14:textId="77777777" w:rsidR="00086FAC" w:rsidRPr="000F034A" w:rsidRDefault="00086FAC" w:rsidP="00806CEB">
            <w:pPr>
              <w:rPr>
                <w:rFonts w:cstheme="minorHAnsi"/>
                <w:b/>
              </w:rPr>
            </w:pPr>
            <w:r w:rsidRPr="000F034A">
              <w:rPr>
                <w:rFonts w:cstheme="minorHAnsi"/>
                <w:b/>
              </w:rPr>
              <w:t xml:space="preserve">AND </w:t>
            </w:r>
          </w:p>
          <w:p w14:paraId="21429F47" w14:textId="77777777" w:rsidR="00086FAC" w:rsidRPr="000F034A" w:rsidRDefault="00086FAC" w:rsidP="00806CEB">
            <w:pPr>
              <w:rPr>
                <w:rFonts w:cstheme="minorHAnsi"/>
              </w:rPr>
            </w:pPr>
            <w:r w:rsidRPr="000F034A">
              <w:rPr>
                <w:rFonts w:cstheme="minorHAnsi"/>
              </w:rPr>
              <w:t>If patient preference (e.g., informed decision</w:t>
            </w:r>
            <w:r>
              <w:rPr>
                <w:rFonts w:cstheme="minorHAnsi"/>
              </w:rPr>
              <w:t xml:space="preserve"> </w:t>
            </w:r>
            <w:r w:rsidRPr="000F034A">
              <w:rPr>
                <w:rFonts w:cstheme="minorHAnsi"/>
              </w:rPr>
              <w:t xml:space="preserve">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vertAlign w:val="superscript"/>
                </w:rPr>
                <w:t>13</w:t>
              </w:r>
            </w:hyperlink>
          </w:p>
          <w:p w14:paraId="584D0DCE" w14:textId="77777777" w:rsidR="00086FAC" w:rsidRPr="000F034A" w:rsidRDefault="00086FAC" w:rsidP="00806CEB">
            <w:pPr>
              <w:rPr>
                <w:rFonts w:cstheme="minorHAnsi"/>
              </w:rPr>
            </w:pPr>
            <w:bookmarkStart w:id="2" w:name="_Toc256067250"/>
            <w:r w:rsidRPr="000F034A">
              <w:rPr>
                <w:rFonts w:cstheme="minorHAnsi"/>
                <w:b/>
                <w:bCs/>
              </w:rPr>
              <w:t>2b</w:t>
            </w:r>
            <w:r>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1F177B1E" w14:textId="77777777" w:rsidR="00086FAC" w:rsidRPr="000F034A" w:rsidRDefault="00086FAC" w:rsidP="00086FAC">
            <w:pPr>
              <w:numPr>
                <w:ilvl w:val="0"/>
                <w:numId w:val="2"/>
              </w:numPr>
              <w:spacing w:after="0" w:line="240" w:lineRule="auto"/>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Pr>
                <w:rFonts w:cstheme="minorHAnsi"/>
              </w:rPr>
              <w:t xml:space="preserve">(including clinical and social risk factors) </w:t>
            </w:r>
            <w:r w:rsidRPr="000F034A">
              <w:rPr>
                <w:rFonts w:cstheme="minorHAnsi"/>
              </w:rPr>
              <w:t xml:space="preserve">that influence the measured outcome and are present at start of care; </w:t>
            </w:r>
            <w:hyperlink w:anchor="Note14" w:history="1">
              <w:r w:rsidRPr="000F034A">
                <w:rPr>
                  <w:rStyle w:val="Hyperlink"/>
                  <w:rFonts w:cstheme="minorHAnsi"/>
                  <w:vertAlign w:val="superscript"/>
                </w:rPr>
                <w:t>14</w:t>
              </w:r>
            </w:hyperlink>
            <w:r w:rsidRPr="000F034A">
              <w:rPr>
                <w:rFonts w:cstheme="minorHAnsi"/>
                <w:b/>
                <w:vertAlign w:val="superscript"/>
              </w:rPr>
              <w:t>,</w:t>
            </w:r>
            <w:hyperlink w:anchor="Note15" w:history="1">
              <w:r w:rsidRPr="000F034A">
                <w:rPr>
                  <w:rStyle w:val="Hyperlink"/>
                  <w:rFonts w:cstheme="minorHAnsi"/>
                  <w:vertAlign w:val="superscript"/>
                </w:rPr>
                <w:t>15</w:t>
              </w:r>
            </w:hyperlink>
            <w:r w:rsidRPr="000F034A">
              <w:rPr>
                <w:rFonts w:cstheme="minorHAnsi"/>
              </w:rPr>
              <w:t xml:space="preserve"> and has demonstrated adequate discrimination and calibration</w:t>
            </w:r>
          </w:p>
          <w:p w14:paraId="62DAFB39" w14:textId="77777777" w:rsidR="00086FAC" w:rsidRPr="000F034A" w:rsidRDefault="00086FAC" w:rsidP="00806CEB">
            <w:pPr>
              <w:rPr>
                <w:rFonts w:cstheme="minorHAnsi"/>
                <w:b/>
              </w:rPr>
            </w:pPr>
            <w:r w:rsidRPr="000F034A">
              <w:rPr>
                <w:rFonts w:cstheme="minorHAnsi"/>
                <w:b/>
              </w:rPr>
              <w:t>OR</w:t>
            </w:r>
          </w:p>
          <w:p w14:paraId="05E4A4EF" w14:textId="77777777" w:rsidR="00086FAC" w:rsidRPr="000F034A" w:rsidRDefault="00086FAC" w:rsidP="00086FAC">
            <w:pPr>
              <w:numPr>
                <w:ilvl w:val="0"/>
                <w:numId w:val="2"/>
              </w:numPr>
              <w:spacing w:after="0" w:line="240" w:lineRule="auto"/>
              <w:ind w:left="0" w:firstLine="0"/>
              <w:rPr>
                <w:rFonts w:cstheme="minorHAnsi"/>
              </w:rPr>
            </w:pPr>
            <w:r w:rsidRPr="000F034A">
              <w:rPr>
                <w:rFonts w:cstheme="minorHAnsi"/>
              </w:rPr>
              <w:t xml:space="preserve">rationale/data support no risk adjustment/ stratification. </w:t>
            </w:r>
          </w:p>
          <w:p w14:paraId="2F981587" w14:textId="77777777" w:rsidR="00086FAC" w:rsidRPr="000F034A" w:rsidRDefault="00086FAC" w:rsidP="00806CEB">
            <w:pPr>
              <w:rPr>
                <w:rFonts w:cstheme="minorHAnsi"/>
                <w:b/>
                <w:bCs/>
              </w:rPr>
            </w:pPr>
          </w:p>
          <w:bookmarkEnd w:id="2"/>
          <w:p w14:paraId="787EB86D" w14:textId="77777777" w:rsidR="00086FAC" w:rsidRPr="000F034A" w:rsidRDefault="00086FAC" w:rsidP="00806CEB">
            <w:pPr>
              <w:rPr>
                <w:rFonts w:cstheme="minorHAnsi"/>
              </w:rPr>
            </w:pPr>
            <w:r w:rsidRPr="000F034A">
              <w:rPr>
                <w:rFonts w:cstheme="minorHAnsi"/>
                <w:b/>
                <w:bCs/>
              </w:rPr>
              <w:t>2b</w:t>
            </w:r>
            <w:r>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30762C61" w14:textId="77777777" w:rsidR="00086FAC" w:rsidRPr="000F034A" w:rsidRDefault="00086FAC" w:rsidP="00806CEB">
            <w:pPr>
              <w:rPr>
                <w:rFonts w:cstheme="minorHAnsi"/>
              </w:rPr>
            </w:pPr>
            <w:r w:rsidRPr="000F034A">
              <w:rPr>
                <w:rFonts w:cstheme="minorHAnsi"/>
                <w:b/>
              </w:rPr>
              <w:t>OR</w:t>
            </w:r>
          </w:p>
          <w:p w14:paraId="4091459A" w14:textId="77777777" w:rsidR="00086FAC" w:rsidRPr="000F034A" w:rsidRDefault="00086FAC" w:rsidP="00806CEB">
            <w:pPr>
              <w:rPr>
                <w:rFonts w:cstheme="minorHAnsi"/>
              </w:rPr>
            </w:pPr>
            <w:r w:rsidRPr="000F034A">
              <w:rPr>
                <w:rFonts w:cstheme="minorHAnsi"/>
              </w:rPr>
              <w:t xml:space="preserve">there is evidence of overall less-than-optimal performance. </w:t>
            </w:r>
          </w:p>
          <w:p w14:paraId="399154C1" w14:textId="77777777" w:rsidR="00086FAC" w:rsidRPr="000F034A" w:rsidRDefault="00086FAC" w:rsidP="00806CEB">
            <w:pPr>
              <w:rPr>
                <w:rFonts w:cstheme="minorHAnsi"/>
              </w:rPr>
            </w:pPr>
            <w:r w:rsidRPr="000F034A">
              <w:rPr>
                <w:rFonts w:cstheme="minorHAnsi"/>
                <w:b/>
                <w:bCs/>
              </w:rPr>
              <w:t>2b</w:t>
            </w:r>
            <w:r>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5325F091" w14:textId="77777777" w:rsidR="00086FAC" w:rsidRPr="00A831B4" w:rsidRDefault="00086FAC" w:rsidP="00806CEB">
            <w:pPr>
              <w:rPr>
                <w:rFonts w:cstheme="minorHAnsi"/>
                <w:sz w:val="20"/>
                <w:szCs w:val="20"/>
              </w:rPr>
            </w:pPr>
            <w:r>
              <w:rPr>
                <w:rFonts w:ascii="Calibri" w:eastAsia="Calibri" w:hAnsi="Calibri" w:cs="Calibri"/>
                <w:b/>
              </w:rPr>
              <w:t>2b6</w:t>
            </w:r>
            <w:r w:rsidRPr="000F034A">
              <w:rPr>
                <w:rFonts w:ascii="Calibri" w:eastAsia="Calibri" w:hAnsi="Calibri" w:cs="Calibri"/>
                <w:b/>
              </w:rPr>
              <w:t>.</w:t>
            </w:r>
            <w:r w:rsidRPr="000F034A">
              <w:rPr>
                <w:rFonts w:ascii="Calibri" w:eastAsia="Calibri" w:hAnsi="Calibri" w:cs="Calibri"/>
              </w:rPr>
              <w:t xml:space="preserve"> </w:t>
            </w:r>
            <w:r>
              <w:rPr>
                <w:rFonts w:ascii="Calibri" w:eastAsia="Calibri" w:hAnsi="Calibri" w:cs="Calibri"/>
              </w:rPr>
              <w:t>A</w:t>
            </w:r>
            <w:r w:rsidRPr="000F034A">
              <w:rPr>
                <w:rFonts w:ascii="Calibri" w:eastAsia="Calibri" w:hAnsi="Calibri" w:cs="Calibri"/>
              </w:rPr>
              <w:t xml:space="preserve">nalyses identify the extent and distribution of </w:t>
            </w:r>
            <w:r w:rsidRPr="00651D44">
              <w:rPr>
                <w:rFonts w:ascii="Calibri" w:eastAsia="Calibri" w:hAnsi="Calibri" w:cs="Calibri"/>
                <w:b/>
              </w:rPr>
              <w:t>missing data</w:t>
            </w:r>
            <w:r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1"/>
          <w:p w14:paraId="751A5CAE" w14:textId="77777777" w:rsidR="00086FAC" w:rsidRPr="00A831B4" w:rsidRDefault="00086FAC" w:rsidP="00806CEB">
            <w:pPr>
              <w:autoSpaceDE w:val="0"/>
              <w:autoSpaceDN w:val="0"/>
              <w:adjustRightInd w:val="0"/>
              <w:rPr>
                <w:rFonts w:cstheme="minorHAnsi"/>
                <w:b/>
                <w:bCs/>
                <w:iCs/>
                <w:sz w:val="20"/>
                <w:szCs w:val="20"/>
              </w:rPr>
            </w:pPr>
            <w:r w:rsidRPr="00A831B4">
              <w:rPr>
                <w:rFonts w:cstheme="minorHAnsi"/>
                <w:b/>
                <w:bCs/>
                <w:iCs/>
                <w:sz w:val="20"/>
                <w:szCs w:val="20"/>
              </w:rPr>
              <w:t>Notes</w:t>
            </w:r>
          </w:p>
          <w:p w14:paraId="0F627C45" w14:textId="77777777" w:rsidR="00086FAC" w:rsidRPr="00A831B4" w:rsidRDefault="00086FAC" w:rsidP="00806CEB">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w:t>
            </w:r>
            <w:proofErr w:type="gramStart"/>
            <w:r w:rsidRPr="00A831B4">
              <w:rPr>
                <w:rFonts w:cstheme="minorHAnsi"/>
                <w:sz w:val="20"/>
                <w:szCs w:val="20"/>
              </w:rPr>
              <w:t>include, but</w:t>
            </w:r>
            <w:proofErr w:type="gramEnd"/>
            <w:r w:rsidRPr="00A831B4">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50461CB0" w14:textId="77777777" w:rsidR="00086FAC" w:rsidRPr="00A831B4" w:rsidRDefault="00086FAC" w:rsidP="00806CEB">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w:t>
            </w:r>
            <w:r w:rsidRPr="00A831B4">
              <w:rPr>
                <w:rFonts w:cstheme="minorHAnsi"/>
                <w:sz w:val="20"/>
                <w:szCs w:val="20"/>
              </w:rPr>
              <w:lastRenderedPageBreak/>
              <w:t xml:space="preserve">method; correlation of measure scores with another valid indicator of quality for the specific topic; or relationship to conceptually related measures (e.g., scores on process measures to scores on outcome measures).  </w:t>
            </w:r>
            <w:r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Pr>
                <w:rFonts w:cstheme="minorHAnsi"/>
                <w:sz w:val="20"/>
                <w:szCs w:val="20"/>
              </w:rPr>
              <w:t xml:space="preserve"> </w:t>
            </w:r>
            <w:r w:rsidRPr="00651D44">
              <w:rPr>
                <w:rFonts w:cstheme="minorHAnsi"/>
                <w:sz w:val="20"/>
                <w:szCs w:val="20"/>
              </w:rPr>
              <w:t>The degree of consensus and any areas of disagreement must be provided/discussed.</w:t>
            </w:r>
          </w:p>
          <w:p w14:paraId="2CC75991" w14:textId="77777777" w:rsidR="00086FAC" w:rsidRPr="00A831B4" w:rsidRDefault="00086FAC" w:rsidP="00806CEB">
            <w:pPr>
              <w:pStyle w:val="FootnoteText"/>
              <w:rPr>
                <w:rFonts w:cstheme="minorHAnsi"/>
              </w:rPr>
            </w:pPr>
            <w:bookmarkStart w:id="7" w:name="Note12"/>
            <w:bookmarkEnd w:id="7"/>
            <w:r w:rsidRPr="00A831B4">
              <w:rPr>
                <w:rFonts w:cstheme="minorHAnsi"/>
                <w:b/>
              </w:rPr>
              <w:t>12.</w:t>
            </w:r>
            <w:r w:rsidRPr="00A831B4">
              <w:rPr>
                <w:rFonts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76C3CA0B" w14:textId="77777777" w:rsidR="00086FAC" w:rsidRPr="00A831B4" w:rsidRDefault="00086FAC" w:rsidP="00806CEB">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502AF4F1" w14:textId="77777777" w:rsidR="00086FAC" w:rsidRPr="00A831B4" w:rsidRDefault="00086FAC" w:rsidP="00806CEB">
            <w:pPr>
              <w:pStyle w:val="FootnoteText"/>
              <w:rPr>
                <w:b/>
                <w:bCs/>
              </w:rPr>
            </w:pPr>
            <w:bookmarkStart w:id="9" w:name="Note14"/>
            <w:bookmarkEnd w:id="9"/>
            <w:r w:rsidRPr="00A831B4">
              <w:rPr>
                <w:rFonts w:cstheme="minorHAnsi"/>
                <w:b/>
              </w:rPr>
              <w:t xml:space="preserve">14. </w:t>
            </w:r>
            <w:r w:rsidRPr="00A831B4">
              <w:rPr>
                <w:rFonts w:cstheme="minorHAnsi"/>
              </w:rPr>
              <w:t>Risk factors that influence outcomes should not be specified as exclusions</w:t>
            </w:r>
            <w:bookmarkStart w:id="10" w:name="Note15"/>
            <w:bookmarkEnd w:id="10"/>
            <w:r>
              <w:rPr>
                <w:rFonts w:cstheme="minorHAnsi"/>
              </w:rPr>
              <w:t>.</w:t>
            </w:r>
          </w:p>
          <w:p w14:paraId="1B039F97" w14:textId="77777777" w:rsidR="00086FAC" w:rsidRPr="00A831B4" w:rsidRDefault="00086FAC" w:rsidP="00806CEB">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Pr="00A831B4">
              <w:rPr>
                <w:rFonts w:cstheme="minorHAnsi"/>
                <w:b/>
                <w:sz w:val="20"/>
                <w:szCs w:val="20"/>
              </w:rPr>
              <w:t>.</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38658C44" w14:textId="77777777" w:rsidR="00086FAC" w:rsidRPr="00A25024" w:rsidRDefault="00086FAC" w:rsidP="00086FAC">
      <w:pPr>
        <w:spacing w:after="0" w:line="240" w:lineRule="auto"/>
        <w:rPr>
          <w:rFonts w:cstheme="minorHAnsi"/>
          <w:b/>
          <w:noProof/>
        </w:rPr>
      </w:pPr>
      <w:r>
        <w:rPr>
          <w:rFonts w:cstheme="minorHAnsi"/>
          <w:b/>
          <w:noProof/>
        </w:rPr>
        <w:lastRenderedPageBreak/>
        <w:t xml:space="preserve">1. </w:t>
      </w:r>
      <w:r w:rsidRPr="00A25024">
        <w:rPr>
          <w:rFonts w:cstheme="minorHAnsi"/>
          <w:b/>
          <w:noProof/>
        </w:rPr>
        <w:t xml:space="preserve">DATA/SAMPLE USED FOR </w:t>
      </w:r>
      <w:r w:rsidRPr="00A25024">
        <w:rPr>
          <w:rFonts w:cstheme="minorHAnsi"/>
          <w:b/>
          <w:noProof/>
          <w:u w:val="single"/>
        </w:rPr>
        <w:t>ALL</w:t>
      </w:r>
      <w:r w:rsidRPr="00A25024">
        <w:rPr>
          <w:rFonts w:cstheme="minorHAnsi"/>
          <w:b/>
          <w:noProof/>
        </w:rPr>
        <w:t xml:space="preserve"> TESTING OF THIS MEASURE</w:t>
      </w:r>
    </w:p>
    <w:p w14:paraId="2AC2EFFC" w14:textId="77777777" w:rsidR="00086FAC" w:rsidRPr="00A25024" w:rsidRDefault="00086FAC" w:rsidP="00086FAC">
      <w:pPr>
        <w:spacing w:after="0" w:line="240" w:lineRule="auto"/>
        <w:rPr>
          <w:rFonts w:cstheme="minorHAnsi"/>
          <w:noProof/>
        </w:rPr>
      </w:pPr>
      <w:r w:rsidRPr="00A25024">
        <w:rPr>
          <w:rFonts w:cstheme="minorHAnsi"/>
          <w:i/>
          <w:noProof/>
        </w:rPr>
        <w:t xml:space="preserve">Often the same data are used for all aspects of measure testing. In an effort to eliminate duplication, the first five questions apply to all measure testing. </w:t>
      </w:r>
      <w:r w:rsidRPr="00A25024">
        <w:rPr>
          <w:rFonts w:cstheme="minorHAnsi"/>
          <w:i/>
          <w:noProof/>
          <w:u w:val="single"/>
        </w:rPr>
        <w:t>If there are differences by aspect of testing</w:t>
      </w:r>
      <w:r w:rsidRPr="00A25024">
        <w:rPr>
          <w:rFonts w:cstheme="minorHAnsi"/>
          <w:i/>
          <w:noProof/>
        </w:rPr>
        <w:t>,</w:t>
      </w:r>
      <w:r>
        <w:rPr>
          <w:rFonts w:cstheme="minorHAnsi"/>
          <w:i/>
          <w:noProof/>
        </w:rPr>
        <w:t>(e.g., reliability vs. v</w:t>
      </w:r>
      <w:r w:rsidRPr="00A25024">
        <w:rPr>
          <w:rFonts w:cstheme="minorHAnsi"/>
          <w:i/>
          <w:noProof/>
        </w:rPr>
        <w:t xml:space="preserve">alidity) be sure to indicate the specific differences in question </w:t>
      </w:r>
      <w:r>
        <w:rPr>
          <w:rFonts w:cstheme="minorHAnsi"/>
          <w:i/>
          <w:noProof/>
        </w:rPr>
        <w:t>1.7</w:t>
      </w:r>
      <w:r w:rsidRPr="00A25024">
        <w:rPr>
          <w:rFonts w:cstheme="minorHAnsi"/>
          <w:i/>
          <w:noProof/>
        </w:rPr>
        <w:t xml:space="preserve">. </w:t>
      </w:r>
    </w:p>
    <w:p w14:paraId="137D63E0" w14:textId="77777777" w:rsidR="00086FAC" w:rsidRPr="00A25024" w:rsidRDefault="00086FAC" w:rsidP="00086FAC">
      <w:pPr>
        <w:spacing w:after="0" w:line="240" w:lineRule="auto"/>
        <w:rPr>
          <w:rFonts w:cstheme="minorHAnsi"/>
          <w:noProof/>
        </w:rPr>
      </w:pPr>
    </w:p>
    <w:p w14:paraId="4C6D4D3C" w14:textId="77777777" w:rsidR="00086FAC" w:rsidRDefault="00086FAC" w:rsidP="00086FAC">
      <w:pPr>
        <w:autoSpaceDE w:val="0"/>
        <w:autoSpaceDN w:val="0"/>
        <w:adjustRightInd w:val="0"/>
        <w:spacing w:after="0" w:line="240" w:lineRule="auto"/>
        <w:rPr>
          <w:rFonts w:cstheme="minorHAnsi"/>
          <w:bCs/>
        </w:rPr>
      </w:pPr>
      <w:r>
        <w:rPr>
          <w:rFonts w:cstheme="minorHAnsi"/>
          <w:b/>
          <w:bCs/>
        </w:rPr>
        <w:t>1.</w:t>
      </w:r>
      <w:r w:rsidRPr="00A25024">
        <w:rPr>
          <w:rFonts w:cstheme="minorHAnsi"/>
          <w:b/>
          <w:bCs/>
        </w:rPr>
        <w:t>1. What type of data was used for testing</w:t>
      </w:r>
      <w:r w:rsidRPr="00A25024">
        <w:rPr>
          <w:rFonts w:cstheme="minorHAnsi"/>
          <w:bCs/>
        </w:rPr>
        <w:t>? (</w:t>
      </w:r>
      <w:r>
        <w:rPr>
          <w:rFonts w:cstheme="minorHAnsi"/>
          <w:bCs/>
          <w:i/>
        </w:rPr>
        <w:t>Check all the sources of</w:t>
      </w:r>
      <w:r w:rsidRPr="00A01494">
        <w:rPr>
          <w:rFonts w:cstheme="minorHAnsi"/>
          <w:bCs/>
          <w:i/>
        </w:rPr>
        <w:t xml:space="preserve"> data identified in the measure specifications and data used for testing the measure</w:t>
      </w:r>
      <w:r>
        <w:rPr>
          <w:rFonts w:cstheme="minorHAnsi"/>
          <w:bCs/>
        </w:rPr>
        <w:t xml:space="preserve">. </w:t>
      </w:r>
      <w:r w:rsidRPr="00A01494">
        <w:rPr>
          <w:rFonts w:cstheme="minorHAnsi"/>
          <w:bCs/>
          <w:i/>
        </w:rPr>
        <w:t>T</w:t>
      </w:r>
      <w:r w:rsidRPr="00A25024">
        <w:rPr>
          <w:rFonts w:cstheme="minorHAnsi"/>
          <w:bCs/>
          <w:i/>
        </w:rPr>
        <w:t xml:space="preserve">esting </w:t>
      </w:r>
      <w:r>
        <w:rPr>
          <w:rFonts w:cstheme="minorHAnsi"/>
          <w:bCs/>
          <w:i/>
        </w:rPr>
        <w:t>must be provided for</w:t>
      </w:r>
      <w:r w:rsidRPr="00A25024">
        <w:rPr>
          <w:rFonts w:cstheme="minorHAnsi"/>
          <w:bCs/>
          <w:i/>
        </w:rPr>
        <w:t xml:space="preserve"> </w:t>
      </w:r>
      <w:r w:rsidRPr="00A25024">
        <w:rPr>
          <w:rFonts w:cstheme="minorHAnsi"/>
          <w:bCs/>
          <w:i/>
          <w:u w:val="single"/>
        </w:rPr>
        <w:t>all</w:t>
      </w:r>
      <w:r w:rsidRPr="00A25024">
        <w:rPr>
          <w:rFonts w:cstheme="minorHAnsi"/>
          <w:bCs/>
          <w:i/>
        </w:rPr>
        <w:t xml:space="preserve"> the </w:t>
      </w:r>
      <w:r>
        <w:rPr>
          <w:rFonts w:cstheme="minorHAnsi"/>
          <w:bCs/>
          <w:i/>
        </w:rPr>
        <w:t xml:space="preserve">sources </w:t>
      </w:r>
      <w:r w:rsidRPr="00A25024">
        <w:rPr>
          <w:rFonts w:cstheme="minorHAnsi"/>
          <w:bCs/>
          <w:i/>
        </w:rPr>
        <w:t>of data specified and intended for measure implementation</w:t>
      </w:r>
      <w:r>
        <w:rPr>
          <w:rFonts w:cstheme="minorHAnsi"/>
          <w:bCs/>
          <w:i/>
        </w:rPr>
        <w:t xml:space="preserve">. </w:t>
      </w:r>
      <w:r w:rsidRPr="008647FC">
        <w:rPr>
          <w:rFonts w:cstheme="minorHAnsi"/>
          <w:b/>
          <w:bCs/>
          <w:i/>
        </w:rPr>
        <w:t>If different data sources are used for the numerator and denominator, indicate N [numerator] or D [denominator] after the checkbox.</w:t>
      </w:r>
      <w:r>
        <w:rPr>
          <w:rFonts w:cstheme="minorHAnsi"/>
          <w:bCs/>
        </w:rPr>
        <w:t>)</w:t>
      </w:r>
    </w:p>
    <w:tbl>
      <w:tblPr>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086FAC" w:rsidRPr="00A01494" w14:paraId="529A0F48" w14:textId="77777777" w:rsidTr="00806CEB">
        <w:trPr>
          <w:jc w:val="center"/>
        </w:trPr>
        <w:tc>
          <w:tcPr>
            <w:tcW w:w="5208" w:type="dxa"/>
            <w:shd w:val="clear" w:color="auto" w:fill="D9D9D9" w:themeFill="background1" w:themeFillShade="D9"/>
          </w:tcPr>
          <w:p w14:paraId="1838CDDE" w14:textId="77777777" w:rsidR="00086FAC" w:rsidRDefault="00086FAC" w:rsidP="005D1B7C">
            <w:pPr>
              <w:autoSpaceDE w:val="0"/>
              <w:autoSpaceDN w:val="0"/>
              <w:adjustRightInd w:val="0"/>
              <w:spacing w:after="40" w:line="240" w:lineRule="auto"/>
              <w:rPr>
                <w:rFonts w:cstheme="minorHAnsi"/>
                <w:b/>
                <w:bCs/>
              </w:rPr>
            </w:pPr>
            <w:r w:rsidRPr="00A01494">
              <w:rPr>
                <w:rFonts w:cstheme="minorHAnsi"/>
                <w:b/>
                <w:bCs/>
              </w:rPr>
              <w:t>Measure Specified</w:t>
            </w:r>
            <w:r>
              <w:rPr>
                <w:rFonts w:cstheme="minorHAnsi"/>
                <w:b/>
                <w:bCs/>
              </w:rPr>
              <w:t xml:space="preserve"> to Use Data From:</w:t>
            </w:r>
          </w:p>
          <w:p w14:paraId="563E73AC" w14:textId="77777777" w:rsidR="00086FAC" w:rsidRPr="00A01494" w:rsidRDefault="00086FAC" w:rsidP="005D1B7C">
            <w:pPr>
              <w:autoSpaceDE w:val="0"/>
              <w:autoSpaceDN w:val="0"/>
              <w:adjustRightInd w:val="0"/>
              <w:spacing w:after="40" w:line="240" w:lineRule="auto"/>
              <w:rPr>
                <w:rFonts w:cstheme="minorHAnsi"/>
                <w:b/>
                <w:bCs/>
              </w:rPr>
            </w:pPr>
            <w:r>
              <w:rPr>
                <w:rFonts w:cstheme="minorHAnsi"/>
                <w:b/>
                <w:bCs/>
              </w:rPr>
              <w:t>(</w:t>
            </w:r>
            <w:r>
              <w:rPr>
                <w:rFonts w:cstheme="minorHAnsi"/>
                <w:b/>
                <w:bCs/>
                <w:i/>
              </w:rPr>
              <w:t>must be consistent with data sources entered in S.17</w:t>
            </w:r>
            <w:r>
              <w:rPr>
                <w:rFonts w:cstheme="minorHAnsi"/>
                <w:b/>
                <w:bCs/>
              </w:rPr>
              <w:t>)</w:t>
            </w:r>
          </w:p>
        </w:tc>
        <w:tc>
          <w:tcPr>
            <w:tcW w:w="4847" w:type="dxa"/>
            <w:shd w:val="clear" w:color="auto" w:fill="D9D9D9" w:themeFill="background1" w:themeFillShade="D9"/>
          </w:tcPr>
          <w:p w14:paraId="34E865E7" w14:textId="77777777" w:rsidR="00086FAC" w:rsidRPr="00A01494" w:rsidRDefault="00086FAC" w:rsidP="005D1B7C">
            <w:pPr>
              <w:autoSpaceDE w:val="0"/>
              <w:autoSpaceDN w:val="0"/>
              <w:adjustRightInd w:val="0"/>
              <w:spacing w:after="40" w:line="240" w:lineRule="auto"/>
              <w:rPr>
                <w:rFonts w:cstheme="minorHAnsi"/>
                <w:b/>
                <w:bCs/>
              </w:rPr>
            </w:pPr>
            <w:r w:rsidRPr="00A01494">
              <w:rPr>
                <w:rFonts w:cstheme="minorHAnsi"/>
                <w:b/>
                <w:bCs/>
              </w:rPr>
              <w:t>Measure Tested</w:t>
            </w:r>
            <w:r>
              <w:rPr>
                <w:rFonts w:cstheme="minorHAnsi"/>
                <w:b/>
                <w:bCs/>
              </w:rPr>
              <w:t xml:space="preserve"> with Data From:</w:t>
            </w:r>
          </w:p>
        </w:tc>
      </w:tr>
      <w:tr w:rsidR="00086FAC" w:rsidRPr="00A01494" w14:paraId="31931286" w14:textId="77777777" w:rsidTr="00806CEB">
        <w:trPr>
          <w:jc w:val="center"/>
        </w:trPr>
        <w:tc>
          <w:tcPr>
            <w:tcW w:w="5208" w:type="dxa"/>
          </w:tcPr>
          <w:p w14:paraId="7B49181E" w14:textId="01EF8F94"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sidRPr="00A01494">
              <w:rPr>
                <w:rFonts w:cstheme="minorHAnsi"/>
                <w:bCs/>
              </w:rPr>
              <w:t>abstracted from paper record</w:t>
            </w:r>
          </w:p>
        </w:tc>
        <w:tc>
          <w:tcPr>
            <w:tcW w:w="4847" w:type="dxa"/>
          </w:tcPr>
          <w:p w14:paraId="3E2F245E" w14:textId="72DA8A1E"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sidRPr="00A01494">
              <w:rPr>
                <w:rFonts w:cstheme="minorHAnsi"/>
                <w:bCs/>
              </w:rPr>
              <w:t>abstracted from paper record</w:t>
            </w:r>
          </w:p>
        </w:tc>
      </w:tr>
      <w:tr w:rsidR="00086FAC" w:rsidRPr="00A01494" w14:paraId="4E85BEF4" w14:textId="77777777" w:rsidTr="00806CEB">
        <w:trPr>
          <w:jc w:val="center"/>
        </w:trPr>
        <w:tc>
          <w:tcPr>
            <w:tcW w:w="5208" w:type="dxa"/>
          </w:tcPr>
          <w:p w14:paraId="723A797D" w14:textId="7F43D381"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sidRPr="000F1B7A">
              <w:rPr>
                <w:rFonts w:cstheme="minorHAnsi"/>
                <w:bCs/>
              </w:rPr>
              <w:t xml:space="preserve"> claims</w:t>
            </w:r>
          </w:p>
        </w:tc>
        <w:tc>
          <w:tcPr>
            <w:tcW w:w="4847" w:type="dxa"/>
          </w:tcPr>
          <w:p w14:paraId="4853B64F" w14:textId="7F49C624"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sidRPr="000F1B7A">
              <w:rPr>
                <w:rFonts w:cstheme="minorHAnsi"/>
                <w:bCs/>
              </w:rPr>
              <w:t xml:space="preserve"> claims</w:t>
            </w:r>
          </w:p>
        </w:tc>
      </w:tr>
      <w:tr w:rsidR="00086FAC" w:rsidRPr="00A01494" w14:paraId="6DE2EA31" w14:textId="77777777" w:rsidTr="00806CEB">
        <w:trPr>
          <w:jc w:val="center"/>
        </w:trPr>
        <w:tc>
          <w:tcPr>
            <w:tcW w:w="5208" w:type="dxa"/>
          </w:tcPr>
          <w:p w14:paraId="7BFB70B3" w14:textId="10AFD522"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w:t>
            </w:r>
            <w:r w:rsidR="00086FAC" w:rsidRPr="000F1B7A">
              <w:rPr>
                <w:rFonts w:eastAsia="MS Gothic" w:cstheme="minorHAnsi"/>
                <w:bCs/>
              </w:rPr>
              <w:t>registry</w:t>
            </w:r>
          </w:p>
        </w:tc>
        <w:tc>
          <w:tcPr>
            <w:tcW w:w="4847" w:type="dxa"/>
          </w:tcPr>
          <w:p w14:paraId="781F8FF7" w14:textId="5F1EEBF8"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color w:val="0000FF"/>
              </w:rPr>
              <w:t xml:space="preserve"> </w:t>
            </w:r>
            <w:r w:rsidR="00086FAC" w:rsidRPr="000F1B7A">
              <w:rPr>
                <w:rFonts w:eastAsia="MS Gothic" w:cstheme="minorHAnsi"/>
                <w:bCs/>
              </w:rPr>
              <w:t>registry</w:t>
            </w:r>
          </w:p>
        </w:tc>
      </w:tr>
      <w:tr w:rsidR="00086FAC" w:rsidRPr="00A01494" w14:paraId="451FCD8F" w14:textId="77777777" w:rsidTr="00806CEB">
        <w:trPr>
          <w:jc w:val="center"/>
        </w:trPr>
        <w:tc>
          <w:tcPr>
            <w:tcW w:w="5208" w:type="dxa"/>
          </w:tcPr>
          <w:p w14:paraId="353F568F" w14:textId="3DA3E6BE"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abstracted from electronic health record</w:t>
            </w:r>
          </w:p>
        </w:tc>
        <w:tc>
          <w:tcPr>
            <w:tcW w:w="4847" w:type="dxa"/>
          </w:tcPr>
          <w:p w14:paraId="59E8700F" w14:textId="43916B62"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abstracted from electronic health record</w:t>
            </w:r>
          </w:p>
        </w:tc>
      </w:tr>
      <w:tr w:rsidR="00086FAC" w:rsidRPr="00A01494" w14:paraId="2109D5C1" w14:textId="77777777" w:rsidTr="00806CEB">
        <w:trPr>
          <w:jc w:val="center"/>
        </w:trPr>
        <w:tc>
          <w:tcPr>
            <w:tcW w:w="5208" w:type="dxa"/>
          </w:tcPr>
          <w:p w14:paraId="701DC62E" w14:textId="35D6C27C"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w:t>
            </w:r>
            <w:proofErr w:type="spellStart"/>
            <w:r w:rsidR="00086FAC" w:rsidRPr="000F1B7A">
              <w:rPr>
                <w:rFonts w:cstheme="minorHAnsi"/>
                <w:bCs/>
              </w:rPr>
              <w:t>eMeasure</w:t>
            </w:r>
            <w:proofErr w:type="spellEnd"/>
            <w:r w:rsidR="00086FAC" w:rsidRPr="000F1B7A">
              <w:rPr>
                <w:rFonts w:cstheme="minorHAnsi"/>
                <w:bCs/>
              </w:rPr>
              <w:t xml:space="preserve"> (HQMF) implemented in EHRs</w:t>
            </w:r>
          </w:p>
        </w:tc>
        <w:tc>
          <w:tcPr>
            <w:tcW w:w="4847" w:type="dxa"/>
          </w:tcPr>
          <w:p w14:paraId="4148CDBE" w14:textId="0D4BE179"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w:t>
            </w:r>
            <w:proofErr w:type="spellStart"/>
            <w:r w:rsidR="00086FAC" w:rsidRPr="000F1B7A">
              <w:rPr>
                <w:rFonts w:cstheme="minorHAnsi"/>
                <w:bCs/>
              </w:rPr>
              <w:t>eMeasure</w:t>
            </w:r>
            <w:proofErr w:type="spellEnd"/>
            <w:r w:rsidR="00086FAC" w:rsidRPr="000F1B7A">
              <w:rPr>
                <w:rFonts w:cstheme="minorHAnsi"/>
                <w:bCs/>
              </w:rPr>
              <w:t xml:space="preserve"> (HQMF) implemented in EHRs</w:t>
            </w:r>
          </w:p>
        </w:tc>
      </w:tr>
      <w:tr w:rsidR="00086FAC" w:rsidRPr="00A01494" w14:paraId="392339AF" w14:textId="77777777" w:rsidTr="00806CEB">
        <w:trPr>
          <w:jc w:val="center"/>
        </w:trPr>
        <w:tc>
          <w:tcPr>
            <w:tcW w:w="5208" w:type="dxa"/>
          </w:tcPr>
          <w:p w14:paraId="115A1DE4" w14:textId="04B6A468"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other:  </w:t>
            </w:r>
            <w:sdt>
              <w:sdtPr>
                <w:rPr>
                  <w:rStyle w:val="Style1"/>
                </w:rPr>
                <w:id w:val="1834251992"/>
                <w:showingPlcHdr/>
                <w:text/>
              </w:sdtPr>
              <w:sdtEndPr>
                <w:rPr>
                  <w:rStyle w:val="DefaultParagraphFont"/>
                  <w:rFonts w:cstheme="minorHAnsi"/>
                  <w:bCs/>
                  <w:color w:val="auto"/>
                </w:rPr>
              </w:sdtEndPr>
              <w:sdtContent>
                <w:r w:rsidR="00086FAC" w:rsidRPr="000F1B7A">
                  <w:rPr>
                    <w:rStyle w:val="PlaceholderText"/>
                  </w:rPr>
                  <w:t>Click here to describe</w:t>
                </w:r>
              </w:sdtContent>
            </w:sdt>
          </w:p>
        </w:tc>
        <w:tc>
          <w:tcPr>
            <w:tcW w:w="4847" w:type="dxa"/>
          </w:tcPr>
          <w:p w14:paraId="49395FF6" w14:textId="4E7D7F11" w:rsidR="00086FAC" w:rsidRPr="000F1B7A" w:rsidRDefault="00A92E82" w:rsidP="005D1B7C">
            <w:pPr>
              <w:autoSpaceDE w:val="0"/>
              <w:autoSpaceDN w:val="0"/>
              <w:adjustRightInd w:val="0"/>
              <w:spacing w:after="40" w:line="240" w:lineRule="auto"/>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086FAC" w:rsidRPr="000F1B7A">
                  <w:rPr>
                    <w:rFonts w:ascii="MS Gothic" w:eastAsia="MS Gothic" w:cstheme="minorHAnsi" w:hint="eastAsia"/>
                    <w:bCs/>
                    <w:color w:val="0000FF"/>
                  </w:rPr>
                  <w:t>☐</w:t>
                </w:r>
              </w:sdtContent>
            </w:sdt>
            <w:r w:rsidR="00086FAC" w:rsidRPr="000F1B7A">
              <w:rPr>
                <w:rFonts w:cstheme="minorHAnsi"/>
                <w:bCs/>
              </w:rPr>
              <w:t xml:space="preserve"> other:  </w:t>
            </w:r>
            <w:sdt>
              <w:sdtPr>
                <w:rPr>
                  <w:rStyle w:val="Style1"/>
                </w:rPr>
                <w:id w:val="1976178076"/>
                <w:showingPlcHdr/>
                <w:text/>
              </w:sdtPr>
              <w:sdtEndPr>
                <w:rPr>
                  <w:rStyle w:val="DefaultParagraphFont"/>
                  <w:rFonts w:cstheme="minorHAnsi"/>
                  <w:bCs/>
                  <w:color w:val="auto"/>
                </w:rPr>
              </w:sdtEndPr>
              <w:sdtContent>
                <w:r w:rsidR="00086FAC" w:rsidRPr="000F1B7A">
                  <w:rPr>
                    <w:rStyle w:val="PlaceholderText"/>
                  </w:rPr>
                  <w:t>Click here to describe</w:t>
                </w:r>
              </w:sdtContent>
            </w:sdt>
          </w:p>
        </w:tc>
      </w:tr>
    </w:tbl>
    <w:p w14:paraId="1768B5D5" w14:textId="77777777" w:rsidR="00086FAC" w:rsidRDefault="00086FAC" w:rsidP="00086FAC">
      <w:pPr>
        <w:autoSpaceDE w:val="0"/>
        <w:autoSpaceDN w:val="0"/>
        <w:adjustRightInd w:val="0"/>
        <w:spacing w:after="0" w:line="240" w:lineRule="auto"/>
        <w:rPr>
          <w:rFonts w:cstheme="minorHAnsi"/>
          <w:b/>
          <w:bCs/>
        </w:rPr>
      </w:pPr>
      <w:r w:rsidRPr="00A25024">
        <w:rPr>
          <w:rFonts w:cstheme="minorHAnsi"/>
          <w:b/>
          <w:bCs/>
        </w:rPr>
        <w:t xml:space="preserve">     </w:t>
      </w:r>
    </w:p>
    <w:p w14:paraId="27147C41" w14:textId="77777777" w:rsidR="00086FAC" w:rsidRDefault="00086FAC" w:rsidP="00086FAC">
      <w:pPr>
        <w:autoSpaceDE w:val="0"/>
        <w:autoSpaceDN w:val="0"/>
        <w:adjustRightInd w:val="0"/>
        <w:spacing w:after="0" w:line="240" w:lineRule="auto"/>
        <w:rPr>
          <w:rFonts w:cstheme="minorHAnsi"/>
          <w:bCs/>
        </w:rPr>
      </w:pPr>
      <w:r>
        <w:rPr>
          <w:rFonts w:cstheme="minorHAnsi"/>
          <w:b/>
          <w:bCs/>
        </w:rPr>
        <w:t>1.</w:t>
      </w:r>
      <w:r w:rsidRPr="00A25024">
        <w:rPr>
          <w:rFonts w:cstheme="minorHAnsi"/>
          <w:b/>
          <w:bCs/>
        </w:rPr>
        <w:t>2. If an existing dataset</w:t>
      </w:r>
      <w:r>
        <w:rPr>
          <w:rFonts w:cstheme="minorHAnsi"/>
          <w:b/>
          <w:bCs/>
        </w:rPr>
        <w:t xml:space="preserve"> was used</w:t>
      </w:r>
      <w:r w:rsidRPr="00A25024">
        <w:rPr>
          <w:rFonts w:cstheme="minorHAnsi"/>
          <w:b/>
          <w:bCs/>
        </w:rPr>
        <w:t xml:space="preserve">, identify the </w:t>
      </w:r>
      <w:r>
        <w:rPr>
          <w:rFonts w:cstheme="minorHAnsi"/>
          <w:b/>
          <w:bCs/>
        </w:rPr>
        <w:t xml:space="preserve">specific </w:t>
      </w:r>
      <w:r w:rsidRPr="00A25024">
        <w:rPr>
          <w:rFonts w:cstheme="minorHAnsi"/>
          <w:b/>
          <w:bCs/>
        </w:rPr>
        <w:t>dataset</w:t>
      </w:r>
      <w:r w:rsidRPr="00A25024">
        <w:rPr>
          <w:rFonts w:cstheme="minorHAnsi"/>
          <w:bCs/>
        </w:rPr>
        <w:t xml:space="preserve"> (</w:t>
      </w:r>
      <w:r>
        <w:rPr>
          <w:rFonts w:cstheme="minorHAnsi"/>
          <w:bCs/>
          <w:i/>
        </w:rPr>
        <w:t xml:space="preserve">the dataset used for testing must be consistent with the measure specifications for target population and healthcare entities being measured; </w:t>
      </w:r>
      <w:r w:rsidRPr="00241591">
        <w:rPr>
          <w:rFonts w:cstheme="minorHAnsi"/>
          <w:bCs/>
          <w:i/>
        </w:rPr>
        <w:t>e.g., Medicare Part A claims, Medicaid claims, other commercial insurance, nursing home MDS, home health OASIS, clinical registry</w:t>
      </w:r>
      <w:r w:rsidRPr="00A25024">
        <w:rPr>
          <w:rFonts w:cstheme="minorHAnsi"/>
          <w:bCs/>
        </w:rPr>
        <w:t>)</w:t>
      </w:r>
      <w:r>
        <w:rPr>
          <w:rFonts w:cstheme="minorHAnsi"/>
          <w:bCs/>
        </w:rPr>
        <w:t>.</w:t>
      </w:r>
    </w:p>
    <w:p w14:paraId="57EF9537" w14:textId="4123D890" w:rsidR="00086FAC" w:rsidRPr="00EA3665" w:rsidRDefault="00CF6B0D" w:rsidP="00086FAC">
      <w:pPr>
        <w:spacing w:after="0" w:line="240" w:lineRule="auto"/>
        <w:rPr>
          <w:color w:val="0070C0"/>
        </w:rPr>
      </w:pPr>
      <w:r w:rsidRPr="00EA3665">
        <w:rPr>
          <w:color w:val="0070C0"/>
        </w:rPr>
        <w:t xml:space="preserve">The following Medicare files are required </w:t>
      </w:r>
      <w:r w:rsidR="000D5647" w:rsidRPr="00EA3665">
        <w:rPr>
          <w:color w:val="0070C0"/>
        </w:rPr>
        <w:t>to</w:t>
      </w:r>
      <w:r w:rsidR="00086FAC" w:rsidRPr="00EA3665">
        <w:rPr>
          <w:color w:val="0070C0"/>
        </w:rPr>
        <w:t xml:space="preserve"> calculat</w:t>
      </w:r>
      <w:r w:rsidR="000D5647" w:rsidRPr="00EA3665">
        <w:rPr>
          <w:color w:val="0070C0"/>
        </w:rPr>
        <w:t>e</w:t>
      </w:r>
      <w:r w:rsidR="00086FAC" w:rsidRPr="00EA3665">
        <w:rPr>
          <w:color w:val="0070C0"/>
        </w:rPr>
        <w:t xml:space="preserve"> the Thirty-day all-cause unplanned readmission following psychiatric hospitalization in an inpatient psychiatric facility (IPF)</w:t>
      </w:r>
      <w:r w:rsidR="008B3CFF" w:rsidRPr="00EA3665">
        <w:rPr>
          <w:color w:val="0070C0"/>
        </w:rPr>
        <w:t xml:space="preserve"> measure</w:t>
      </w:r>
      <w:r w:rsidR="00086FAC" w:rsidRPr="00EA3665">
        <w:rPr>
          <w:color w:val="0070C0"/>
        </w:rPr>
        <w:t xml:space="preserve">, or IPF Readmission measure: </w:t>
      </w:r>
    </w:p>
    <w:p w14:paraId="1D3C4363" w14:textId="77777777" w:rsidR="00086FAC" w:rsidRPr="00EA3665" w:rsidRDefault="00086FAC" w:rsidP="00086FAC">
      <w:pPr>
        <w:pStyle w:val="ListParagraph"/>
        <w:numPr>
          <w:ilvl w:val="0"/>
          <w:numId w:val="3"/>
        </w:numPr>
        <w:spacing w:after="0" w:line="240" w:lineRule="auto"/>
        <w:contextualSpacing w:val="0"/>
        <w:rPr>
          <w:color w:val="0070C0"/>
        </w:rPr>
      </w:pPr>
      <w:r w:rsidRPr="00EA3665">
        <w:rPr>
          <w:color w:val="0070C0"/>
        </w:rPr>
        <w:t xml:space="preserve">Medicare Denominator tables </w:t>
      </w:r>
    </w:p>
    <w:p w14:paraId="2BF1EFBA" w14:textId="77777777" w:rsidR="00086FAC" w:rsidRPr="00EA3665" w:rsidRDefault="00086FAC" w:rsidP="00086FAC">
      <w:pPr>
        <w:pStyle w:val="ListParagraph"/>
        <w:numPr>
          <w:ilvl w:val="0"/>
          <w:numId w:val="3"/>
        </w:numPr>
        <w:spacing w:after="0" w:line="240" w:lineRule="auto"/>
        <w:contextualSpacing w:val="0"/>
        <w:rPr>
          <w:color w:val="0070C0"/>
        </w:rPr>
      </w:pPr>
      <w:r w:rsidRPr="00EA3665">
        <w:rPr>
          <w:color w:val="0070C0"/>
        </w:rPr>
        <w:lastRenderedPageBreak/>
        <w:t xml:space="preserve">Beneficiary cross-reference file </w:t>
      </w:r>
    </w:p>
    <w:p w14:paraId="7B868656" w14:textId="77777777" w:rsidR="00086FAC" w:rsidRPr="00EA3665" w:rsidRDefault="00086FAC" w:rsidP="00086FAC">
      <w:pPr>
        <w:pStyle w:val="ListParagraph"/>
        <w:numPr>
          <w:ilvl w:val="0"/>
          <w:numId w:val="3"/>
        </w:numPr>
        <w:spacing w:after="0" w:line="240" w:lineRule="auto"/>
        <w:contextualSpacing w:val="0"/>
        <w:rPr>
          <w:color w:val="0070C0"/>
        </w:rPr>
      </w:pPr>
      <w:r w:rsidRPr="00EA3665">
        <w:rPr>
          <w:color w:val="0070C0"/>
        </w:rPr>
        <w:t xml:space="preserve">Institutional claims (Part A) </w:t>
      </w:r>
    </w:p>
    <w:p w14:paraId="72DC944A" w14:textId="1737F67D" w:rsidR="00086FAC" w:rsidRPr="00EA3665" w:rsidRDefault="00086FAC" w:rsidP="00086FAC">
      <w:pPr>
        <w:pStyle w:val="ListParagraph"/>
        <w:numPr>
          <w:ilvl w:val="0"/>
          <w:numId w:val="3"/>
        </w:numPr>
        <w:spacing w:after="0" w:line="240" w:lineRule="auto"/>
        <w:contextualSpacing w:val="0"/>
        <w:rPr>
          <w:color w:val="0070C0"/>
        </w:rPr>
      </w:pPr>
      <w:r w:rsidRPr="00EA3665">
        <w:rPr>
          <w:color w:val="0070C0"/>
        </w:rPr>
        <w:t>Non-institutional claims (Part B)—physician carrier/non-</w:t>
      </w:r>
      <w:r w:rsidR="008B3CFF" w:rsidRPr="00EA3665">
        <w:rPr>
          <w:color w:val="0070C0"/>
        </w:rPr>
        <w:t>durable medical equipment</w:t>
      </w:r>
      <w:r w:rsidRPr="00EA3665">
        <w:rPr>
          <w:color w:val="0070C0"/>
        </w:rPr>
        <w:t xml:space="preserve"> </w:t>
      </w:r>
    </w:p>
    <w:p w14:paraId="1331CF40" w14:textId="77777777" w:rsidR="00086FAC" w:rsidRPr="00EA3665" w:rsidRDefault="00086FAC" w:rsidP="00086FAC">
      <w:pPr>
        <w:spacing w:after="0" w:line="240" w:lineRule="auto"/>
        <w:rPr>
          <w:color w:val="0070C0"/>
        </w:rPr>
      </w:pPr>
    </w:p>
    <w:p w14:paraId="78E8812B" w14:textId="3B0D6886" w:rsidR="00086FAC" w:rsidRPr="00EA3665" w:rsidRDefault="00086FAC" w:rsidP="00086FAC">
      <w:pPr>
        <w:autoSpaceDE w:val="0"/>
        <w:autoSpaceDN w:val="0"/>
        <w:adjustRightInd w:val="0"/>
        <w:spacing w:after="0" w:line="240" w:lineRule="auto"/>
        <w:rPr>
          <w:rFonts w:cstheme="minorHAnsi"/>
          <w:bCs/>
          <w:color w:val="0070C0"/>
        </w:rPr>
      </w:pPr>
      <w:r w:rsidRPr="00EA3665">
        <w:rPr>
          <w:color w:val="0070C0"/>
        </w:rPr>
        <w:t xml:space="preserve">Index admissions and readmissions </w:t>
      </w:r>
      <w:r w:rsidR="007141D6" w:rsidRPr="00EA3665">
        <w:rPr>
          <w:color w:val="0070C0"/>
        </w:rPr>
        <w:t xml:space="preserve">are </w:t>
      </w:r>
      <w:r w:rsidRPr="00EA3665">
        <w:rPr>
          <w:color w:val="0070C0"/>
        </w:rPr>
        <w:t xml:space="preserve">identified in the Medicare Part A data. Comorbid conditions for risk adjustment </w:t>
      </w:r>
      <w:r w:rsidR="007141D6" w:rsidRPr="00EA3665">
        <w:rPr>
          <w:color w:val="0070C0"/>
        </w:rPr>
        <w:t>are</w:t>
      </w:r>
      <w:r w:rsidRPr="00EA3665">
        <w:rPr>
          <w:color w:val="0070C0"/>
        </w:rPr>
        <w:t xml:space="preserve"> identified in the Medicare Part A and Part B data. Demographic and fee-for-service (FFS) enrollment information </w:t>
      </w:r>
      <w:r w:rsidR="007141D6" w:rsidRPr="00EA3665">
        <w:rPr>
          <w:color w:val="0070C0"/>
        </w:rPr>
        <w:t>are</w:t>
      </w:r>
      <w:r w:rsidRPr="00EA3665">
        <w:rPr>
          <w:color w:val="0070C0"/>
        </w:rPr>
        <w:t xml:space="preserve"> identified in the Medicare Denominator tables.</w:t>
      </w:r>
    </w:p>
    <w:p w14:paraId="0AB0544C" w14:textId="77777777" w:rsidR="00086FAC" w:rsidRDefault="00086FAC" w:rsidP="00086FAC">
      <w:pPr>
        <w:autoSpaceDE w:val="0"/>
        <w:autoSpaceDN w:val="0"/>
        <w:adjustRightInd w:val="0"/>
        <w:spacing w:after="0" w:line="240" w:lineRule="auto"/>
        <w:rPr>
          <w:rFonts w:cstheme="minorHAnsi"/>
          <w:b/>
        </w:rPr>
      </w:pPr>
    </w:p>
    <w:p w14:paraId="299E9CE3" w14:textId="28BE09D3" w:rsidR="00086FAC" w:rsidRDefault="00086FAC" w:rsidP="00086FAC">
      <w:pPr>
        <w:autoSpaceDE w:val="0"/>
        <w:autoSpaceDN w:val="0"/>
        <w:adjustRightInd w:val="0"/>
        <w:spacing w:after="0" w:line="240" w:lineRule="auto"/>
        <w:rPr>
          <w:rFonts w:cs="Calibri"/>
          <w:color w:val="00B050"/>
        </w:rPr>
      </w:pPr>
      <w:r>
        <w:rPr>
          <w:rFonts w:cstheme="minorHAnsi"/>
          <w:b/>
        </w:rPr>
        <w:t>1.</w:t>
      </w:r>
      <w:r w:rsidRPr="00A25024">
        <w:rPr>
          <w:rFonts w:cstheme="minorHAnsi"/>
          <w:b/>
        </w:rPr>
        <w:t>3. What are the dates of the data used in testing</w:t>
      </w:r>
      <w:r w:rsidRPr="00A25024">
        <w:rPr>
          <w:rFonts w:cstheme="minorHAnsi"/>
        </w:rPr>
        <w:t xml:space="preserve">?  </w:t>
      </w:r>
      <w:r w:rsidRPr="00EA3665">
        <w:rPr>
          <w:rFonts w:cs="Calibri"/>
          <w:color w:val="0070C0"/>
        </w:rPr>
        <w:t xml:space="preserve">The performance period for the IPF Readmission measure was July 1, 2017, through June 30, 2019. The measure population consists of beneficiaries discharged alive with a psychiatric principal discharge diagnosis who were enrolled in Medicare FFS Parts A and B </w:t>
      </w:r>
      <w:r w:rsidRPr="00EA3665">
        <w:rPr>
          <w:color w:val="0070C0"/>
        </w:rPr>
        <w:t xml:space="preserve">during the 12 months prior to admission through at least </w:t>
      </w:r>
      <w:r w:rsidR="00610355" w:rsidRPr="00EA3665">
        <w:rPr>
          <w:color w:val="0070C0"/>
        </w:rPr>
        <w:t>1-month</w:t>
      </w:r>
      <w:r w:rsidRPr="00EA3665">
        <w:rPr>
          <w:color w:val="0070C0"/>
        </w:rPr>
        <w:t xml:space="preserve"> </w:t>
      </w:r>
      <w:r w:rsidR="00C14527" w:rsidRPr="00EA3665">
        <w:rPr>
          <w:color w:val="0070C0"/>
        </w:rPr>
        <w:t>post discharge</w:t>
      </w:r>
      <w:r w:rsidRPr="00EA3665">
        <w:rPr>
          <w:rFonts w:cs="Calibri"/>
          <w:color w:val="0070C0"/>
        </w:rPr>
        <w:t xml:space="preserve">. </w:t>
      </w:r>
    </w:p>
    <w:p w14:paraId="44F5698F" w14:textId="77777777" w:rsidR="00086FAC" w:rsidRDefault="00086FAC" w:rsidP="00086FAC">
      <w:pPr>
        <w:autoSpaceDE w:val="0"/>
        <w:autoSpaceDN w:val="0"/>
        <w:adjustRightInd w:val="0"/>
        <w:spacing w:after="0" w:line="240" w:lineRule="auto"/>
        <w:rPr>
          <w:rFonts w:cs="Calibri"/>
          <w:b/>
          <w:bCs/>
          <w:color w:val="00B050"/>
        </w:rPr>
      </w:pPr>
    </w:p>
    <w:p w14:paraId="15DF7C87" w14:textId="77777777" w:rsidR="00086FAC" w:rsidRDefault="00086FAC" w:rsidP="00086FAC">
      <w:pPr>
        <w:autoSpaceDE w:val="0"/>
        <w:autoSpaceDN w:val="0"/>
        <w:adjustRightInd w:val="0"/>
        <w:spacing w:after="0" w:line="240" w:lineRule="auto"/>
        <w:rPr>
          <w:rFonts w:cstheme="minorHAnsi"/>
          <w:bCs/>
        </w:rPr>
      </w:pPr>
      <w:r>
        <w:rPr>
          <w:rFonts w:cstheme="minorHAnsi"/>
          <w:b/>
          <w:bCs/>
        </w:rPr>
        <w:t>1.</w:t>
      </w:r>
      <w:r w:rsidRPr="00A25024">
        <w:rPr>
          <w:rFonts w:cstheme="minorHAnsi"/>
          <w:b/>
          <w:bCs/>
        </w:rPr>
        <w:t>4. What levels of analysis</w:t>
      </w:r>
      <w:r w:rsidRPr="00A25024">
        <w:rPr>
          <w:rFonts w:cstheme="minorHAnsi"/>
          <w:bCs/>
        </w:rPr>
        <w:t xml:space="preserve"> </w:t>
      </w:r>
      <w:r w:rsidRPr="00A25024">
        <w:rPr>
          <w:rFonts w:cstheme="minorHAnsi"/>
          <w:b/>
          <w:bCs/>
        </w:rPr>
        <w:t>were tested</w:t>
      </w:r>
      <w:r w:rsidRPr="00A25024">
        <w:rPr>
          <w:rFonts w:cstheme="minorHAnsi"/>
          <w:bCs/>
        </w:rPr>
        <w:t>? (</w:t>
      </w:r>
      <w:r w:rsidRPr="00A25024">
        <w:rPr>
          <w:rFonts w:cstheme="minorHAnsi"/>
          <w:bCs/>
          <w:i/>
        </w:rPr>
        <w:t xml:space="preserve">testing </w:t>
      </w:r>
      <w:r>
        <w:rPr>
          <w:rFonts w:cstheme="minorHAnsi"/>
          <w:bCs/>
          <w:i/>
        </w:rPr>
        <w:t>must be provided for</w:t>
      </w:r>
      <w:r w:rsidRPr="00A25024">
        <w:rPr>
          <w:rFonts w:cstheme="minorHAnsi"/>
          <w:bCs/>
          <w:i/>
        </w:rPr>
        <w:t xml:space="preserve"> </w:t>
      </w:r>
      <w:r w:rsidRPr="00A25024">
        <w:rPr>
          <w:rFonts w:cstheme="minorHAnsi"/>
          <w:bCs/>
          <w:i/>
          <w:u w:val="single"/>
        </w:rPr>
        <w:t>all</w:t>
      </w:r>
      <w:r w:rsidRPr="00A25024">
        <w:rPr>
          <w:rFonts w:cstheme="minorHAnsi"/>
          <w:bCs/>
          <w:i/>
        </w:rPr>
        <w:t xml:space="preserve"> the levels specified and intended for measure implementation, e.g., individual clinician, hospital, health plan</w:t>
      </w:r>
      <w:r>
        <w:rPr>
          <w:rFonts w:cstheme="minorHAnsi"/>
          <w:bCs/>
        </w:rPr>
        <w:t>)</w:t>
      </w:r>
    </w:p>
    <w:tbl>
      <w:tblPr>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86FAC" w:rsidRPr="00A01494" w14:paraId="3EB2111A" w14:textId="77777777" w:rsidTr="00806CEB">
        <w:trPr>
          <w:jc w:val="center"/>
        </w:trPr>
        <w:tc>
          <w:tcPr>
            <w:tcW w:w="5027" w:type="dxa"/>
            <w:shd w:val="clear" w:color="auto" w:fill="D9D9D9" w:themeFill="background1" w:themeFillShade="D9"/>
          </w:tcPr>
          <w:p w14:paraId="080AF685" w14:textId="215232A3" w:rsidR="00086FAC" w:rsidRPr="00A01494" w:rsidRDefault="00086FAC" w:rsidP="005D1B7C">
            <w:pPr>
              <w:autoSpaceDE w:val="0"/>
              <w:autoSpaceDN w:val="0"/>
              <w:adjustRightInd w:val="0"/>
              <w:spacing w:after="40" w:line="240" w:lineRule="auto"/>
              <w:rPr>
                <w:rFonts w:cstheme="minorHAnsi"/>
                <w:b/>
                <w:bCs/>
              </w:rPr>
            </w:pPr>
            <w:r w:rsidRPr="00A01494">
              <w:rPr>
                <w:rFonts w:cstheme="minorHAnsi"/>
                <w:b/>
                <w:bCs/>
              </w:rPr>
              <w:t>Measure Specified</w:t>
            </w:r>
            <w:r>
              <w:rPr>
                <w:rFonts w:cstheme="minorHAnsi"/>
                <w:b/>
                <w:bCs/>
              </w:rPr>
              <w:t xml:space="preserve"> to Measure Performance of:</w:t>
            </w:r>
            <w:r w:rsidR="00F35673">
              <w:rPr>
                <w:rFonts w:cstheme="minorHAnsi"/>
                <w:b/>
                <w:bCs/>
              </w:rPr>
              <w:t xml:space="preserve"> </w:t>
            </w:r>
            <w:r>
              <w:rPr>
                <w:rFonts w:cstheme="minorHAnsi"/>
                <w:b/>
                <w:bCs/>
              </w:rPr>
              <w:t>(</w:t>
            </w:r>
            <w:r>
              <w:rPr>
                <w:rFonts w:cstheme="minorHAnsi"/>
                <w:b/>
                <w:bCs/>
                <w:i/>
              </w:rPr>
              <w:t>must be consistent with levels entered in item S.20</w:t>
            </w:r>
            <w:r>
              <w:rPr>
                <w:rFonts w:cstheme="minorHAnsi"/>
                <w:b/>
                <w:bCs/>
              </w:rPr>
              <w:t>)</w:t>
            </w:r>
          </w:p>
        </w:tc>
        <w:tc>
          <w:tcPr>
            <w:tcW w:w="5028" w:type="dxa"/>
            <w:shd w:val="clear" w:color="auto" w:fill="D9D9D9" w:themeFill="background1" w:themeFillShade="D9"/>
          </w:tcPr>
          <w:p w14:paraId="279FF621" w14:textId="77777777" w:rsidR="00086FAC" w:rsidRPr="00A01494" w:rsidRDefault="00086FAC" w:rsidP="005D1B7C">
            <w:pPr>
              <w:autoSpaceDE w:val="0"/>
              <w:autoSpaceDN w:val="0"/>
              <w:adjustRightInd w:val="0"/>
              <w:spacing w:after="40" w:line="240" w:lineRule="auto"/>
              <w:rPr>
                <w:rFonts w:cstheme="minorHAnsi"/>
                <w:b/>
                <w:bCs/>
              </w:rPr>
            </w:pPr>
            <w:r w:rsidRPr="00A01494">
              <w:rPr>
                <w:rFonts w:cstheme="minorHAnsi"/>
                <w:b/>
                <w:bCs/>
              </w:rPr>
              <w:t>Measure Tested</w:t>
            </w:r>
            <w:r>
              <w:rPr>
                <w:rFonts w:cstheme="minorHAnsi"/>
                <w:b/>
                <w:bCs/>
              </w:rPr>
              <w:t xml:space="preserve"> at Level of:</w:t>
            </w:r>
          </w:p>
        </w:tc>
      </w:tr>
      <w:tr w:rsidR="00086FAC" w:rsidRPr="00A01494" w14:paraId="69B249D3" w14:textId="77777777" w:rsidTr="005729DB">
        <w:trPr>
          <w:trHeight w:val="278"/>
          <w:jc w:val="center"/>
        </w:trPr>
        <w:tc>
          <w:tcPr>
            <w:tcW w:w="5027" w:type="dxa"/>
          </w:tcPr>
          <w:p w14:paraId="5046E65D" w14:textId="306831C4"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individual clinician</w:t>
            </w:r>
          </w:p>
        </w:tc>
        <w:tc>
          <w:tcPr>
            <w:tcW w:w="5028" w:type="dxa"/>
          </w:tcPr>
          <w:p w14:paraId="4B006868" w14:textId="2218BA81"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individual clinician</w:t>
            </w:r>
          </w:p>
        </w:tc>
      </w:tr>
      <w:tr w:rsidR="00086FAC" w:rsidRPr="00A01494" w14:paraId="0F99AAFB" w14:textId="77777777" w:rsidTr="005729DB">
        <w:trPr>
          <w:trHeight w:val="278"/>
          <w:jc w:val="center"/>
        </w:trPr>
        <w:tc>
          <w:tcPr>
            <w:tcW w:w="5027" w:type="dxa"/>
          </w:tcPr>
          <w:p w14:paraId="77C72101" w14:textId="2A597CF8"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Pr>
                <w:rFonts w:eastAsia="MS Gothic" w:cstheme="minorHAnsi"/>
                <w:bCs/>
              </w:rPr>
              <w:t>group/practice</w:t>
            </w:r>
          </w:p>
        </w:tc>
        <w:tc>
          <w:tcPr>
            <w:tcW w:w="5028" w:type="dxa"/>
          </w:tcPr>
          <w:p w14:paraId="2D4A1F25" w14:textId="2259E0A7"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Pr>
                <w:rFonts w:eastAsia="MS Gothic" w:cstheme="minorHAnsi"/>
                <w:bCs/>
              </w:rPr>
              <w:t>group/practice</w:t>
            </w:r>
          </w:p>
        </w:tc>
      </w:tr>
      <w:tr w:rsidR="00086FAC" w:rsidRPr="00A01494" w14:paraId="39B90C4F" w14:textId="77777777" w:rsidTr="005729DB">
        <w:trPr>
          <w:trHeight w:val="278"/>
          <w:jc w:val="center"/>
        </w:trPr>
        <w:tc>
          <w:tcPr>
            <w:tcW w:w="5027" w:type="dxa"/>
          </w:tcPr>
          <w:p w14:paraId="15411F2D" w14:textId="579037D1"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cstheme="minorHAnsi"/>
                <w:bCs/>
              </w:rPr>
              <w:t xml:space="preserve"> </w:t>
            </w:r>
            <w:r w:rsidR="00086FAC">
              <w:rPr>
                <w:rFonts w:eastAsia="MS Gothic" w:cstheme="minorHAnsi"/>
                <w:bCs/>
              </w:rPr>
              <w:t>hospital/facility/agency</w:t>
            </w:r>
          </w:p>
        </w:tc>
        <w:tc>
          <w:tcPr>
            <w:tcW w:w="5028" w:type="dxa"/>
          </w:tcPr>
          <w:p w14:paraId="7E55B977" w14:textId="0FECA72E"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cstheme="minorHAnsi"/>
                <w:bCs/>
              </w:rPr>
              <w:t xml:space="preserve"> </w:t>
            </w:r>
            <w:r w:rsidR="00086FAC">
              <w:rPr>
                <w:rFonts w:eastAsia="MS Gothic" w:cstheme="minorHAnsi"/>
                <w:bCs/>
              </w:rPr>
              <w:t>hospital/facility/agency</w:t>
            </w:r>
          </w:p>
        </w:tc>
      </w:tr>
      <w:tr w:rsidR="00086FAC" w:rsidRPr="00A01494" w14:paraId="26E1FCD7" w14:textId="77777777" w:rsidTr="005729DB">
        <w:trPr>
          <w:trHeight w:val="278"/>
          <w:jc w:val="center"/>
        </w:trPr>
        <w:tc>
          <w:tcPr>
            <w:tcW w:w="5027" w:type="dxa"/>
          </w:tcPr>
          <w:p w14:paraId="0B19F2C4" w14:textId="35647069"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color w:val="0000FF"/>
              </w:rPr>
              <w:t xml:space="preserve"> </w:t>
            </w:r>
            <w:r w:rsidR="00086FAC">
              <w:rPr>
                <w:rFonts w:cstheme="minorHAnsi"/>
                <w:bCs/>
              </w:rPr>
              <w:t>health plan</w:t>
            </w:r>
          </w:p>
        </w:tc>
        <w:tc>
          <w:tcPr>
            <w:tcW w:w="5028" w:type="dxa"/>
          </w:tcPr>
          <w:p w14:paraId="7D83084A" w14:textId="23F8FEDB"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health plan</w:t>
            </w:r>
          </w:p>
        </w:tc>
      </w:tr>
      <w:tr w:rsidR="00086FAC" w:rsidRPr="00A01494" w14:paraId="7A576AD6" w14:textId="77777777" w:rsidTr="00806CEB">
        <w:trPr>
          <w:jc w:val="center"/>
        </w:trPr>
        <w:tc>
          <w:tcPr>
            <w:tcW w:w="5027" w:type="dxa"/>
          </w:tcPr>
          <w:p w14:paraId="46AD849E" w14:textId="39A218A3"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86FAC" w:rsidRPr="00A01494">
                  <w:rPr>
                    <w:rStyle w:val="PlaceholderText"/>
                  </w:rPr>
                  <w:t>Click here to describe</w:t>
                </w:r>
              </w:sdtContent>
            </w:sdt>
          </w:p>
        </w:tc>
        <w:tc>
          <w:tcPr>
            <w:tcW w:w="5028" w:type="dxa"/>
          </w:tcPr>
          <w:p w14:paraId="09C58A4D" w14:textId="6B1D6327" w:rsidR="00086FAC" w:rsidRPr="00A01494" w:rsidRDefault="00A92E82" w:rsidP="005D1B7C">
            <w:pPr>
              <w:autoSpaceDE w:val="0"/>
              <w:autoSpaceDN w:val="0"/>
              <w:adjustRightInd w:val="0"/>
              <w:spacing w:after="40" w:line="240" w:lineRule="auto"/>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cstheme="minorHAnsi"/>
                <w:bCs/>
              </w:rPr>
              <w:t xml:space="preserve"> </w:t>
            </w:r>
            <w:r w:rsidR="00086FAC"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86FAC" w:rsidRPr="00A01494">
                  <w:rPr>
                    <w:rStyle w:val="PlaceholderText"/>
                  </w:rPr>
                  <w:t>Click here to describe</w:t>
                </w:r>
              </w:sdtContent>
            </w:sdt>
          </w:p>
        </w:tc>
      </w:tr>
    </w:tbl>
    <w:p w14:paraId="06AA7CCC" w14:textId="77777777" w:rsidR="00086FAC" w:rsidRPr="00A25024" w:rsidRDefault="00086FAC" w:rsidP="00086FAC">
      <w:pPr>
        <w:autoSpaceDE w:val="0"/>
        <w:autoSpaceDN w:val="0"/>
        <w:adjustRightInd w:val="0"/>
        <w:spacing w:after="0" w:line="240" w:lineRule="auto"/>
        <w:rPr>
          <w:rFonts w:cstheme="minorHAnsi"/>
          <w:bCs/>
        </w:rPr>
      </w:pPr>
    </w:p>
    <w:p w14:paraId="558244B2" w14:textId="77777777" w:rsidR="00086FAC" w:rsidRDefault="00086FAC" w:rsidP="00086FAC">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5. How many and which </w:t>
      </w:r>
      <w:r w:rsidRPr="00A25024">
        <w:rPr>
          <w:rFonts w:cstheme="minorHAnsi"/>
          <w:b/>
          <w:bCs/>
          <w:u w:val="single"/>
        </w:rPr>
        <w:t>measured entities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measured entities included in the analysis (e.g., size, location, type); if a sample was used, describe how entities were selected for inclusion in the sample</w:t>
      </w:r>
      <w:r w:rsidRPr="00A25024">
        <w:rPr>
          <w:rFonts w:cstheme="minorHAnsi"/>
          <w:bCs/>
        </w:rPr>
        <w:t>)</w:t>
      </w:r>
    </w:p>
    <w:p w14:paraId="01924F6A" w14:textId="1D8BA36B" w:rsidR="00086FAC" w:rsidRPr="00EA3665" w:rsidRDefault="00086FAC" w:rsidP="00086FAC">
      <w:pPr>
        <w:spacing w:after="120" w:line="240" w:lineRule="auto"/>
        <w:rPr>
          <w:rFonts w:cstheme="minorHAnsi"/>
          <w:bCs/>
          <w:color w:val="0070C0"/>
        </w:rPr>
      </w:pPr>
      <w:r w:rsidRPr="00EA3665">
        <w:rPr>
          <w:rFonts w:cs="Calibri"/>
          <w:color w:val="0070C0"/>
        </w:rPr>
        <w:t xml:space="preserve">The final measure cohort included 1,700 IPFs. Among </w:t>
      </w:r>
      <w:r w:rsidR="00B27E43" w:rsidRPr="00EA3665">
        <w:rPr>
          <w:rFonts w:cs="Calibri"/>
          <w:color w:val="0070C0"/>
        </w:rPr>
        <w:t>those</w:t>
      </w:r>
      <w:r w:rsidRPr="00EA3665">
        <w:rPr>
          <w:rFonts w:cs="Calibri"/>
          <w:color w:val="0070C0"/>
        </w:rPr>
        <w:t xml:space="preserve">, 575 were free-standing facilities and 1,125 were IPF units within a larger facility. During the two-year measurement period, 92 IPFs had fewer than 25 psychiatric admissions, 1,290 IPFs had 25 to 500 </w:t>
      </w:r>
      <w:r w:rsidR="00B27E43" w:rsidRPr="00EA3665">
        <w:rPr>
          <w:rFonts w:cs="Calibri"/>
          <w:color w:val="0070C0"/>
        </w:rPr>
        <w:t xml:space="preserve">psychiatric </w:t>
      </w:r>
      <w:r w:rsidRPr="00EA3665">
        <w:rPr>
          <w:rFonts w:cs="Calibri"/>
          <w:color w:val="0070C0"/>
        </w:rPr>
        <w:t xml:space="preserve">admissions, and 318 IPFs had more than 500 </w:t>
      </w:r>
      <w:r w:rsidR="00B27E43" w:rsidRPr="00EA3665">
        <w:rPr>
          <w:rFonts w:cs="Calibri"/>
          <w:color w:val="0070C0"/>
        </w:rPr>
        <w:t xml:space="preserve">psychiatric </w:t>
      </w:r>
      <w:r w:rsidRPr="00EA3665">
        <w:rPr>
          <w:rFonts w:cs="Calibri"/>
          <w:color w:val="0070C0"/>
        </w:rPr>
        <w:t>admissions.</w:t>
      </w:r>
    </w:p>
    <w:p w14:paraId="64FD3474" w14:textId="77777777" w:rsidR="00086FAC" w:rsidRDefault="00086FAC" w:rsidP="00086FAC">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6. How many and which </w:t>
      </w:r>
      <w:r w:rsidRPr="00A25024">
        <w:rPr>
          <w:rFonts w:cstheme="minorHAnsi"/>
          <w:b/>
          <w:bCs/>
          <w:u w:val="single"/>
        </w:rPr>
        <w:t>patients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patients included in the analysis (e.g., age, sex, race, diagnosis); if a sample was used, describe how patients were selected for inclusion in the sample</w:t>
      </w:r>
      <w:r w:rsidRPr="00A25024">
        <w:rPr>
          <w:rFonts w:cstheme="minorHAnsi"/>
          <w:bCs/>
        </w:rPr>
        <w:t>)</w:t>
      </w:r>
    </w:p>
    <w:p w14:paraId="60D220A7" w14:textId="1A2EFF96" w:rsidR="00086FAC" w:rsidRPr="00EA3665" w:rsidRDefault="005B42B9" w:rsidP="00086FAC">
      <w:pPr>
        <w:autoSpaceDE w:val="0"/>
        <w:autoSpaceDN w:val="0"/>
        <w:adjustRightInd w:val="0"/>
        <w:spacing w:after="120" w:line="240" w:lineRule="auto"/>
        <w:rPr>
          <w:rFonts w:cstheme="minorHAnsi"/>
          <w:bCs/>
          <w:color w:val="0070C0"/>
        </w:rPr>
      </w:pPr>
      <w:r w:rsidRPr="00EA3665">
        <w:rPr>
          <w:color w:val="0070C0"/>
        </w:rPr>
        <w:t>This measure includes as its outcome of interest readmissions to an IPF within 30 days of discharge for adult Medicare FFS patients enrolled in Medicare Parts A and B with an eligible index admission to an IPF</w:t>
      </w:r>
      <w:r w:rsidR="00DA5D71" w:rsidRPr="00EA3665">
        <w:rPr>
          <w:rFonts w:cs="Calibri"/>
          <w:color w:val="0070C0"/>
        </w:rPr>
        <w:t xml:space="preserve">. </w:t>
      </w:r>
      <w:r w:rsidR="00086FAC" w:rsidRPr="00EA3665">
        <w:rPr>
          <w:rFonts w:cs="Calibri"/>
          <w:color w:val="0070C0"/>
        </w:rPr>
        <w:t>The final measure cohort included 547,196 eligible index admissions</w:t>
      </w:r>
      <w:r w:rsidR="00E23C8E" w:rsidRPr="00EA3665">
        <w:rPr>
          <w:rFonts w:cs="Calibri"/>
          <w:color w:val="0070C0"/>
        </w:rPr>
        <w:t xml:space="preserve"> </w:t>
      </w:r>
      <w:r w:rsidR="00086FAC" w:rsidRPr="00EA3665">
        <w:rPr>
          <w:rFonts w:cstheme="minorHAnsi"/>
          <w:bCs/>
          <w:color w:val="0070C0"/>
        </w:rPr>
        <w:t>(336,052 patients</w:t>
      </w:r>
      <w:r w:rsidR="0094523A" w:rsidRPr="00EA3665">
        <w:rPr>
          <w:rFonts w:cstheme="minorHAnsi"/>
          <w:bCs/>
          <w:color w:val="0070C0"/>
        </w:rPr>
        <w:t xml:space="preserve"> overall; 335,523 patients in hospitals with &gt;=25 discharges</w:t>
      </w:r>
      <w:r w:rsidR="00086FAC" w:rsidRPr="00EA3665">
        <w:rPr>
          <w:rFonts w:cstheme="minorHAnsi"/>
          <w:bCs/>
          <w:color w:val="0070C0"/>
        </w:rPr>
        <w:t xml:space="preserve">) during the two-year measurement period. Among the </w:t>
      </w:r>
      <w:r w:rsidR="00086FAC" w:rsidRPr="00EA3665">
        <w:rPr>
          <w:rFonts w:cs="Calibri"/>
          <w:color w:val="0070C0"/>
        </w:rPr>
        <w:t>547,196 index admissions</w:t>
      </w:r>
      <w:r w:rsidR="00086FAC" w:rsidRPr="00EA3665">
        <w:rPr>
          <w:rFonts w:cstheme="minorHAnsi"/>
          <w:bCs/>
          <w:color w:val="0070C0"/>
        </w:rPr>
        <w:t xml:space="preserve">, </w:t>
      </w:r>
      <w:r w:rsidR="00131776" w:rsidRPr="00EA3665">
        <w:rPr>
          <w:rFonts w:cstheme="minorHAnsi"/>
          <w:bCs/>
          <w:color w:val="0070C0"/>
        </w:rPr>
        <w:t>273,711 (</w:t>
      </w:r>
      <w:r w:rsidR="00086FAC" w:rsidRPr="00EA3665">
        <w:rPr>
          <w:rFonts w:cstheme="minorHAnsi"/>
          <w:bCs/>
          <w:color w:val="0070C0"/>
        </w:rPr>
        <w:t>50.0</w:t>
      </w:r>
      <w:r w:rsidR="00B27E43" w:rsidRPr="00EA3665">
        <w:rPr>
          <w:rFonts w:cstheme="minorHAnsi"/>
          <w:bCs/>
          <w:color w:val="0070C0"/>
        </w:rPr>
        <w:t xml:space="preserve"> percent</w:t>
      </w:r>
      <w:r w:rsidR="00131776" w:rsidRPr="00EA3665">
        <w:rPr>
          <w:rFonts w:cstheme="minorHAnsi"/>
          <w:bCs/>
          <w:color w:val="0070C0"/>
        </w:rPr>
        <w:t>)</w:t>
      </w:r>
      <w:r w:rsidR="00086FAC" w:rsidRPr="00EA3665">
        <w:rPr>
          <w:rFonts w:cstheme="minorHAnsi"/>
          <w:bCs/>
          <w:color w:val="0070C0"/>
        </w:rPr>
        <w:t xml:space="preserve"> were male, </w:t>
      </w:r>
      <w:r w:rsidR="00131776" w:rsidRPr="00EA3665">
        <w:rPr>
          <w:rFonts w:cstheme="minorHAnsi"/>
          <w:bCs/>
          <w:color w:val="0070C0"/>
        </w:rPr>
        <w:t>416,256 (</w:t>
      </w:r>
      <w:r w:rsidR="00086FAC" w:rsidRPr="00EA3665">
        <w:rPr>
          <w:rFonts w:cstheme="minorHAnsi"/>
          <w:bCs/>
          <w:color w:val="0070C0"/>
        </w:rPr>
        <w:t>76.1</w:t>
      </w:r>
      <w:r w:rsidR="00B27E43" w:rsidRPr="00EA3665">
        <w:rPr>
          <w:rFonts w:cstheme="minorHAnsi"/>
          <w:bCs/>
          <w:color w:val="0070C0"/>
        </w:rPr>
        <w:t xml:space="preserve"> percent</w:t>
      </w:r>
      <w:r w:rsidR="00131776" w:rsidRPr="00EA3665">
        <w:rPr>
          <w:rFonts w:cstheme="minorHAnsi"/>
          <w:bCs/>
          <w:color w:val="0070C0"/>
        </w:rPr>
        <w:t>)</w:t>
      </w:r>
      <w:r w:rsidR="00086FAC" w:rsidRPr="00EA3665">
        <w:rPr>
          <w:rFonts w:cstheme="minorHAnsi"/>
          <w:bCs/>
          <w:color w:val="0070C0"/>
        </w:rPr>
        <w:t xml:space="preserve"> were white, </w:t>
      </w:r>
      <w:r w:rsidR="007629D1">
        <w:rPr>
          <w:rFonts w:cstheme="minorHAnsi"/>
          <w:bCs/>
          <w:color w:val="0070C0"/>
        </w:rPr>
        <w:t>263,104</w:t>
      </w:r>
      <w:r w:rsidR="00131776" w:rsidRPr="00EA3665">
        <w:rPr>
          <w:rFonts w:cstheme="minorHAnsi"/>
          <w:bCs/>
          <w:color w:val="0070C0"/>
        </w:rPr>
        <w:t xml:space="preserve"> (</w:t>
      </w:r>
      <w:r w:rsidR="007629D1">
        <w:rPr>
          <w:rFonts w:cstheme="minorHAnsi"/>
          <w:bCs/>
          <w:color w:val="0070C0"/>
        </w:rPr>
        <w:t>48.1</w:t>
      </w:r>
      <w:r w:rsidR="00B27E43" w:rsidRPr="00EA3665">
        <w:rPr>
          <w:rFonts w:cstheme="minorHAnsi"/>
          <w:bCs/>
          <w:color w:val="0070C0"/>
        </w:rPr>
        <w:t xml:space="preserve"> percent</w:t>
      </w:r>
      <w:r w:rsidR="00131776" w:rsidRPr="00EA3665">
        <w:rPr>
          <w:rFonts w:cstheme="minorHAnsi"/>
          <w:bCs/>
          <w:color w:val="0070C0"/>
        </w:rPr>
        <w:t>)</w:t>
      </w:r>
      <w:r w:rsidR="00086FAC" w:rsidRPr="00EA3665">
        <w:rPr>
          <w:rFonts w:cstheme="minorHAnsi"/>
          <w:bCs/>
          <w:color w:val="0070C0"/>
        </w:rPr>
        <w:t xml:space="preserve"> were enrolled in both Medicare and Medicaid, and </w:t>
      </w:r>
      <w:r w:rsidR="00131776" w:rsidRPr="00EA3665">
        <w:rPr>
          <w:rFonts w:cstheme="minorHAnsi"/>
          <w:bCs/>
          <w:color w:val="0070C0"/>
        </w:rPr>
        <w:t>345,602 (</w:t>
      </w:r>
      <w:r w:rsidR="00086FAC" w:rsidRPr="00EA3665">
        <w:rPr>
          <w:rFonts w:cstheme="minorHAnsi"/>
          <w:bCs/>
          <w:color w:val="0070C0"/>
        </w:rPr>
        <w:t>63.2</w:t>
      </w:r>
      <w:r w:rsidR="00B27E43" w:rsidRPr="00EA3665">
        <w:rPr>
          <w:rFonts w:cstheme="minorHAnsi"/>
          <w:bCs/>
          <w:color w:val="0070C0"/>
        </w:rPr>
        <w:t xml:space="preserve"> percent</w:t>
      </w:r>
      <w:r w:rsidR="00131776" w:rsidRPr="00EA3665">
        <w:rPr>
          <w:rFonts w:cstheme="minorHAnsi"/>
          <w:bCs/>
          <w:color w:val="0070C0"/>
        </w:rPr>
        <w:t>)</w:t>
      </w:r>
      <w:r w:rsidR="00086FAC" w:rsidRPr="00EA3665">
        <w:rPr>
          <w:rFonts w:cstheme="minorHAnsi"/>
          <w:bCs/>
          <w:color w:val="0070C0"/>
        </w:rPr>
        <w:t xml:space="preserve"> were 18 to 64 years of age.</w:t>
      </w:r>
      <w:r w:rsidR="00747B49" w:rsidRPr="00EA3665">
        <w:rPr>
          <w:rFonts w:cstheme="minorHAnsi"/>
          <w:bCs/>
          <w:color w:val="0070C0"/>
        </w:rPr>
        <w:t xml:space="preserve"> Among the 336,052 patients, 159,582 (47.5 percent) were male, 264,036 (78.6 percent) were white, </w:t>
      </w:r>
      <w:r w:rsidR="00027DD7">
        <w:rPr>
          <w:rFonts w:cstheme="minorHAnsi"/>
          <w:bCs/>
          <w:color w:val="0070C0"/>
        </w:rPr>
        <w:t>150,946</w:t>
      </w:r>
      <w:r w:rsidR="00747B49" w:rsidRPr="00EA3665">
        <w:rPr>
          <w:rFonts w:cstheme="minorHAnsi"/>
          <w:bCs/>
          <w:color w:val="0070C0"/>
        </w:rPr>
        <w:t xml:space="preserve"> (</w:t>
      </w:r>
      <w:r w:rsidR="00027DD7">
        <w:rPr>
          <w:rFonts w:cstheme="minorHAnsi"/>
          <w:bCs/>
          <w:color w:val="0070C0"/>
        </w:rPr>
        <w:t xml:space="preserve">44.9 </w:t>
      </w:r>
      <w:r w:rsidR="00747B49" w:rsidRPr="00EA3665">
        <w:rPr>
          <w:rFonts w:cstheme="minorHAnsi"/>
          <w:bCs/>
          <w:color w:val="0070C0"/>
        </w:rPr>
        <w:t xml:space="preserve">percent) were enrolled in both Medicare and Medicaid and </w:t>
      </w:r>
      <w:r w:rsidR="00027DD7">
        <w:rPr>
          <w:rFonts w:cstheme="minorHAnsi"/>
          <w:bCs/>
          <w:color w:val="0070C0"/>
        </w:rPr>
        <w:t>185,216</w:t>
      </w:r>
      <w:r w:rsidR="00747B49" w:rsidRPr="00EA3665">
        <w:rPr>
          <w:rFonts w:cstheme="minorHAnsi"/>
          <w:bCs/>
          <w:color w:val="0070C0"/>
        </w:rPr>
        <w:t xml:space="preserve"> (56.7 percent) were 18 to 64 years of age.</w:t>
      </w:r>
      <w:r w:rsidR="00086FAC" w:rsidRPr="00EA3665">
        <w:rPr>
          <w:rFonts w:cstheme="minorHAnsi"/>
          <w:bCs/>
          <w:color w:val="0070C0"/>
        </w:rPr>
        <w:t xml:space="preserve"> </w:t>
      </w:r>
      <w:r w:rsidR="00B27E43" w:rsidRPr="00EA3665">
        <w:rPr>
          <w:rFonts w:cstheme="minorHAnsi"/>
          <w:bCs/>
          <w:color w:val="0070C0"/>
        </w:rPr>
        <w:t>The following f</w:t>
      </w:r>
      <w:r w:rsidR="00086FAC" w:rsidRPr="00EA3665">
        <w:rPr>
          <w:rFonts w:cstheme="minorHAnsi"/>
          <w:bCs/>
          <w:color w:val="0070C0"/>
        </w:rPr>
        <w:t>ive disorders accounted for over 90</w:t>
      </w:r>
      <w:r w:rsidR="00B27E43" w:rsidRPr="00EA3665">
        <w:rPr>
          <w:rFonts w:cstheme="minorHAnsi"/>
          <w:bCs/>
          <w:color w:val="0070C0"/>
        </w:rPr>
        <w:t xml:space="preserve"> percent</w:t>
      </w:r>
      <w:r w:rsidR="00086FAC" w:rsidRPr="00EA3665">
        <w:rPr>
          <w:rFonts w:cstheme="minorHAnsi"/>
          <w:bCs/>
          <w:color w:val="0070C0"/>
        </w:rPr>
        <w:t xml:space="preserve"> of all</w:t>
      </w:r>
      <w:r w:rsidR="00086FAC" w:rsidRPr="00EA3665">
        <w:rPr>
          <w:rFonts w:cs="Calibri"/>
          <w:color w:val="0070C0"/>
        </w:rPr>
        <w:t xml:space="preserve"> index admissions</w:t>
      </w:r>
      <w:r w:rsidR="00086FAC" w:rsidRPr="00EA3665">
        <w:rPr>
          <w:rFonts w:cstheme="minorHAnsi"/>
          <w:bCs/>
          <w:color w:val="0070C0"/>
        </w:rPr>
        <w:t>: depressive disorder (23.5</w:t>
      </w:r>
      <w:r w:rsidR="00B27E43" w:rsidRPr="00EA3665">
        <w:rPr>
          <w:rFonts w:cstheme="minorHAnsi"/>
          <w:bCs/>
          <w:color w:val="0070C0"/>
        </w:rPr>
        <w:t xml:space="preserve"> percent</w:t>
      </w:r>
      <w:r w:rsidR="00086FAC" w:rsidRPr="00EA3665">
        <w:rPr>
          <w:rFonts w:cstheme="minorHAnsi"/>
          <w:bCs/>
          <w:color w:val="0070C0"/>
        </w:rPr>
        <w:t>), bipolar disorder (19.2</w:t>
      </w:r>
      <w:r w:rsidR="00B27E43" w:rsidRPr="00EA3665">
        <w:rPr>
          <w:rFonts w:cstheme="minorHAnsi"/>
          <w:bCs/>
          <w:color w:val="0070C0"/>
        </w:rPr>
        <w:t xml:space="preserve"> percent</w:t>
      </w:r>
      <w:r w:rsidR="00086FAC" w:rsidRPr="00EA3665">
        <w:rPr>
          <w:rFonts w:cstheme="minorHAnsi"/>
          <w:bCs/>
          <w:color w:val="0070C0"/>
        </w:rPr>
        <w:t xml:space="preserve">), </w:t>
      </w:r>
      <w:proofErr w:type="spellStart"/>
      <w:r w:rsidR="00086FAC" w:rsidRPr="00EA3665">
        <w:rPr>
          <w:rFonts w:cstheme="minorHAnsi"/>
          <w:bCs/>
          <w:color w:val="0070C0"/>
        </w:rPr>
        <w:t>schizo</w:t>
      </w:r>
      <w:proofErr w:type="spellEnd"/>
      <w:r w:rsidR="00086FAC" w:rsidRPr="00EA3665">
        <w:rPr>
          <w:rFonts w:cstheme="minorHAnsi"/>
          <w:bCs/>
          <w:color w:val="0070C0"/>
        </w:rPr>
        <w:t xml:space="preserve">-affective </w:t>
      </w:r>
      <w:r w:rsidR="00086FAC" w:rsidRPr="00EA3665">
        <w:rPr>
          <w:rFonts w:cstheme="minorHAnsi"/>
          <w:bCs/>
          <w:color w:val="0070C0"/>
        </w:rPr>
        <w:lastRenderedPageBreak/>
        <w:t>disorder (18.1</w:t>
      </w:r>
      <w:r w:rsidR="00B27E43" w:rsidRPr="00EA3665">
        <w:rPr>
          <w:rFonts w:cstheme="minorHAnsi"/>
          <w:bCs/>
          <w:color w:val="0070C0"/>
        </w:rPr>
        <w:t xml:space="preserve"> percent</w:t>
      </w:r>
      <w:r w:rsidR="00086FAC" w:rsidRPr="00EA3665">
        <w:rPr>
          <w:rFonts w:cstheme="minorHAnsi"/>
          <w:bCs/>
          <w:color w:val="0070C0"/>
        </w:rPr>
        <w:t>), psychosis (16.4</w:t>
      </w:r>
      <w:r w:rsidR="00B27E43" w:rsidRPr="00EA3665">
        <w:rPr>
          <w:rFonts w:cstheme="minorHAnsi"/>
          <w:bCs/>
          <w:color w:val="0070C0"/>
        </w:rPr>
        <w:t xml:space="preserve"> percent</w:t>
      </w:r>
      <w:r w:rsidR="00086FAC" w:rsidRPr="00EA3665">
        <w:rPr>
          <w:rFonts w:cstheme="minorHAnsi"/>
          <w:bCs/>
          <w:color w:val="0070C0"/>
        </w:rPr>
        <w:t>), and dementia (13.2</w:t>
      </w:r>
      <w:r w:rsidR="00B27E43" w:rsidRPr="00EA3665">
        <w:rPr>
          <w:rFonts w:cstheme="minorHAnsi"/>
          <w:bCs/>
          <w:color w:val="0070C0"/>
        </w:rPr>
        <w:t xml:space="preserve"> percent</w:t>
      </w:r>
      <w:r w:rsidR="00086FAC" w:rsidRPr="00EA3665">
        <w:rPr>
          <w:rFonts w:cstheme="minorHAnsi"/>
          <w:bCs/>
          <w:color w:val="0070C0"/>
        </w:rPr>
        <w:t>). Table 1</w:t>
      </w:r>
      <w:r w:rsidR="00B27E43" w:rsidRPr="00EA3665">
        <w:rPr>
          <w:rFonts w:cstheme="minorHAnsi"/>
          <w:bCs/>
          <w:color w:val="0070C0"/>
        </w:rPr>
        <w:t>.6.</w:t>
      </w:r>
      <w:r w:rsidR="00086FAC" w:rsidRPr="00EA3665">
        <w:rPr>
          <w:rFonts w:cstheme="minorHAnsi"/>
          <w:bCs/>
          <w:color w:val="0070C0"/>
        </w:rPr>
        <w:t xml:space="preserve">a describes characteristics of the sample. The </w:t>
      </w:r>
      <w:bookmarkStart w:id="12" w:name="_Hlk40273169"/>
      <w:r w:rsidR="00086FAC" w:rsidRPr="00EA3665">
        <w:rPr>
          <w:rFonts w:cstheme="minorHAnsi"/>
          <w:bCs/>
          <w:color w:val="0070C0"/>
        </w:rPr>
        <w:t xml:space="preserve">full list of principal discharge diagnoses is shown in Table </w:t>
      </w:r>
      <w:r w:rsidR="0059015B" w:rsidRPr="00EA3665">
        <w:rPr>
          <w:rFonts w:cstheme="minorHAnsi"/>
          <w:bCs/>
          <w:color w:val="0070C0"/>
        </w:rPr>
        <w:t>2.6.</w:t>
      </w:r>
      <w:r w:rsidR="00086FAC" w:rsidRPr="00EA3665">
        <w:rPr>
          <w:rFonts w:cstheme="minorHAnsi"/>
          <w:bCs/>
          <w:color w:val="0070C0"/>
        </w:rPr>
        <w:t xml:space="preserve">b. </w:t>
      </w:r>
    </w:p>
    <w:p w14:paraId="62A58BF1" w14:textId="7B60CD3B" w:rsidR="005F0547" w:rsidRDefault="00086FAC" w:rsidP="000C0983">
      <w:pPr>
        <w:pStyle w:val="Caption"/>
      </w:pPr>
      <w:r w:rsidRPr="00EA3665">
        <w:t xml:space="preserve">Table </w:t>
      </w:r>
      <w:r w:rsidR="00A92E82">
        <w:fldChar w:fldCharType="begin"/>
      </w:r>
      <w:r w:rsidR="00A92E82">
        <w:instrText xml:space="preserve"> SEQ Table \* ARABIC </w:instrText>
      </w:r>
      <w:r w:rsidR="00A92E82">
        <w:fldChar w:fldCharType="separate"/>
      </w:r>
      <w:r w:rsidR="008B3CFF" w:rsidRPr="00EA3665">
        <w:rPr>
          <w:noProof/>
        </w:rPr>
        <w:t>1</w:t>
      </w:r>
      <w:r w:rsidR="00A92E82">
        <w:rPr>
          <w:noProof/>
        </w:rPr>
        <w:fldChar w:fldCharType="end"/>
      </w:r>
      <w:r w:rsidR="0078380D" w:rsidRPr="00EA3665">
        <w:rPr>
          <w:noProof/>
        </w:rPr>
        <w:t>.6.a</w:t>
      </w:r>
      <w:r w:rsidRPr="00EA3665">
        <w:t>. Characteristics of the sample</w:t>
      </w:r>
    </w:p>
    <w:tbl>
      <w:tblPr>
        <w:tblStyle w:val="MathUBaseTable"/>
        <w:tblW w:w="10080" w:type="dxa"/>
        <w:tblLook w:val="04A0" w:firstRow="1" w:lastRow="0" w:firstColumn="1" w:lastColumn="0" w:noHBand="0" w:noVBand="1"/>
      </w:tblPr>
      <w:tblGrid>
        <w:gridCol w:w="2422"/>
        <w:gridCol w:w="696"/>
        <w:gridCol w:w="1001"/>
        <w:gridCol w:w="987"/>
        <w:gridCol w:w="1000"/>
        <w:gridCol w:w="987"/>
        <w:gridCol w:w="1000"/>
        <w:gridCol w:w="987"/>
        <w:gridCol w:w="1000"/>
      </w:tblGrid>
      <w:tr w:rsidR="005F0547" w:rsidRPr="005F0547" w14:paraId="330B6ED9" w14:textId="77777777" w:rsidTr="007E4C29">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422" w:type="dxa"/>
            <w:vMerge w:val="restart"/>
            <w:hideMark/>
          </w:tcPr>
          <w:p w14:paraId="1FB27E0D" w14:textId="77777777" w:rsidR="005F0547" w:rsidRPr="005F0547" w:rsidRDefault="005F0547" w:rsidP="00F52A6F">
            <w:pPr>
              <w:pStyle w:val="TableHeaderLeft"/>
              <w:rPr>
                <w:b w:val="0"/>
              </w:rPr>
            </w:pPr>
            <w:r w:rsidRPr="005F0547">
              <w:t>Characteristic</w:t>
            </w:r>
          </w:p>
        </w:tc>
        <w:tc>
          <w:tcPr>
            <w:tcW w:w="3684" w:type="dxa"/>
            <w:gridSpan w:val="4"/>
            <w:tcBorders>
              <w:bottom w:val="single" w:sz="4" w:space="0" w:color="FFFFFF" w:themeColor="background1"/>
              <w:right w:val="single" w:sz="4" w:space="0" w:color="FFFFFF" w:themeColor="background1"/>
            </w:tcBorders>
            <w:hideMark/>
          </w:tcPr>
          <w:p w14:paraId="1D9A7C03"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Admission level</w:t>
            </w:r>
          </w:p>
        </w:tc>
        <w:tc>
          <w:tcPr>
            <w:tcW w:w="3974" w:type="dxa"/>
            <w:gridSpan w:val="4"/>
            <w:tcBorders>
              <w:left w:val="single" w:sz="4" w:space="0" w:color="FFFFFF" w:themeColor="background1"/>
              <w:bottom w:val="single" w:sz="4" w:space="0" w:color="FFFFFF" w:themeColor="background1"/>
            </w:tcBorders>
            <w:hideMark/>
          </w:tcPr>
          <w:p w14:paraId="4A9436E9"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Patient level</w:t>
            </w:r>
          </w:p>
        </w:tc>
      </w:tr>
      <w:tr w:rsidR="005F0547" w:rsidRPr="005F0547" w14:paraId="36C03FD7" w14:textId="77777777" w:rsidTr="007E4C29">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422" w:type="dxa"/>
            <w:vMerge/>
            <w:hideMark/>
          </w:tcPr>
          <w:p w14:paraId="58A84B61" w14:textId="77777777" w:rsidR="005F0547" w:rsidRPr="005F0547" w:rsidRDefault="005F0547" w:rsidP="00F52A6F">
            <w:pPr>
              <w:pStyle w:val="TableTextLeft"/>
              <w:rPr>
                <w:b w:val="0"/>
              </w:rPr>
            </w:pPr>
          </w:p>
        </w:tc>
        <w:tc>
          <w:tcPr>
            <w:tcW w:w="1697" w:type="dxa"/>
            <w:gridSpan w:val="2"/>
            <w:tcBorders>
              <w:top w:val="single" w:sz="4" w:space="0" w:color="FFFFFF" w:themeColor="background1"/>
              <w:bottom w:val="single" w:sz="4" w:space="0" w:color="FFFFFF" w:themeColor="background1"/>
            </w:tcBorders>
            <w:hideMark/>
          </w:tcPr>
          <w:p w14:paraId="4B60AC31"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All Hospitals</w:t>
            </w:r>
          </w:p>
        </w:tc>
        <w:tc>
          <w:tcPr>
            <w:tcW w:w="1987" w:type="dxa"/>
            <w:gridSpan w:val="2"/>
            <w:tcBorders>
              <w:top w:val="single" w:sz="4" w:space="0" w:color="FFFFFF" w:themeColor="background1"/>
              <w:bottom w:val="single" w:sz="4" w:space="0" w:color="FFFFFF" w:themeColor="background1"/>
              <w:right w:val="single" w:sz="4" w:space="0" w:color="FFFFFF" w:themeColor="background1"/>
            </w:tcBorders>
            <w:hideMark/>
          </w:tcPr>
          <w:p w14:paraId="56BAB97A"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Hospitals with &gt;= 25 discharges</w:t>
            </w:r>
          </w:p>
        </w:tc>
        <w:tc>
          <w:tcPr>
            <w:tcW w:w="1987" w:type="dxa"/>
            <w:gridSpan w:val="2"/>
            <w:tcBorders>
              <w:top w:val="single" w:sz="4" w:space="0" w:color="FFFFFF" w:themeColor="background1"/>
              <w:left w:val="single" w:sz="4" w:space="0" w:color="FFFFFF" w:themeColor="background1"/>
              <w:bottom w:val="single" w:sz="4" w:space="0" w:color="FFFFFF" w:themeColor="background1"/>
            </w:tcBorders>
            <w:hideMark/>
          </w:tcPr>
          <w:p w14:paraId="546A69D1"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All Hospitals</w:t>
            </w:r>
          </w:p>
        </w:tc>
        <w:tc>
          <w:tcPr>
            <w:tcW w:w="1987" w:type="dxa"/>
            <w:gridSpan w:val="2"/>
            <w:tcBorders>
              <w:top w:val="single" w:sz="4" w:space="0" w:color="FFFFFF" w:themeColor="background1"/>
              <w:bottom w:val="single" w:sz="4" w:space="0" w:color="FFFFFF" w:themeColor="background1"/>
            </w:tcBorders>
            <w:hideMark/>
          </w:tcPr>
          <w:p w14:paraId="116A515E"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Hospitals with &gt;= 25 discharges</w:t>
            </w:r>
          </w:p>
        </w:tc>
      </w:tr>
      <w:tr w:rsidR="00EE06E1" w:rsidRPr="005F0547" w14:paraId="70A02D95" w14:textId="77777777" w:rsidTr="007E4C29">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422" w:type="dxa"/>
            <w:vMerge/>
            <w:hideMark/>
          </w:tcPr>
          <w:p w14:paraId="085DF9E5" w14:textId="77777777" w:rsidR="005F0547" w:rsidRPr="005F0547" w:rsidRDefault="005F0547" w:rsidP="00F52A6F">
            <w:pPr>
              <w:pStyle w:val="TableTextLeft"/>
              <w:rPr>
                <w:b w:val="0"/>
              </w:rPr>
            </w:pPr>
          </w:p>
        </w:tc>
        <w:tc>
          <w:tcPr>
            <w:tcW w:w="696" w:type="dxa"/>
            <w:tcBorders>
              <w:top w:val="single" w:sz="4" w:space="0" w:color="FFFFFF" w:themeColor="background1"/>
            </w:tcBorders>
            <w:hideMark/>
          </w:tcPr>
          <w:p w14:paraId="1848710E"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N</w:t>
            </w:r>
          </w:p>
        </w:tc>
        <w:tc>
          <w:tcPr>
            <w:tcW w:w="1001" w:type="dxa"/>
            <w:tcBorders>
              <w:top w:val="single" w:sz="4" w:space="0" w:color="FFFFFF" w:themeColor="background1"/>
            </w:tcBorders>
            <w:hideMark/>
          </w:tcPr>
          <w:p w14:paraId="2E25D5AB"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Percent</w:t>
            </w:r>
          </w:p>
        </w:tc>
        <w:tc>
          <w:tcPr>
            <w:tcW w:w="987" w:type="dxa"/>
            <w:tcBorders>
              <w:top w:val="single" w:sz="4" w:space="0" w:color="FFFFFF" w:themeColor="background1"/>
            </w:tcBorders>
            <w:hideMark/>
          </w:tcPr>
          <w:p w14:paraId="7C82C1B5"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N</w:t>
            </w:r>
          </w:p>
        </w:tc>
        <w:tc>
          <w:tcPr>
            <w:tcW w:w="1000" w:type="dxa"/>
            <w:tcBorders>
              <w:top w:val="single" w:sz="4" w:space="0" w:color="FFFFFF" w:themeColor="background1"/>
              <w:right w:val="single" w:sz="4" w:space="0" w:color="FFFFFF" w:themeColor="background1"/>
            </w:tcBorders>
            <w:hideMark/>
          </w:tcPr>
          <w:p w14:paraId="3F4E2C9F"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Percent</w:t>
            </w:r>
          </w:p>
        </w:tc>
        <w:tc>
          <w:tcPr>
            <w:tcW w:w="987" w:type="dxa"/>
            <w:tcBorders>
              <w:top w:val="single" w:sz="4" w:space="0" w:color="FFFFFF" w:themeColor="background1"/>
              <w:left w:val="single" w:sz="4" w:space="0" w:color="FFFFFF" w:themeColor="background1"/>
            </w:tcBorders>
            <w:hideMark/>
          </w:tcPr>
          <w:p w14:paraId="3512B0F2"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N</w:t>
            </w:r>
          </w:p>
        </w:tc>
        <w:tc>
          <w:tcPr>
            <w:tcW w:w="1000" w:type="dxa"/>
            <w:tcBorders>
              <w:top w:val="single" w:sz="4" w:space="0" w:color="FFFFFF" w:themeColor="background1"/>
            </w:tcBorders>
            <w:hideMark/>
          </w:tcPr>
          <w:p w14:paraId="291AFDF2"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Percent</w:t>
            </w:r>
          </w:p>
        </w:tc>
        <w:tc>
          <w:tcPr>
            <w:tcW w:w="987" w:type="dxa"/>
            <w:tcBorders>
              <w:top w:val="single" w:sz="4" w:space="0" w:color="FFFFFF" w:themeColor="background1"/>
            </w:tcBorders>
            <w:hideMark/>
          </w:tcPr>
          <w:p w14:paraId="0B8CF214"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N</w:t>
            </w:r>
          </w:p>
        </w:tc>
        <w:tc>
          <w:tcPr>
            <w:tcW w:w="1000" w:type="dxa"/>
            <w:tcBorders>
              <w:top w:val="single" w:sz="4" w:space="0" w:color="FFFFFF" w:themeColor="background1"/>
            </w:tcBorders>
            <w:hideMark/>
          </w:tcPr>
          <w:p w14:paraId="392F8F7B" w14:textId="77777777" w:rsidR="005F0547" w:rsidRPr="005F0547" w:rsidRDefault="005F0547" w:rsidP="00F52A6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F0547">
              <w:t>Percent</w:t>
            </w:r>
          </w:p>
        </w:tc>
      </w:tr>
      <w:tr w:rsidR="005F0547" w:rsidRPr="005F0547" w14:paraId="2D153E7C"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C01AD68" w14:textId="77777777" w:rsidR="005F0547" w:rsidRPr="005F0547" w:rsidRDefault="005F0547" w:rsidP="00F52A6F">
            <w:pPr>
              <w:pStyle w:val="TableTextLeft"/>
              <w:rPr>
                <w:color w:val="000000"/>
              </w:rPr>
            </w:pPr>
            <w:r w:rsidRPr="005F0547">
              <w:rPr>
                <w:color w:val="000000"/>
              </w:rPr>
              <w:t>Patients/admissions</w:t>
            </w:r>
          </w:p>
        </w:tc>
        <w:tc>
          <w:tcPr>
            <w:tcW w:w="696" w:type="dxa"/>
            <w:hideMark/>
          </w:tcPr>
          <w:p w14:paraId="7766476B"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547,196</w:t>
            </w:r>
          </w:p>
        </w:tc>
        <w:tc>
          <w:tcPr>
            <w:tcW w:w="1001" w:type="dxa"/>
            <w:hideMark/>
          </w:tcPr>
          <w:p w14:paraId="29CECF8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100</w:t>
            </w:r>
          </w:p>
        </w:tc>
        <w:tc>
          <w:tcPr>
            <w:tcW w:w="987" w:type="dxa"/>
            <w:hideMark/>
          </w:tcPr>
          <w:p w14:paraId="7DFB569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546,195</w:t>
            </w:r>
          </w:p>
        </w:tc>
        <w:tc>
          <w:tcPr>
            <w:tcW w:w="1000" w:type="dxa"/>
            <w:tcBorders>
              <w:right w:val="single" w:sz="4" w:space="0" w:color="046B5C"/>
            </w:tcBorders>
            <w:hideMark/>
          </w:tcPr>
          <w:p w14:paraId="2E369B34"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99.8</w:t>
            </w:r>
          </w:p>
        </w:tc>
        <w:tc>
          <w:tcPr>
            <w:tcW w:w="987" w:type="dxa"/>
            <w:tcBorders>
              <w:left w:val="single" w:sz="4" w:space="0" w:color="046B5C"/>
            </w:tcBorders>
            <w:hideMark/>
          </w:tcPr>
          <w:p w14:paraId="7FECEF8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336,052</w:t>
            </w:r>
          </w:p>
        </w:tc>
        <w:tc>
          <w:tcPr>
            <w:tcW w:w="1000" w:type="dxa"/>
            <w:hideMark/>
          </w:tcPr>
          <w:p w14:paraId="3FAE25D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100</w:t>
            </w:r>
          </w:p>
        </w:tc>
        <w:tc>
          <w:tcPr>
            <w:tcW w:w="987" w:type="dxa"/>
            <w:hideMark/>
          </w:tcPr>
          <w:p w14:paraId="16EECFF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335,523</w:t>
            </w:r>
          </w:p>
        </w:tc>
        <w:tc>
          <w:tcPr>
            <w:tcW w:w="1000" w:type="dxa"/>
            <w:hideMark/>
          </w:tcPr>
          <w:p w14:paraId="62AD4AA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99.8</w:t>
            </w:r>
          </w:p>
        </w:tc>
      </w:tr>
      <w:tr w:rsidR="005F0547" w:rsidRPr="005F0547" w14:paraId="631F3EF4"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230AEAC6" w14:textId="77777777" w:rsidR="005F0547" w:rsidRPr="005F0547" w:rsidRDefault="005F0547" w:rsidP="00F52A6F">
            <w:pPr>
              <w:pStyle w:val="TableTextLeft"/>
              <w:rPr>
                <w:color w:val="000000"/>
              </w:rPr>
            </w:pPr>
            <w:r w:rsidRPr="005F0547">
              <w:rPr>
                <w:color w:val="000000"/>
              </w:rPr>
              <w:t>Race: Black</w:t>
            </w:r>
          </w:p>
        </w:tc>
        <w:tc>
          <w:tcPr>
            <w:tcW w:w="696" w:type="dxa"/>
            <w:hideMark/>
          </w:tcPr>
          <w:p w14:paraId="74DD6B9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90,424</w:t>
            </w:r>
          </w:p>
        </w:tc>
        <w:tc>
          <w:tcPr>
            <w:tcW w:w="1001" w:type="dxa"/>
            <w:hideMark/>
          </w:tcPr>
          <w:p w14:paraId="6D7592DD"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16.5</w:t>
            </w:r>
          </w:p>
        </w:tc>
        <w:tc>
          <w:tcPr>
            <w:tcW w:w="987" w:type="dxa"/>
            <w:hideMark/>
          </w:tcPr>
          <w:p w14:paraId="529010CF"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90,160</w:t>
            </w:r>
          </w:p>
        </w:tc>
        <w:tc>
          <w:tcPr>
            <w:tcW w:w="1000" w:type="dxa"/>
            <w:tcBorders>
              <w:right w:val="single" w:sz="4" w:space="0" w:color="046B5C"/>
            </w:tcBorders>
            <w:hideMark/>
          </w:tcPr>
          <w:p w14:paraId="7BE1BE05"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16.5</w:t>
            </w:r>
          </w:p>
        </w:tc>
        <w:tc>
          <w:tcPr>
            <w:tcW w:w="987" w:type="dxa"/>
            <w:tcBorders>
              <w:left w:val="single" w:sz="4" w:space="0" w:color="046B5C"/>
            </w:tcBorders>
            <w:hideMark/>
          </w:tcPr>
          <w:p w14:paraId="1E43CA7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49,094</w:t>
            </w:r>
          </w:p>
        </w:tc>
        <w:tc>
          <w:tcPr>
            <w:tcW w:w="1000" w:type="dxa"/>
            <w:hideMark/>
          </w:tcPr>
          <w:p w14:paraId="29BA180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14.6</w:t>
            </w:r>
          </w:p>
        </w:tc>
        <w:tc>
          <w:tcPr>
            <w:tcW w:w="987" w:type="dxa"/>
            <w:hideMark/>
          </w:tcPr>
          <w:p w14:paraId="6337DF17"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48,967</w:t>
            </w:r>
          </w:p>
        </w:tc>
        <w:tc>
          <w:tcPr>
            <w:tcW w:w="1000" w:type="dxa"/>
            <w:hideMark/>
          </w:tcPr>
          <w:p w14:paraId="7176517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14.6</w:t>
            </w:r>
          </w:p>
        </w:tc>
      </w:tr>
      <w:tr w:rsidR="005F0547" w:rsidRPr="005F0547" w14:paraId="2478D28C"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0BF0DDA" w14:textId="77777777" w:rsidR="005F0547" w:rsidRPr="005F0547" w:rsidRDefault="005F0547" w:rsidP="00F52A6F">
            <w:pPr>
              <w:pStyle w:val="TableTextLeft"/>
              <w:rPr>
                <w:color w:val="000000"/>
              </w:rPr>
            </w:pPr>
            <w:r w:rsidRPr="005F0547">
              <w:rPr>
                <w:color w:val="000000"/>
              </w:rPr>
              <w:t>Race: Hispanic</w:t>
            </w:r>
          </w:p>
        </w:tc>
        <w:tc>
          <w:tcPr>
            <w:tcW w:w="696" w:type="dxa"/>
            <w:hideMark/>
          </w:tcPr>
          <w:p w14:paraId="7C833DA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18,033</w:t>
            </w:r>
          </w:p>
        </w:tc>
        <w:tc>
          <w:tcPr>
            <w:tcW w:w="1001" w:type="dxa"/>
            <w:hideMark/>
          </w:tcPr>
          <w:p w14:paraId="51E1519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3.3</w:t>
            </w:r>
          </w:p>
        </w:tc>
        <w:tc>
          <w:tcPr>
            <w:tcW w:w="987" w:type="dxa"/>
            <w:hideMark/>
          </w:tcPr>
          <w:p w14:paraId="4C03D590"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17,981</w:t>
            </w:r>
          </w:p>
        </w:tc>
        <w:tc>
          <w:tcPr>
            <w:tcW w:w="1000" w:type="dxa"/>
            <w:tcBorders>
              <w:right w:val="single" w:sz="4" w:space="0" w:color="046B5C"/>
            </w:tcBorders>
            <w:hideMark/>
          </w:tcPr>
          <w:p w14:paraId="4A24C8A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3.3</w:t>
            </w:r>
          </w:p>
        </w:tc>
        <w:tc>
          <w:tcPr>
            <w:tcW w:w="987" w:type="dxa"/>
            <w:tcBorders>
              <w:left w:val="single" w:sz="4" w:space="0" w:color="046B5C"/>
            </w:tcBorders>
            <w:hideMark/>
          </w:tcPr>
          <w:p w14:paraId="0031C81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9,526</w:t>
            </w:r>
          </w:p>
        </w:tc>
        <w:tc>
          <w:tcPr>
            <w:tcW w:w="1000" w:type="dxa"/>
            <w:hideMark/>
          </w:tcPr>
          <w:p w14:paraId="10D6010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2.8</w:t>
            </w:r>
          </w:p>
        </w:tc>
        <w:tc>
          <w:tcPr>
            <w:tcW w:w="987" w:type="dxa"/>
            <w:hideMark/>
          </w:tcPr>
          <w:p w14:paraId="7CF17DB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9,498</w:t>
            </w:r>
          </w:p>
        </w:tc>
        <w:tc>
          <w:tcPr>
            <w:tcW w:w="1000" w:type="dxa"/>
            <w:hideMark/>
          </w:tcPr>
          <w:p w14:paraId="5770FBCD"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2.8</w:t>
            </w:r>
          </w:p>
        </w:tc>
      </w:tr>
      <w:tr w:rsidR="005F0547" w:rsidRPr="005F0547" w14:paraId="4E24890A"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A320DFD" w14:textId="77777777" w:rsidR="005F0547" w:rsidRPr="005F0547" w:rsidRDefault="005F0547" w:rsidP="00F52A6F">
            <w:pPr>
              <w:pStyle w:val="TableTextLeft"/>
              <w:rPr>
                <w:color w:val="000000"/>
              </w:rPr>
            </w:pPr>
            <w:r w:rsidRPr="005F0547">
              <w:rPr>
                <w:color w:val="000000"/>
              </w:rPr>
              <w:t>Race: Other</w:t>
            </w:r>
          </w:p>
        </w:tc>
        <w:tc>
          <w:tcPr>
            <w:tcW w:w="696" w:type="dxa"/>
            <w:hideMark/>
          </w:tcPr>
          <w:p w14:paraId="7D4F878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15,140</w:t>
            </w:r>
          </w:p>
        </w:tc>
        <w:tc>
          <w:tcPr>
            <w:tcW w:w="1001" w:type="dxa"/>
            <w:hideMark/>
          </w:tcPr>
          <w:p w14:paraId="6F0F90C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2.8</w:t>
            </w:r>
          </w:p>
        </w:tc>
        <w:tc>
          <w:tcPr>
            <w:tcW w:w="987" w:type="dxa"/>
            <w:hideMark/>
          </w:tcPr>
          <w:p w14:paraId="4332D00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15,114</w:t>
            </w:r>
          </w:p>
        </w:tc>
        <w:tc>
          <w:tcPr>
            <w:tcW w:w="1000" w:type="dxa"/>
            <w:tcBorders>
              <w:right w:val="single" w:sz="4" w:space="0" w:color="046B5C"/>
            </w:tcBorders>
            <w:hideMark/>
          </w:tcPr>
          <w:p w14:paraId="0F63885E"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2.8</w:t>
            </w:r>
          </w:p>
        </w:tc>
        <w:tc>
          <w:tcPr>
            <w:tcW w:w="987" w:type="dxa"/>
            <w:tcBorders>
              <w:left w:val="single" w:sz="4" w:space="0" w:color="046B5C"/>
            </w:tcBorders>
            <w:hideMark/>
          </w:tcPr>
          <w:p w14:paraId="7873403B"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9,182</w:t>
            </w:r>
          </w:p>
        </w:tc>
        <w:tc>
          <w:tcPr>
            <w:tcW w:w="1000" w:type="dxa"/>
            <w:hideMark/>
          </w:tcPr>
          <w:p w14:paraId="78741F9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w:t>
            </w:r>
          </w:p>
        </w:tc>
        <w:tc>
          <w:tcPr>
            <w:tcW w:w="987" w:type="dxa"/>
            <w:hideMark/>
          </w:tcPr>
          <w:p w14:paraId="19EC4C4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9,166</w:t>
            </w:r>
          </w:p>
        </w:tc>
        <w:tc>
          <w:tcPr>
            <w:tcW w:w="1000" w:type="dxa"/>
            <w:hideMark/>
          </w:tcPr>
          <w:p w14:paraId="19362B3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w:t>
            </w:r>
          </w:p>
        </w:tc>
      </w:tr>
      <w:tr w:rsidR="005F0547" w:rsidRPr="005F0547" w14:paraId="64FC8E5D"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6AAA16FA" w14:textId="77777777" w:rsidR="005F0547" w:rsidRPr="005F0547" w:rsidRDefault="005F0547" w:rsidP="00F52A6F">
            <w:pPr>
              <w:pStyle w:val="TableTextLeft"/>
              <w:rPr>
                <w:color w:val="000000"/>
              </w:rPr>
            </w:pPr>
            <w:r w:rsidRPr="005F0547">
              <w:rPr>
                <w:color w:val="000000"/>
              </w:rPr>
              <w:t>Race: Unknown</w:t>
            </w:r>
          </w:p>
        </w:tc>
        <w:tc>
          <w:tcPr>
            <w:tcW w:w="696" w:type="dxa"/>
            <w:hideMark/>
          </w:tcPr>
          <w:p w14:paraId="1A406690"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7,343</w:t>
            </w:r>
          </w:p>
        </w:tc>
        <w:tc>
          <w:tcPr>
            <w:tcW w:w="1001" w:type="dxa"/>
            <w:hideMark/>
          </w:tcPr>
          <w:p w14:paraId="33AB71D0"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1.3</w:t>
            </w:r>
          </w:p>
        </w:tc>
        <w:tc>
          <w:tcPr>
            <w:tcW w:w="987" w:type="dxa"/>
            <w:hideMark/>
          </w:tcPr>
          <w:p w14:paraId="533A07B0"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7,328</w:t>
            </w:r>
          </w:p>
        </w:tc>
        <w:tc>
          <w:tcPr>
            <w:tcW w:w="1000" w:type="dxa"/>
            <w:tcBorders>
              <w:right w:val="single" w:sz="4" w:space="0" w:color="046B5C"/>
            </w:tcBorders>
            <w:hideMark/>
          </w:tcPr>
          <w:p w14:paraId="7445BD95"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1.3</w:t>
            </w:r>
          </w:p>
        </w:tc>
        <w:tc>
          <w:tcPr>
            <w:tcW w:w="987" w:type="dxa"/>
            <w:tcBorders>
              <w:left w:val="single" w:sz="4" w:space="0" w:color="046B5C"/>
            </w:tcBorders>
            <w:hideMark/>
          </w:tcPr>
          <w:p w14:paraId="3286E46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4,214</w:t>
            </w:r>
          </w:p>
        </w:tc>
        <w:tc>
          <w:tcPr>
            <w:tcW w:w="1000" w:type="dxa"/>
            <w:hideMark/>
          </w:tcPr>
          <w:p w14:paraId="7BF442C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1.3</w:t>
            </w:r>
          </w:p>
        </w:tc>
        <w:tc>
          <w:tcPr>
            <w:tcW w:w="987" w:type="dxa"/>
            <w:hideMark/>
          </w:tcPr>
          <w:p w14:paraId="64B237C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4,207</w:t>
            </w:r>
          </w:p>
        </w:tc>
        <w:tc>
          <w:tcPr>
            <w:tcW w:w="1000" w:type="dxa"/>
            <w:hideMark/>
          </w:tcPr>
          <w:p w14:paraId="241216A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1.3</w:t>
            </w:r>
          </w:p>
        </w:tc>
      </w:tr>
      <w:tr w:rsidR="005F0547" w:rsidRPr="005F0547" w14:paraId="51B8CCF1"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7EE635F" w14:textId="77777777" w:rsidR="005F0547" w:rsidRPr="005F0547" w:rsidRDefault="005F0547" w:rsidP="00F52A6F">
            <w:pPr>
              <w:pStyle w:val="TableTextLeft"/>
              <w:rPr>
                <w:color w:val="000000"/>
              </w:rPr>
            </w:pPr>
            <w:r w:rsidRPr="005F0547">
              <w:rPr>
                <w:color w:val="000000"/>
              </w:rPr>
              <w:t>Race: White</w:t>
            </w:r>
          </w:p>
        </w:tc>
        <w:tc>
          <w:tcPr>
            <w:tcW w:w="696" w:type="dxa"/>
            <w:hideMark/>
          </w:tcPr>
          <w:p w14:paraId="1F670855"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416,256</w:t>
            </w:r>
          </w:p>
        </w:tc>
        <w:tc>
          <w:tcPr>
            <w:tcW w:w="1001" w:type="dxa"/>
            <w:hideMark/>
          </w:tcPr>
          <w:p w14:paraId="4EB7700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76.1</w:t>
            </w:r>
          </w:p>
        </w:tc>
        <w:tc>
          <w:tcPr>
            <w:tcW w:w="987" w:type="dxa"/>
            <w:hideMark/>
          </w:tcPr>
          <w:p w14:paraId="6E51C3D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415,612</w:t>
            </w:r>
          </w:p>
        </w:tc>
        <w:tc>
          <w:tcPr>
            <w:tcW w:w="1000" w:type="dxa"/>
            <w:tcBorders>
              <w:right w:val="single" w:sz="4" w:space="0" w:color="046B5C"/>
            </w:tcBorders>
            <w:hideMark/>
          </w:tcPr>
          <w:p w14:paraId="51D3D0C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76</w:t>
            </w:r>
          </w:p>
        </w:tc>
        <w:tc>
          <w:tcPr>
            <w:tcW w:w="987" w:type="dxa"/>
            <w:tcBorders>
              <w:left w:val="single" w:sz="4" w:space="0" w:color="046B5C"/>
            </w:tcBorders>
            <w:hideMark/>
          </w:tcPr>
          <w:p w14:paraId="45FD0D87"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264,036</w:t>
            </w:r>
          </w:p>
        </w:tc>
        <w:tc>
          <w:tcPr>
            <w:tcW w:w="1000" w:type="dxa"/>
            <w:hideMark/>
          </w:tcPr>
          <w:p w14:paraId="17FCC678"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78.6</w:t>
            </w:r>
          </w:p>
        </w:tc>
        <w:tc>
          <w:tcPr>
            <w:tcW w:w="987" w:type="dxa"/>
            <w:hideMark/>
          </w:tcPr>
          <w:p w14:paraId="5756959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263,685</w:t>
            </w:r>
          </w:p>
        </w:tc>
        <w:tc>
          <w:tcPr>
            <w:tcW w:w="1000" w:type="dxa"/>
            <w:hideMark/>
          </w:tcPr>
          <w:p w14:paraId="2FB51A25"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78.5</w:t>
            </w:r>
          </w:p>
        </w:tc>
      </w:tr>
      <w:tr w:rsidR="005F0547" w:rsidRPr="005F0547" w14:paraId="7EDEF484"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399B08AD" w14:textId="77777777" w:rsidR="005F0547" w:rsidRPr="005F0547" w:rsidRDefault="005F0547" w:rsidP="00F52A6F">
            <w:pPr>
              <w:pStyle w:val="TableTextLeft"/>
              <w:rPr>
                <w:color w:val="000000"/>
              </w:rPr>
            </w:pPr>
            <w:r w:rsidRPr="005F0547">
              <w:rPr>
                <w:color w:val="000000"/>
              </w:rPr>
              <w:t>Sex: Female</w:t>
            </w:r>
          </w:p>
        </w:tc>
        <w:tc>
          <w:tcPr>
            <w:tcW w:w="696" w:type="dxa"/>
            <w:hideMark/>
          </w:tcPr>
          <w:p w14:paraId="0BA8A77F"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273,485</w:t>
            </w:r>
          </w:p>
        </w:tc>
        <w:tc>
          <w:tcPr>
            <w:tcW w:w="1001" w:type="dxa"/>
            <w:hideMark/>
          </w:tcPr>
          <w:p w14:paraId="602E740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50</w:t>
            </w:r>
          </w:p>
        </w:tc>
        <w:tc>
          <w:tcPr>
            <w:tcW w:w="987" w:type="dxa"/>
            <w:hideMark/>
          </w:tcPr>
          <w:p w14:paraId="7125EF8E"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273,042</w:t>
            </w:r>
          </w:p>
        </w:tc>
        <w:tc>
          <w:tcPr>
            <w:tcW w:w="1000" w:type="dxa"/>
            <w:tcBorders>
              <w:right w:val="single" w:sz="4" w:space="0" w:color="046B5C"/>
            </w:tcBorders>
            <w:hideMark/>
          </w:tcPr>
          <w:p w14:paraId="5764119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49.9</w:t>
            </w:r>
          </w:p>
        </w:tc>
        <w:tc>
          <w:tcPr>
            <w:tcW w:w="987" w:type="dxa"/>
            <w:tcBorders>
              <w:left w:val="single" w:sz="4" w:space="0" w:color="046B5C"/>
            </w:tcBorders>
            <w:hideMark/>
          </w:tcPr>
          <w:p w14:paraId="3502F8F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176,470</w:t>
            </w:r>
          </w:p>
        </w:tc>
        <w:tc>
          <w:tcPr>
            <w:tcW w:w="1000" w:type="dxa"/>
            <w:hideMark/>
          </w:tcPr>
          <w:p w14:paraId="4E15D6E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52.5</w:t>
            </w:r>
          </w:p>
        </w:tc>
        <w:tc>
          <w:tcPr>
            <w:tcW w:w="987" w:type="dxa"/>
            <w:hideMark/>
          </w:tcPr>
          <w:p w14:paraId="36E3089B"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176,227</w:t>
            </w:r>
          </w:p>
        </w:tc>
        <w:tc>
          <w:tcPr>
            <w:tcW w:w="1000" w:type="dxa"/>
            <w:hideMark/>
          </w:tcPr>
          <w:p w14:paraId="3ECDF93A"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52.4</w:t>
            </w:r>
          </w:p>
        </w:tc>
      </w:tr>
      <w:tr w:rsidR="005F0547" w:rsidRPr="005F0547" w14:paraId="46FFA1F9"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A5772F9" w14:textId="77777777" w:rsidR="005F0547" w:rsidRPr="005F0547" w:rsidRDefault="005F0547" w:rsidP="00F52A6F">
            <w:pPr>
              <w:pStyle w:val="TableTextLeft"/>
              <w:rPr>
                <w:color w:val="000000"/>
              </w:rPr>
            </w:pPr>
            <w:r w:rsidRPr="005F0547">
              <w:rPr>
                <w:color w:val="000000"/>
              </w:rPr>
              <w:t>Sex: Male</w:t>
            </w:r>
          </w:p>
        </w:tc>
        <w:tc>
          <w:tcPr>
            <w:tcW w:w="696" w:type="dxa"/>
            <w:hideMark/>
          </w:tcPr>
          <w:p w14:paraId="17E2A09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273,711</w:t>
            </w:r>
          </w:p>
        </w:tc>
        <w:tc>
          <w:tcPr>
            <w:tcW w:w="1001" w:type="dxa"/>
            <w:hideMark/>
          </w:tcPr>
          <w:p w14:paraId="6C37641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50</w:t>
            </w:r>
          </w:p>
        </w:tc>
        <w:tc>
          <w:tcPr>
            <w:tcW w:w="987" w:type="dxa"/>
            <w:hideMark/>
          </w:tcPr>
          <w:p w14:paraId="2406EE9E"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273,153</w:t>
            </w:r>
          </w:p>
        </w:tc>
        <w:tc>
          <w:tcPr>
            <w:tcW w:w="1000" w:type="dxa"/>
            <w:tcBorders>
              <w:right w:val="single" w:sz="4" w:space="0" w:color="046B5C"/>
            </w:tcBorders>
            <w:hideMark/>
          </w:tcPr>
          <w:p w14:paraId="38FCE26A"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49.9</w:t>
            </w:r>
          </w:p>
        </w:tc>
        <w:tc>
          <w:tcPr>
            <w:tcW w:w="987" w:type="dxa"/>
            <w:tcBorders>
              <w:left w:val="single" w:sz="4" w:space="0" w:color="046B5C"/>
            </w:tcBorders>
            <w:hideMark/>
          </w:tcPr>
          <w:p w14:paraId="5886CD2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159,582</w:t>
            </w:r>
          </w:p>
        </w:tc>
        <w:tc>
          <w:tcPr>
            <w:tcW w:w="1000" w:type="dxa"/>
            <w:hideMark/>
          </w:tcPr>
          <w:p w14:paraId="467855E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47.5</w:t>
            </w:r>
          </w:p>
        </w:tc>
        <w:tc>
          <w:tcPr>
            <w:tcW w:w="987" w:type="dxa"/>
            <w:hideMark/>
          </w:tcPr>
          <w:p w14:paraId="1184AD34"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159,296</w:t>
            </w:r>
          </w:p>
        </w:tc>
        <w:tc>
          <w:tcPr>
            <w:tcW w:w="1000" w:type="dxa"/>
            <w:hideMark/>
          </w:tcPr>
          <w:p w14:paraId="29F56A66"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47.4</w:t>
            </w:r>
          </w:p>
        </w:tc>
      </w:tr>
      <w:tr w:rsidR="005F0547" w:rsidRPr="005F0547" w14:paraId="4DC993E4"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57F59BE8" w14:textId="77777777" w:rsidR="005F0547" w:rsidRPr="005F0547" w:rsidRDefault="005F0547" w:rsidP="00F52A6F">
            <w:pPr>
              <w:pStyle w:val="TableTextLeft"/>
              <w:rPr>
                <w:color w:val="000000"/>
              </w:rPr>
            </w:pPr>
            <w:r w:rsidRPr="005F0547">
              <w:rPr>
                <w:color w:val="000000"/>
              </w:rPr>
              <w:t>Age: 18-64</w:t>
            </w:r>
          </w:p>
        </w:tc>
        <w:tc>
          <w:tcPr>
            <w:tcW w:w="696" w:type="dxa"/>
            <w:hideMark/>
          </w:tcPr>
          <w:p w14:paraId="046AF3F1"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345,602</w:t>
            </w:r>
          </w:p>
        </w:tc>
        <w:tc>
          <w:tcPr>
            <w:tcW w:w="1001" w:type="dxa"/>
            <w:hideMark/>
          </w:tcPr>
          <w:p w14:paraId="161D242B"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63.2</w:t>
            </w:r>
          </w:p>
        </w:tc>
        <w:tc>
          <w:tcPr>
            <w:tcW w:w="987" w:type="dxa"/>
            <w:hideMark/>
          </w:tcPr>
          <w:p w14:paraId="77014143"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344,852</w:t>
            </w:r>
          </w:p>
        </w:tc>
        <w:tc>
          <w:tcPr>
            <w:tcW w:w="1000" w:type="dxa"/>
            <w:tcBorders>
              <w:right w:val="single" w:sz="4" w:space="0" w:color="046B5C"/>
            </w:tcBorders>
            <w:hideMark/>
          </w:tcPr>
          <w:p w14:paraId="063197A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63</w:t>
            </w:r>
          </w:p>
        </w:tc>
        <w:tc>
          <w:tcPr>
            <w:tcW w:w="987" w:type="dxa"/>
            <w:tcBorders>
              <w:left w:val="single" w:sz="4" w:space="0" w:color="046B5C"/>
            </w:tcBorders>
            <w:hideMark/>
          </w:tcPr>
          <w:p w14:paraId="3793ECA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185,216</w:t>
            </w:r>
          </w:p>
        </w:tc>
        <w:tc>
          <w:tcPr>
            <w:tcW w:w="1000" w:type="dxa"/>
            <w:hideMark/>
          </w:tcPr>
          <w:p w14:paraId="40EAE710"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55.1</w:t>
            </w:r>
          </w:p>
        </w:tc>
        <w:tc>
          <w:tcPr>
            <w:tcW w:w="987" w:type="dxa"/>
            <w:hideMark/>
          </w:tcPr>
          <w:p w14:paraId="0EAF1839"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184,867</w:t>
            </w:r>
          </w:p>
        </w:tc>
        <w:tc>
          <w:tcPr>
            <w:tcW w:w="1000" w:type="dxa"/>
            <w:hideMark/>
          </w:tcPr>
          <w:p w14:paraId="6E40FA27"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55</w:t>
            </w:r>
          </w:p>
        </w:tc>
      </w:tr>
      <w:tr w:rsidR="005F0547" w:rsidRPr="005F0547" w14:paraId="7629D782" w14:textId="77777777" w:rsidTr="007E083C">
        <w:trPr>
          <w:trHeight w:val="120"/>
        </w:trPr>
        <w:tc>
          <w:tcPr>
            <w:cnfStyle w:val="001000000000" w:firstRow="0" w:lastRow="0" w:firstColumn="1" w:lastColumn="0" w:oddVBand="0" w:evenVBand="0" w:oddHBand="0" w:evenHBand="0" w:firstRowFirstColumn="0" w:firstRowLastColumn="0" w:lastRowFirstColumn="0" w:lastRowLastColumn="0"/>
            <w:tcW w:w="2422" w:type="dxa"/>
            <w:hideMark/>
          </w:tcPr>
          <w:p w14:paraId="493B770E" w14:textId="77777777" w:rsidR="005F0547" w:rsidRPr="005F0547" w:rsidRDefault="005F0547" w:rsidP="00F52A6F">
            <w:pPr>
              <w:pStyle w:val="TableTextLeft"/>
              <w:rPr>
                <w:color w:val="000000"/>
              </w:rPr>
            </w:pPr>
            <w:r w:rsidRPr="005F0547">
              <w:rPr>
                <w:color w:val="000000"/>
              </w:rPr>
              <w:t>Dual Medicare-Medicaid status</w:t>
            </w:r>
          </w:p>
        </w:tc>
        <w:tc>
          <w:tcPr>
            <w:tcW w:w="696" w:type="dxa"/>
            <w:hideMark/>
          </w:tcPr>
          <w:p w14:paraId="09533D24"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263,104</w:t>
            </w:r>
          </w:p>
        </w:tc>
        <w:tc>
          <w:tcPr>
            <w:tcW w:w="1001" w:type="dxa"/>
            <w:hideMark/>
          </w:tcPr>
          <w:p w14:paraId="595D3484"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48.1</w:t>
            </w:r>
          </w:p>
        </w:tc>
        <w:tc>
          <w:tcPr>
            <w:tcW w:w="987" w:type="dxa"/>
            <w:hideMark/>
          </w:tcPr>
          <w:p w14:paraId="67B48CC2"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262,561</w:t>
            </w:r>
          </w:p>
        </w:tc>
        <w:tc>
          <w:tcPr>
            <w:tcW w:w="1000" w:type="dxa"/>
            <w:tcBorders>
              <w:right w:val="single" w:sz="4" w:space="0" w:color="046B5C"/>
            </w:tcBorders>
            <w:hideMark/>
          </w:tcPr>
          <w:p w14:paraId="1488E265"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48.1</w:t>
            </w:r>
          </w:p>
        </w:tc>
        <w:tc>
          <w:tcPr>
            <w:tcW w:w="987" w:type="dxa"/>
            <w:tcBorders>
              <w:left w:val="single" w:sz="4" w:space="0" w:color="046B5C"/>
            </w:tcBorders>
            <w:hideMark/>
          </w:tcPr>
          <w:p w14:paraId="6261F017"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150,946</w:t>
            </w:r>
          </w:p>
        </w:tc>
        <w:tc>
          <w:tcPr>
            <w:tcW w:w="1000" w:type="dxa"/>
            <w:hideMark/>
          </w:tcPr>
          <w:p w14:paraId="6244936C"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44.9</w:t>
            </w:r>
          </w:p>
        </w:tc>
        <w:tc>
          <w:tcPr>
            <w:tcW w:w="987" w:type="dxa"/>
            <w:hideMark/>
          </w:tcPr>
          <w:p w14:paraId="7BD873BE"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150,679</w:t>
            </w:r>
          </w:p>
        </w:tc>
        <w:tc>
          <w:tcPr>
            <w:tcW w:w="1000" w:type="dxa"/>
            <w:hideMark/>
          </w:tcPr>
          <w:p w14:paraId="39DD343D" w14:textId="77777777" w:rsidR="005F0547" w:rsidRPr="005F0547" w:rsidRDefault="005F0547" w:rsidP="00836015">
            <w:pPr>
              <w:pStyle w:val="TableTextCentered"/>
              <w:cnfStyle w:val="000000000000" w:firstRow="0" w:lastRow="0" w:firstColumn="0" w:lastColumn="0" w:oddVBand="0" w:evenVBand="0" w:oddHBand="0" w:evenHBand="0" w:firstRowFirstColumn="0" w:firstRowLastColumn="0" w:lastRowFirstColumn="0" w:lastRowLastColumn="0"/>
            </w:pPr>
            <w:r w:rsidRPr="005F0547">
              <w:t>44.9</w:t>
            </w:r>
          </w:p>
        </w:tc>
      </w:tr>
    </w:tbl>
    <w:p w14:paraId="65E4FC82" w14:textId="324D18DF" w:rsidR="00086FAC" w:rsidRPr="00CB749B" w:rsidRDefault="008A6899" w:rsidP="00086FAC">
      <w:pPr>
        <w:pStyle w:val="TableSourceCaption"/>
        <w:tabs>
          <w:tab w:val="left" w:pos="0"/>
        </w:tabs>
        <w:rPr>
          <w:rFonts w:asciiTheme="minorHAnsi" w:hAnsiTheme="minorHAnsi" w:cstheme="minorHAnsi"/>
        </w:rPr>
      </w:pPr>
      <w:r>
        <w:rPr>
          <w:rFonts w:asciiTheme="minorHAnsi" w:hAnsiTheme="minorHAnsi" w:cstheme="minorHAnsi"/>
        </w:rPr>
        <w:t>S</w:t>
      </w:r>
      <w:r w:rsidR="00086FAC" w:rsidRPr="00CB749B">
        <w:rPr>
          <w:rFonts w:asciiTheme="minorHAnsi" w:hAnsiTheme="minorHAnsi" w:cstheme="minorHAnsi"/>
        </w:rPr>
        <w:t>ource:</w:t>
      </w:r>
      <w:r w:rsidR="00086FAC" w:rsidRPr="00CB749B">
        <w:rPr>
          <w:rFonts w:asciiTheme="minorHAnsi" w:hAnsiTheme="minorHAnsi" w:cstheme="minorHAnsi"/>
        </w:rPr>
        <w:tab/>
        <w:t>Mathematica analysis of the Medicare Fee for Service (FFS) data for the 7/1/2017-6/30/2019 performance period. Results are based on a total of 547,196 discharges from 1,700 IPFs.</w:t>
      </w:r>
    </w:p>
    <w:p w14:paraId="1CB7E1AB" w14:textId="77777777" w:rsidR="00086FAC" w:rsidRPr="00CB749B" w:rsidRDefault="00086FAC" w:rsidP="00086FAC">
      <w:pPr>
        <w:autoSpaceDE w:val="0"/>
        <w:autoSpaceDN w:val="0"/>
        <w:adjustRightInd w:val="0"/>
        <w:spacing w:after="120" w:line="240" w:lineRule="auto"/>
        <w:rPr>
          <w:rFonts w:cstheme="minorHAnsi"/>
          <w:bCs/>
          <w:color w:val="00B050"/>
        </w:rPr>
      </w:pPr>
    </w:p>
    <w:p w14:paraId="4CFBA003" w14:textId="2459E5F8" w:rsidR="00C14527" w:rsidRDefault="00C14527" w:rsidP="000C0983">
      <w:pPr>
        <w:pStyle w:val="Caption"/>
      </w:pPr>
      <w:r w:rsidRPr="00EA3665">
        <w:t xml:space="preserve">Table </w:t>
      </w:r>
      <w:r w:rsidR="00A92E82">
        <w:fldChar w:fldCharType="begin"/>
      </w:r>
      <w:r w:rsidR="00A92E82">
        <w:instrText xml:space="preserve"> SEQ Table \* ARABIC </w:instrText>
      </w:r>
      <w:r w:rsidR="00A92E82">
        <w:fldChar w:fldCharType="separate"/>
      </w:r>
      <w:r w:rsidRPr="00EA3665">
        <w:rPr>
          <w:noProof/>
        </w:rPr>
        <w:t>1</w:t>
      </w:r>
      <w:r w:rsidR="00A92E82">
        <w:rPr>
          <w:noProof/>
        </w:rPr>
        <w:fldChar w:fldCharType="end"/>
      </w:r>
      <w:r w:rsidRPr="00EA3665">
        <w:rPr>
          <w:noProof/>
        </w:rPr>
        <w:t>.6.b</w:t>
      </w:r>
      <w:r w:rsidRPr="00EA3665">
        <w:t>. Index admissions and unadjusted readmission rate by principal discharge diagnosis</w:t>
      </w:r>
    </w:p>
    <w:tbl>
      <w:tblPr>
        <w:tblStyle w:val="MathUBaseTable"/>
        <w:tblW w:w="10380" w:type="dxa"/>
        <w:tblLook w:val="04A0" w:firstRow="1" w:lastRow="0" w:firstColumn="1" w:lastColumn="0" w:noHBand="0" w:noVBand="1"/>
      </w:tblPr>
      <w:tblGrid>
        <w:gridCol w:w="3340"/>
        <w:gridCol w:w="1840"/>
        <w:gridCol w:w="1740"/>
        <w:gridCol w:w="1800"/>
        <w:gridCol w:w="1660"/>
      </w:tblGrid>
      <w:tr w:rsidR="009D7EA6" w:rsidRPr="009D7EA6" w14:paraId="2F44A802" w14:textId="77777777" w:rsidTr="001E2939">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3340" w:type="dxa"/>
            <w:hideMark/>
          </w:tcPr>
          <w:p w14:paraId="3D1EDCB4" w14:textId="77777777" w:rsidR="009D7EA6" w:rsidRPr="009D7EA6" w:rsidRDefault="009D7EA6" w:rsidP="001E2939">
            <w:pPr>
              <w:pStyle w:val="TableHeaderLeft"/>
              <w:rPr>
                <w:b w:val="0"/>
              </w:rPr>
            </w:pPr>
            <w:r w:rsidRPr="009D7EA6">
              <w:t>Principal Discharge Diagnosis</w:t>
            </w:r>
          </w:p>
        </w:tc>
        <w:tc>
          <w:tcPr>
            <w:tcW w:w="1840" w:type="dxa"/>
            <w:hideMark/>
          </w:tcPr>
          <w:p w14:paraId="6405AF6B" w14:textId="77777777" w:rsidR="009D7EA6" w:rsidRPr="009D7EA6" w:rsidRDefault="009D7EA6" w:rsidP="001E2939">
            <w:pPr>
              <w:pStyle w:val="TableHeaderCenter"/>
              <w:cnfStyle w:val="100000000000" w:firstRow="1" w:lastRow="0" w:firstColumn="0" w:lastColumn="0" w:oddVBand="0" w:evenVBand="0" w:oddHBand="0" w:evenHBand="0" w:firstRowFirstColumn="0" w:firstRowLastColumn="0" w:lastRowFirstColumn="0" w:lastRowLastColumn="0"/>
              <w:rPr>
                <w:b w:val="0"/>
              </w:rPr>
            </w:pPr>
            <w:r w:rsidRPr="009D7EA6">
              <w:t xml:space="preserve">Number of Index Admissions </w:t>
            </w:r>
            <w:r w:rsidRPr="009D7EA6">
              <w:br/>
              <w:t>(n=547,196)</w:t>
            </w:r>
          </w:p>
        </w:tc>
        <w:tc>
          <w:tcPr>
            <w:tcW w:w="1740" w:type="dxa"/>
            <w:hideMark/>
          </w:tcPr>
          <w:p w14:paraId="49278765" w14:textId="77777777" w:rsidR="009D7EA6" w:rsidRPr="009D7EA6" w:rsidRDefault="009D7EA6" w:rsidP="001E2939">
            <w:pPr>
              <w:pStyle w:val="TableHeaderCenter"/>
              <w:cnfStyle w:val="100000000000" w:firstRow="1" w:lastRow="0" w:firstColumn="0" w:lastColumn="0" w:oddVBand="0" w:evenVBand="0" w:oddHBand="0" w:evenHBand="0" w:firstRowFirstColumn="0" w:firstRowLastColumn="0" w:lastRowFirstColumn="0" w:lastRowLastColumn="0"/>
              <w:rPr>
                <w:b w:val="0"/>
              </w:rPr>
            </w:pPr>
            <w:r w:rsidRPr="009D7EA6">
              <w:t>Percent of Index Admissions</w:t>
            </w:r>
            <w:r w:rsidRPr="009D7EA6">
              <w:br/>
              <w:t>(n=547,196)</w:t>
            </w:r>
          </w:p>
        </w:tc>
        <w:tc>
          <w:tcPr>
            <w:tcW w:w="1800" w:type="dxa"/>
            <w:hideMark/>
          </w:tcPr>
          <w:p w14:paraId="0C81FA46" w14:textId="77777777" w:rsidR="009D7EA6" w:rsidRPr="009D7EA6" w:rsidRDefault="009D7EA6" w:rsidP="001E2939">
            <w:pPr>
              <w:pStyle w:val="TableHeaderCenter"/>
              <w:cnfStyle w:val="100000000000" w:firstRow="1" w:lastRow="0" w:firstColumn="0" w:lastColumn="0" w:oddVBand="0" w:evenVBand="0" w:oddHBand="0" w:evenHBand="0" w:firstRowFirstColumn="0" w:firstRowLastColumn="0" w:lastRowFirstColumn="0" w:lastRowLastColumn="0"/>
              <w:rPr>
                <w:b w:val="0"/>
              </w:rPr>
            </w:pPr>
            <w:r w:rsidRPr="009D7EA6">
              <w:t xml:space="preserve">Number of Readmissions </w:t>
            </w:r>
            <w:r w:rsidRPr="009D7EA6">
              <w:br/>
              <w:t>(n=109,975)</w:t>
            </w:r>
          </w:p>
        </w:tc>
        <w:tc>
          <w:tcPr>
            <w:tcW w:w="1660" w:type="dxa"/>
            <w:hideMark/>
          </w:tcPr>
          <w:p w14:paraId="716AF4F7" w14:textId="77777777" w:rsidR="009D7EA6" w:rsidRPr="009D7EA6" w:rsidRDefault="009D7EA6" w:rsidP="001E2939">
            <w:pPr>
              <w:pStyle w:val="TableHeaderCenter"/>
              <w:cnfStyle w:val="100000000000" w:firstRow="1" w:lastRow="0" w:firstColumn="0" w:lastColumn="0" w:oddVBand="0" w:evenVBand="0" w:oddHBand="0" w:evenHBand="0" w:firstRowFirstColumn="0" w:firstRowLastColumn="0" w:lastRowFirstColumn="0" w:lastRowLastColumn="0"/>
              <w:rPr>
                <w:b w:val="0"/>
              </w:rPr>
            </w:pPr>
            <w:r w:rsidRPr="009D7EA6">
              <w:t xml:space="preserve">Percent of Readmissions </w:t>
            </w:r>
            <w:r w:rsidRPr="009D7EA6">
              <w:br/>
              <w:t>(n= 109,975)</w:t>
            </w:r>
          </w:p>
        </w:tc>
      </w:tr>
      <w:tr w:rsidR="009D7EA6" w:rsidRPr="009D7EA6" w14:paraId="46D1FF25"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7EE2D5D" w14:textId="77777777" w:rsidR="009D7EA6" w:rsidRPr="009D7EA6" w:rsidRDefault="009D7EA6" w:rsidP="001E2939">
            <w:pPr>
              <w:pStyle w:val="TableTextLeft"/>
              <w:rPr>
                <w:color w:val="000000"/>
              </w:rPr>
            </w:pPr>
            <w:r w:rsidRPr="009D7EA6">
              <w:rPr>
                <w:color w:val="000000"/>
              </w:rPr>
              <w:t>CCS 650 Adjustment disorder</w:t>
            </w:r>
          </w:p>
        </w:tc>
        <w:tc>
          <w:tcPr>
            <w:tcW w:w="1840" w:type="dxa"/>
            <w:hideMark/>
          </w:tcPr>
          <w:p w14:paraId="074F446C"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5,390</w:t>
            </w:r>
          </w:p>
        </w:tc>
        <w:tc>
          <w:tcPr>
            <w:tcW w:w="1740" w:type="dxa"/>
            <w:hideMark/>
          </w:tcPr>
          <w:p w14:paraId="07008BA0"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0.99%</w:t>
            </w:r>
          </w:p>
        </w:tc>
        <w:tc>
          <w:tcPr>
            <w:tcW w:w="1800" w:type="dxa"/>
            <w:hideMark/>
          </w:tcPr>
          <w:p w14:paraId="3AF928EE"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880</w:t>
            </w:r>
          </w:p>
        </w:tc>
        <w:tc>
          <w:tcPr>
            <w:tcW w:w="1660" w:type="dxa"/>
            <w:hideMark/>
          </w:tcPr>
          <w:p w14:paraId="03A407F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0.80%</w:t>
            </w:r>
          </w:p>
        </w:tc>
      </w:tr>
      <w:tr w:rsidR="009D7EA6" w:rsidRPr="009D7EA6" w14:paraId="5F5C5A5D"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013610AD" w14:textId="77777777" w:rsidR="009D7EA6" w:rsidRPr="009D7EA6" w:rsidRDefault="009D7EA6" w:rsidP="001E2939">
            <w:pPr>
              <w:pStyle w:val="TableTextLeft"/>
              <w:rPr>
                <w:color w:val="000000"/>
              </w:rPr>
            </w:pPr>
            <w:r w:rsidRPr="009D7EA6">
              <w:rPr>
                <w:color w:val="000000"/>
              </w:rPr>
              <w:t>CCS 651 Anxiety</w:t>
            </w:r>
          </w:p>
        </w:tc>
        <w:tc>
          <w:tcPr>
            <w:tcW w:w="1840" w:type="dxa"/>
            <w:hideMark/>
          </w:tcPr>
          <w:p w14:paraId="122A7559"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7,211</w:t>
            </w:r>
          </w:p>
        </w:tc>
        <w:tc>
          <w:tcPr>
            <w:tcW w:w="1740" w:type="dxa"/>
            <w:hideMark/>
          </w:tcPr>
          <w:p w14:paraId="01E4892A"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1.32%</w:t>
            </w:r>
          </w:p>
        </w:tc>
        <w:tc>
          <w:tcPr>
            <w:tcW w:w="1800" w:type="dxa"/>
            <w:hideMark/>
          </w:tcPr>
          <w:p w14:paraId="376EC738"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1,201</w:t>
            </w:r>
          </w:p>
        </w:tc>
        <w:tc>
          <w:tcPr>
            <w:tcW w:w="1660" w:type="dxa"/>
            <w:hideMark/>
          </w:tcPr>
          <w:p w14:paraId="2FDD7EF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1.09%</w:t>
            </w:r>
          </w:p>
        </w:tc>
      </w:tr>
      <w:tr w:rsidR="009D7EA6" w:rsidRPr="009D7EA6" w14:paraId="596E4A99"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503880F" w14:textId="77777777" w:rsidR="009D7EA6" w:rsidRPr="009D7EA6" w:rsidRDefault="009D7EA6" w:rsidP="001E2939">
            <w:pPr>
              <w:pStyle w:val="TableTextLeft"/>
              <w:rPr>
                <w:color w:val="000000"/>
              </w:rPr>
            </w:pPr>
            <w:r w:rsidRPr="009D7EA6">
              <w:rPr>
                <w:color w:val="000000"/>
              </w:rPr>
              <w:t>CCS 652/654/655 ADD/developmental/childhood disorders</w:t>
            </w:r>
          </w:p>
        </w:tc>
        <w:tc>
          <w:tcPr>
            <w:tcW w:w="1840" w:type="dxa"/>
            <w:hideMark/>
          </w:tcPr>
          <w:p w14:paraId="2387A55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1,324</w:t>
            </w:r>
          </w:p>
        </w:tc>
        <w:tc>
          <w:tcPr>
            <w:tcW w:w="1740" w:type="dxa"/>
            <w:hideMark/>
          </w:tcPr>
          <w:p w14:paraId="25DE675A"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0.24%</w:t>
            </w:r>
          </w:p>
        </w:tc>
        <w:tc>
          <w:tcPr>
            <w:tcW w:w="1800" w:type="dxa"/>
            <w:hideMark/>
          </w:tcPr>
          <w:p w14:paraId="602FA762"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220</w:t>
            </w:r>
          </w:p>
        </w:tc>
        <w:tc>
          <w:tcPr>
            <w:tcW w:w="1660" w:type="dxa"/>
            <w:hideMark/>
          </w:tcPr>
          <w:p w14:paraId="1F35439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0.20%</w:t>
            </w:r>
          </w:p>
        </w:tc>
      </w:tr>
      <w:tr w:rsidR="009D7EA6" w:rsidRPr="009D7EA6" w14:paraId="66F36C8C"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730B482" w14:textId="77777777" w:rsidR="009D7EA6" w:rsidRPr="009D7EA6" w:rsidRDefault="009D7EA6" w:rsidP="001E2939">
            <w:pPr>
              <w:pStyle w:val="TableTextLeft"/>
              <w:rPr>
                <w:color w:val="000000"/>
              </w:rPr>
            </w:pPr>
            <w:r w:rsidRPr="009D7EA6">
              <w:rPr>
                <w:color w:val="000000"/>
              </w:rPr>
              <w:t>CCS 653 Dementia</w:t>
            </w:r>
          </w:p>
        </w:tc>
        <w:tc>
          <w:tcPr>
            <w:tcW w:w="1840" w:type="dxa"/>
            <w:hideMark/>
          </w:tcPr>
          <w:p w14:paraId="2289D2C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72,024</w:t>
            </w:r>
          </w:p>
        </w:tc>
        <w:tc>
          <w:tcPr>
            <w:tcW w:w="1740" w:type="dxa"/>
            <w:hideMark/>
          </w:tcPr>
          <w:p w14:paraId="1C6786A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13.16%</w:t>
            </w:r>
          </w:p>
        </w:tc>
        <w:tc>
          <w:tcPr>
            <w:tcW w:w="1800" w:type="dxa"/>
            <w:hideMark/>
          </w:tcPr>
          <w:p w14:paraId="4AA50876"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11,327</w:t>
            </w:r>
          </w:p>
        </w:tc>
        <w:tc>
          <w:tcPr>
            <w:tcW w:w="1660" w:type="dxa"/>
            <w:hideMark/>
          </w:tcPr>
          <w:p w14:paraId="38426A4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10.30%</w:t>
            </w:r>
          </w:p>
        </w:tc>
      </w:tr>
      <w:tr w:rsidR="009D7EA6" w:rsidRPr="009D7EA6" w14:paraId="18672FF2"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23981964" w14:textId="77777777" w:rsidR="009D7EA6" w:rsidRPr="009D7EA6" w:rsidRDefault="009D7EA6" w:rsidP="001E2939">
            <w:pPr>
              <w:pStyle w:val="TableTextLeft"/>
              <w:rPr>
                <w:color w:val="000000"/>
              </w:rPr>
            </w:pPr>
            <w:r w:rsidRPr="009D7EA6">
              <w:rPr>
                <w:color w:val="000000"/>
              </w:rPr>
              <w:t>CCS 656 Impulse control disorders</w:t>
            </w:r>
          </w:p>
        </w:tc>
        <w:tc>
          <w:tcPr>
            <w:tcW w:w="1840" w:type="dxa"/>
            <w:hideMark/>
          </w:tcPr>
          <w:p w14:paraId="1D12E5B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2,060</w:t>
            </w:r>
          </w:p>
        </w:tc>
        <w:tc>
          <w:tcPr>
            <w:tcW w:w="1740" w:type="dxa"/>
            <w:hideMark/>
          </w:tcPr>
          <w:p w14:paraId="7902CBBB"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0.38%</w:t>
            </w:r>
          </w:p>
        </w:tc>
        <w:tc>
          <w:tcPr>
            <w:tcW w:w="1800" w:type="dxa"/>
            <w:hideMark/>
          </w:tcPr>
          <w:p w14:paraId="7B4EBE9D"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348</w:t>
            </w:r>
          </w:p>
        </w:tc>
        <w:tc>
          <w:tcPr>
            <w:tcW w:w="1660" w:type="dxa"/>
            <w:hideMark/>
          </w:tcPr>
          <w:p w14:paraId="16F38CA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0.32%</w:t>
            </w:r>
          </w:p>
        </w:tc>
      </w:tr>
      <w:tr w:rsidR="009D7EA6" w:rsidRPr="009D7EA6" w14:paraId="6A97EF2D"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49A70B83" w14:textId="77777777" w:rsidR="009D7EA6" w:rsidRPr="009D7EA6" w:rsidRDefault="009D7EA6" w:rsidP="001E2939">
            <w:pPr>
              <w:pStyle w:val="TableTextLeft"/>
              <w:rPr>
                <w:color w:val="000000"/>
              </w:rPr>
            </w:pPr>
            <w:r w:rsidRPr="009D7EA6">
              <w:rPr>
                <w:color w:val="000000"/>
              </w:rPr>
              <w:t>CCS 657.1 Bipolar disorder</w:t>
            </w:r>
          </w:p>
        </w:tc>
        <w:tc>
          <w:tcPr>
            <w:tcW w:w="1840" w:type="dxa"/>
            <w:hideMark/>
          </w:tcPr>
          <w:p w14:paraId="28718E10"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105,173</w:t>
            </w:r>
          </w:p>
        </w:tc>
        <w:tc>
          <w:tcPr>
            <w:tcW w:w="1740" w:type="dxa"/>
            <w:hideMark/>
          </w:tcPr>
          <w:p w14:paraId="2763BDC0"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19.22%</w:t>
            </w:r>
          </w:p>
        </w:tc>
        <w:tc>
          <w:tcPr>
            <w:tcW w:w="1800" w:type="dxa"/>
            <w:hideMark/>
          </w:tcPr>
          <w:p w14:paraId="38734298"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22,493</w:t>
            </w:r>
          </w:p>
        </w:tc>
        <w:tc>
          <w:tcPr>
            <w:tcW w:w="1660" w:type="dxa"/>
            <w:hideMark/>
          </w:tcPr>
          <w:p w14:paraId="38CEA4E0"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20.45%</w:t>
            </w:r>
          </w:p>
        </w:tc>
      </w:tr>
      <w:tr w:rsidR="009D7EA6" w:rsidRPr="009D7EA6" w14:paraId="1C420391"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61BF8E54" w14:textId="77777777" w:rsidR="009D7EA6" w:rsidRPr="009D7EA6" w:rsidRDefault="009D7EA6" w:rsidP="001E2939">
            <w:pPr>
              <w:pStyle w:val="TableTextLeft"/>
              <w:rPr>
                <w:color w:val="000000"/>
              </w:rPr>
            </w:pPr>
            <w:r w:rsidRPr="009D7EA6">
              <w:rPr>
                <w:color w:val="000000"/>
              </w:rPr>
              <w:t>CCS 657.2/662 Depressive disorder</w:t>
            </w:r>
          </w:p>
        </w:tc>
        <w:tc>
          <w:tcPr>
            <w:tcW w:w="1840" w:type="dxa"/>
            <w:hideMark/>
          </w:tcPr>
          <w:p w14:paraId="0CC4057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128,442</w:t>
            </w:r>
          </w:p>
        </w:tc>
        <w:tc>
          <w:tcPr>
            <w:tcW w:w="1740" w:type="dxa"/>
            <w:hideMark/>
          </w:tcPr>
          <w:p w14:paraId="57122448"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23.47%</w:t>
            </w:r>
          </w:p>
        </w:tc>
        <w:tc>
          <w:tcPr>
            <w:tcW w:w="1800" w:type="dxa"/>
            <w:hideMark/>
          </w:tcPr>
          <w:p w14:paraId="6E06C2A2"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23,119</w:t>
            </w:r>
          </w:p>
        </w:tc>
        <w:tc>
          <w:tcPr>
            <w:tcW w:w="1660" w:type="dxa"/>
            <w:hideMark/>
          </w:tcPr>
          <w:p w14:paraId="1465B0F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21.02%</w:t>
            </w:r>
          </w:p>
        </w:tc>
      </w:tr>
      <w:tr w:rsidR="009D7EA6" w:rsidRPr="009D7EA6" w14:paraId="27B21B3D"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2B8F8860" w14:textId="77777777" w:rsidR="009D7EA6" w:rsidRPr="009D7EA6" w:rsidRDefault="009D7EA6" w:rsidP="001E2939">
            <w:pPr>
              <w:pStyle w:val="TableTextLeft"/>
              <w:rPr>
                <w:color w:val="000000"/>
              </w:rPr>
            </w:pPr>
            <w:r w:rsidRPr="009D7EA6">
              <w:rPr>
                <w:color w:val="000000"/>
              </w:rPr>
              <w:t>CCS 658 Personality disorder</w:t>
            </w:r>
          </w:p>
        </w:tc>
        <w:tc>
          <w:tcPr>
            <w:tcW w:w="1840" w:type="dxa"/>
            <w:hideMark/>
          </w:tcPr>
          <w:p w14:paraId="3C6F9548"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2,230</w:t>
            </w:r>
          </w:p>
        </w:tc>
        <w:tc>
          <w:tcPr>
            <w:tcW w:w="1740" w:type="dxa"/>
            <w:hideMark/>
          </w:tcPr>
          <w:p w14:paraId="1FBEACCC"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0.41%</w:t>
            </w:r>
          </w:p>
        </w:tc>
        <w:tc>
          <w:tcPr>
            <w:tcW w:w="1800" w:type="dxa"/>
            <w:hideMark/>
          </w:tcPr>
          <w:p w14:paraId="70F7C61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530</w:t>
            </w:r>
          </w:p>
        </w:tc>
        <w:tc>
          <w:tcPr>
            <w:tcW w:w="1660" w:type="dxa"/>
            <w:hideMark/>
          </w:tcPr>
          <w:p w14:paraId="6C76E167"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0.48%</w:t>
            </w:r>
          </w:p>
        </w:tc>
      </w:tr>
      <w:tr w:rsidR="009D7EA6" w:rsidRPr="009D7EA6" w14:paraId="7900FF55"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6CBBF82" w14:textId="77777777" w:rsidR="009D7EA6" w:rsidRPr="009D7EA6" w:rsidRDefault="009D7EA6" w:rsidP="001E2939">
            <w:pPr>
              <w:pStyle w:val="TableTextLeft"/>
              <w:rPr>
                <w:color w:val="000000"/>
              </w:rPr>
            </w:pPr>
            <w:r w:rsidRPr="009D7EA6">
              <w:rPr>
                <w:color w:val="000000"/>
              </w:rPr>
              <w:t xml:space="preserve">CCS 659.1 </w:t>
            </w:r>
            <w:proofErr w:type="spellStart"/>
            <w:r w:rsidRPr="009D7EA6">
              <w:rPr>
                <w:color w:val="000000"/>
              </w:rPr>
              <w:t>Schizo</w:t>
            </w:r>
            <w:proofErr w:type="spellEnd"/>
            <w:r w:rsidRPr="009D7EA6">
              <w:rPr>
                <w:color w:val="000000"/>
              </w:rPr>
              <w:t>-affective disorder</w:t>
            </w:r>
          </w:p>
        </w:tc>
        <w:tc>
          <w:tcPr>
            <w:tcW w:w="1840" w:type="dxa"/>
            <w:hideMark/>
          </w:tcPr>
          <w:p w14:paraId="017EE1F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98,962</w:t>
            </w:r>
          </w:p>
        </w:tc>
        <w:tc>
          <w:tcPr>
            <w:tcW w:w="1740" w:type="dxa"/>
            <w:hideMark/>
          </w:tcPr>
          <w:p w14:paraId="7BAF0DB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18.09%</w:t>
            </w:r>
          </w:p>
        </w:tc>
        <w:tc>
          <w:tcPr>
            <w:tcW w:w="1800" w:type="dxa"/>
            <w:hideMark/>
          </w:tcPr>
          <w:p w14:paraId="05AD97D9"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24,433</w:t>
            </w:r>
          </w:p>
        </w:tc>
        <w:tc>
          <w:tcPr>
            <w:tcW w:w="1660" w:type="dxa"/>
            <w:hideMark/>
          </w:tcPr>
          <w:p w14:paraId="6FA71C99"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22.22%</w:t>
            </w:r>
          </w:p>
        </w:tc>
      </w:tr>
      <w:tr w:rsidR="009D7EA6" w:rsidRPr="009D7EA6" w14:paraId="531F4388"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3650537F" w14:textId="77777777" w:rsidR="009D7EA6" w:rsidRPr="009D7EA6" w:rsidRDefault="009D7EA6" w:rsidP="001E2939">
            <w:pPr>
              <w:pStyle w:val="TableTextLeft"/>
              <w:rPr>
                <w:color w:val="000000"/>
              </w:rPr>
            </w:pPr>
            <w:r w:rsidRPr="009D7EA6">
              <w:rPr>
                <w:color w:val="000000"/>
              </w:rPr>
              <w:t>CCS 659.2 Psychosis</w:t>
            </w:r>
          </w:p>
        </w:tc>
        <w:tc>
          <w:tcPr>
            <w:tcW w:w="1840" w:type="dxa"/>
            <w:hideMark/>
          </w:tcPr>
          <w:p w14:paraId="429FED1A"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89,881</w:t>
            </w:r>
          </w:p>
        </w:tc>
        <w:tc>
          <w:tcPr>
            <w:tcW w:w="1740" w:type="dxa"/>
            <w:hideMark/>
          </w:tcPr>
          <w:p w14:paraId="0C57E09B"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16.43%</w:t>
            </w:r>
          </w:p>
        </w:tc>
        <w:tc>
          <w:tcPr>
            <w:tcW w:w="1800" w:type="dxa"/>
            <w:hideMark/>
          </w:tcPr>
          <w:p w14:paraId="22504BD7"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18,562</w:t>
            </w:r>
          </w:p>
        </w:tc>
        <w:tc>
          <w:tcPr>
            <w:tcW w:w="1660" w:type="dxa"/>
            <w:hideMark/>
          </w:tcPr>
          <w:p w14:paraId="7D7A2D0D"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16.88%</w:t>
            </w:r>
          </w:p>
        </w:tc>
      </w:tr>
      <w:tr w:rsidR="009D7EA6" w:rsidRPr="009D7EA6" w14:paraId="7B9DD466"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16EA354" w14:textId="77777777" w:rsidR="009D7EA6" w:rsidRPr="009D7EA6" w:rsidRDefault="009D7EA6" w:rsidP="001E2939">
            <w:pPr>
              <w:pStyle w:val="TableTextLeft"/>
              <w:rPr>
                <w:color w:val="000000"/>
              </w:rPr>
            </w:pPr>
            <w:r w:rsidRPr="009D7EA6">
              <w:rPr>
                <w:color w:val="000000"/>
              </w:rPr>
              <w:t>CCS 660 Alcohol disorder</w:t>
            </w:r>
          </w:p>
        </w:tc>
        <w:tc>
          <w:tcPr>
            <w:tcW w:w="1840" w:type="dxa"/>
            <w:hideMark/>
          </w:tcPr>
          <w:p w14:paraId="3C7CAF1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17,703</w:t>
            </w:r>
          </w:p>
        </w:tc>
        <w:tc>
          <w:tcPr>
            <w:tcW w:w="1740" w:type="dxa"/>
            <w:hideMark/>
          </w:tcPr>
          <w:p w14:paraId="16553290"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3.24%</w:t>
            </w:r>
          </w:p>
        </w:tc>
        <w:tc>
          <w:tcPr>
            <w:tcW w:w="1800" w:type="dxa"/>
            <w:hideMark/>
          </w:tcPr>
          <w:p w14:paraId="5D817CCD"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3,661</w:t>
            </w:r>
          </w:p>
        </w:tc>
        <w:tc>
          <w:tcPr>
            <w:tcW w:w="1660" w:type="dxa"/>
            <w:hideMark/>
          </w:tcPr>
          <w:p w14:paraId="4B9DB10B"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3.33%</w:t>
            </w:r>
          </w:p>
        </w:tc>
      </w:tr>
      <w:tr w:rsidR="009D7EA6" w:rsidRPr="009D7EA6" w14:paraId="00F4E052"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70EA5259" w14:textId="77777777" w:rsidR="009D7EA6" w:rsidRPr="009D7EA6" w:rsidRDefault="009D7EA6" w:rsidP="001E2939">
            <w:pPr>
              <w:pStyle w:val="TableTextLeft"/>
              <w:rPr>
                <w:color w:val="000000"/>
              </w:rPr>
            </w:pPr>
            <w:r w:rsidRPr="009D7EA6">
              <w:rPr>
                <w:color w:val="000000"/>
              </w:rPr>
              <w:t>CCS 661 Drug disorder</w:t>
            </w:r>
          </w:p>
        </w:tc>
        <w:tc>
          <w:tcPr>
            <w:tcW w:w="1840" w:type="dxa"/>
            <w:hideMark/>
          </w:tcPr>
          <w:p w14:paraId="686625ED"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15,569</w:t>
            </w:r>
          </w:p>
        </w:tc>
        <w:tc>
          <w:tcPr>
            <w:tcW w:w="1740" w:type="dxa"/>
            <w:hideMark/>
          </w:tcPr>
          <w:p w14:paraId="31C9F03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2.85%</w:t>
            </w:r>
          </w:p>
        </w:tc>
        <w:tc>
          <w:tcPr>
            <w:tcW w:w="1800" w:type="dxa"/>
            <w:hideMark/>
          </w:tcPr>
          <w:p w14:paraId="2B10E571"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2,989</w:t>
            </w:r>
          </w:p>
        </w:tc>
        <w:tc>
          <w:tcPr>
            <w:tcW w:w="1660" w:type="dxa"/>
            <w:hideMark/>
          </w:tcPr>
          <w:p w14:paraId="423EDEC4"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2.72%</w:t>
            </w:r>
          </w:p>
        </w:tc>
      </w:tr>
      <w:tr w:rsidR="009D7EA6" w:rsidRPr="009D7EA6" w14:paraId="02A971F9"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4D4E5878" w14:textId="77777777" w:rsidR="009D7EA6" w:rsidRPr="009D7EA6" w:rsidRDefault="009D7EA6" w:rsidP="001E2939">
            <w:pPr>
              <w:pStyle w:val="TableTextLeft"/>
              <w:rPr>
                <w:color w:val="000000"/>
              </w:rPr>
            </w:pPr>
            <w:r w:rsidRPr="009D7EA6">
              <w:rPr>
                <w:color w:val="000000"/>
              </w:rPr>
              <w:t>CCS 670/663 Other mental disorder</w:t>
            </w:r>
          </w:p>
        </w:tc>
        <w:tc>
          <w:tcPr>
            <w:tcW w:w="1840" w:type="dxa"/>
            <w:hideMark/>
          </w:tcPr>
          <w:p w14:paraId="51A4D3A7"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1,227</w:t>
            </w:r>
          </w:p>
        </w:tc>
        <w:tc>
          <w:tcPr>
            <w:tcW w:w="1740" w:type="dxa"/>
            <w:hideMark/>
          </w:tcPr>
          <w:p w14:paraId="3B588DBA"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0.22%</w:t>
            </w:r>
          </w:p>
        </w:tc>
        <w:tc>
          <w:tcPr>
            <w:tcW w:w="1800" w:type="dxa"/>
            <w:hideMark/>
          </w:tcPr>
          <w:p w14:paraId="4F41ED2A"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212</w:t>
            </w:r>
          </w:p>
        </w:tc>
        <w:tc>
          <w:tcPr>
            <w:tcW w:w="1660" w:type="dxa"/>
            <w:hideMark/>
          </w:tcPr>
          <w:p w14:paraId="2F3440DF"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0.19%</w:t>
            </w:r>
          </w:p>
        </w:tc>
      </w:tr>
      <w:tr w:rsidR="009D7EA6" w:rsidRPr="009D7EA6" w14:paraId="33AB28F0" w14:textId="77777777" w:rsidTr="001E2939">
        <w:trPr>
          <w:trHeight w:val="120"/>
        </w:trPr>
        <w:tc>
          <w:tcPr>
            <w:cnfStyle w:val="001000000000" w:firstRow="0" w:lastRow="0" w:firstColumn="1" w:lastColumn="0" w:oddVBand="0" w:evenVBand="0" w:oddHBand="0" w:evenHBand="0" w:firstRowFirstColumn="0" w:firstRowLastColumn="0" w:lastRowFirstColumn="0" w:lastRowLastColumn="0"/>
            <w:tcW w:w="3340" w:type="dxa"/>
            <w:hideMark/>
          </w:tcPr>
          <w:p w14:paraId="39861175" w14:textId="77777777" w:rsidR="009D7EA6" w:rsidRPr="009D7EA6" w:rsidRDefault="009D7EA6" w:rsidP="001E2939">
            <w:pPr>
              <w:pStyle w:val="TableTextLeft"/>
              <w:rPr>
                <w:color w:val="000000"/>
              </w:rPr>
            </w:pPr>
            <w:r w:rsidRPr="009D7EA6">
              <w:rPr>
                <w:color w:val="000000"/>
              </w:rPr>
              <w:t>Total</w:t>
            </w:r>
          </w:p>
        </w:tc>
        <w:tc>
          <w:tcPr>
            <w:tcW w:w="1840" w:type="dxa"/>
            <w:hideMark/>
          </w:tcPr>
          <w:p w14:paraId="67589197"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547,196</w:t>
            </w:r>
          </w:p>
        </w:tc>
        <w:tc>
          <w:tcPr>
            <w:tcW w:w="1740" w:type="dxa"/>
            <w:hideMark/>
          </w:tcPr>
          <w:p w14:paraId="4BD647C3"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100.00%</w:t>
            </w:r>
          </w:p>
        </w:tc>
        <w:tc>
          <w:tcPr>
            <w:tcW w:w="1800" w:type="dxa"/>
            <w:hideMark/>
          </w:tcPr>
          <w:p w14:paraId="768BF1FB"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109,975</w:t>
            </w:r>
          </w:p>
        </w:tc>
        <w:tc>
          <w:tcPr>
            <w:tcW w:w="1660" w:type="dxa"/>
            <w:hideMark/>
          </w:tcPr>
          <w:p w14:paraId="71CF2AD5" w14:textId="77777777" w:rsidR="009D7EA6" w:rsidRPr="009D7EA6" w:rsidRDefault="009D7EA6" w:rsidP="001E2939">
            <w:pPr>
              <w:pStyle w:val="TableTextCentered"/>
              <w:cnfStyle w:val="000000000000" w:firstRow="0" w:lastRow="0" w:firstColumn="0" w:lastColumn="0" w:oddVBand="0" w:evenVBand="0" w:oddHBand="0" w:evenHBand="0" w:firstRowFirstColumn="0" w:firstRowLastColumn="0" w:lastRowFirstColumn="0" w:lastRowLastColumn="0"/>
            </w:pPr>
            <w:r w:rsidRPr="009D7EA6">
              <w:t>100.00%</w:t>
            </w:r>
          </w:p>
        </w:tc>
      </w:tr>
    </w:tbl>
    <w:p w14:paraId="77EE0194" w14:textId="77777777" w:rsidR="00086FAC" w:rsidRPr="00EA3665" w:rsidRDefault="00086FAC" w:rsidP="00086FAC">
      <w:pPr>
        <w:pStyle w:val="TableSourceCaption"/>
        <w:tabs>
          <w:tab w:val="left" w:pos="0"/>
        </w:tabs>
        <w:rPr>
          <w:rFonts w:asciiTheme="minorHAnsi" w:hAnsiTheme="minorHAnsi" w:cstheme="minorHAnsi"/>
          <w:color w:val="0070C0"/>
        </w:rPr>
      </w:pPr>
      <w:r w:rsidRPr="00EA3665">
        <w:rPr>
          <w:rFonts w:asciiTheme="minorHAnsi" w:hAnsiTheme="minorHAnsi" w:cstheme="minorHAnsi"/>
          <w:color w:val="0070C0"/>
        </w:rPr>
        <w:t>Source:</w:t>
      </w:r>
      <w:r w:rsidRPr="00EA3665">
        <w:rPr>
          <w:rFonts w:asciiTheme="minorHAnsi" w:hAnsiTheme="minorHAnsi" w:cstheme="minorHAnsi"/>
          <w:color w:val="0070C0"/>
        </w:rPr>
        <w:tab/>
        <w:t>Mathematica analysis of the Medicare Fee for Service (FFS) data for the 7/1/2017-6/30/2019 performance period. Results are based on a total of 547,196 discharges from 1,700 IPFs.</w:t>
      </w:r>
    </w:p>
    <w:p w14:paraId="73CAF348" w14:textId="517484A2" w:rsidR="00EF2215" w:rsidRPr="00EA3665" w:rsidRDefault="00086FAC" w:rsidP="001C7C54">
      <w:pPr>
        <w:pStyle w:val="TableSourceCaption"/>
        <w:tabs>
          <w:tab w:val="left" w:pos="0"/>
        </w:tabs>
        <w:rPr>
          <w:rFonts w:asciiTheme="minorHAnsi" w:hAnsiTheme="minorHAnsi" w:cstheme="minorHAnsi"/>
          <w:color w:val="0070C0"/>
        </w:rPr>
      </w:pPr>
      <w:r w:rsidRPr="00EA3665">
        <w:rPr>
          <w:rFonts w:asciiTheme="minorHAnsi" w:hAnsiTheme="minorHAnsi" w:cstheme="minorHAnsi"/>
          <w:color w:val="0070C0"/>
        </w:rPr>
        <w:t xml:space="preserve">Notes: </w:t>
      </w:r>
      <w:r w:rsidRPr="00EA3665">
        <w:rPr>
          <w:rFonts w:asciiTheme="minorHAnsi" w:hAnsiTheme="minorHAnsi" w:cstheme="minorHAnsi"/>
          <w:color w:val="0070C0"/>
        </w:rPr>
        <w:tab/>
        <w:t>Agency for Healthcare Research and Quality; CCS, Clinical Classification Software (AHRQ CCS)</w:t>
      </w:r>
      <w:r w:rsidR="0083180D" w:rsidRPr="00EA3665">
        <w:rPr>
          <w:rFonts w:asciiTheme="minorHAnsi" w:hAnsiTheme="minorHAnsi" w:cstheme="minorHAnsi"/>
          <w:color w:val="0070C0"/>
        </w:rPr>
        <w:t>. CCS 657 and CCS 659 were split into two subcategories based on the underlying ICD-</w:t>
      </w:r>
      <w:r w:rsidR="00F81288" w:rsidRPr="00EA3665">
        <w:rPr>
          <w:rFonts w:asciiTheme="minorHAnsi" w:hAnsiTheme="minorHAnsi" w:cstheme="minorHAnsi"/>
          <w:color w:val="0070C0"/>
        </w:rPr>
        <w:t>10</w:t>
      </w:r>
      <w:r w:rsidR="0083180D" w:rsidRPr="00EA3665">
        <w:rPr>
          <w:rFonts w:asciiTheme="minorHAnsi" w:hAnsiTheme="minorHAnsi" w:cstheme="minorHAnsi"/>
          <w:color w:val="0070C0"/>
        </w:rPr>
        <w:t>-CM codes of the principal diagnosis to reflect the difference in readmission rates by disorder type and severity.</w:t>
      </w:r>
      <w:bookmarkEnd w:id="12"/>
      <w:r w:rsidR="001C7C54" w:rsidRPr="00EA3665">
        <w:rPr>
          <w:rFonts w:asciiTheme="minorHAnsi" w:hAnsiTheme="minorHAnsi" w:cstheme="minorHAnsi"/>
          <w:color w:val="0070C0"/>
        </w:rPr>
        <w:t xml:space="preserve"> Descriptive statistics by principal diagnosis</w:t>
      </w:r>
      <w:r w:rsidR="00EF2215" w:rsidRPr="00EA3665">
        <w:rPr>
          <w:rFonts w:asciiTheme="minorHAnsi" w:hAnsiTheme="minorHAnsi" w:cstheme="minorHAnsi"/>
          <w:color w:val="0070C0"/>
        </w:rPr>
        <w:t xml:space="preserve"> can only be computed at the admission level</w:t>
      </w:r>
      <w:r w:rsidR="00C2790C" w:rsidRPr="00EA3665">
        <w:rPr>
          <w:rFonts w:asciiTheme="minorHAnsi" w:hAnsiTheme="minorHAnsi" w:cstheme="minorHAnsi"/>
          <w:color w:val="0070C0"/>
        </w:rPr>
        <w:t xml:space="preserve"> because patients may have multiple discharges associated with different principal diagnosis codes.</w:t>
      </w:r>
      <w:r w:rsidR="00275589">
        <w:rPr>
          <w:rFonts w:asciiTheme="minorHAnsi" w:hAnsiTheme="minorHAnsi" w:cstheme="minorHAnsi"/>
          <w:color w:val="0070C0"/>
        </w:rPr>
        <w:t xml:space="preserve"> </w:t>
      </w:r>
      <w:r w:rsidR="00275589" w:rsidRPr="00275589">
        <w:rPr>
          <w:rFonts w:asciiTheme="minorHAnsi" w:hAnsiTheme="minorHAnsi" w:cstheme="minorHAnsi"/>
          <w:color w:val="0070C0"/>
        </w:rPr>
        <w:t xml:space="preserve">Note: percentages may not sum to 100 </w:t>
      </w:r>
      <w:proofErr w:type="gramStart"/>
      <w:r w:rsidR="00275589" w:rsidRPr="00275589">
        <w:rPr>
          <w:rFonts w:asciiTheme="minorHAnsi" w:hAnsiTheme="minorHAnsi" w:cstheme="minorHAnsi"/>
          <w:color w:val="0070C0"/>
        </w:rPr>
        <w:t>due</w:t>
      </w:r>
      <w:proofErr w:type="gramEnd"/>
      <w:r w:rsidR="00275589" w:rsidRPr="00275589">
        <w:rPr>
          <w:rFonts w:asciiTheme="minorHAnsi" w:hAnsiTheme="minorHAnsi" w:cstheme="minorHAnsi"/>
          <w:color w:val="0070C0"/>
        </w:rPr>
        <w:t xml:space="preserve"> to rounding.</w:t>
      </w:r>
    </w:p>
    <w:p w14:paraId="7ADD88C2" w14:textId="77777777" w:rsidR="00EF2215" w:rsidRDefault="00EF2215" w:rsidP="00C73B55">
      <w:pPr>
        <w:pStyle w:val="TableSourceCaption"/>
        <w:tabs>
          <w:tab w:val="left" w:pos="0"/>
        </w:tabs>
        <w:rPr>
          <w:rFonts w:cstheme="minorHAnsi"/>
          <w:bCs/>
        </w:rPr>
      </w:pPr>
    </w:p>
    <w:p w14:paraId="726F2C44" w14:textId="77777777" w:rsidR="00086FAC" w:rsidRDefault="00086FAC" w:rsidP="00086FAC">
      <w:pPr>
        <w:autoSpaceDE w:val="0"/>
        <w:autoSpaceDN w:val="0"/>
        <w:adjustRightInd w:val="0"/>
        <w:spacing w:after="0" w:line="240" w:lineRule="auto"/>
        <w:rPr>
          <w:rFonts w:cstheme="minorHAnsi"/>
          <w:bCs/>
        </w:rPr>
      </w:pPr>
      <w:r>
        <w:rPr>
          <w:rFonts w:cstheme="minorHAnsi"/>
          <w:b/>
          <w:bCs/>
        </w:rPr>
        <w:lastRenderedPageBreak/>
        <w:t>1.</w:t>
      </w:r>
      <w:r w:rsidRPr="00A25024">
        <w:rPr>
          <w:rFonts w:cstheme="minorHAnsi"/>
          <w:b/>
          <w:bCs/>
        </w:rPr>
        <w:t>7. If there are differences in the data or sample used for different aspects of testing (e.g., reliability, validity, exclusions, risk adjustment), identify how the data or sample are different for each aspect of testing reported below</w:t>
      </w:r>
      <w:r>
        <w:rPr>
          <w:rFonts w:cstheme="minorHAnsi"/>
          <w:bCs/>
        </w:rPr>
        <w:t>.</w:t>
      </w:r>
    </w:p>
    <w:p w14:paraId="7CBC2048" w14:textId="2C8D63D8" w:rsidR="002D417F" w:rsidRPr="00EA3665" w:rsidRDefault="00086FAC" w:rsidP="00086FAC">
      <w:pPr>
        <w:autoSpaceDE w:val="0"/>
        <w:autoSpaceDN w:val="0"/>
        <w:adjustRightInd w:val="0"/>
        <w:spacing w:after="0" w:line="240" w:lineRule="auto"/>
        <w:rPr>
          <w:rFonts w:cstheme="minorHAnsi"/>
          <w:bCs/>
          <w:color w:val="0070C0"/>
        </w:rPr>
      </w:pPr>
      <w:r w:rsidRPr="00EA3665">
        <w:rPr>
          <w:rFonts w:cstheme="minorHAnsi"/>
          <w:bCs/>
          <w:color w:val="0070C0"/>
        </w:rPr>
        <w:t>In addition to claims data,</w:t>
      </w:r>
      <w:r w:rsidR="00541007" w:rsidRPr="00EA3665">
        <w:rPr>
          <w:rFonts w:cstheme="minorHAnsi"/>
          <w:bCs/>
          <w:color w:val="0070C0"/>
        </w:rPr>
        <w:t xml:space="preserve"> </w:t>
      </w:r>
      <w:r w:rsidR="00BB19F4" w:rsidRPr="00EA3665">
        <w:rPr>
          <w:rFonts w:cstheme="minorHAnsi"/>
          <w:bCs/>
          <w:color w:val="0070C0"/>
        </w:rPr>
        <w:t xml:space="preserve">we used </w:t>
      </w:r>
      <w:r w:rsidR="005E67FD" w:rsidRPr="00EA3665">
        <w:rPr>
          <w:rFonts w:cstheme="minorHAnsi"/>
          <w:bCs/>
          <w:color w:val="0070C0"/>
        </w:rPr>
        <w:t>data</w:t>
      </w:r>
      <w:r w:rsidR="00BB19F4" w:rsidRPr="00EA3665">
        <w:rPr>
          <w:rFonts w:cstheme="minorHAnsi"/>
          <w:bCs/>
          <w:color w:val="0070C0"/>
        </w:rPr>
        <w:t xml:space="preserve"> from the following sources</w:t>
      </w:r>
      <w:r w:rsidR="005E67FD" w:rsidRPr="00EA3665">
        <w:rPr>
          <w:rFonts w:cstheme="minorHAnsi"/>
          <w:bCs/>
          <w:color w:val="0070C0"/>
        </w:rPr>
        <w:t xml:space="preserve"> </w:t>
      </w:r>
      <w:r w:rsidR="00BB19F4" w:rsidRPr="00EA3665">
        <w:rPr>
          <w:rFonts w:cstheme="minorHAnsi"/>
          <w:bCs/>
          <w:color w:val="0070C0"/>
        </w:rPr>
        <w:t xml:space="preserve">to </w:t>
      </w:r>
      <w:r w:rsidR="005E67FD" w:rsidRPr="00EA3665">
        <w:rPr>
          <w:rFonts w:cstheme="minorHAnsi"/>
          <w:bCs/>
          <w:color w:val="0070C0"/>
        </w:rPr>
        <w:t>examin</w:t>
      </w:r>
      <w:r w:rsidR="00BB19F4" w:rsidRPr="00EA3665">
        <w:rPr>
          <w:rFonts w:cstheme="minorHAnsi"/>
          <w:bCs/>
          <w:color w:val="0070C0"/>
        </w:rPr>
        <w:t>e</w:t>
      </w:r>
      <w:r w:rsidR="005E67FD" w:rsidRPr="00EA3665">
        <w:rPr>
          <w:rFonts w:cstheme="minorHAnsi"/>
          <w:bCs/>
          <w:color w:val="0070C0"/>
        </w:rPr>
        <w:t xml:space="preserve"> the impact of socio-economic variables on risk adjustment and risk-standardized readmission rates</w:t>
      </w:r>
      <w:r w:rsidR="00DA3494" w:rsidRPr="00EA3665">
        <w:rPr>
          <w:rFonts w:cstheme="minorHAnsi"/>
          <w:bCs/>
          <w:color w:val="0070C0"/>
        </w:rPr>
        <w:t xml:space="preserve"> (RSRRs)</w:t>
      </w:r>
      <w:r w:rsidR="005E67FD" w:rsidRPr="00EA3665">
        <w:rPr>
          <w:rFonts w:cstheme="minorHAnsi"/>
          <w:bCs/>
          <w:color w:val="0070C0"/>
        </w:rPr>
        <w:t xml:space="preserve">: </w:t>
      </w:r>
      <w:r w:rsidR="006A4937" w:rsidRPr="00EA3665">
        <w:rPr>
          <w:rFonts w:cstheme="minorHAnsi"/>
          <w:bCs/>
          <w:color w:val="0070C0"/>
        </w:rPr>
        <w:t xml:space="preserve">the </w:t>
      </w:r>
      <w:r w:rsidRPr="00EA3665">
        <w:rPr>
          <w:rFonts w:cstheme="minorHAnsi"/>
          <w:bCs/>
          <w:color w:val="0070C0"/>
        </w:rPr>
        <w:t>American Community Survey</w:t>
      </w:r>
      <w:r w:rsidR="00541007" w:rsidRPr="00EA3665">
        <w:rPr>
          <w:rFonts w:cstheme="minorHAnsi"/>
          <w:bCs/>
          <w:color w:val="0070C0"/>
        </w:rPr>
        <w:t xml:space="preserve"> (ACS) conducted by the U</w:t>
      </w:r>
      <w:r w:rsidR="00F14068" w:rsidRPr="00EA3665">
        <w:rPr>
          <w:rFonts w:cstheme="minorHAnsi"/>
          <w:bCs/>
          <w:color w:val="0070C0"/>
        </w:rPr>
        <w:t>.</w:t>
      </w:r>
      <w:r w:rsidR="00541007" w:rsidRPr="00EA3665">
        <w:rPr>
          <w:rFonts w:cstheme="minorHAnsi"/>
          <w:bCs/>
          <w:color w:val="0070C0"/>
        </w:rPr>
        <w:t>S</w:t>
      </w:r>
      <w:r w:rsidR="00F14068" w:rsidRPr="00EA3665">
        <w:rPr>
          <w:rFonts w:cstheme="minorHAnsi"/>
          <w:bCs/>
          <w:color w:val="0070C0"/>
        </w:rPr>
        <w:t>.</w:t>
      </w:r>
      <w:r w:rsidR="00541007" w:rsidRPr="00EA3665">
        <w:rPr>
          <w:rFonts w:cstheme="minorHAnsi"/>
          <w:bCs/>
          <w:color w:val="0070C0"/>
        </w:rPr>
        <w:t xml:space="preserve"> Census Bureau</w:t>
      </w:r>
      <w:r w:rsidR="00A85A6D" w:rsidRPr="00EA3665">
        <w:rPr>
          <w:rFonts w:cstheme="minorHAnsi"/>
          <w:bCs/>
          <w:color w:val="0070C0"/>
        </w:rPr>
        <w:t xml:space="preserve"> </w:t>
      </w:r>
      <w:r w:rsidR="00F212EC" w:rsidRPr="00EA3665">
        <w:rPr>
          <w:rFonts w:cstheme="minorHAnsi"/>
          <w:bCs/>
          <w:color w:val="0070C0"/>
        </w:rPr>
        <w:t>(</w:t>
      </w:r>
      <w:r w:rsidR="002A6B73" w:rsidRPr="00EA3665">
        <w:rPr>
          <w:rFonts w:cstheme="minorHAnsi"/>
          <w:bCs/>
          <w:color w:val="0070C0"/>
        </w:rPr>
        <w:t xml:space="preserve">demographic and </w:t>
      </w:r>
      <w:r w:rsidR="00A85A6D" w:rsidRPr="00EA3665">
        <w:rPr>
          <w:rFonts w:cstheme="minorHAnsi"/>
          <w:bCs/>
          <w:color w:val="0070C0"/>
        </w:rPr>
        <w:t xml:space="preserve">social-economic characteristics of the </w:t>
      </w:r>
      <w:r w:rsidR="00F212EC" w:rsidRPr="00EA3665">
        <w:rPr>
          <w:rFonts w:cstheme="minorHAnsi"/>
          <w:bCs/>
          <w:color w:val="0070C0"/>
        </w:rPr>
        <w:t>neighborhoods in which the patients reside)</w:t>
      </w:r>
      <w:r w:rsidR="00A85A6D" w:rsidRPr="00EA3665">
        <w:rPr>
          <w:rFonts w:cstheme="minorHAnsi"/>
          <w:bCs/>
          <w:color w:val="0070C0"/>
        </w:rPr>
        <w:t xml:space="preserve">; </w:t>
      </w:r>
      <w:r w:rsidR="006A4937" w:rsidRPr="00EA3665">
        <w:rPr>
          <w:rFonts w:cstheme="minorHAnsi"/>
          <w:bCs/>
          <w:color w:val="0070C0"/>
        </w:rPr>
        <w:t xml:space="preserve">the </w:t>
      </w:r>
      <w:r w:rsidR="00A85A6D" w:rsidRPr="00EA3665">
        <w:rPr>
          <w:rFonts w:cstheme="minorHAnsi"/>
          <w:bCs/>
          <w:color w:val="0070C0"/>
        </w:rPr>
        <w:t xml:space="preserve">Economic Research Service of the </w:t>
      </w:r>
      <w:r w:rsidR="00F14068" w:rsidRPr="00EA3665">
        <w:rPr>
          <w:rFonts w:cstheme="minorHAnsi"/>
          <w:bCs/>
          <w:color w:val="0070C0"/>
        </w:rPr>
        <w:t>U.</w:t>
      </w:r>
      <w:r w:rsidR="00A85A6D" w:rsidRPr="00EA3665">
        <w:rPr>
          <w:rFonts w:cstheme="minorHAnsi"/>
          <w:bCs/>
          <w:color w:val="0070C0"/>
        </w:rPr>
        <w:t>S</w:t>
      </w:r>
      <w:r w:rsidR="00F14068" w:rsidRPr="00EA3665">
        <w:rPr>
          <w:rFonts w:cstheme="minorHAnsi"/>
          <w:bCs/>
          <w:color w:val="0070C0"/>
        </w:rPr>
        <w:t>.</w:t>
      </w:r>
      <w:r w:rsidR="00A85A6D" w:rsidRPr="00EA3665">
        <w:rPr>
          <w:rFonts w:cstheme="minorHAnsi"/>
          <w:bCs/>
          <w:color w:val="0070C0"/>
        </w:rPr>
        <w:t xml:space="preserve"> Department of Agriculture (</w:t>
      </w:r>
      <w:r w:rsidR="002A6B73" w:rsidRPr="00EA3665">
        <w:rPr>
          <w:rFonts w:cstheme="minorHAnsi"/>
          <w:bCs/>
          <w:color w:val="0070C0"/>
        </w:rPr>
        <w:t>USDA</w:t>
      </w:r>
      <w:r w:rsidR="00F212EC" w:rsidRPr="00EA3665">
        <w:rPr>
          <w:rFonts w:cstheme="minorHAnsi"/>
          <w:bCs/>
          <w:color w:val="0070C0"/>
        </w:rPr>
        <w:t>) (</w:t>
      </w:r>
      <w:r w:rsidR="00A85A6D" w:rsidRPr="00EA3665">
        <w:rPr>
          <w:rFonts w:cstheme="minorHAnsi"/>
          <w:bCs/>
          <w:color w:val="0070C0"/>
        </w:rPr>
        <w:t xml:space="preserve">area urbanization); </w:t>
      </w:r>
      <w:r w:rsidR="00992C0F" w:rsidRPr="00533902">
        <w:rPr>
          <w:rFonts w:cstheme="minorHAnsi"/>
          <w:bCs/>
          <w:color w:val="0070C0"/>
        </w:rPr>
        <w:t>United States Department of Health and Human Serv</w:t>
      </w:r>
      <w:r w:rsidR="00992C0F" w:rsidRPr="00992C0F">
        <w:rPr>
          <w:rFonts w:cstheme="minorHAnsi"/>
          <w:bCs/>
          <w:color w:val="0070C0"/>
        </w:rPr>
        <w:t>ices</w:t>
      </w:r>
      <w:r w:rsidR="00992C0F">
        <w:rPr>
          <w:rFonts w:cstheme="minorHAnsi"/>
          <w:bCs/>
          <w:color w:val="0070C0"/>
        </w:rPr>
        <w:t xml:space="preserve"> </w:t>
      </w:r>
      <w:r w:rsidR="002A6B73" w:rsidRPr="00EA3665">
        <w:rPr>
          <w:rFonts w:cstheme="minorHAnsi"/>
          <w:bCs/>
          <w:color w:val="0070C0"/>
        </w:rPr>
        <w:t xml:space="preserve"> </w:t>
      </w:r>
      <w:r w:rsidR="006A4937" w:rsidRPr="00EA3665">
        <w:rPr>
          <w:rFonts w:cstheme="minorHAnsi"/>
          <w:bCs/>
          <w:color w:val="0070C0"/>
        </w:rPr>
        <w:t>(</w:t>
      </w:r>
      <w:r w:rsidR="00027DD7">
        <w:rPr>
          <w:rFonts w:cstheme="minorHAnsi"/>
          <w:bCs/>
          <w:color w:val="0070C0"/>
        </w:rPr>
        <w:t xml:space="preserve">US DHHS; </w:t>
      </w:r>
      <w:r w:rsidR="00A85A6D" w:rsidRPr="00EA3665">
        <w:rPr>
          <w:rFonts w:cstheme="minorHAnsi"/>
          <w:bCs/>
          <w:color w:val="0070C0"/>
        </w:rPr>
        <w:t xml:space="preserve">health professionals’ shortage areas); and </w:t>
      </w:r>
      <w:r w:rsidR="006A4937" w:rsidRPr="00EA3665">
        <w:rPr>
          <w:rFonts w:cstheme="minorHAnsi"/>
          <w:bCs/>
          <w:color w:val="0070C0"/>
        </w:rPr>
        <w:t xml:space="preserve">the </w:t>
      </w:r>
      <w:r w:rsidR="00A85A6D" w:rsidRPr="00EA3665">
        <w:rPr>
          <w:rFonts w:cstheme="minorHAnsi"/>
          <w:bCs/>
          <w:color w:val="0070C0"/>
        </w:rPr>
        <w:t xml:space="preserve">Dartmouth </w:t>
      </w:r>
      <w:r w:rsidR="006A4937" w:rsidRPr="00EA3665">
        <w:rPr>
          <w:rFonts w:cstheme="minorHAnsi"/>
          <w:bCs/>
          <w:color w:val="0070C0"/>
        </w:rPr>
        <w:t>A</w:t>
      </w:r>
      <w:r w:rsidR="00A85A6D" w:rsidRPr="00EA3665">
        <w:rPr>
          <w:rFonts w:cstheme="minorHAnsi"/>
          <w:bCs/>
          <w:color w:val="0070C0"/>
        </w:rPr>
        <w:t>tlas</w:t>
      </w:r>
      <w:r w:rsidR="008D5994">
        <w:rPr>
          <w:rFonts w:cstheme="minorHAnsi"/>
          <w:bCs/>
          <w:color w:val="0070C0"/>
        </w:rPr>
        <w:t xml:space="preserve"> of Healthcare</w:t>
      </w:r>
      <w:r w:rsidR="00A85A6D" w:rsidRPr="00EA3665">
        <w:rPr>
          <w:rFonts w:cstheme="minorHAnsi"/>
          <w:bCs/>
          <w:color w:val="0070C0"/>
        </w:rPr>
        <w:t xml:space="preserve"> (</w:t>
      </w:r>
      <w:r w:rsidR="002A6B73" w:rsidRPr="00EA3665">
        <w:rPr>
          <w:rFonts w:cstheme="minorHAnsi"/>
          <w:bCs/>
          <w:color w:val="0070C0"/>
        </w:rPr>
        <w:t xml:space="preserve">mortality </w:t>
      </w:r>
      <w:r w:rsidR="00540A4B" w:rsidRPr="00EA3665">
        <w:rPr>
          <w:rFonts w:cstheme="minorHAnsi"/>
          <w:bCs/>
          <w:color w:val="0070C0"/>
        </w:rPr>
        <w:t xml:space="preserve">rates; characteristics of local </w:t>
      </w:r>
      <w:r w:rsidR="002A6B73" w:rsidRPr="00EA3665">
        <w:rPr>
          <w:rFonts w:cstheme="minorHAnsi"/>
          <w:bCs/>
          <w:color w:val="0070C0"/>
        </w:rPr>
        <w:t>healthcare system</w:t>
      </w:r>
      <w:r w:rsidR="00540A4B" w:rsidRPr="00EA3665">
        <w:rPr>
          <w:rFonts w:cstheme="minorHAnsi"/>
          <w:bCs/>
          <w:color w:val="0070C0"/>
        </w:rPr>
        <w:t>s</w:t>
      </w:r>
      <w:r w:rsidR="00A85A6D" w:rsidRPr="00EA3665">
        <w:rPr>
          <w:rFonts w:cstheme="minorHAnsi"/>
          <w:bCs/>
          <w:color w:val="0070C0"/>
        </w:rPr>
        <w:t>)</w:t>
      </w:r>
      <w:r w:rsidR="00541007" w:rsidRPr="00EA3665">
        <w:rPr>
          <w:rFonts w:cstheme="minorHAnsi"/>
          <w:bCs/>
          <w:color w:val="0070C0"/>
        </w:rPr>
        <w:t xml:space="preserve">. </w:t>
      </w:r>
      <w:r w:rsidRPr="00EA3665">
        <w:rPr>
          <w:rFonts w:cstheme="minorHAnsi"/>
          <w:bCs/>
          <w:color w:val="0070C0"/>
        </w:rPr>
        <w:t>Th</w:t>
      </w:r>
      <w:r w:rsidR="00541007" w:rsidRPr="00EA3665">
        <w:rPr>
          <w:rFonts w:cstheme="minorHAnsi"/>
          <w:bCs/>
          <w:color w:val="0070C0"/>
        </w:rPr>
        <w:t>e</w:t>
      </w:r>
      <w:r w:rsidR="002A6B73" w:rsidRPr="00EA3665">
        <w:rPr>
          <w:rFonts w:cstheme="minorHAnsi"/>
          <w:bCs/>
          <w:color w:val="0070C0"/>
        </w:rPr>
        <w:t xml:space="preserve">se </w:t>
      </w:r>
      <w:r w:rsidR="00541007" w:rsidRPr="00EA3665">
        <w:rPr>
          <w:rFonts w:cstheme="minorHAnsi"/>
          <w:bCs/>
          <w:color w:val="0070C0"/>
        </w:rPr>
        <w:t xml:space="preserve">data </w:t>
      </w:r>
      <w:r w:rsidRPr="00EA3665">
        <w:rPr>
          <w:rFonts w:cstheme="minorHAnsi"/>
          <w:bCs/>
          <w:color w:val="0070C0"/>
        </w:rPr>
        <w:t xml:space="preserve">allowed </w:t>
      </w:r>
      <w:r w:rsidR="005E67FD" w:rsidRPr="00EA3665">
        <w:rPr>
          <w:rFonts w:cstheme="minorHAnsi"/>
          <w:bCs/>
          <w:color w:val="0070C0"/>
        </w:rPr>
        <w:t>us to create</w:t>
      </w:r>
      <w:r w:rsidRPr="00EA3665">
        <w:rPr>
          <w:rFonts w:cstheme="minorHAnsi"/>
          <w:bCs/>
          <w:color w:val="0070C0"/>
        </w:rPr>
        <w:t xml:space="preserve"> additional variables fo</w:t>
      </w:r>
      <w:r w:rsidR="002A6B73" w:rsidRPr="00EA3665">
        <w:rPr>
          <w:rFonts w:cstheme="minorHAnsi"/>
          <w:bCs/>
          <w:color w:val="0070C0"/>
        </w:rPr>
        <w:t>r</w:t>
      </w:r>
      <w:r w:rsidRPr="00EA3665">
        <w:rPr>
          <w:rFonts w:cstheme="minorHAnsi"/>
          <w:bCs/>
          <w:color w:val="0070C0"/>
        </w:rPr>
        <w:t xml:space="preserve"> the neighborhoods in which beneficiaries reside (at the ZIP-code level).</w:t>
      </w:r>
      <w:r w:rsidR="002D417F" w:rsidRPr="00EA3665">
        <w:rPr>
          <w:rFonts w:cstheme="minorHAnsi"/>
          <w:bCs/>
          <w:color w:val="0070C0"/>
        </w:rPr>
        <w:t xml:space="preserve"> </w:t>
      </w:r>
    </w:p>
    <w:p w14:paraId="3603CA0E" w14:textId="77777777" w:rsidR="00086FAC" w:rsidRDefault="00086FAC" w:rsidP="00086FAC">
      <w:pPr>
        <w:autoSpaceDE w:val="0"/>
        <w:autoSpaceDN w:val="0"/>
        <w:adjustRightInd w:val="0"/>
        <w:spacing w:after="0" w:line="240" w:lineRule="auto"/>
        <w:rPr>
          <w:rFonts w:cstheme="minorHAnsi"/>
          <w:bCs/>
        </w:rPr>
      </w:pPr>
    </w:p>
    <w:p w14:paraId="4A6B5AC5" w14:textId="77777777" w:rsidR="00086FAC" w:rsidRDefault="00086FAC" w:rsidP="00086FAC">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What were the social risk factors that were available and analyzed</w:t>
      </w:r>
      <w:r>
        <w:rPr>
          <w:rFonts w:cstheme="minorHAnsi"/>
          <w:bCs/>
        </w:rPr>
        <w:t xml:space="preserve">? For example, patient-reported data (e.g., income, education, language), proxy variables when social risk data are not collected from each patient (e.g. census tract), or patient community characteristics (e.g. percent vacant housing, crime rate) which do not have to be a proxy for patient-level data. </w:t>
      </w:r>
    </w:p>
    <w:p w14:paraId="13860FAF" w14:textId="485BAD86" w:rsidR="00086FAC" w:rsidRPr="00EA3665" w:rsidRDefault="00086FAC" w:rsidP="00086FAC">
      <w:pPr>
        <w:spacing w:after="120" w:line="240" w:lineRule="auto"/>
        <w:rPr>
          <w:color w:val="0070C0"/>
        </w:rPr>
      </w:pPr>
      <w:r w:rsidRPr="00EA3665">
        <w:rPr>
          <w:color w:val="0070C0"/>
        </w:rPr>
        <w:t xml:space="preserve">To identify potential </w:t>
      </w:r>
      <w:r w:rsidR="001B3CF1" w:rsidRPr="00EA3665">
        <w:rPr>
          <w:color w:val="0070C0"/>
        </w:rPr>
        <w:t>social determinants of health</w:t>
      </w:r>
      <w:r w:rsidR="00546E38" w:rsidRPr="00EA3665">
        <w:rPr>
          <w:color w:val="0070C0"/>
        </w:rPr>
        <w:t xml:space="preserve"> (</w:t>
      </w:r>
      <w:r w:rsidRPr="00EA3665">
        <w:rPr>
          <w:color w:val="0070C0"/>
        </w:rPr>
        <w:t>SD</w:t>
      </w:r>
      <w:r w:rsidR="001B3CF1" w:rsidRPr="00EA3665">
        <w:rPr>
          <w:color w:val="0070C0"/>
        </w:rPr>
        <w:t>H</w:t>
      </w:r>
      <w:r w:rsidR="00546E38" w:rsidRPr="00EA3665">
        <w:rPr>
          <w:color w:val="0070C0"/>
        </w:rPr>
        <w:t>)</w:t>
      </w:r>
      <w:r w:rsidRPr="00EA3665">
        <w:rPr>
          <w:color w:val="0070C0"/>
        </w:rPr>
        <w:t xml:space="preserve"> variables for the measure, </w:t>
      </w:r>
      <w:r w:rsidR="0083180D" w:rsidRPr="00EA3665">
        <w:rPr>
          <w:color w:val="0070C0"/>
        </w:rPr>
        <w:t>we</w:t>
      </w:r>
      <w:r w:rsidRPr="00EA3665">
        <w:rPr>
          <w:color w:val="0070C0"/>
        </w:rPr>
        <w:t xml:space="preserve"> reviewed existing literature on risk factors for readmission following psychiatric discharges</w:t>
      </w:r>
      <w:r w:rsidR="00980E91" w:rsidRPr="00EA3665">
        <w:rPr>
          <w:color w:val="0070C0"/>
        </w:rPr>
        <w:t xml:space="preserve"> </w:t>
      </w:r>
      <w:r w:rsidRPr="00EA3665">
        <w:rPr>
          <w:color w:val="0070C0"/>
        </w:rPr>
        <w:t>and reviewed risk variables used in other admission and readmission measures. Both patient-level and neighborhood-level SD</w:t>
      </w:r>
      <w:r w:rsidR="001B3CF1" w:rsidRPr="00EA3665">
        <w:rPr>
          <w:color w:val="0070C0"/>
        </w:rPr>
        <w:t>H</w:t>
      </w:r>
      <w:r w:rsidRPr="00EA3665">
        <w:rPr>
          <w:color w:val="0070C0"/>
        </w:rPr>
        <w:t xml:space="preserve"> variables were included in the analysis</w:t>
      </w:r>
      <w:r w:rsidR="000F114E" w:rsidRPr="00EA3665">
        <w:rPr>
          <w:color w:val="0070C0"/>
        </w:rPr>
        <w:t xml:space="preserve"> (</w:t>
      </w:r>
      <w:r w:rsidR="006312E3" w:rsidRPr="00EA3665">
        <w:rPr>
          <w:color w:val="0070C0"/>
        </w:rPr>
        <w:t>Table 1.8</w:t>
      </w:r>
      <w:r w:rsidR="000F114E" w:rsidRPr="00EA3665">
        <w:rPr>
          <w:color w:val="0070C0"/>
        </w:rPr>
        <w:t>)</w:t>
      </w:r>
      <w:r w:rsidRPr="00EA3665">
        <w:rPr>
          <w:color w:val="0070C0"/>
        </w:rPr>
        <w:t xml:space="preserve">. Using the datasets </w:t>
      </w:r>
      <w:r w:rsidR="00994A80" w:rsidRPr="00EA3665">
        <w:rPr>
          <w:color w:val="0070C0"/>
        </w:rPr>
        <w:t>list</w:t>
      </w:r>
      <w:r w:rsidR="001C76D1" w:rsidRPr="00EA3665">
        <w:rPr>
          <w:color w:val="0070C0"/>
        </w:rPr>
        <w:t>ed</w:t>
      </w:r>
      <w:r w:rsidR="00994A80" w:rsidRPr="00EA3665">
        <w:rPr>
          <w:color w:val="0070C0"/>
        </w:rPr>
        <w:t xml:space="preserve"> in </w:t>
      </w:r>
      <w:r w:rsidR="001C76D1" w:rsidRPr="00EA3665">
        <w:rPr>
          <w:color w:val="0070C0"/>
        </w:rPr>
        <w:t xml:space="preserve">question </w:t>
      </w:r>
      <w:r w:rsidR="00994A80" w:rsidRPr="00EA3665">
        <w:rPr>
          <w:color w:val="0070C0"/>
        </w:rPr>
        <w:t>1.7,</w:t>
      </w:r>
      <w:r w:rsidR="001C76D1" w:rsidRPr="00EA3665">
        <w:rPr>
          <w:color w:val="0070C0"/>
        </w:rPr>
        <w:t xml:space="preserve"> </w:t>
      </w:r>
      <w:r w:rsidR="004D333C" w:rsidRPr="00EA3665">
        <w:rPr>
          <w:color w:val="0070C0"/>
        </w:rPr>
        <w:t xml:space="preserve">we </w:t>
      </w:r>
      <w:r w:rsidR="00C14527" w:rsidRPr="00EA3665">
        <w:rPr>
          <w:color w:val="0070C0"/>
        </w:rPr>
        <w:t>constructed a set of variables</w:t>
      </w:r>
      <w:r w:rsidRPr="00EA3665">
        <w:rPr>
          <w:color w:val="0070C0"/>
        </w:rPr>
        <w:t xml:space="preserve"> capturing distinct aspects of patient- and area-level SD</w:t>
      </w:r>
      <w:r w:rsidR="001B3CF1" w:rsidRPr="00EA3665">
        <w:rPr>
          <w:color w:val="0070C0"/>
        </w:rPr>
        <w:t>H</w:t>
      </w:r>
      <w:r w:rsidRPr="00EA3665">
        <w:rPr>
          <w:color w:val="0070C0"/>
        </w:rPr>
        <w:t xml:space="preserve"> characteristics which could be feasibly created and </w:t>
      </w:r>
      <w:r w:rsidR="00E031A8" w:rsidRPr="00EA3665">
        <w:rPr>
          <w:color w:val="0070C0"/>
        </w:rPr>
        <w:t>used in</w:t>
      </w:r>
      <w:r w:rsidRPr="00EA3665">
        <w:rPr>
          <w:color w:val="0070C0"/>
        </w:rPr>
        <w:t xml:space="preserve"> the risk-adjustment model.</w:t>
      </w:r>
    </w:p>
    <w:p w14:paraId="271494DA" w14:textId="45D43C74" w:rsidR="000204B2" w:rsidRPr="00EA3665" w:rsidRDefault="00086FAC" w:rsidP="000204B2">
      <w:pPr>
        <w:spacing w:after="120" w:line="240" w:lineRule="auto"/>
        <w:rPr>
          <w:color w:val="0070C0"/>
        </w:rPr>
      </w:pPr>
      <w:r w:rsidRPr="00EA3665">
        <w:rPr>
          <w:color w:val="0070C0"/>
        </w:rPr>
        <w:t xml:space="preserve">The only patient-level variables we were able to test were </w:t>
      </w:r>
      <w:r w:rsidR="00E031A8" w:rsidRPr="00EA3665">
        <w:rPr>
          <w:color w:val="0070C0"/>
        </w:rPr>
        <w:t>Medicare-</w:t>
      </w:r>
      <w:r w:rsidRPr="00EA3665">
        <w:rPr>
          <w:color w:val="0070C0"/>
        </w:rPr>
        <w:t xml:space="preserve">Medicaid </w:t>
      </w:r>
      <w:r w:rsidR="00E031A8" w:rsidRPr="00EA3665">
        <w:rPr>
          <w:color w:val="0070C0"/>
        </w:rPr>
        <w:t xml:space="preserve">dual </w:t>
      </w:r>
      <w:r w:rsidRPr="00EA3665">
        <w:rPr>
          <w:color w:val="0070C0"/>
        </w:rPr>
        <w:t>enrollment as an indicator of poverty</w:t>
      </w:r>
      <w:r w:rsidR="002A6B73" w:rsidRPr="00EA3665">
        <w:rPr>
          <w:color w:val="0070C0"/>
        </w:rPr>
        <w:t xml:space="preserve"> and </w:t>
      </w:r>
      <w:r w:rsidRPr="00EA3665">
        <w:rPr>
          <w:color w:val="0070C0"/>
        </w:rPr>
        <w:t xml:space="preserve">race. </w:t>
      </w:r>
      <w:r w:rsidR="001C4F93" w:rsidRPr="00EA3665">
        <w:rPr>
          <w:color w:val="0070C0"/>
        </w:rPr>
        <w:t>We did not consider race a proxy for t</w:t>
      </w:r>
      <w:r w:rsidR="00E031A8" w:rsidRPr="00EA3665">
        <w:rPr>
          <w:color w:val="0070C0"/>
        </w:rPr>
        <w:t>h</w:t>
      </w:r>
      <w:r w:rsidR="001C4F93" w:rsidRPr="00EA3665">
        <w:rPr>
          <w:color w:val="0070C0"/>
        </w:rPr>
        <w:t xml:space="preserve">e beneficiaries’ socio-economic status and tested </w:t>
      </w:r>
      <w:r w:rsidR="00B02D47">
        <w:rPr>
          <w:color w:val="0070C0"/>
        </w:rPr>
        <w:t xml:space="preserve">it </w:t>
      </w:r>
      <w:r w:rsidR="001C4F93" w:rsidRPr="00EA3665">
        <w:rPr>
          <w:color w:val="0070C0"/>
        </w:rPr>
        <w:t>for comparison purposes only (p</w:t>
      </w:r>
      <w:r w:rsidRPr="00EA3665">
        <w:rPr>
          <w:color w:val="0070C0"/>
        </w:rPr>
        <w:t>er recommendation of the NQF Risk</w:t>
      </w:r>
      <w:r w:rsidR="003037BC" w:rsidRPr="00EA3665">
        <w:rPr>
          <w:color w:val="0070C0"/>
        </w:rPr>
        <w:t>-</w:t>
      </w:r>
      <w:r w:rsidRPr="00EA3665">
        <w:rPr>
          <w:color w:val="0070C0"/>
        </w:rPr>
        <w:t>Adjustment Expert Panel and Disparities Standing Committee</w:t>
      </w:r>
      <w:r w:rsidR="00A84BD1" w:rsidRPr="00EA3665">
        <w:rPr>
          <w:rStyle w:val="EndnoteReference"/>
          <w:color w:val="0070C0"/>
        </w:rPr>
        <w:endnoteReference w:id="2"/>
      </w:r>
      <w:r w:rsidR="001C4F93" w:rsidRPr="00EA3665">
        <w:rPr>
          <w:color w:val="0070C0"/>
        </w:rPr>
        <w:t>)</w:t>
      </w:r>
      <w:r w:rsidRPr="00EA3665">
        <w:rPr>
          <w:color w:val="0070C0"/>
        </w:rPr>
        <w:t xml:space="preserve">. In the absence of patient-level data </w:t>
      </w:r>
      <w:r w:rsidR="007F7471" w:rsidRPr="00EA3665">
        <w:rPr>
          <w:color w:val="0070C0"/>
        </w:rPr>
        <w:t xml:space="preserve">on </w:t>
      </w:r>
      <w:r w:rsidRPr="00EA3665">
        <w:rPr>
          <w:color w:val="0070C0"/>
        </w:rPr>
        <w:t xml:space="preserve">beneficiaries’ socio-economic characteristics, area-based variables offer the potential to </w:t>
      </w:r>
      <w:r w:rsidR="000D2EF3" w:rsidRPr="00EA3665">
        <w:rPr>
          <w:color w:val="0070C0"/>
        </w:rPr>
        <w:t>capture</w:t>
      </w:r>
      <w:r w:rsidRPr="00EA3665">
        <w:rPr>
          <w:color w:val="0070C0"/>
        </w:rPr>
        <w:t xml:space="preserve"> characteristics of patients’ immediate environments and their exposure to social and economic conditions.</w:t>
      </w:r>
      <w:r w:rsidRPr="00EA3665">
        <w:rPr>
          <w:rStyle w:val="EndnoteReference"/>
          <w:color w:val="0070C0"/>
        </w:rPr>
        <w:endnoteReference w:id="3"/>
      </w:r>
      <w:r w:rsidRPr="00EA3665">
        <w:rPr>
          <w:color w:val="0070C0"/>
        </w:rPr>
        <w:t xml:space="preserve"> </w:t>
      </w:r>
      <w:r w:rsidR="00FB3A8C">
        <w:rPr>
          <w:color w:val="0070C0"/>
          <w:lang w:val="en"/>
        </w:rPr>
        <w:t>S</w:t>
      </w:r>
      <w:r w:rsidR="00FB3A8C" w:rsidRPr="00EA3665">
        <w:rPr>
          <w:color w:val="0070C0"/>
          <w:lang w:val="en"/>
        </w:rPr>
        <w:t xml:space="preserve">tudies that used both levels of factors had similar results and found that area and individual factors independently and jointly affected some </w:t>
      </w:r>
      <w:r w:rsidR="00FB3A8C">
        <w:rPr>
          <w:color w:val="0070C0"/>
          <w:lang w:val="en"/>
        </w:rPr>
        <w:t xml:space="preserve">health </w:t>
      </w:r>
      <w:r w:rsidR="00FB3A8C" w:rsidRPr="00EA3665">
        <w:rPr>
          <w:color w:val="0070C0"/>
          <w:lang w:val="en"/>
        </w:rPr>
        <w:t>outcomes.</w:t>
      </w:r>
      <w:r w:rsidR="00FB3A8C" w:rsidRPr="00EA3665">
        <w:rPr>
          <w:rStyle w:val="EndnoteReference"/>
          <w:color w:val="0070C0"/>
          <w:lang w:val="en"/>
        </w:rPr>
        <w:endnoteReference w:id="4"/>
      </w:r>
      <w:r w:rsidR="00FB3A8C" w:rsidRPr="00EA3665">
        <w:rPr>
          <w:color w:val="0070C0"/>
          <w:lang w:val="en"/>
        </w:rPr>
        <w:t xml:space="preserve"> </w:t>
      </w:r>
      <w:r w:rsidR="000204B2" w:rsidRPr="00EA3665">
        <w:rPr>
          <w:color w:val="0070C0"/>
        </w:rPr>
        <w:t>The</w:t>
      </w:r>
      <w:r w:rsidR="00FB3A8C">
        <w:rPr>
          <w:color w:val="0070C0"/>
        </w:rPr>
        <w:t xml:space="preserve"> area-level</w:t>
      </w:r>
      <w:r w:rsidR="00E031A8" w:rsidRPr="00EA3665">
        <w:rPr>
          <w:color w:val="0070C0"/>
        </w:rPr>
        <w:t xml:space="preserve"> variables </w:t>
      </w:r>
      <w:r w:rsidR="000204B2" w:rsidRPr="00EA3665">
        <w:rPr>
          <w:color w:val="0070C0"/>
        </w:rPr>
        <w:t xml:space="preserve">capture </w:t>
      </w:r>
      <w:r w:rsidR="00980E91" w:rsidRPr="00EA3665">
        <w:rPr>
          <w:color w:val="0070C0"/>
        </w:rPr>
        <w:t xml:space="preserve">demographic and socio-economic characteristics of patients’ neighborhoods, </w:t>
      </w:r>
      <w:r w:rsidR="000204B2" w:rsidRPr="00EA3665">
        <w:rPr>
          <w:color w:val="0070C0"/>
        </w:rPr>
        <w:t xml:space="preserve">characteristics of the local healthcare system, adjusted mortality rates of Medicare beneficiaries, and </w:t>
      </w:r>
      <w:r w:rsidR="00980E91" w:rsidRPr="00EA3665">
        <w:rPr>
          <w:color w:val="0070C0"/>
        </w:rPr>
        <w:t>urbanization</w:t>
      </w:r>
      <w:r w:rsidR="00123639" w:rsidRPr="00EA3665">
        <w:rPr>
          <w:color w:val="0070C0"/>
        </w:rPr>
        <w:t xml:space="preserve"> level</w:t>
      </w:r>
      <w:r w:rsidR="000204B2" w:rsidRPr="00EA3665">
        <w:rPr>
          <w:color w:val="0070C0"/>
        </w:rPr>
        <w:t>. We were not able to create variables for patients</w:t>
      </w:r>
      <w:r w:rsidR="00935288" w:rsidRPr="00EA3665">
        <w:rPr>
          <w:color w:val="0070C0"/>
        </w:rPr>
        <w:t>’</w:t>
      </w:r>
      <w:r w:rsidR="000204B2" w:rsidRPr="00EA3665">
        <w:rPr>
          <w:color w:val="0070C0"/>
        </w:rPr>
        <w:t xml:space="preserve"> housing stability, marital status, or availability of social support because that information is not currently collected for all Medicare enrollees.</w:t>
      </w:r>
    </w:p>
    <w:p w14:paraId="50C57D0A" w14:textId="7238AF58" w:rsidR="00E16B28" w:rsidRPr="00EA3665" w:rsidRDefault="00E16B28" w:rsidP="000204B2">
      <w:pPr>
        <w:spacing w:after="120" w:line="240" w:lineRule="auto"/>
        <w:rPr>
          <w:color w:val="0070C0"/>
        </w:rPr>
      </w:pPr>
      <w:r w:rsidRPr="00EA3665">
        <w:rPr>
          <w:color w:val="0070C0"/>
        </w:rPr>
        <w:t xml:space="preserve">We merged the area-level </w:t>
      </w:r>
      <w:r w:rsidR="001B3CF1" w:rsidRPr="00EA3665">
        <w:rPr>
          <w:color w:val="0070C0"/>
        </w:rPr>
        <w:t xml:space="preserve">SDH </w:t>
      </w:r>
      <w:r w:rsidRPr="00EA3665">
        <w:rPr>
          <w:color w:val="0070C0"/>
        </w:rPr>
        <w:t>data to patient-level data using the ZIP-code variable. Recent studies show that block group</w:t>
      </w:r>
      <w:r w:rsidR="00FB3A8C">
        <w:rPr>
          <w:color w:val="0070C0"/>
        </w:rPr>
        <w:t>-,</w:t>
      </w:r>
      <w:r w:rsidRPr="00EA3665">
        <w:rPr>
          <w:color w:val="0070C0"/>
        </w:rPr>
        <w:t xml:space="preserve"> census tract</w:t>
      </w:r>
      <w:r w:rsidR="00FB3A8C">
        <w:rPr>
          <w:color w:val="0070C0"/>
        </w:rPr>
        <w:t>-</w:t>
      </w:r>
      <w:r w:rsidRPr="00EA3665">
        <w:rPr>
          <w:color w:val="0070C0"/>
        </w:rPr>
        <w:t>, and ZIP-code level indicators detect expected gradients of the SES in health outcomes similarly.</w:t>
      </w:r>
      <w:r w:rsidRPr="00EA3665">
        <w:rPr>
          <w:rStyle w:val="EndnoteReference"/>
          <w:color w:val="0070C0"/>
        </w:rPr>
        <w:endnoteReference w:id="5"/>
      </w:r>
      <w:r w:rsidRPr="00EA3665">
        <w:rPr>
          <w:color w:val="0070C0"/>
        </w:rPr>
        <w:t xml:space="preserve"> In the readmission data, 4 index admissions did not have any ZIP code; 536,548 (98.1 percent) admissions had a nine-digit ZIP code, and 10,583 (1.9 percent) had a five-digit ZIP code only. For the beneficiaries for whom the nine-digit ZIP code address was not available we computed the area-level characteristics at the five-digit ZIP code. </w:t>
      </w:r>
    </w:p>
    <w:p w14:paraId="0DA33587" w14:textId="6D2C3DB6" w:rsidR="00086FAC" w:rsidRDefault="00086FAC" w:rsidP="000C0983">
      <w:pPr>
        <w:pStyle w:val="Caption"/>
      </w:pPr>
      <w:r w:rsidRPr="00EA3665">
        <w:t xml:space="preserve">Table </w:t>
      </w:r>
      <w:r w:rsidR="00F212EC" w:rsidRPr="00EA3665">
        <w:t>1</w:t>
      </w:r>
      <w:r w:rsidR="0078380D" w:rsidRPr="00EA3665">
        <w:t>.8</w:t>
      </w:r>
      <w:r w:rsidRPr="00EA3665">
        <w:t>. SD</w:t>
      </w:r>
      <w:r w:rsidR="001B3CF1" w:rsidRPr="00EA3665">
        <w:t>H</w:t>
      </w:r>
      <w:r w:rsidRPr="00EA3665">
        <w:t xml:space="preserve"> constructs with potential variables and level of operationalization</w:t>
      </w:r>
    </w:p>
    <w:tbl>
      <w:tblPr>
        <w:tblStyle w:val="MathUBaseTable"/>
        <w:tblW w:w="9990" w:type="dxa"/>
        <w:tblLook w:val="04A0" w:firstRow="1" w:lastRow="0" w:firstColumn="1" w:lastColumn="0" w:noHBand="0" w:noVBand="1"/>
      </w:tblPr>
      <w:tblGrid>
        <w:gridCol w:w="1530"/>
        <w:gridCol w:w="4050"/>
        <w:gridCol w:w="2880"/>
        <w:gridCol w:w="1530"/>
      </w:tblGrid>
      <w:tr w:rsidR="007E2E34" w:rsidRPr="004A47D0" w14:paraId="70DBEB18" w14:textId="77777777" w:rsidTr="00E26B96">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30" w:type="dxa"/>
            <w:hideMark/>
          </w:tcPr>
          <w:p w14:paraId="4949275A" w14:textId="1C301046" w:rsidR="00E03CB4" w:rsidRPr="004A47D0" w:rsidRDefault="00E03CB4" w:rsidP="00F04DC2">
            <w:pPr>
              <w:pStyle w:val="TableHeaderLeft"/>
            </w:pPr>
            <w:r w:rsidRPr="004A47D0">
              <w:t>SDH Construct</w:t>
            </w:r>
          </w:p>
        </w:tc>
        <w:tc>
          <w:tcPr>
            <w:tcW w:w="4050" w:type="dxa"/>
            <w:hideMark/>
          </w:tcPr>
          <w:p w14:paraId="16778116" w14:textId="77777777" w:rsidR="00E03CB4" w:rsidRPr="004A47D0" w:rsidRDefault="00E03CB4" w:rsidP="00F04DC2">
            <w:pPr>
              <w:pStyle w:val="TableHeaderCenter"/>
              <w:cnfStyle w:val="100000000000" w:firstRow="1" w:lastRow="0" w:firstColumn="0" w:lastColumn="0" w:oddVBand="0" w:evenVBand="0" w:oddHBand="0" w:evenHBand="0" w:firstRowFirstColumn="0" w:firstRowLastColumn="0" w:lastRowFirstColumn="0" w:lastRowLastColumn="0"/>
            </w:pPr>
            <w:r w:rsidRPr="004A47D0">
              <w:t>Variable</w:t>
            </w:r>
          </w:p>
        </w:tc>
        <w:tc>
          <w:tcPr>
            <w:tcW w:w="2880" w:type="dxa"/>
          </w:tcPr>
          <w:p w14:paraId="4102EC52" w14:textId="176B946A" w:rsidR="00E03CB4" w:rsidDel="00E03CB4" w:rsidRDefault="00E03CB4" w:rsidP="00F04DC2">
            <w:pPr>
              <w:pStyle w:val="TableHeaderCenter"/>
              <w:cnfStyle w:val="100000000000" w:firstRow="1" w:lastRow="0" w:firstColumn="0" w:lastColumn="0" w:oddVBand="0" w:evenVBand="0" w:oddHBand="0" w:evenHBand="0" w:firstRowFirstColumn="0" w:firstRowLastColumn="0" w:lastRowFirstColumn="0" w:lastRowLastColumn="0"/>
              <w:rPr>
                <w:b w:val="0"/>
              </w:rPr>
            </w:pPr>
            <w:r>
              <w:t>Source</w:t>
            </w:r>
          </w:p>
        </w:tc>
        <w:tc>
          <w:tcPr>
            <w:tcW w:w="1530" w:type="dxa"/>
            <w:hideMark/>
          </w:tcPr>
          <w:p w14:paraId="019FF739" w14:textId="20BF94B8" w:rsidR="00E03CB4" w:rsidRPr="004A47D0" w:rsidRDefault="00E03CB4" w:rsidP="00F04DC2">
            <w:pPr>
              <w:pStyle w:val="TableHeaderCenter"/>
              <w:cnfStyle w:val="100000000000" w:firstRow="1" w:lastRow="0" w:firstColumn="0" w:lastColumn="0" w:oddVBand="0" w:evenVBand="0" w:oddHBand="0" w:evenHBand="0" w:firstRowFirstColumn="0" w:firstRowLastColumn="0" w:lastRowFirstColumn="0" w:lastRowLastColumn="0"/>
            </w:pPr>
            <w:r w:rsidRPr="004A47D0">
              <w:t>Level</w:t>
            </w:r>
          </w:p>
        </w:tc>
      </w:tr>
      <w:tr w:rsidR="007E2E34" w:rsidRPr="004A47D0" w14:paraId="62CA30DC"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3FD6EA10" w14:textId="07D33F92" w:rsidR="00E03CB4" w:rsidRPr="009B3B93" w:rsidRDefault="00E03CB4" w:rsidP="00F04DC2">
            <w:pPr>
              <w:pStyle w:val="TableTextLeft"/>
              <w:rPr>
                <w:b/>
                <w:bCs/>
              </w:rPr>
            </w:pPr>
            <w:r w:rsidRPr="009B3B93">
              <w:rPr>
                <w:b/>
                <w:bCs/>
              </w:rPr>
              <w:t>Income/</w:t>
            </w:r>
            <w:r w:rsidR="008F10BB" w:rsidRPr="009B3B93">
              <w:rPr>
                <w:b/>
                <w:bCs/>
              </w:rPr>
              <w:t xml:space="preserve"> </w:t>
            </w:r>
            <w:r w:rsidRPr="009B3B93">
              <w:rPr>
                <w:b/>
                <w:bCs/>
              </w:rPr>
              <w:t>Wealth/Socio-economic status</w:t>
            </w:r>
          </w:p>
        </w:tc>
        <w:tc>
          <w:tcPr>
            <w:tcW w:w="4050" w:type="dxa"/>
            <w:hideMark/>
          </w:tcPr>
          <w:p w14:paraId="32DE2DDF" w14:textId="54BB768A"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Dual Medicare-Medicaid status</w:t>
            </w:r>
          </w:p>
        </w:tc>
        <w:tc>
          <w:tcPr>
            <w:tcW w:w="2880" w:type="dxa"/>
          </w:tcPr>
          <w:p w14:paraId="78391B8D" w14:textId="7AA41D32"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Claims data</w:t>
            </w:r>
          </w:p>
        </w:tc>
        <w:tc>
          <w:tcPr>
            <w:tcW w:w="1530" w:type="dxa"/>
            <w:hideMark/>
          </w:tcPr>
          <w:p w14:paraId="1092977C" w14:textId="2830EE77"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Patient</w:t>
            </w:r>
          </w:p>
        </w:tc>
      </w:tr>
      <w:tr w:rsidR="007E2E34" w:rsidRPr="004A47D0" w14:paraId="7B3C0FDA"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01C14656" w14:textId="77777777" w:rsidR="00E03CB4" w:rsidRPr="009B3B93" w:rsidRDefault="00E03CB4" w:rsidP="00F04DC2">
            <w:pPr>
              <w:pStyle w:val="TableTextLeft"/>
              <w:rPr>
                <w:b/>
                <w:bCs/>
              </w:rPr>
            </w:pPr>
          </w:p>
        </w:tc>
        <w:tc>
          <w:tcPr>
            <w:tcW w:w="4050" w:type="dxa"/>
            <w:hideMark/>
          </w:tcPr>
          <w:p w14:paraId="6EB3FF9F" w14:textId="77777777"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 xml:space="preserve">Unemployment </w:t>
            </w:r>
          </w:p>
        </w:tc>
        <w:tc>
          <w:tcPr>
            <w:tcW w:w="2880" w:type="dxa"/>
          </w:tcPr>
          <w:p w14:paraId="389069F8" w14:textId="58F3278B"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0A626151" w14:textId="768B6C45" w:rsidR="00E03CB4"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Pr>
                <w:color w:val="000000" w:themeColor="dark1"/>
              </w:rPr>
              <w:t>9-digit ZIP code</w:t>
            </w:r>
          </w:p>
        </w:tc>
      </w:tr>
      <w:tr w:rsidR="007E2E34" w:rsidRPr="004A47D0" w14:paraId="1AD5115D"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4A391D93" w14:textId="77777777" w:rsidR="008F10BB" w:rsidRPr="009B3B93" w:rsidRDefault="008F10BB" w:rsidP="00F04DC2">
            <w:pPr>
              <w:pStyle w:val="TableTextLeft"/>
              <w:rPr>
                <w:b/>
                <w:bCs/>
              </w:rPr>
            </w:pPr>
          </w:p>
        </w:tc>
        <w:tc>
          <w:tcPr>
            <w:tcW w:w="4050" w:type="dxa"/>
            <w:hideMark/>
          </w:tcPr>
          <w:p w14:paraId="0C306227"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Median household income</w:t>
            </w:r>
          </w:p>
        </w:tc>
        <w:tc>
          <w:tcPr>
            <w:tcW w:w="2880" w:type="dxa"/>
          </w:tcPr>
          <w:p w14:paraId="44A1626C" w14:textId="0559BE0B"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37322C2A" w14:textId="5F7A8190"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981658">
              <w:rPr>
                <w:color w:val="000000" w:themeColor="dark1"/>
              </w:rPr>
              <w:t>9-digit ZIP code</w:t>
            </w:r>
          </w:p>
        </w:tc>
      </w:tr>
      <w:tr w:rsidR="007E2E34" w:rsidRPr="004A47D0" w14:paraId="60579790"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7B07E8E9" w14:textId="77777777" w:rsidR="008F10BB" w:rsidRPr="009B3B93" w:rsidRDefault="008F10BB" w:rsidP="00F04DC2">
            <w:pPr>
              <w:pStyle w:val="TableTextLeft"/>
              <w:rPr>
                <w:b/>
                <w:bCs/>
              </w:rPr>
            </w:pPr>
          </w:p>
        </w:tc>
        <w:tc>
          <w:tcPr>
            <w:tcW w:w="4050" w:type="dxa"/>
            <w:hideMark/>
          </w:tcPr>
          <w:p w14:paraId="797F2176"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Percentage below poverty level</w:t>
            </w:r>
          </w:p>
        </w:tc>
        <w:tc>
          <w:tcPr>
            <w:tcW w:w="2880" w:type="dxa"/>
          </w:tcPr>
          <w:p w14:paraId="6935CAC1" w14:textId="543B02F9"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1D339E96" w14:textId="3F0952A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981658">
              <w:rPr>
                <w:color w:val="000000" w:themeColor="dark1"/>
              </w:rPr>
              <w:t>9-digit ZIP code</w:t>
            </w:r>
          </w:p>
        </w:tc>
      </w:tr>
      <w:tr w:rsidR="007E2E34" w:rsidRPr="004A47D0" w14:paraId="7D8545E0"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1B5E5C8F" w14:textId="77777777" w:rsidR="008F10BB" w:rsidRPr="009B3B93" w:rsidRDefault="008F10BB" w:rsidP="00F04DC2">
            <w:pPr>
              <w:pStyle w:val="TableTextLeft"/>
              <w:rPr>
                <w:b/>
                <w:bCs/>
              </w:rPr>
            </w:pPr>
          </w:p>
        </w:tc>
        <w:tc>
          <w:tcPr>
            <w:tcW w:w="4050" w:type="dxa"/>
            <w:hideMark/>
          </w:tcPr>
          <w:p w14:paraId="0E11AD59"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Crowded household</w:t>
            </w:r>
          </w:p>
        </w:tc>
        <w:tc>
          <w:tcPr>
            <w:tcW w:w="2880" w:type="dxa"/>
          </w:tcPr>
          <w:p w14:paraId="3785E472" w14:textId="05C39D83"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5733E92D" w14:textId="24E15032"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981658">
              <w:rPr>
                <w:color w:val="000000" w:themeColor="dark1"/>
              </w:rPr>
              <w:t>9-digit ZIP code</w:t>
            </w:r>
          </w:p>
        </w:tc>
      </w:tr>
      <w:tr w:rsidR="007E2E34" w:rsidRPr="004A47D0" w14:paraId="512ADD57"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7CD69D1B" w14:textId="77777777" w:rsidR="008F10BB" w:rsidRPr="009B3B93" w:rsidRDefault="008F10BB" w:rsidP="00F04DC2">
            <w:pPr>
              <w:pStyle w:val="TableTextLeft"/>
              <w:rPr>
                <w:b/>
                <w:bCs/>
              </w:rPr>
            </w:pPr>
          </w:p>
        </w:tc>
        <w:tc>
          <w:tcPr>
            <w:tcW w:w="4050" w:type="dxa"/>
            <w:hideMark/>
          </w:tcPr>
          <w:p w14:paraId="50560307"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Median value of owner-occupied properties</w:t>
            </w:r>
          </w:p>
        </w:tc>
        <w:tc>
          <w:tcPr>
            <w:tcW w:w="2880" w:type="dxa"/>
          </w:tcPr>
          <w:p w14:paraId="7423A370" w14:textId="234322DB"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0EBF04E1" w14:textId="72CE4409"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981658">
              <w:rPr>
                <w:color w:val="000000" w:themeColor="dark1"/>
              </w:rPr>
              <w:t>9-digit ZIP code</w:t>
            </w:r>
          </w:p>
        </w:tc>
      </w:tr>
      <w:tr w:rsidR="007E2E34" w:rsidRPr="004A47D0" w14:paraId="652842C3"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15B31D3C" w14:textId="77777777" w:rsidR="008F10BB" w:rsidRPr="009B3B93" w:rsidRDefault="008F10BB" w:rsidP="00F04DC2">
            <w:pPr>
              <w:pStyle w:val="TableTextLeft"/>
              <w:rPr>
                <w:b/>
                <w:bCs/>
              </w:rPr>
            </w:pPr>
          </w:p>
        </w:tc>
        <w:tc>
          <w:tcPr>
            <w:tcW w:w="4050" w:type="dxa"/>
          </w:tcPr>
          <w:p w14:paraId="13754A16" w14:textId="697E28EC"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4A47D0">
              <w:rPr>
                <w:color w:val="000000"/>
              </w:rPr>
              <w:t>Percent of residents receiving supplemental social security income, public assistance, food stamps or any other source of income*</w:t>
            </w:r>
          </w:p>
        </w:tc>
        <w:tc>
          <w:tcPr>
            <w:tcW w:w="2880" w:type="dxa"/>
          </w:tcPr>
          <w:p w14:paraId="7ADAB867" w14:textId="7786DC6A"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tcPr>
          <w:p w14:paraId="15A7E5D1" w14:textId="6B386A1B"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981658">
              <w:rPr>
                <w:color w:val="000000" w:themeColor="dark1"/>
              </w:rPr>
              <w:t>9-digit ZIP code</w:t>
            </w:r>
          </w:p>
        </w:tc>
      </w:tr>
      <w:tr w:rsidR="007E2E34" w:rsidRPr="004A47D0" w14:paraId="38A7DF66"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17865845" w14:textId="77777777" w:rsidR="008F10BB" w:rsidRPr="009B3B93" w:rsidRDefault="008F10BB" w:rsidP="00F04DC2">
            <w:pPr>
              <w:pStyle w:val="TableTextLeft"/>
              <w:rPr>
                <w:b/>
                <w:bCs/>
              </w:rPr>
            </w:pPr>
          </w:p>
        </w:tc>
        <w:tc>
          <w:tcPr>
            <w:tcW w:w="4050" w:type="dxa"/>
          </w:tcPr>
          <w:p w14:paraId="17F4FB6D" w14:textId="74C20C6C"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4A47D0">
              <w:t>Agency for Healthcare Research and Quality (AHRQ) SES composite**</w:t>
            </w:r>
          </w:p>
        </w:tc>
        <w:tc>
          <w:tcPr>
            <w:tcW w:w="2880" w:type="dxa"/>
          </w:tcPr>
          <w:p w14:paraId="63579E29" w14:textId="4B0602A8"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tcPr>
          <w:p w14:paraId="2C5E4C75" w14:textId="34AC74F6"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981658">
              <w:rPr>
                <w:color w:val="000000" w:themeColor="dark1"/>
              </w:rPr>
              <w:t>9-digit ZIP code</w:t>
            </w:r>
          </w:p>
        </w:tc>
      </w:tr>
      <w:tr w:rsidR="007E2E34" w:rsidRPr="004A47D0" w14:paraId="03BC02A6"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34EBC0C2" w14:textId="7AF4A008" w:rsidR="008F10BB" w:rsidRPr="009B3B93" w:rsidRDefault="008F10BB" w:rsidP="00D82EC3">
            <w:pPr>
              <w:pStyle w:val="TableTextLeft"/>
              <w:rPr>
                <w:b/>
                <w:bCs/>
              </w:rPr>
            </w:pPr>
            <w:r w:rsidRPr="009B3B93">
              <w:rPr>
                <w:b/>
                <w:bCs/>
              </w:rPr>
              <w:t xml:space="preserve">Race and Ethnicity/ </w:t>
            </w:r>
            <w:r w:rsidR="00D82EC3">
              <w:rPr>
                <w:b/>
                <w:bCs/>
              </w:rPr>
              <w:br/>
            </w:r>
            <w:r w:rsidRPr="009B3B93">
              <w:rPr>
                <w:b/>
                <w:bCs/>
              </w:rPr>
              <w:t>Immigration</w:t>
            </w:r>
          </w:p>
        </w:tc>
        <w:tc>
          <w:tcPr>
            <w:tcW w:w="4050" w:type="dxa"/>
            <w:hideMark/>
          </w:tcPr>
          <w:p w14:paraId="534E92D7"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Race/ethnicity</w:t>
            </w:r>
          </w:p>
        </w:tc>
        <w:tc>
          <w:tcPr>
            <w:tcW w:w="2880" w:type="dxa"/>
          </w:tcPr>
          <w:p w14:paraId="57D4C832" w14:textId="7016D7EF" w:rsidR="008F10BB" w:rsidRPr="004A47D0" w:rsidRDefault="00447B25"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Claims data</w:t>
            </w:r>
          </w:p>
        </w:tc>
        <w:tc>
          <w:tcPr>
            <w:tcW w:w="1530" w:type="dxa"/>
            <w:hideMark/>
          </w:tcPr>
          <w:p w14:paraId="08641D12" w14:textId="335B7CF0"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Patient</w:t>
            </w:r>
          </w:p>
        </w:tc>
      </w:tr>
      <w:tr w:rsidR="007E2E34" w:rsidRPr="004A47D0" w14:paraId="550977A4"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5EBE5C3D" w14:textId="77777777" w:rsidR="008F10BB" w:rsidRPr="009B3B93" w:rsidRDefault="008F10BB" w:rsidP="00F04DC2">
            <w:pPr>
              <w:pStyle w:val="TableTextLeft"/>
              <w:rPr>
                <w:b/>
                <w:bCs/>
              </w:rPr>
            </w:pPr>
          </w:p>
        </w:tc>
        <w:tc>
          <w:tcPr>
            <w:tcW w:w="4050" w:type="dxa"/>
            <w:hideMark/>
          </w:tcPr>
          <w:p w14:paraId="47E58A5E" w14:textId="7BADA040"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themeColor="dark1"/>
              </w:rPr>
              <w:t>Percent Hispanic/Latino population</w:t>
            </w:r>
          </w:p>
        </w:tc>
        <w:tc>
          <w:tcPr>
            <w:tcW w:w="2880" w:type="dxa"/>
          </w:tcPr>
          <w:p w14:paraId="3DE644C4" w14:textId="5E377B6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4BFA1BCD" w14:textId="621569E8"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7668C5">
              <w:rPr>
                <w:color w:val="000000" w:themeColor="dark1"/>
              </w:rPr>
              <w:t>9-digit ZIP code</w:t>
            </w:r>
          </w:p>
        </w:tc>
      </w:tr>
      <w:tr w:rsidR="007E2E34" w:rsidRPr="004A47D0" w14:paraId="57570697"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17A2A96D" w14:textId="77777777" w:rsidR="008F10BB" w:rsidRPr="009B3B93" w:rsidRDefault="008F10BB" w:rsidP="00F04DC2">
            <w:pPr>
              <w:pStyle w:val="TableTextLeft"/>
              <w:rPr>
                <w:b/>
                <w:bCs/>
              </w:rPr>
            </w:pPr>
          </w:p>
        </w:tc>
        <w:tc>
          <w:tcPr>
            <w:tcW w:w="4050" w:type="dxa"/>
          </w:tcPr>
          <w:p w14:paraId="564A73B1" w14:textId="63C35901"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4A47D0">
              <w:rPr>
                <w:color w:val="000000" w:themeColor="dark1"/>
              </w:rPr>
              <w:t>Percent Black population</w:t>
            </w:r>
          </w:p>
        </w:tc>
        <w:tc>
          <w:tcPr>
            <w:tcW w:w="2880" w:type="dxa"/>
          </w:tcPr>
          <w:p w14:paraId="13C0B1D6" w14:textId="2830B530"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tcPr>
          <w:p w14:paraId="014536E1" w14:textId="386DA82C"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sidRPr="007668C5">
              <w:rPr>
                <w:color w:val="000000" w:themeColor="dark1"/>
              </w:rPr>
              <w:t>9-digit ZIP code</w:t>
            </w:r>
          </w:p>
        </w:tc>
      </w:tr>
      <w:tr w:rsidR="007E2E34" w:rsidRPr="004A47D0" w14:paraId="5C5EA4F8"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673FA531" w14:textId="77777777" w:rsidR="008F10BB" w:rsidRPr="009B3B93" w:rsidRDefault="008F10BB" w:rsidP="00F04DC2">
            <w:pPr>
              <w:pStyle w:val="TableTextLeft"/>
              <w:rPr>
                <w:b/>
                <w:bCs/>
              </w:rPr>
            </w:pPr>
          </w:p>
        </w:tc>
        <w:tc>
          <w:tcPr>
            <w:tcW w:w="4050" w:type="dxa"/>
            <w:hideMark/>
          </w:tcPr>
          <w:p w14:paraId="0FB1481B" w14:textId="5E246619"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rPr>
              <w:t>Percent of residents speaking no- or limited English***</w:t>
            </w:r>
          </w:p>
        </w:tc>
        <w:tc>
          <w:tcPr>
            <w:tcW w:w="2880" w:type="dxa"/>
          </w:tcPr>
          <w:p w14:paraId="734CA2FD" w14:textId="70CF262F"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rPr>
                <w:color w:val="000000" w:themeColor="dark1"/>
              </w:rPr>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1F27FE97" w14:textId="6CF5BE69"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7668C5">
              <w:rPr>
                <w:color w:val="000000" w:themeColor="dark1"/>
              </w:rPr>
              <w:t>9-digit ZIP code</w:t>
            </w:r>
          </w:p>
        </w:tc>
      </w:tr>
      <w:tr w:rsidR="007E2E34" w:rsidRPr="004A47D0" w14:paraId="0C86E8D1"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29516F4B" w14:textId="77777777" w:rsidR="008F10BB" w:rsidRPr="009B3B93" w:rsidRDefault="008F10BB" w:rsidP="00F04DC2">
            <w:pPr>
              <w:pStyle w:val="TableTextLeft"/>
              <w:rPr>
                <w:b/>
                <w:bCs/>
              </w:rPr>
            </w:pPr>
            <w:r w:rsidRPr="009B3B93">
              <w:rPr>
                <w:b/>
                <w:bCs/>
              </w:rPr>
              <w:t>Education</w:t>
            </w:r>
          </w:p>
        </w:tc>
        <w:tc>
          <w:tcPr>
            <w:tcW w:w="4050" w:type="dxa"/>
            <w:hideMark/>
          </w:tcPr>
          <w:p w14:paraId="34275BED"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t>Low education</w:t>
            </w:r>
          </w:p>
        </w:tc>
        <w:tc>
          <w:tcPr>
            <w:tcW w:w="2880" w:type="dxa"/>
          </w:tcPr>
          <w:p w14:paraId="00F5222F" w14:textId="1E5B757E" w:rsidR="008F10BB"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64FE581B" w14:textId="73ADAD75"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7668C5">
              <w:rPr>
                <w:color w:val="000000" w:themeColor="dark1"/>
              </w:rPr>
              <w:t>9-digit ZIP code</w:t>
            </w:r>
          </w:p>
        </w:tc>
      </w:tr>
      <w:tr w:rsidR="007E2E34" w:rsidRPr="004A47D0" w14:paraId="10FA6734"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2E9E47B5" w14:textId="77777777" w:rsidR="008F10BB" w:rsidRPr="009B3B93" w:rsidRDefault="008F10BB" w:rsidP="00F04DC2">
            <w:pPr>
              <w:pStyle w:val="TableTextLeft"/>
              <w:rPr>
                <w:b/>
                <w:bCs/>
              </w:rPr>
            </w:pPr>
          </w:p>
        </w:tc>
        <w:tc>
          <w:tcPr>
            <w:tcW w:w="4050" w:type="dxa"/>
            <w:hideMark/>
          </w:tcPr>
          <w:p w14:paraId="0931C3EC" w14:textId="77777777"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t>High education</w:t>
            </w:r>
          </w:p>
        </w:tc>
        <w:tc>
          <w:tcPr>
            <w:tcW w:w="2880" w:type="dxa"/>
          </w:tcPr>
          <w:p w14:paraId="78B1C3C8" w14:textId="57E13711" w:rsidR="008F10BB"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Pr>
                <w:color w:val="000000" w:themeColor="dark1"/>
              </w:rPr>
              <w:t xml:space="preserve">American Community Survey </w:t>
            </w:r>
            <w:r w:rsidR="00B31C61">
              <w:rPr>
                <w:color w:val="000000" w:themeColor="dark1"/>
              </w:rPr>
              <w:br/>
            </w:r>
            <w:r>
              <w:rPr>
                <w:color w:val="000000" w:themeColor="dark1"/>
              </w:rPr>
              <w:t>(</w:t>
            </w:r>
            <w:r w:rsidRPr="00C11578">
              <w:rPr>
                <w:rFonts w:ascii="Calibri" w:hAnsi="Calibri" w:cs="Calibri"/>
                <w:color w:val="000000"/>
              </w:rPr>
              <w:t>5-Year Data: 2013-2017</w:t>
            </w:r>
            <w:r>
              <w:rPr>
                <w:color w:val="000000" w:themeColor="dark1"/>
              </w:rPr>
              <w:t>)</w:t>
            </w:r>
          </w:p>
        </w:tc>
        <w:tc>
          <w:tcPr>
            <w:tcW w:w="1530" w:type="dxa"/>
            <w:hideMark/>
          </w:tcPr>
          <w:p w14:paraId="5535EE0E" w14:textId="1A5A678A"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7668C5">
              <w:rPr>
                <w:color w:val="000000" w:themeColor="dark1"/>
              </w:rPr>
              <w:t>9-digit ZIP code</w:t>
            </w:r>
          </w:p>
        </w:tc>
      </w:tr>
      <w:tr w:rsidR="007E2E34" w:rsidRPr="004A47D0" w14:paraId="22B9334D"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tcPr>
          <w:p w14:paraId="108B2063" w14:textId="3A4B92C4" w:rsidR="00E03CB4" w:rsidRPr="009B3B93" w:rsidRDefault="00E03CB4" w:rsidP="00F04DC2">
            <w:pPr>
              <w:pStyle w:val="TableTextLeft"/>
              <w:rPr>
                <w:b/>
                <w:bCs/>
              </w:rPr>
            </w:pPr>
            <w:r w:rsidRPr="009B3B93">
              <w:rPr>
                <w:b/>
                <w:bCs/>
              </w:rPr>
              <w:t>Urbanization</w:t>
            </w:r>
          </w:p>
        </w:tc>
        <w:tc>
          <w:tcPr>
            <w:tcW w:w="4050" w:type="dxa"/>
          </w:tcPr>
          <w:p w14:paraId="44662B04" w14:textId="64C44A7F" w:rsidR="00E03CB4" w:rsidRPr="004A47D0" w:rsidRDefault="00E03CB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 xml:space="preserve">USDA Rural-Urban Commuting Area classification system </w:t>
            </w:r>
          </w:p>
        </w:tc>
        <w:tc>
          <w:tcPr>
            <w:tcW w:w="2880" w:type="dxa"/>
          </w:tcPr>
          <w:p w14:paraId="5490E5CB" w14:textId="1A7C6FE4" w:rsidR="00E03CB4" w:rsidRPr="004A47D0" w:rsidRDefault="00992C0F" w:rsidP="00F04DC2">
            <w:pPr>
              <w:pStyle w:val="TableTextLeft"/>
              <w:cnfStyle w:val="000000000000" w:firstRow="0" w:lastRow="0" w:firstColumn="0" w:lastColumn="0" w:oddVBand="0" w:evenVBand="0" w:oddHBand="0" w:evenHBand="0" w:firstRowFirstColumn="0" w:firstRowLastColumn="0" w:lastRowFirstColumn="0" w:lastRowLastColumn="0"/>
            </w:pPr>
            <w:r w:rsidRPr="00992C0F">
              <w:t>Economic Research Service</w:t>
            </w:r>
            <w:r>
              <w:t>,</w:t>
            </w:r>
            <w:r w:rsidR="00B31C61">
              <w:br/>
            </w:r>
            <w:r w:rsidRPr="00992C0F">
              <w:t xml:space="preserve">United States Department </w:t>
            </w:r>
            <w:r w:rsidR="00B31C61">
              <w:br/>
            </w:r>
            <w:r w:rsidRPr="00992C0F">
              <w:t>of Agriculture</w:t>
            </w:r>
            <w:r>
              <w:t xml:space="preserve"> (2020)</w:t>
            </w:r>
          </w:p>
        </w:tc>
        <w:tc>
          <w:tcPr>
            <w:tcW w:w="1530" w:type="dxa"/>
          </w:tcPr>
          <w:p w14:paraId="1E8D0302" w14:textId="332BE8C9" w:rsidR="00E03CB4"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t>5-digit ZIP-code</w:t>
            </w:r>
          </w:p>
        </w:tc>
      </w:tr>
      <w:tr w:rsidR="008F10BB" w:rsidRPr="004A47D0" w14:paraId="6E092BE6"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tcPr>
          <w:p w14:paraId="1B0A6E1E" w14:textId="291C518E" w:rsidR="008F10BB" w:rsidRPr="009B3B93" w:rsidRDefault="007E2E34" w:rsidP="00F04DC2">
            <w:pPr>
              <w:pStyle w:val="TableTextLeft"/>
              <w:rPr>
                <w:b/>
                <w:bCs/>
              </w:rPr>
            </w:pPr>
            <w:r w:rsidRPr="009B3B93">
              <w:rPr>
                <w:b/>
                <w:bCs/>
              </w:rPr>
              <w:t>Mortality rates among Medicare beneficiaries</w:t>
            </w:r>
          </w:p>
        </w:tc>
        <w:tc>
          <w:tcPr>
            <w:tcW w:w="4050" w:type="dxa"/>
          </w:tcPr>
          <w:p w14:paraId="7A2F2320" w14:textId="43EA08CD"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4A47D0">
              <w:t>Age-standardized mortality rate (ASR) among Medicare enrollees and Medicare enrollees without HMO coverage (per 1000 Medicare beneficiaries</w:t>
            </w:r>
            <w:r>
              <w:t>)</w:t>
            </w:r>
          </w:p>
        </w:tc>
        <w:tc>
          <w:tcPr>
            <w:tcW w:w="2880" w:type="dxa"/>
          </w:tcPr>
          <w:p w14:paraId="21D3F44F" w14:textId="598B0D61"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t>Dartmouth Atlas of Healthcare (2015)</w:t>
            </w:r>
          </w:p>
        </w:tc>
        <w:tc>
          <w:tcPr>
            <w:tcW w:w="1530" w:type="dxa"/>
          </w:tcPr>
          <w:p w14:paraId="7D638599" w14:textId="33200A1F" w:rsidR="008F10BB" w:rsidRPr="004A47D0" w:rsidRDefault="008F10BB" w:rsidP="00F04DC2">
            <w:pPr>
              <w:pStyle w:val="TableTextLeft"/>
              <w:cnfStyle w:val="000000000000" w:firstRow="0" w:lastRow="0" w:firstColumn="0" w:lastColumn="0" w:oddVBand="0" w:evenVBand="0" w:oddHBand="0" w:evenHBand="0" w:firstRowFirstColumn="0" w:firstRowLastColumn="0" w:lastRowFirstColumn="0" w:lastRowLastColumn="0"/>
            </w:pPr>
            <w:r w:rsidRPr="00C0678D">
              <w:t>5-digit ZIP-code</w:t>
            </w:r>
          </w:p>
        </w:tc>
      </w:tr>
      <w:tr w:rsidR="007E2E34" w:rsidRPr="004A47D0" w14:paraId="6F23EE14"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tcPr>
          <w:p w14:paraId="0B348F9F" w14:textId="541E1505" w:rsidR="007E2E34" w:rsidRPr="009B3B93" w:rsidRDefault="007E2E34" w:rsidP="00F04DC2">
            <w:pPr>
              <w:pStyle w:val="TableTextLeft"/>
              <w:rPr>
                <w:b/>
                <w:bCs/>
              </w:rPr>
            </w:pPr>
            <w:r w:rsidRPr="009B3B93">
              <w:rPr>
                <w:b/>
                <w:bCs/>
              </w:rPr>
              <w:t>Access to care and characteristics of the local healthcare system</w:t>
            </w:r>
          </w:p>
        </w:tc>
        <w:tc>
          <w:tcPr>
            <w:tcW w:w="4050" w:type="dxa"/>
          </w:tcPr>
          <w:p w14:paraId="7A767F8E" w14:textId="6E15445A"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 xml:space="preserve">Full-time hospital employees (FTE) per 1,000 Residents </w:t>
            </w:r>
          </w:p>
        </w:tc>
        <w:tc>
          <w:tcPr>
            <w:tcW w:w="2880" w:type="dxa"/>
          </w:tcPr>
          <w:p w14:paraId="32D3AECC" w14:textId="1937AF0C"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Dartmouth Atlas of Healthcare (2012)</w:t>
            </w:r>
          </w:p>
        </w:tc>
        <w:tc>
          <w:tcPr>
            <w:tcW w:w="1530" w:type="dxa"/>
          </w:tcPr>
          <w:p w14:paraId="2F085EA7" w14:textId="2ED83571"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C0678D">
              <w:t>5-digit ZIP-code</w:t>
            </w:r>
          </w:p>
        </w:tc>
      </w:tr>
      <w:tr w:rsidR="007E2E34" w:rsidRPr="004A47D0" w14:paraId="4C88880C"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51E72699" w14:textId="77777777" w:rsidR="007E2E34" w:rsidRPr="009B3B93" w:rsidRDefault="007E2E34" w:rsidP="00F04DC2">
            <w:pPr>
              <w:pStyle w:val="TableTextLeft"/>
              <w:rPr>
                <w:b/>
                <w:bCs/>
              </w:rPr>
            </w:pPr>
          </w:p>
        </w:tc>
        <w:tc>
          <w:tcPr>
            <w:tcW w:w="4050" w:type="dxa"/>
          </w:tcPr>
          <w:p w14:paraId="2BC09739" w14:textId="40EC1506"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 xml:space="preserve">Hospital-based Registered Nurses per 1,000 Residents </w:t>
            </w:r>
          </w:p>
        </w:tc>
        <w:tc>
          <w:tcPr>
            <w:tcW w:w="2880" w:type="dxa"/>
          </w:tcPr>
          <w:p w14:paraId="5AAA39A9" w14:textId="6EE2BA22"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Dartmouth Atlas of Healthcare (2012)</w:t>
            </w:r>
          </w:p>
        </w:tc>
        <w:tc>
          <w:tcPr>
            <w:tcW w:w="1530" w:type="dxa"/>
          </w:tcPr>
          <w:p w14:paraId="16761ECE" w14:textId="1BFC0C7F"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C0678D">
              <w:t>5-digit ZIP-code</w:t>
            </w:r>
          </w:p>
        </w:tc>
      </w:tr>
      <w:tr w:rsidR="007E2E34" w:rsidRPr="004A47D0" w14:paraId="261763A7"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2CD80B94" w14:textId="77777777" w:rsidR="007E2E34" w:rsidRPr="009B3B93" w:rsidRDefault="007E2E34" w:rsidP="00F04DC2">
            <w:pPr>
              <w:pStyle w:val="TableTextLeft"/>
              <w:rPr>
                <w:b/>
                <w:bCs/>
              </w:rPr>
            </w:pPr>
          </w:p>
        </w:tc>
        <w:tc>
          <w:tcPr>
            <w:tcW w:w="4050" w:type="dxa"/>
          </w:tcPr>
          <w:p w14:paraId="7740F0B9" w14:textId="6AABC000"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rPr>
                <w:color w:val="000000"/>
              </w:rPr>
              <w:t xml:space="preserve">Acute Care Hospital Beds per 1,000 Residents </w:t>
            </w:r>
          </w:p>
        </w:tc>
        <w:tc>
          <w:tcPr>
            <w:tcW w:w="2880" w:type="dxa"/>
          </w:tcPr>
          <w:p w14:paraId="05FC025C" w14:textId="04EF5ED2"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Dartmouth Atlas of Healthcare (2012)</w:t>
            </w:r>
          </w:p>
        </w:tc>
        <w:tc>
          <w:tcPr>
            <w:tcW w:w="1530" w:type="dxa"/>
          </w:tcPr>
          <w:p w14:paraId="115FDFBF" w14:textId="054B7926"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C0678D">
              <w:t>5-digit ZIP-code</w:t>
            </w:r>
          </w:p>
        </w:tc>
      </w:tr>
      <w:tr w:rsidR="007E2E34" w:rsidRPr="004A47D0" w14:paraId="0CD458EC"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tcPr>
          <w:p w14:paraId="7C0CD00C" w14:textId="77777777" w:rsidR="007E2E34" w:rsidRPr="009B3B93" w:rsidRDefault="007E2E34" w:rsidP="00F04DC2">
            <w:pPr>
              <w:pStyle w:val="TableTextLeft"/>
              <w:rPr>
                <w:b/>
                <w:bCs/>
              </w:rPr>
            </w:pPr>
          </w:p>
        </w:tc>
        <w:tc>
          <w:tcPr>
            <w:tcW w:w="4050" w:type="dxa"/>
          </w:tcPr>
          <w:p w14:paraId="1296445D" w14:textId="14D6E8FB"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4A47D0">
              <w:t>Designated health professionals’ shortage area</w:t>
            </w:r>
            <w:r>
              <w:t xml:space="preserve"> (HPSA)</w:t>
            </w:r>
          </w:p>
        </w:tc>
        <w:tc>
          <w:tcPr>
            <w:tcW w:w="2880" w:type="dxa"/>
          </w:tcPr>
          <w:p w14:paraId="29C95BC2" w14:textId="5F5B0A12" w:rsidR="007E2E34"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E52F8">
              <w:t>United States Department of Health and Human Services</w:t>
            </w:r>
            <w:r>
              <w:t xml:space="preserve"> (Data.Healthcare.gov)</w:t>
            </w:r>
          </w:p>
        </w:tc>
        <w:tc>
          <w:tcPr>
            <w:tcW w:w="1530" w:type="dxa"/>
          </w:tcPr>
          <w:p w14:paraId="2CD1EF41" w14:textId="429E4BFA" w:rsidR="007E2E34" w:rsidRPr="00C0678D"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C0678D">
              <w:t>5-digit ZIP-code</w:t>
            </w:r>
          </w:p>
        </w:tc>
      </w:tr>
      <w:tr w:rsidR="007E2E34" w:rsidRPr="004A47D0" w14:paraId="6055B9F9"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53AFF559" w14:textId="77777777" w:rsidR="007E2E34" w:rsidRPr="009B3B93" w:rsidRDefault="007E2E34" w:rsidP="00F04DC2">
            <w:pPr>
              <w:pStyle w:val="TableTextLeft"/>
              <w:rPr>
                <w:b/>
                <w:bCs/>
              </w:rPr>
            </w:pPr>
            <w:r w:rsidRPr="009B3B93">
              <w:rPr>
                <w:b/>
                <w:bCs/>
              </w:rPr>
              <w:t>Housing Stability</w:t>
            </w:r>
          </w:p>
          <w:p w14:paraId="20643452" w14:textId="77777777" w:rsidR="007E2E34" w:rsidRPr="009B3B93" w:rsidRDefault="007E2E34" w:rsidP="00F04DC2">
            <w:pPr>
              <w:pStyle w:val="TableTextLeft"/>
              <w:rPr>
                <w:b/>
                <w:bCs/>
              </w:rPr>
            </w:pPr>
            <w:r w:rsidRPr="009B3B93">
              <w:rPr>
                <w:b/>
                <w:bCs/>
              </w:rPr>
              <w:t> </w:t>
            </w:r>
          </w:p>
        </w:tc>
        <w:tc>
          <w:tcPr>
            <w:tcW w:w="4050" w:type="dxa"/>
            <w:hideMark/>
          </w:tcPr>
          <w:p w14:paraId="3F37F13A" w14:textId="77777777"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Housing type, location</w:t>
            </w:r>
          </w:p>
        </w:tc>
        <w:tc>
          <w:tcPr>
            <w:tcW w:w="2880" w:type="dxa"/>
          </w:tcPr>
          <w:p w14:paraId="2103C1ED" w14:textId="6318EF60"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w:t>
            </w:r>
          </w:p>
        </w:tc>
        <w:tc>
          <w:tcPr>
            <w:tcW w:w="1530" w:type="dxa"/>
            <w:hideMark/>
          </w:tcPr>
          <w:p w14:paraId="602E03D4" w14:textId="2FF339F9"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Data not available</w:t>
            </w:r>
          </w:p>
        </w:tc>
      </w:tr>
      <w:tr w:rsidR="007E2E34" w:rsidRPr="004A47D0" w14:paraId="5FE728C9"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53CC7D1E" w14:textId="77777777" w:rsidR="007E2E34" w:rsidRPr="009B3B93" w:rsidRDefault="007E2E34" w:rsidP="00F04DC2">
            <w:pPr>
              <w:pStyle w:val="TableTextLeft"/>
              <w:rPr>
                <w:b/>
                <w:bCs/>
              </w:rPr>
            </w:pPr>
          </w:p>
        </w:tc>
        <w:tc>
          <w:tcPr>
            <w:tcW w:w="4050" w:type="dxa"/>
            <w:hideMark/>
          </w:tcPr>
          <w:p w14:paraId="66E8C4CF" w14:textId="5D79BDCF"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8F10BB">
              <w:t>Homelessness</w:t>
            </w:r>
          </w:p>
        </w:tc>
        <w:tc>
          <w:tcPr>
            <w:tcW w:w="2880" w:type="dxa"/>
          </w:tcPr>
          <w:p w14:paraId="579BD668" w14:textId="0A61C03F"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w:t>
            </w:r>
          </w:p>
        </w:tc>
        <w:tc>
          <w:tcPr>
            <w:tcW w:w="1530" w:type="dxa"/>
            <w:hideMark/>
          </w:tcPr>
          <w:p w14:paraId="0AD31C09" w14:textId="28336AFB"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Data not available</w:t>
            </w:r>
          </w:p>
        </w:tc>
      </w:tr>
      <w:tr w:rsidR="007E2E34" w:rsidRPr="004A47D0" w14:paraId="2E79E200"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4214849B" w14:textId="77777777" w:rsidR="007E2E34" w:rsidRPr="009B3B93" w:rsidRDefault="007E2E34" w:rsidP="00F04DC2">
            <w:pPr>
              <w:pStyle w:val="TableTextLeft"/>
              <w:rPr>
                <w:b/>
                <w:bCs/>
              </w:rPr>
            </w:pPr>
            <w:r w:rsidRPr="009B3B93">
              <w:rPr>
                <w:b/>
                <w:bCs/>
              </w:rPr>
              <w:t>Social Support</w:t>
            </w:r>
          </w:p>
          <w:p w14:paraId="54F4D424" w14:textId="312062C2" w:rsidR="007E2E34" w:rsidRPr="009B3B93" w:rsidRDefault="007E2E34" w:rsidP="00477CB9">
            <w:pPr>
              <w:pStyle w:val="TableTextLeft"/>
              <w:rPr>
                <w:b/>
                <w:bCs/>
              </w:rPr>
            </w:pPr>
            <w:r w:rsidRPr="009B3B93">
              <w:rPr>
                <w:b/>
                <w:bCs/>
              </w:rPr>
              <w:t> </w:t>
            </w:r>
          </w:p>
        </w:tc>
        <w:tc>
          <w:tcPr>
            <w:tcW w:w="4050" w:type="dxa"/>
            <w:hideMark/>
          </w:tcPr>
          <w:p w14:paraId="4F7B4A09" w14:textId="77777777"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Marital status</w:t>
            </w:r>
          </w:p>
        </w:tc>
        <w:tc>
          <w:tcPr>
            <w:tcW w:w="2880" w:type="dxa"/>
          </w:tcPr>
          <w:p w14:paraId="2C8B671A" w14:textId="669F5A8D"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w:t>
            </w:r>
          </w:p>
        </w:tc>
        <w:tc>
          <w:tcPr>
            <w:tcW w:w="1530" w:type="dxa"/>
            <w:hideMark/>
          </w:tcPr>
          <w:p w14:paraId="47D416C2" w14:textId="107D289A"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Data not available</w:t>
            </w:r>
          </w:p>
        </w:tc>
      </w:tr>
      <w:tr w:rsidR="007E2E34" w:rsidRPr="004A47D0" w14:paraId="4A05CFF1"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14DFE575" w14:textId="77777777" w:rsidR="007E2E34" w:rsidRPr="004A47D0" w:rsidRDefault="007E2E34" w:rsidP="00F04DC2">
            <w:pPr>
              <w:pStyle w:val="TableTextLeft"/>
              <w:rPr>
                <w:color w:val="FFFFFF" w:themeColor="background1"/>
              </w:rPr>
            </w:pPr>
          </w:p>
        </w:tc>
        <w:tc>
          <w:tcPr>
            <w:tcW w:w="4050" w:type="dxa"/>
            <w:hideMark/>
          </w:tcPr>
          <w:p w14:paraId="6C72699B" w14:textId="77777777"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Living alone</w:t>
            </w:r>
          </w:p>
        </w:tc>
        <w:tc>
          <w:tcPr>
            <w:tcW w:w="2880" w:type="dxa"/>
          </w:tcPr>
          <w:p w14:paraId="25575A1F" w14:textId="4C03D4DE"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w:t>
            </w:r>
          </w:p>
        </w:tc>
        <w:tc>
          <w:tcPr>
            <w:tcW w:w="1530" w:type="dxa"/>
            <w:hideMark/>
          </w:tcPr>
          <w:p w14:paraId="7C4A50AC" w14:textId="7AFF0B09"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Data not available</w:t>
            </w:r>
          </w:p>
        </w:tc>
      </w:tr>
      <w:tr w:rsidR="007E2E34" w:rsidRPr="004A47D0" w14:paraId="4539FD61" w14:textId="77777777" w:rsidTr="00E26B96">
        <w:trPr>
          <w:trHeight w:val="120"/>
        </w:trPr>
        <w:tc>
          <w:tcPr>
            <w:cnfStyle w:val="001000000000" w:firstRow="0" w:lastRow="0" w:firstColumn="1" w:lastColumn="0" w:oddVBand="0" w:evenVBand="0" w:oddHBand="0" w:evenHBand="0" w:firstRowFirstColumn="0" w:firstRowLastColumn="0" w:lastRowFirstColumn="0" w:lastRowLastColumn="0"/>
            <w:tcW w:w="1530" w:type="dxa"/>
            <w:vMerge/>
            <w:hideMark/>
          </w:tcPr>
          <w:p w14:paraId="5C073B52" w14:textId="77777777" w:rsidR="007E2E34" w:rsidRPr="004A47D0" w:rsidRDefault="007E2E34" w:rsidP="00F04DC2">
            <w:pPr>
              <w:pStyle w:val="TableTextLeft"/>
              <w:rPr>
                <w:color w:val="FFFFFF" w:themeColor="background1"/>
              </w:rPr>
            </w:pPr>
          </w:p>
        </w:tc>
        <w:tc>
          <w:tcPr>
            <w:tcW w:w="4050" w:type="dxa"/>
            <w:hideMark/>
          </w:tcPr>
          <w:p w14:paraId="1C7BB2C6" w14:textId="77777777"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Level of social support/financial assistance</w:t>
            </w:r>
          </w:p>
        </w:tc>
        <w:tc>
          <w:tcPr>
            <w:tcW w:w="2880" w:type="dxa"/>
          </w:tcPr>
          <w:p w14:paraId="7D115257" w14:textId="00083C09"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t>---</w:t>
            </w:r>
          </w:p>
        </w:tc>
        <w:tc>
          <w:tcPr>
            <w:tcW w:w="1530" w:type="dxa"/>
            <w:hideMark/>
          </w:tcPr>
          <w:p w14:paraId="508624AE" w14:textId="232928DC" w:rsidR="007E2E34" w:rsidRPr="004A47D0" w:rsidRDefault="007E2E34" w:rsidP="00F04DC2">
            <w:pPr>
              <w:pStyle w:val="TableTextLeft"/>
              <w:cnfStyle w:val="000000000000" w:firstRow="0" w:lastRow="0" w:firstColumn="0" w:lastColumn="0" w:oddVBand="0" w:evenVBand="0" w:oddHBand="0" w:evenHBand="0" w:firstRowFirstColumn="0" w:firstRowLastColumn="0" w:lastRowFirstColumn="0" w:lastRowLastColumn="0"/>
            </w:pPr>
            <w:r w:rsidRPr="004A47D0">
              <w:t>Data not available</w:t>
            </w:r>
          </w:p>
        </w:tc>
      </w:tr>
    </w:tbl>
    <w:p w14:paraId="5CBA47BB" w14:textId="2CF8C6C3" w:rsidR="00086FAC" w:rsidRPr="00EA3665" w:rsidRDefault="00DA22C4" w:rsidP="00533902">
      <w:pPr>
        <w:tabs>
          <w:tab w:val="left" w:pos="540"/>
        </w:tabs>
        <w:spacing w:after="0" w:line="240" w:lineRule="auto"/>
        <w:ind w:left="720" w:hanging="720"/>
        <w:rPr>
          <w:rFonts w:cstheme="minorHAnsi"/>
          <w:color w:val="0070C0"/>
          <w:sz w:val="18"/>
          <w:szCs w:val="18"/>
        </w:rPr>
      </w:pPr>
      <w:r w:rsidRPr="00EA3665">
        <w:rPr>
          <w:rFonts w:cstheme="minorHAnsi"/>
          <w:color w:val="0070C0"/>
          <w:sz w:val="18"/>
          <w:szCs w:val="18"/>
        </w:rPr>
        <w:t xml:space="preserve">Notes: </w:t>
      </w:r>
      <w:r w:rsidR="00EA3665">
        <w:rPr>
          <w:rFonts w:cstheme="minorHAnsi"/>
          <w:color w:val="0070C0"/>
          <w:sz w:val="18"/>
          <w:szCs w:val="18"/>
        </w:rPr>
        <w:t xml:space="preserve">    </w:t>
      </w:r>
      <w:r w:rsidR="00DA2C7D" w:rsidRPr="00EA3665">
        <w:rPr>
          <w:rFonts w:cstheme="minorHAnsi"/>
          <w:color w:val="0070C0"/>
          <w:sz w:val="18"/>
          <w:szCs w:val="18"/>
        </w:rPr>
        <w:t>W</w:t>
      </w:r>
      <w:r w:rsidR="00446B34" w:rsidRPr="00EA3665">
        <w:rPr>
          <w:rFonts w:cstheme="minorHAnsi"/>
          <w:color w:val="0070C0"/>
          <w:sz w:val="18"/>
          <w:szCs w:val="18"/>
        </w:rPr>
        <w:t xml:space="preserve">e did not consider </w:t>
      </w:r>
      <w:r w:rsidR="00FF183B" w:rsidRPr="00EA3665">
        <w:rPr>
          <w:rFonts w:cstheme="minorHAnsi"/>
          <w:color w:val="0070C0"/>
          <w:sz w:val="18"/>
          <w:szCs w:val="18"/>
        </w:rPr>
        <w:t>race a proxy for the beneficiaries’ socio-economic status</w:t>
      </w:r>
      <w:r w:rsidR="00DA2C7D" w:rsidRPr="00EA3665">
        <w:rPr>
          <w:rFonts w:cstheme="minorHAnsi"/>
          <w:color w:val="0070C0"/>
          <w:sz w:val="18"/>
          <w:szCs w:val="18"/>
        </w:rPr>
        <w:t xml:space="preserve"> (as recommended by the NQF Risk</w:t>
      </w:r>
      <w:r w:rsidR="001931B8" w:rsidRPr="00EA3665">
        <w:rPr>
          <w:rFonts w:cstheme="minorHAnsi"/>
          <w:color w:val="0070C0"/>
          <w:sz w:val="18"/>
          <w:szCs w:val="18"/>
        </w:rPr>
        <w:t>-</w:t>
      </w:r>
      <w:r w:rsidR="00DA2C7D" w:rsidRPr="00EA3665">
        <w:rPr>
          <w:rFonts w:cstheme="minorHAnsi"/>
          <w:color w:val="0070C0"/>
          <w:sz w:val="18"/>
          <w:szCs w:val="18"/>
        </w:rPr>
        <w:t>Adjustment Expert Panel and Disparities Standing Committee)</w:t>
      </w:r>
      <w:r w:rsidR="00FF183B" w:rsidRPr="00EA3665">
        <w:rPr>
          <w:rFonts w:cstheme="minorHAnsi"/>
          <w:color w:val="0070C0"/>
          <w:sz w:val="18"/>
          <w:szCs w:val="18"/>
        </w:rPr>
        <w:t xml:space="preserve"> and </w:t>
      </w:r>
      <w:r w:rsidR="00446B34" w:rsidRPr="00EA3665">
        <w:rPr>
          <w:rFonts w:cstheme="minorHAnsi"/>
          <w:color w:val="0070C0"/>
          <w:sz w:val="18"/>
          <w:szCs w:val="18"/>
        </w:rPr>
        <w:t>we</w:t>
      </w:r>
      <w:r w:rsidR="00FF183B" w:rsidRPr="00EA3665">
        <w:rPr>
          <w:rFonts w:cstheme="minorHAnsi"/>
          <w:color w:val="0070C0"/>
          <w:sz w:val="18"/>
          <w:szCs w:val="18"/>
        </w:rPr>
        <w:t xml:space="preserve"> tested </w:t>
      </w:r>
      <w:r w:rsidR="00446B34" w:rsidRPr="00EA3665">
        <w:rPr>
          <w:rFonts w:cstheme="minorHAnsi"/>
          <w:color w:val="0070C0"/>
          <w:sz w:val="18"/>
          <w:szCs w:val="18"/>
        </w:rPr>
        <w:t xml:space="preserve">race </w:t>
      </w:r>
      <w:r w:rsidR="00FF183B" w:rsidRPr="00EA3665">
        <w:rPr>
          <w:rFonts w:cstheme="minorHAnsi"/>
          <w:color w:val="0070C0"/>
          <w:sz w:val="18"/>
          <w:szCs w:val="18"/>
        </w:rPr>
        <w:t>for comparison purposes only.</w:t>
      </w:r>
      <w:r w:rsidR="002B0FBC" w:rsidRPr="00EA3665">
        <w:rPr>
          <w:rFonts w:cstheme="minorHAnsi"/>
          <w:color w:val="0070C0"/>
          <w:sz w:val="18"/>
          <w:szCs w:val="18"/>
        </w:rPr>
        <w:t xml:space="preserve"> The Rural-Urban Commuting Area (RUCA) system developed by the Federal Office of Rural Health and Policy (FORHP) assign</w:t>
      </w:r>
      <w:r w:rsidR="000D6E29" w:rsidRPr="00EA3665">
        <w:rPr>
          <w:rFonts w:cstheme="minorHAnsi"/>
          <w:color w:val="0070C0"/>
          <w:sz w:val="18"/>
          <w:szCs w:val="18"/>
        </w:rPr>
        <w:t>s</w:t>
      </w:r>
      <w:r w:rsidR="002B0FBC" w:rsidRPr="00EA3665">
        <w:rPr>
          <w:rFonts w:cstheme="minorHAnsi"/>
          <w:color w:val="0070C0"/>
          <w:sz w:val="18"/>
          <w:szCs w:val="18"/>
        </w:rPr>
        <w:t xml:space="preserve"> primary and secondary codes at smaller geographic units and </w:t>
      </w:r>
      <w:r w:rsidR="00784E6D">
        <w:rPr>
          <w:rFonts w:cstheme="minorHAnsi"/>
          <w:color w:val="0070C0"/>
          <w:sz w:val="18"/>
          <w:szCs w:val="18"/>
        </w:rPr>
        <w:t>is</w:t>
      </w:r>
      <w:r w:rsidR="00784E6D" w:rsidRPr="00EA3665">
        <w:rPr>
          <w:rFonts w:cstheme="minorHAnsi"/>
          <w:color w:val="0070C0"/>
          <w:sz w:val="18"/>
          <w:szCs w:val="18"/>
        </w:rPr>
        <w:t xml:space="preserve"> </w:t>
      </w:r>
      <w:r w:rsidR="002B0FBC" w:rsidRPr="00EA3665">
        <w:rPr>
          <w:rFonts w:cstheme="minorHAnsi"/>
          <w:color w:val="0070C0"/>
          <w:sz w:val="18"/>
          <w:szCs w:val="18"/>
        </w:rPr>
        <w:t>therefore more precise than county-based alternatives. RUCA classification incorporates commuting patterns that serve as a proxy indicator for economic ties and access to resources that potentially influence people’s health status.</w:t>
      </w:r>
      <w:r w:rsidR="00366BA2">
        <w:rPr>
          <w:rFonts w:cstheme="minorHAnsi"/>
          <w:color w:val="0070C0"/>
          <w:sz w:val="18"/>
          <w:szCs w:val="18"/>
        </w:rPr>
        <w:t xml:space="preserve"> </w:t>
      </w:r>
      <w:r w:rsidR="00366BA2" w:rsidRPr="00B02D47">
        <w:rPr>
          <w:rFonts w:cstheme="minorHAnsi"/>
          <w:color w:val="0070C0"/>
          <w:sz w:val="18"/>
          <w:szCs w:val="18"/>
        </w:rPr>
        <w:t>Data from USDA, US DHHS, and Dartmouth Atlas of Healthcare capture broad area characteristics at the Health Service Area (HSA) level</w:t>
      </w:r>
      <w:r w:rsidR="00D368F5">
        <w:rPr>
          <w:rFonts w:cstheme="minorHAnsi"/>
          <w:color w:val="0070C0"/>
          <w:sz w:val="18"/>
          <w:szCs w:val="18"/>
        </w:rPr>
        <w:t>,</w:t>
      </w:r>
      <w:r w:rsidR="00366BA2" w:rsidRPr="00B02D47">
        <w:rPr>
          <w:rFonts w:cstheme="minorHAnsi"/>
          <w:color w:val="0070C0"/>
          <w:sz w:val="18"/>
          <w:szCs w:val="18"/>
        </w:rPr>
        <w:t xml:space="preserve"> which can </w:t>
      </w:r>
      <w:r w:rsidR="00366BA2">
        <w:rPr>
          <w:rFonts w:cstheme="minorHAnsi"/>
          <w:color w:val="0070C0"/>
          <w:sz w:val="18"/>
          <w:szCs w:val="18"/>
        </w:rPr>
        <w:t xml:space="preserve">only </w:t>
      </w:r>
      <w:r w:rsidR="00366BA2" w:rsidRPr="00B02D47">
        <w:rPr>
          <w:rFonts w:cstheme="minorHAnsi"/>
          <w:color w:val="0070C0"/>
          <w:sz w:val="18"/>
          <w:szCs w:val="18"/>
        </w:rPr>
        <w:t>be disaggregated to the 5-digit zip code level.</w:t>
      </w:r>
    </w:p>
    <w:p w14:paraId="044CABE7" w14:textId="4F3EF73E" w:rsidR="0017393C" w:rsidRPr="00EA3665" w:rsidRDefault="0017393C" w:rsidP="00E03CB4">
      <w:pPr>
        <w:tabs>
          <w:tab w:val="left" w:pos="540"/>
        </w:tabs>
        <w:spacing w:after="0" w:line="240" w:lineRule="auto"/>
        <w:ind w:left="720"/>
        <w:rPr>
          <w:rFonts w:eastAsia="Times New Roman" w:cstheme="minorHAnsi"/>
          <w:color w:val="0070C0"/>
          <w:kern w:val="24"/>
          <w:sz w:val="18"/>
          <w:szCs w:val="18"/>
        </w:rPr>
      </w:pPr>
      <w:r w:rsidRPr="00EA3665">
        <w:rPr>
          <w:rFonts w:eastAsia="Times New Roman" w:cstheme="minorHAnsi"/>
          <w:color w:val="0070C0"/>
          <w:kern w:val="24"/>
          <w:sz w:val="18"/>
          <w:szCs w:val="18"/>
        </w:rPr>
        <w:t>*Percent of residents receiving supplemental social security income, public assistance, food stamps or any other source of income = (</w:t>
      </w:r>
      <w:r w:rsidR="00292FD7" w:rsidRPr="00EA3665">
        <w:rPr>
          <w:rFonts w:eastAsia="Times New Roman" w:cstheme="minorHAnsi"/>
          <w:color w:val="0070C0"/>
          <w:kern w:val="24"/>
          <w:sz w:val="18"/>
          <w:szCs w:val="18"/>
        </w:rPr>
        <w:t>0.25*</w:t>
      </w:r>
      <w:r w:rsidR="00A22EC5"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receiving supplemental social security income</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w:t>
      </w:r>
      <w:r w:rsidR="00A22EC5" w:rsidRPr="00EA3665">
        <w:rPr>
          <w:rFonts w:eastAsia="Times New Roman" w:cstheme="minorHAnsi"/>
          <w:color w:val="0070C0"/>
          <w:kern w:val="24"/>
          <w:sz w:val="18"/>
          <w:szCs w:val="18"/>
        </w:rPr>
        <w:t xml:space="preserve"> </w:t>
      </w:r>
      <w:r w:rsidR="00292FD7" w:rsidRPr="00EA3665">
        <w:rPr>
          <w:rFonts w:eastAsia="Times New Roman" w:cstheme="minorHAnsi"/>
          <w:color w:val="0070C0"/>
          <w:kern w:val="24"/>
          <w:sz w:val="18"/>
          <w:szCs w:val="18"/>
        </w:rPr>
        <w:t>(0.25*</w:t>
      </w:r>
      <w:r w:rsidR="00A22EC5" w:rsidRPr="00EA3665">
        <w:rPr>
          <w:rFonts w:eastAsia="Times New Roman" w:cstheme="minorHAnsi"/>
          <w:color w:val="0070C0"/>
          <w:kern w:val="24"/>
          <w:sz w:val="18"/>
          <w:szCs w:val="18"/>
        </w:rPr>
        <w:t xml:space="preserve">percent of </w:t>
      </w:r>
      <w:r w:rsidRPr="00EA3665">
        <w:rPr>
          <w:rFonts w:eastAsia="Times New Roman" w:cstheme="minorHAnsi"/>
          <w:color w:val="0070C0"/>
          <w:kern w:val="24"/>
          <w:sz w:val="18"/>
          <w:szCs w:val="18"/>
        </w:rPr>
        <w:t>residents receiving public assistance</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 </w:t>
      </w:r>
      <w:r w:rsidR="00292FD7" w:rsidRPr="00EA3665">
        <w:rPr>
          <w:rFonts w:eastAsia="Times New Roman" w:cstheme="minorHAnsi"/>
          <w:color w:val="0070C0"/>
          <w:kern w:val="24"/>
          <w:sz w:val="18"/>
          <w:szCs w:val="18"/>
        </w:rPr>
        <w:t>(0.25*</w:t>
      </w:r>
      <w:r w:rsidR="00A22EC5" w:rsidRPr="00EA3665">
        <w:rPr>
          <w:rFonts w:eastAsia="Times New Roman" w:cstheme="minorHAnsi"/>
          <w:color w:val="0070C0"/>
          <w:kern w:val="24"/>
          <w:sz w:val="18"/>
          <w:szCs w:val="18"/>
        </w:rPr>
        <w:t xml:space="preserve">percent </w:t>
      </w:r>
      <w:r w:rsidRPr="00EA3665">
        <w:rPr>
          <w:rFonts w:eastAsia="Times New Roman" w:cstheme="minorHAnsi"/>
          <w:color w:val="0070C0"/>
          <w:kern w:val="24"/>
          <w:sz w:val="18"/>
          <w:szCs w:val="18"/>
        </w:rPr>
        <w:t>of residents receiving food stamps</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 </w:t>
      </w:r>
      <w:r w:rsidR="00292FD7" w:rsidRPr="00EA3665">
        <w:rPr>
          <w:rFonts w:eastAsia="Times New Roman" w:cstheme="minorHAnsi"/>
          <w:color w:val="0070C0"/>
          <w:kern w:val="24"/>
          <w:sz w:val="18"/>
          <w:szCs w:val="18"/>
        </w:rPr>
        <w:t>(0.25*</w:t>
      </w:r>
      <w:r w:rsidR="00A22EC5"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receiving any other source of income).</w:t>
      </w:r>
    </w:p>
    <w:p w14:paraId="4C0F6EA6" w14:textId="68409BC1" w:rsidR="0017393C" w:rsidRPr="00EA3665" w:rsidRDefault="0017393C" w:rsidP="00992C0F">
      <w:pPr>
        <w:tabs>
          <w:tab w:val="left" w:pos="540"/>
        </w:tabs>
        <w:spacing w:after="0" w:line="240" w:lineRule="auto"/>
        <w:ind w:left="720"/>
        <w:rPr>
          <w:rFonts w:eastAsia="Times New Roman" w:cstheme="minorHAnsi"/>
          <w:color w:val="0070C0"/>
          <w:kern w:val="24"/>
          <w:sz w:val="18"/>
          <w:szCs w:val="18"/>
        </w:rPr>
      </w:pPr>
      <w:r w:rsidRPr="00EA3665">
        <w:rPr>
          <w:rFonts w:eastAsia="Times New Roman" w:cstheme="minorHAnsi"/>
          <w:color w:val="0070C0"/>
          <w:kern w:val="24"/>
          <w:sz w:val="18"/>
          <w:szCs w:val="18"/>
        </w:rPr>
        <w:lastRenderedPageBreak/>
        <w:t>**AHRQ SES = 50 + (0.11*median household income score) + (-0.10*</w:t>
      </w:r>
      <w:r w:rsidR="00404178" w:rsidRPr="00EA3665">
        <w:rPr>
          <w:rFonts w:eastAsia="Times New Roman" w:cstheme="minorHAnsi"/>
          <w:color w:val="0070C0"/>
          <w:kern w:val="24"/>
          <w:sz w:val="18"/>
          <w:szCs w:val="18"/>
        </w:rPr>
        <w:t xml:space="preserve"> percent</w:t>
      </w:r>
      <w:r w:rsidRPr="00EA3665">
        <w:rPr>
          <w:rFonts w:eastAsia="Times New Roman" w:cstheme="minorHAnsi"/>
          <w:color w:val="0070C0"/>
          <w:kern w:val="24"/>
          <w:sz w:val="18"/>
          <w:szCs w:val="18"/>
        </w:rPr>
        <w:t xml:space="preserve"> below federal poverty line) + (-0.08* </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unemployed) + (0.10*</w:t>
      </w:r>
      <w:r w:rsidR="00404178" w:rsidRPr="00EA3665">
        <w:rPr>
          <w:rFonts w:eastAsia="Times New Roman" w:cstheme="minorHAnsi"/>
          <w:color w:val="0070C0"/>
          <w:kern w:val="24"/>
          <w:sz w:val="18"/>
          <w:szCs w:val="18"/>
        </w:rPr>
        <w:t xml:space="preserve"> percent</w:t>
      </w:r>
      <w:r w:rsidRPr="00EA3665">
        <w:rPr>
          <w:rFonts w:eastAsia="Times New Roman" w:cstheme="minorHAnsi"/>
          <w:color w:val="0070C0"/>
          <w:kern w:val="24"/>
          <w:sz w:val="18"/>
          <w:szCs w:val="18"/>
        </w:rPr>
        <w:t xml:space="preserve"> college graduates) + (-0.11* </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education below 12th grade) + (0.08*median property value score) + (-0.07*</w:t>
      </w:r>
      <w:r w:rsidR="00404178" w:rsidRPr="00EA3665">
        <w:rPr>
          <w:rFonts w:eastAsia="Times New Roman" w:cstheme="minorHAnsi"/>
          <w:color w:val="0070C0"/>
          <w:kern w:val="24"/>
          <w:sz w:val="18"/>
          <w:szCs w:val="18"/>
        </w:rPr>
        <w:t xml:space="preserve"> percent </w:t>
      </w:r>
      <w:r w:rsidRPr="00EA3665">
        <w:rPr>
          <w:rFonts w:eastAsia="Times New Roman" w:cstheme="minorHAnsi"/>
          <w:color w:val="0070C0"/>
          <w:kern w:val="24"/>
          <w:sz w:val="18"/>
          <w:szCs w:val="18"/>
        </w:rPr>
        <w:t>crowded households).</w:t>
      </w:r>
      <w:r w:rsidR="00961A84" w:rsidRPr="00EA3665">
        <w:rPr>
          <w:rStyle w:val="EndnoteReference"/>
          <w:rFonts w:eastAsia="Times New Roman" w:cstheme="minorHAnsi"/>
          <w:color w:val="0070C0"/>
          <w:kern w:val="24"/>
          <w:sz w:val="18"/>
          <w:szCs w:val="18"/>
        </w:rPr>
        <w:endnoteReference w:id="6"/>
      </w:r>
    </w:p>
    <w:p w14:paraId="6D60E395" w14:textId="51EC7EB4" w:rsidR="0017393C" w:rsidRPr="00EA3665" w:rsidRDefault="0017393C" w:rsidP="00992C0F">
      <w:pPr>
        <w:tabs>
          <w:tab w:val="left" w:pos="540"/>
        </w:tabs>
        <w:spacing w:after="0" w:line="240" w:lineRule="auto"/>
        <w:ind w:left="720"/>
        <w:rPr>
          <w:rFonts w:cstheme="minorHAnsi"/>
          <w:color w:val="0070C0"/>
          <w:sz w:val="18"/>
          <w:szCs w:val="18"/>
        </w:rPr>
      </w:pPr>
      <w:r w:rsidRPr="00EA3665">
        <w:rPr>
          <w:rFonts w:eastAsia="Times New Roman" w:cstheme="minorHAnsi"/>
          <w:color w:val="0070C0"/>
          <w:kern w:val="24"/>
          <w:sz w:val="18"/>
          <w:szCs w:val="18"/>
        </w:rPr>
        <w:t>***Percent of residents speaking no or limited English = (</w:t>
      </w:r>
      <w:r w:rsidR="00292FD7" w:rsidRPr="00EA3665">
        <w:rPr>
          <w:rFonts w:eastAsia="Times New Roman" w:cstheme="minorHAnsi"/>
          <w:color w:val="0070C0"/>
          <w:kern w:val="24"/>
          <w:sz w:val="18"/>
          <w:szCs w:val="18"/>
        </w:rPr>
        <w:t>0.25*</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who do not speak English</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 </w:t>
      </w:r>
      <w:r w:rsidR="00292FD7" w:rsidRPr="00EA3665">
        <w:rPr>
          <w:rFonts w:eastAsia="Times New Roman" w:cstheme="minorHAnsi"/>
          <w:color w:val="0070C0"/>
          <w:kern w:val="24"/>
          <w:sz w:val="18"/>
          <w:szCs w:val="18"/>
        </w:rPr>
        <w:t>(0.25*</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who speak Spanish</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 </w:t>
      </w:r>
      <w:r w:rsidR="00292FD7" w:rsidRPr="00EA3665">
        <w:rPr>
          <w:rFonts w:eastAsia="Times New Roman" w:cstheme="minorHAnsi"/>
          <w:color w:val="0070C0"/>
          <w:kern w:val="24"/>
          <w:sz w:val="18"/>
          <w:szCs w:val="18"/>
        </w:rPr>
        <w:t>(0.25*</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who speak Spanish and limited English</w:t>
      </w:r>
      <w:r w:rsidR="00292FD7" w:rsidRPr="00EA3665">
        <w:rPr>
          <w:rFonts w:eastAsia="Times New Roman" w:cstheme="minorHAnsi"/>
          <w:color w:val="0070C0"/>
          <w:kern w:val="24"/>
          <w:sz w:val="18"/>
          <w:szCs w:val="18"/>
        </w:rPr>
        <w:t>)</w:t>
      </w:r>
      <w:r w:rsidRPr="00EA3665">
        <w:rPr>
          <w:rFonts w:eastAsia="Times New Roman" w:cstheme="minorHAnsi"/>
          <w:color w:val="0070C0"/>
          <w:kern w:val="24"/>
          <w:sz w:val="18"/>
          <w:szCs w:val="18"/>
        </w:rPr>
        <w:t xml:space="preserve"> + </w:t>
      </w:r>
      <w:r w:rsidR="00292FD7" w:rsidRPr="00EA3665">
        <w:rPr>
          <w:rFonts w:eastAsia="Times New Roman" w:cstheme="minorHAnsi"/>
          <w:color w:val="0070C0"/>
          <w:kern w:val="24"/>
          <w:sz w:val="18"/>
          <w:szCs w:val="18"/>
        </w:rPr>
        <w:t>(0.25*</w:t>
      </w:r>
      <w:r w:rsidR="00404178" w:rsidRPr="00EA3665">
        <w:rPr>
          <w:rFonts w:eastAsia="Times New Roman" w:cstheme="minorHAnsi"/>
          <w:color w:val="0070C0"/>
          <w:kern w:val="24"/>
          <w:sz w:val="18"/>
          <w:szCs w:val="18"/>
        </w:rPr>
        <w:t>percent</w:t>
      </w:r>
      <w:r w:rsidRPr="00EA3665">
        <w:rPr>
          <w:rFonts w:eastAsia="Times New Roman" w:cstheme="minorHAnsi"/>
          <w:color w:val="0070C0"/>
          <w:kern w:val="24"/>
          <w:sz w:val="18"/>
          <w:szCs w:val="18"/>
        </w:rPr>
        <w:t xml:space="preserve"> of residents speaking other language than English). </w:t>
      </w:r>
    </w:p>
    <w:p w14:paraId="593D0EEB" w14:textId="15D11D84" w:rsidR="00086FAC" w:rsidRPr="00E37E1B" w:rsidRDefault="00086FAC" w:rsidP="00086FAC">
      <w:pPr>
        <w:autoSpaceDE w:val="0"/>
        <w:autoSpaceDN w:val="0"/>
        <w:adjustRightInd w:val="0"/>
        <w:spacing w:after="0" w:line="240" w:lineRule="auto"/>
        <w:rPr>
          <w:rFonts w:cstheme="minorHAnsi"/>
          <w:bCs/>
        </w:rPr>
      </w:pPr>
      <w:r>
        <w:rPr>
          <w:rFonts w:cstheme="minorHAnsi"/>
          <w:noProof/>
        </w:rPr>
        <w:t>______________________________</w:t>
      </w:r>
    </w:p>
    <w:p w14:paraId="16722C4F" w14:textId="77777777" w:rsidR="00086FAC" w:rsidRPr="00A25024" w:rsidRDefault="00086FAC" w:rsidP="00086FAC">
      <w:pPr>
        <w:autoSpaceDE w:val="0"/>
        <w:autoSpaceDN w:val="0"/>
        <w:adjustRightInd w:val="0"/>
        <w:spacing w:after="0" w:line="240" w:lineRule="auto"/>
        <w:rPr>
          <w:rFonts w:cstheme="minorHAnsi"/>
          <w:b/>
          <w:bCs/>
        </w:rPr>
      </w:pPr>
      <w:r w:rsidRPr="00A25024">
        <w:rPr>
          <w:rFonts w:cstheme="minorHAnsi"/>
          <w:b/>
          <w:noProof/>
        </w:rPr>
        <w:t xml:space="preserve">2a2. </w:t>
      </w:r>
      <w:r w:rsidRPr="00A25024">
        <w:rPr>
          <w:rFonts w:cstheme="minorHAnsi"/>
          <w:b/>
          <w:bCs/>
        </w:rPr>
        <w:t xml:space="preserve">RELIABILITY TESTING </w:t>
      </w:r>
    </w:p>
    <w:p w14:paraId="351A8B7F" w14:textId="77777777" w:rsidR="00086FAC" w:rsidRPr="00A25024" w:rsidRDefault="00086FAC" w:rsidP="00086FAC">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Pr>
          <w:rFonts w:cstheme="minorHAnsi"/>
          <w:bCs/>
          <w:i/>
        </w:rPr>
        <w:t xml:space="preserve">in 2a2.1 check critical data elements; in 2a2.2 enter “see section 2b2 for </w:t>
      </w:r>
      <w:r w:rsidRPr="00A25024">
        <w:rPr>
          <w:rFonts w:cstheme="minorHAnsi"/>
          <w:bCs/>
          <w:i/>
        </w:rPr>
        <w:t xml:space="preserve">validity </w:t>
      </w:r>
      <w:r>
        <w:rPr>
          <w:rFonts w:cstheme="minorHAnsi"/>
          <w:bCs/>
          <w:i/>
        </w:rPr>
        <w:t>testing of data elements”; and skip 2a2.3 and 2a2.4.</w:t>
      </w:r>
    </w:p>
    <w:p w14:paraId="566654D6" w14:textId="77777777" w:rsidR="00086FAC" w:rsidRPr="00A25024" w:rsidRDefault="00086FAC" w:rsidP="00086FAC">
      <w:pPr>
        <w:autoSpaceDE w:val="0"/>
        <w:autoSpaceDN w:val="0"/>
        <w:adjustRightInd w:val="0"/>
        <w:spacing w:after="0" w:line="240" w:lineRule="auto"/>
        <w:rPr>
          <w:rFonts w:cstheme="minorHAnsi"/>
          <w:b/>
          <w:bCs/>
        </w:rPr>
      </w:pPr>
    </w:p>
    <w:p w14:paraId="2ED17D72" w14:textId="68B791EE" w:rsidR="00086FAC" w:rsidRPr="00A25024" w:rsidRDefault="00086FAC" w:rsidP="00086FAC">
      <w:pPr>
        <w:autoSpaceDE w:val="0"/>
        <w:autoSpaceDN w:val="0"/>
        <w:adjustRightInd w:val="0"/>
        <w:spacing w:after="0" w:line="240" w:lineRule="auto"/>
        <w:rPr>
          <w:rFonts w:cstheme="minorHAnsi"/>
          <w:bCs/>
        </w:rPr>
      </w:pPr>
      <w:r>
        <w:rPr>
          <w:rFonts w:cstheme="minorHAnsi"/>
          <w:b/>
          <w:bCs/>
        </w:rPr>
        <w:t>2a2.1</w:t>
      </w:r>
      <w:r w:rsidRPr="00A25024">
        <w:rPr>
          <w:rFonts w:cstheme="minorHAnsi"/>
          <w:b/>
          <w:bCs/>
        </w:rPr>
        <w:t>. What level of reliability testing was conducted</w:t>
      </w:r>
      <w:r w:rsidRPr="00A25024">
        <w:rPr>
          <w:rFonts w:cstheme="minorHAnsi"/>
          <w:bCs/>
        </w:rPr>
        <w:t>? (</w:t>
      </w:r>
      <w:r w:rsidRPr="00A25024">
        <w:rPr>
          <w:rFonts w:cstheme="minorHAnsi"/>
          <w:bCs/>
          <w:i/>
        </w:rPr>
        <w:t>may be one or both levels</w:t>
      </w:r>
      <w:r w:rsidRPr="00A25024">
        <w:rPr>
          <w:rFonts w:cstheme="minorHAnsi"/>
          <w:bCs/>
        </w:rPr>
        <w:t>)</w:t>
      </w:r>
      <w:r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Pr>
          <w:rFonts w:cstheme="minorHAnsi"/>
          <w:b/>
          <w:bCs/>
        </w:rPr>
        <w:t>C</w:t>
      </w:r>
      <w:r w:rsidRPr="00A25024">
        <w:rPr>
          <w:rFonts w:cstheme="minorHAnsi"/>
          <w:b/>
          <w:bCs/>
        </w:rPr>
        <w:t>ritical data elements used in the measure</w:t>
      </w:r>
      <w:r w:rsidRPr="00A25024">
        <w:rPr>
          <w:rFonts w:cstheme="minorHAnsi"/>
          <w:bCs/>
        </w:rPr>
        <w:t xml:space="preserve"> (</w:t>
      </w:r>
      <w:r w:rsidRPr="00756FDB">
        <w:rPr>
          <w:rFonts w:cstheme="minorHAnsi"/>
          <w:bCs/>
          <w:i/>
        </w:rPr>
        <w:t>e.g., inter-abstractor reliability</w:t>
      </w:r>
      <w:r>
        <w:rPr>
          <w:rFonts w:cstheme="minorHAnsi"/>
          <w:bCs/>
          <w:i/>
        </w:rPr>
        <w:t>; data element reliability</w:t>
      </w:r>
      <w:r w:rsidRPr="000414E8">
        <w:rPr>
          <w:rFonts w:cstheme="minorHAnsi"/>
          <w:bCs/>
          <w:i/>
        </w:rPr>
        <w:t xml:space="preserve"> must address ALL critical data elements</w:t>
      </w:r>
      <w:r>
        <w:rPr>
          <w:rFonts w:cstheme="minorHAnsi"/>
          <w:bCs/>
        </w:rPr>
        <w:t>)</w:t>
      </w:r>
      <w:r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Pr>
          <w:rFonts w:cstheme="minorHAnsi"/>
          <w:b/>
          <w:bCs/>
        </w:rPr>
        <w:t>P</w:t>
      </w:r>
      <w:r w:rsidRPr="00A25024">
        <w:rPr>
          <w:rFonts w:cstheme="minorHAnsi"/>
          <w:b/>
          <w:bCs/>
        </w:rPr>
        <w:t>erformance measure score</w:t>
      </w:r>
      <w:r w:rsidRPr="00A25024">
        <w:rPr>
          <w:rFonts w:cstheme="minorHAnsi"/>
          <w:bCs/>
        </w:rPr>
        <w:t xml:space="preserve"> (e.g., </w:t>
      </w:r>
      <w:r w:rsidRPr="00A25024">
        <w:rPr>
          <w:rFonts w:cstheme="minorHAnsi"/>
          <w:bCs/>
          <w:i/>
        </w:rPr>
        <w:t>signal-to-noise</w:t>
      </w:r>
      <w:r>
        <w:rPr>
          <w:rFonts w:cstheme="minorHAnsi"/>
          <w:bCs/>
          <w:i/>
        </w:rPr>
        <w:t xml:space="preserve"> analysis</w:t>
      </w:r>
      <w:r w:rsidRPr="00A25024">
        <w:rPr>
          <w:rFonts w:cstheme="minorHAnsi"/>
          <w:bCs/>
        </w:rPr>
        <w:t>)</w:t>
      </w:r>
      <w:r w:rsidRPr="00A25024">
        <w:rPr>
          <w:rFonts w:cstheme="minorHAnsi"/>
          <w:bCs/>
        </w:rPr>
        <w:br/>
      </w:r>
      <w:r w:rsidRPr="00A25024">
        <w:rPr>
          <w:rFonts w:cstheme="minorHAnsi"/>
          <w:bCs/>
          <w:u w:val="single"/>
        </w:rPr>
        <w:br/>
      </w:r>
      <w:r>
        <w:rPr>
          <w:rFonts w:cstheme="minorHAnsi"/>
          <w:b/>
          <w:bCs/>
        </w:rPr>
        <w:t>2a2.</w:t>
      </w:r>
      <w:r w:rsidRPr="00A25024">
        <w:rPr>
          <w:rFonts w:cstheme="minorHAnsi"/>
          <w:b/>
          <w:bCs/>
        </w:rPr>
        <w:t>2. For each level checked above, describe the method of reliability testing and what it tests</w:t>
      </w:r>
      <w:r w:rsidRPr="00A25024">
        <w:rPr>
          <w:rFonts w:cstheme="minorHAnsi"/>
          <w:bCs/>
        </w:rPr>
        <w:t xml:space="preserve"> (</w:t>
      </w:r>
      <w:r w:rsidRPr="00A25024">
        <w:rPr>
          <w:rFonts w:cstheme="minorHAnsi"/>
          <w:bCs/>
          <w:i/>
        </w:rPr>
        <w:t xml:space="preserve">describe the steps―do not just name a method; </w:t>
      </w:r>
      <w:r w:rsidRPr="0022691B">
        <w:rPr>
          <w:rFonts w:cstheme="minorHAnsi"/>
          <w:bCs/>
          <w:i/>
        </w:rPr>
        <w:t xml:space="preserve">what </w:t>
      </w:r>
      <w:r>
        <w:rPr>
          <w:rFonts w:cstheme="minorHAnsi"/>
          <w:bCs/>
          <w:i/>
        </w:rPr>
        <w:t xml:space="preserve">type of error </w:t>
      </w:r>
      <w:r w:rsidRPr="0022691B">
        <w:rPr>
          <w:rFonts w:cstheme="minorHAnsi"/>
          <w:bCs/>
          <w:i/>
        </w:rPr>
        <w:t>does it test</w:t>
      </w:r>
      <w:r>
        <w:rPr>
          <w:rFonts w:cstheme="minorHAnsi"/>
          <w:bCs/>
          <w:i/>
        </w:rPr>
        <w:t>;</w:t>
      </w:r>
      <w:r w:rsidRPr="0022691B">
        <w:rPr>
          <w:rFonts w:cstheme="minorHAnsi"/>
          <w:bCs/>
          <w:i/>
        </w:rPr>
        <w:t xml:space="preserve"> </w:t>
      </w:r>
      <w:r>
        <w:rPr>
          <w:rFonts w:cstheme="minorHAnsi"/>
          <w:bCs/>
          <w:i/>
        </w:rPr>
        <w:t>what statistical analysis was used</w:t>
      </w:r>
      <w:r w:rsidRPr="0022691B">
        <w:rPr>
          <w:rFonts w:cstheme="minorHAnsi"/>
          <w:bCs/>
        </w:rPr>
        <w:t>)</w:t>
      </w:r>
    </w:p>
    <w:p w14:paraId="3565C706" w14:textId="77777777" w:rsidR="00086FAC" w:rsidRPr="008D3A6E" w:rsidRDefault="00086FAC" w:rsidP="00086FAC">
      <w:pPr>
        <w:spacing w:after="0"/>
        <w:outlineLvl w:val="0"/>
        <w:rPr>
          <w:b/>
          <w:color w:val="0070C0"/>
        </w:rPr>
      </w:pPr>
      <w:r>
        <w:rPr>
          <w:b/>
          <w:color w:val="0070C0"/>
        </w:rPr>
        <w:t>Reliability</w:t>
      </w:r>
      <w:r w:rsidRPr="008D3A6E">
        <w:rPr>
          <w:b/>
          <w:color w:val="0070C0"/>
        </w:rPr>
        <w:t xml:space="preserve"> of Measure Score</w:t>
      </w:r>
    </w:p>
    <w:p w14:paraId="015E07A4" w14:textId="0D953CA3" w:rsidR="00086FAC" w:rsidRPr="00EA3665" w:rsidRDefault="00A52612" w:rsidP="00AC5CB9">
      <w:pPr>
        <w:spacing w:after="120" w:line="240" w:lineRule="auto"/>
        <w:rPr>
          <w:rFonts w:eastAsia="MS Gothic"/>
          <w:color w:val="0070C0"/>
        </w:rPr>
      </w:pPr>
      <w:r w:rsidRPr="00EA3665">
        <w:rPr>
          <w:rFonts w:eastAsia="MS Gothic"/>
          <w:color w:val="0070C0"/>
        </w:rPr>
        <w:t xml:space="preserve">Since the IPF measure rates are computed using hierarchical logistic regression which adjusts the readmission rate results for smaller facilities to make the results more reliable, signal-to-noise reliability analysis is less suitable for this measure as this adjustment removes “noise” </w:t>
      </w:r>
      <w:r w:rsidR="00F77F71">
        <w:rPr>
          <w:rFonts w:eastAsia="MS Gothic"/>
          <w:color w:val="0070C0"/>
        </w:rPr>
        <w:t xml:space="preserve">(IPF-level variation in the measure) </w:t>
      </w:r>
      <w:r w:rsidRPr="00EA3665">
        <w:rPr>
          <w:rFonts w:eastAsia="MS Gothic"/>
          <w:color w:val="0070C0"/>
        </w:rPr>
        <w:t xml:space="preserve">in the risk-adjusted rates. We estimated measure reliability via the intra-class correlation coefficient </w:t>
      </w:r>
      <w:r w:rsidR="00086FAC" w:rsidRPr="00EA3665">
        <w:rPr>
          <w:rFonts w:eastAsia="MS Gothic"/>
          <w:color w:val="0070C0"/>
        </w:rPr>
        <w:t>(ICC</w:t>
      </w:r>
      <w:r w:rsidR="00404178" w:rsidRPr="00EA3665">
        <w:rPr>
          <w:rFonts w:eastAsia="MS Gothic"/>
          <w:color w:val="0070C0"/>
        </w:rPr>
        <w:t xml:space="preserve">), </w:t>
      </w:r>
      <w:r w:rsidR="00086FAC" w:rsidRPr="00EA3665">
        <w:rPr>
          <w:rFonts w:eastAsia="MS Gothic"/>
          <w:color w:val="0070C0"/>
        </w:rPr>
        <w:t>a reliability coefficient that reflects both correlation and agreement between measurements</w:t>
      </w:r>
      <w:r w:rsidR="00404178" w:rsidRPr="00EA3665">
        <w:rPr>
          <w:rFonts w:eastAsia="MS Gothic"/>
          <w:color w:val="0070C0"/>
        </w:rPr>
        <w:t>. We</w:t>
      </w:r>
      <w:r w:rsidR="00086FAC" w:rsidRPr="00EA3665">
        <w:rPr>
          <w:rFonts w:eastAsia="MS Gothic"/>
          <w:color w:val="0070C0"/>
        </w:rPr>
        <w:t xml:space="preserve"> us</w:t>
      </w:r>
      <w:r w:rsidR="00404178" w:rsidRPr="00EA3665">
        <w:rPr>
          <w:rFonts w:eastAsia="MS Gothic"/>
          <w:color w:val="0070C0"/>
        </w:rPr>
        <w:t>ed</w:t>
      </w:r>
      <w:r w:rsidR="00086FAC" w:rsidRPr="00EA3665">
        <w:rPr>
          <w:rFonts w:eastAsia="MS Gothic"/>
          <w:color w:val="0070C0"/>
        </w:rPr>
        <w:t xml:space="preserve"> a test-retest approach that</w:t>
      </w:r>
      <w:r w:rsidR="00086FAC" w:rsidRPr="00EA3665" w:rsidDel="00191A19">
        <w:rPr>
          <w:rFonts w:eastAsia="MS Gothic"/>
          <w:color w:val="0070C0"/>
        </w:rPr>
        <w:t xml:space="preserve"> </w:t>
      </w:r>
      <w:r w:rsidR="00086FAC" w:rsidRPr="00EA3665">
        <w:rPr>
          <w:rFonts w:eastAsia="MS Gothic"/>
          <w:color w:val="0070C0"/>
        </w:rPr>
        <w:t xml:space="preserve">examines the agreement between repeated measures of the same IPF during the same time period. The randomly sampled sets of admissions from a given hospital are assumed to reflect an independent set of re-measurement of readmission rates for the hospital. </w:t>
      </w:r>
      <w:r w:rsidR="008058E0" w:rsidRPr="00EA3665">
        <w:rPr>
          <w:rFonts w:eastAsia="MS Gothic"/>
          <w:color w:val="0070C0"/>
        </w:rPr>
        <w:t>Adequate</w:t>
      </w:r>
      <w:r w:rsidR="00086FAC" w:rsidRPr="00EA3665">
        <w:rPr>
          <w:rFonts w:eastAsia="MS Gothic"/>
          <w:color w:val="0070C0"/>
        </w:rPr>
        <w:t xml:space="preserve"> reliability is assumed if the risk-standardized measure rates calculated from the random datasets for the same IPF are similar. Higher ICC values indicate stronger agreement </w:t>
      </w:r>
      <w:r w:rsidR="000F114E" w:rsidRPr="00EA3665">
        <w:rPr>
          <w:rFonts w:eastAsia="MS Gothic"/>
          <w:color w:val="0070C0"/>
        </w:rPr>
        <w:t xml:space="preserve">between measure scores in the samples </w:t>
      </w:r>
      <w:r w:rsidR="00086FAC" w:rsidRPr="00EA3665">
        <w:rPr>
          <w:rFonts w:eastAsia="MS Gothic"/>
          <w:color w:val="0070C0"/>
        </w:rPr>
        <w:t xml:space="preserve">and better measure reliability. We used two test-retest approaches to generate independent samples of patients within the same IPF: a split-half sampling design and bootstrapping. For </w:t>
      </w:r>
      <w:r w:rsidR="00404178" w:rsidRPr="00EA3665">
        <w:rPr>
          <w:rFonts w:eastAsia="MS Gothic"/>
          <w:color w:val="0070C0"/>
        </w:rPr>
        <w:t xml:space="preserve">the </w:t>
      </w:r>
      <w:r w:rsidR="00086FAC" w:rsidRPr="00EA3665">
        <w:rPr>
          <w:rFonts w:eastAsia="MS Gothic"/>
          <w:color w:val="0070C0"/>
        </w:rPr>
        <w:t xml:space="preserve">split-half sampling, we randomly sampled half of all eligible index admissions in each facility over the two-year period, resulting in two samples that cover the same two-year period but with case volume the size of a measure that would be calculated with one year of data. </w:t>
      </w:r>
      <w:r w:rsidR="00B61AEA" w:rsidRPr="00EA3665">
        <w:rPr>
          <w:rFonts w:eastAsia="MS Gothic"/>
          <w:color w:val="0070C0"/>
        </w:rPr>
        <w:t>We estimated t</w:t>
      </w:r>
      <w:r w:rsidR="00086FAC" w:rsidRPr="00EA3665">
        <w:rPr>
          <w:rFonts w:eastAsia="MS Gothic"/>
          <w:color w:val="0070C0"/>
        </w:rPr>
        <w:t xml:space="preserve">he ICC in the split-half sampling design using the RSRRs of the two split-half samples. </w:t>
      </w:r>
    </w:p>
    <w:p w14:paraId="0F57DA60" w14:textId="3A8D8FED" w:rsidR="00086FAC" w:rsidRPr="00EA3665" w:rsidRDefault="00086FAC" w:rsidP="00086FAC">
      <w:pPr>
        <w:autoSpaceDE w:val="0"/>
        <w:autoSpaceDN w:val="0"/>
        <w:adjustRightInd w:val="0"/>
        <w:spacing w:after="120" w:line="240" w:lineRule="auto"/>
        <w:rPr>
          <w:rFonts w:eastAsia="MS Gothic"/>
          <w:color w:val="0070C0"/>
        </w:rPr>
      </w:pPr>
      <w:r w:rsidRPr="00EA3665">
        <w:rPr>
          <w:rFonts w:eastAsia="MS Gothic"/>
          <w:color w:val="0070C0"/>
        </w:rPr>
        <w:t xml:space="preserve">For </w:t>
      </w:r>
      <w:r w:rsidR="00404178" w:rsidRPr="00EA3665">
        <w:rPr>
          <w:rFonts w:eastAsia="MS Gothic"/>
          <w:color w:val="0070C0"/>
        </w:rPr>
        <w:t xml:space="preserve">the </w:t>
      </w:r>
      <w:r w:rsidRPr="00EA3665">
        <w:rPr>
          <w:rFonts w:eastAsia="MS Gothic"/>
          <w:color w:val="0070C0"/>
        </w:rPr>
        <w:t>bootstrapping</w:t>
      </w:r>
      <w:r w:rsidR="00404178" w:rsidRPr="00EA3665">
        <w:rPr>
          <w:rFonts w:eastAsia="MS Gothic"/>
          <w:color w:val="0070C0"/>
        </w:rPr>
        <w:t xml:space="preserve"> </w:t>
      </w:r>
      <w:r w:rsidR="00610E73" w:rsidRPr="00EA3665">
        <w:rPr>
          <w:rFonts w:eastAsia="MS Gothic"/>
          <w:color w:val="0070C0"/>
        </w:rPr>
        <w:t>approach</w:t>
      </w:r>
      <w:r w:rsidRPr="00EA3665">
        <w:rPr>
          <w:rFonts w:eastAsia="MS Gothic"/>
          <w:color w:val="0070C0"/>
        </w:rPr>
        <w:t>, we sampled 1,000 pairs of samples from the original measure cohort with replacement (stratified sampling by IPF), maintaining the sample size of a two-year measure</w:t>
      </w:r>
      <w:r w:rsidR="00601663" w:rsidRPr="00EA3665">
        <w:rPr>
          <w:rFonts w:eastAsia="MS Gothic"/>
          <w:color w:val="0070C0"/>
        </w:rPr>
        <w:t xml:space="preserve"> within each IPF</w:t>
      </w:r>
      <w:r w:rsidRPr="00EA3665">
        <w:rPr>
          <w:rFonts w:eastAsia="MS Gothic"/>
          <w:color w:val="0070C0"/>
        </w:rPr>
        <w:t xml:space="preserve">. </w:t>
      </w:r>
      <w:r w:rsidR="00404178" w:rsidRPr="00EA3665">
        <w:rPr>
          <w:rFonts w:eastAsia="MS Gothic"/>
          <w:color w:val="0070C0"/>
        </w:rPr>
        <w:t>We estimated t</w:t>
      </w:r>
      <w:r w:rsidRPr="00EA3665">
        <w:rPr>
          <w:rFonts w:eastAsia="MS Gothic"/>
          <w:color w:val="0070C0"/>
        </w:rPr>
        <w:t>he ICC in the bootstrap sampling for each pair of the bootstrap samples. With the 1,000 ICC estimates</w:t>
      </w:r>
      <w:r w:rsidR="00404178" w:rsidRPr="00EA3665">
        <w:rPr>
          <w:rFonts w:eastAsia="MS Gothic"/>
          <w:color w:val="0070C0"/>
        </w:rPr>
        <w:t>,</w:t>
      </w:r>
      <w:r w:rsidRPr="00EA3665">
        <w:rPr>
          <w:rFonts w:eastAsia="MS Gothic"/>
          <w:color w:val="0070C0"/>
        </w:rPr>
        <w:t xml:space="preserve"> we determined the distribution of estimated ICC coefficients and calculate</w:t>
      </w:r>
      <w:r w:rsidR="00BF69F4" w:rsidRPr="00EA3665">
        <w:rPr>
          <w:rFonts w:eastAsia="MS Gothic"/>
          <w:color w:val="0070C0"/>
        </w:rPr>
        <w:t>d</w:t>
      </w:r>
      <w:r w:rsidRPr="00EA3665">
        <w:rPr>
          <w:rFonts w:eastAsia="MS Gothic"/>
          <w:color w:val="0070C0"/>
        </w:rPr>
        <w:t xml:space="preserve"> the mean and 95</w:t>
      </w:r>
      <w:r w:rsidR="00404178" w:rsidRPr="00EA3665">
        <w:rPr>
          <w:rFonts w:eastAsia="MS Gothic"/>
          <w:color w:val="0070C0"/>
        </w:rPr>
        <w:t xml:space="preserve"> percent</w:t>
      </w:r>
      <w:r w:rsidRPr="00EA3665">
        <w:rPr>
          <w:rFonts w:eastAsia="MS Gothic"/>
          <w:color w:val="0070C0"/>
        </w:rPr>
        <w:t xml:space="preserve"> CI of the ICC.</w:t>
      </w:r>
    </w:p>
    <w:p w14:paraId="38614668" w14:textId="77777777" w:rsidR="00086FAC" w:rsidRDefault="00086FAC" w:rsidP="00086FAC">
      <w:pPr>
        <w:autoSpaceDE w:val="0"/>
        <w:autoSpaceDN w:val="0"/>
        <w:adjustRightInd w:val="0"/>
        <w:spacing w:after="0" w:line="240" w:lineRule="auto"/>
        <w:rPr>
          <w:rFonts w:cstheme="minorHAnsi"/>
          <w:bCs/>
        </w:rPr>
      </w:pPr>
      <w:bookmarkStart w:id="13" w:name="_Hlk55836754"/>
      <w:r>
        <w:rPr>
          <w:rFonts w:cstheme="minorHAnsi"/>
          <w:b/>
          <w:bCs/>
        </w:rPr>
        <w:t>2a2.</w:t>
      </w:r>
      <w:r w:rsidRPr="00A25024">
        <w:rPr>
          <w:rFonts w:cstheme="minorHAnsi"/>
          <w:b/>
          <w:bCs/>
        </w:rPr>
        <w:t xml:space="preserve">3. For each level </w:t>
      </w:r>
      <w:r>
        <w:rPr>
          <w:rFonts w:cstheme="minorHAnsi"/>
          <w:b/>
          <w:bCs/>
        </w:rPr>
        <w:t xml:space="preserve">of testing </w:t>
      </w:r>
      <w:r w:rsidRPr="00A25024">
        <w:rPr>
          <w:rFonts w:cstheme="minorHAnsi"/>
          <w:b/>
          <w:bCs/>
        </w:rPr>
        <w:t>checked above, what were the statistical results from reliability testing</w:t>
      </w:r>
      <w:r w:rsidRPr="00A25024">
        <w:rPr>
          <w:rFonts w:cstheme="minorHAnsi"/>
          <w:bCs/>
        </w:rPr>
        <w:t xml:space="preserve">?  </w:t>
      </w:r>
      <w:bookmarkEnd w:id="13"/>
      <w:r w:rsidRPr="00A25024">
        <w:rPr>
          <w:rFonts w:cstheme="minorHAnsi"/>
          <w:bCs/>
        </w:rPr>
        <w:t>(e</w:t>
      </w:r>
      <w:r w:rsidRPr="00A25024">
        <w:rPr>
          <w:rFonts w:cstheme="minorHAnsi"/>
          <w:bCs/>
          <w:i/>
        </w:rPr>
        <w:t>.g., percent agreement and kappa for the critical data elements; distribution of reliability statistics from a signal-to-noise analysis</w:t>
      </w:r>
      <w:r w:rsidRPr="00A25024">
        <w:rPr>
          <w:rFonts w:cstheme="minorHAnsi"/>
          <w:bCs/>
        </w:rPr>
        <w:t>)</w:t>
      </w:r>
    </w:p>
    <w:p w14:paraId="06D6C53C" w14:textId="07B0A3D1" w:rsidR="00086FAC" w:rsidRPr="00EA3665" w:rsidRDefault="00002C7A" w:rsidP="00086FAC">
      <w:pPr>
        <w:spacing w:after="120" w:line="240" w:lineRule="auto"/>
        <w:rPr>
          <w:color w:val="0070C0"/>
        </w:rPr>
      </w:pPr>
      <w:r w:rsidRPr="00EA3665">
        <w:rPr>
          <w:color w:val="0070C0"/>
        </w:rPr>
        <w:t>Table 2a</w:t>
      </w:r>
      <w:r w:rsidR="00404178" w:rsidRPr="00EA3665">
        <w:rPr>
          <w:color w:val="0070C0"/>
        </w:rPr>
        <w:t>2.3.a</w:t>
      </w:r>
      <w:r w:rsidRPr="00EA3665">
        <w:rPr>
          <w:color w:val="0070C0"/>
        </w:rPr>
        <w:t xml:space="preserve"> includes the </w:t>
      </w:r>
      <w:r w:rsidR="00086FAC" w:rsidRPr="00EA3665">
        <w:rPr>
          <w:color w:val="0070C0"/>
        </w:rPr>
        <w:t xml:space="preserve">RSRR distributions across IPFs for the two randomly split-half samples that we established for test-retest reliability testing. We estimated RSRR for each sample using a hierarchical logistic regression model and RSRR calculations described in </w:t>
      </w:r>
      <w:r w:rsidR="00404178" w:rsidRPr="00EA3665">
        <w:rPr>
          <w:color w:val="0070C0"/>
        </w:rPr>
        <w:t xml:space="preserve">section </w:t>
      </w:r>
      <w:r w:rsidR="00086FAC" w:rsidRPr="00EA3665">
        <w:rPr>
          <w:color w:val="0070C0"/>
        </w:rPr>
        <w:t xml:space="preserve">2b5. The average RSRR in the two </w:t>
      </w:r>
      <w:r w:rsidR="00086FAC" w:rsidRPr="00EA3665">
        <w:rPr>
          <w:color w:val="0070C0"/>
        </w:rPr>
        <w:lastRenderedPageBreak/>
        <w:t xml:space="preserve">split-half samples is very similar with </w:t>
      </w:r>
      <w:r w:rsidR="00086FAC" w:rsidRPr="00EA3665">
        <w:rPr>
          <w:rFonts w:eastAsia="MS Gothic"/>
          <w:color w:val="0070C0"/>
        </w:rPr>
        <w:t xml:space="preserve">means of </w:t>
      </w:r>
      <w:r w:rsidR="009E6459" w:rsidRPr="00EA3665">
        <w:rPr>
          <w:rFonts w:eastAsia="MS Gothic"/>
          <w:color w:val="0070C0"/>
        </w:rPr>
        <w:t>20.29</w:t>
      </w:r>
      <w:r w:rsidR="00086FAC" w:rsidRPr="00EA3665">
        <w:rPr>
          <w:rFonts w:eastAsia="MS Gothic"/>
          <w:color w:val="0070C0"/>
        </w:rPr>
        <w:t xml:space="preserve"> and </w:t>
      </w:r>
      <w:r w:rsidR="009E6459" w:rsidRPr="00EA3665">
        <w:rPr>
          <w:rFonts w:eastAsia="MS Gothic"/>
          <w:color w:val="0070C0"/>
        </w:rPr>
        <w:t>20.06</w:t>
      </w:r>
      <w:r w:rsidR="00086FAC" w:rsidRPr="00EA3665">
        <w:rPr>
          <w:rFonts w:eastAsia="MS Gothic"/>
          <w:color w:val="0070C0"/>
        </w:rPr>
        <w:t xml:space="preserve"> percent (Table </w:t>
      </w:r>
      <w:r w:rsidR="000F114E" w:rsidRPr="00EA3665">
        <w:rPr>
          <w:rFonts w:eastAsia="MS Gothic"/>
          <w:color w:val="0070C0"/>
        </w:rPr>
        <w:t>2a</w:t>
      </w:r>
      <w:r w:rsidR="00404178" w:rsidRPr="00EA3665">
        <w:rPr>
          <w:rFonts w:eastAsia="MS Gothic"/>
          <w:color w:val="0070C0"/>
        </w:rPr>
        <w:t>2.3.a</w:t>
      </w:r>
      <w:r w:rsidR="00086FAC" w:rsidRPr="00EA3665">
        <w:rPr>
          <w:rFonts w:eastAsia="MS Gothic"/>
          <w:color w:val="0070C0"/>
        </w:rPr>
        <w:t xml:space="preserve">). The corresponding </w:t>
      </w:r>
      <w:r w:rsidR="004E32F3" w:rsidRPr="00EA3665">
        <w:rPr>
          <w:rFonts w:eastAsia="MS Gothic"/>
          <w:color w:val="0070C0"/>
        </w:rPr>
        <w:t>ICC</w:t>
      </w:r>
      <w:r w:rsidR="00086FAC" w:rsidRPr="00EA3665">
        <w:rPr>
          <w:rFonts w:eastAsia="MS Gothic"/>
          <w:color w:val="0070C0"/>
        </w:rPr>
        <w:t xml:space="preserve"> is </w:t>
      </w:r>
      <w:r w:rsidR="009E6459" w:rsidRPr="00EA3665">
        <w:rPr>
          <w:rFonts w:eastAsia="MS Gothic"/>
          <w:color w:val="0070C0"/>
        </w:rPr>
        <w:t>0.559</w:t>
      </w:r>
      <w:r w:rsidR="00086FAC" w:rsidRPr="00EA3665">
        <w:rPr>
          <w:rFonts w:eastAsia="MS Gothic"/>
          <w:color w:val="0070C0"/>
        </w:rPr>
        <w:t>.</w:t>
      </w:r>
      <w:bookmarkStart w:id="14" w:name="_Toc435026123"/>
      <w:bookmarkStart w:id="15" w:name="_Toc435519435"/>
      <w:bookmarkStart w:id="16" w:name="_Toc435522124"/>
      <w:bookmarkStart w:id="17" w:name="_Toc435522231"/>
      <w:bookmarkStart w:id="18" w:name="_Toc435776620"/>
      <w:bookmarkStart w:id="19" w:name="_Toc436135233"/>
      <w:bookmarkStart w:id="20" w:name="_Toc436135606"/>
      <w:r w:rsidR="00CD4C6E" w:rsidRPr="00EA3665">
        <w:rPr>
          <w:rFonts w:eastAsia="MS Gothic"/>
          <w:color w:val="0070C0"/>
        </w:rPr>
        <w:t xml:space="preserve"> </w:t>
      </w:r>
    </w:p>
    <w:p w14:paraId="143EDE5F" w14:textId="26A89147" w:rsidR="00086FAC" w:rsidRPr="00DC3138" w:rsidRDefault="00086FAC" w:rsidP="000C0983">
      <w:pPr>
        <w:pStyle w:val="Caption"/>
      </w:pPr>
      <w:bookmarkStart w:id="21" w:name="_Hlk40273237"/>
      <w:bookmarkEnd w:id="14"/>
      <w:bookmarkEnd w:id="15"/>
      <w:bookmarkEnd w:id="16"/>
      <w:bookmarkEnd w:id="17"/>
      <w:bookmarkEnd w:id="18"/>
      <w:bookmarkEnd w:id="19"/>
      <w:bookmarkEnd w:id="20"/>
      <w:r w:rsidRPr="00DC3138">
        <w:t xml:space="preserve">Table </w:t>
      </w:r>
      <w:r w:rsidR="000F114E">
        <w:t>2a</w:t>
      </w:r>
      <w:r w:rsidR="0078380D">
        <w:t>2.3.a</w:t>
      </w:r>
      <w:r w:rsidRPr="00DC3138">
        <w:t>. RSRR distributions for IPFs in split-half samples (July 1, 201</w:t>
      </w:r>
      <w:r>
        <w:t>7</w:t>
      </w:r>
      <w:r w:rsidRPr="00DC3138" w:rsidDel="004142AB">
        <w:rPr>
          <w:rFonts w:cs="Calibri"/>
        </w:rPr>
        <w:t>–</w:t>
      </w:r>
      <w:r w:rsidRPr="00DC3138">
        <w:rPr>
          <w:rFonts w:cs="Calibri"/>
        </w:rPr>
        <w:t>June 30, 201</w:t>
      </w:r>
      <w:r>
        <w:rPr>
          <w:rFonts w:cs="Calibri"/>
        </w:rPr>
        <w:t>9</w:t>
      </w:r>
      <w:r w:rsidRPr="00DC3138">
        <w:t>)</w:t>
      </w:r>
    </w:p>
    <w:tbl>
      <w:tblPr>
        <w:tblStyle w:val="MathUBaseTable"/>
        <w:tblW w:w="9450" w:type="dxa"/>
        <w:tblLayout w:type="fixed"/>
        <w:tblLook w:val="04A0" w:firstRow="1" w:lastRow="0" w:firstColumn="1" w:lastColumn="0" w:noHBand="0" w:noVBand="1"/>
      </w:tblPr>
      <w:tblGrid>
        <w:gridCol w:w="900"/>
        <w:gridCol w:w="1080"/>
        <w:gridCol w:w="900"/>
        <w:gridCol w:w="699"/>
        <w:gridCol w:w="573"/>
        <w:gridCol w:w="672"/>
        <w:gridCol w:w="666"/>
        <w:gridCol w:w="872"/>
        <w:gridCol w:w="855"/>
        <w:gridCol w:w="872"/>
        <w:gridCol w:w="731"/>
        <w:gridCol w:w="630"/>
      </w:tblGrid>
      <w:tr w:rsidR="00086FAC" w:rsidRPr="0005621B" w14:paraId="7987150B" w14:textId="77777777" w:rsidTr="00E06A50">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900" w:type="dxa"/>
            <w:noWrap/>
            <w:hideMark/>
          </w:tcPr>
          <w:p w14:paraId="652517AA" w14:textId="77777777" w:rsidR="00086FAC" w:rsidRPr="00DC3138" w:rsidRDefault="00086FAC" w:rsidP="00E06A50">
            <w:pPr>
              <w:pStyle w:val="TableHeaderLeft"/>
              <w:rPr>
                <w:b w:val="0"/>
              </w:rPr>
            </w:pPr>
            <w:r w:rsidRPr="00DC3138">
              <w:t>Sample</w:t>
            </w:r>
          </w:p>
        </w:tc>
        <w:tc>
          <w:tcPr>
            <w:tcW w:w="1080" w:type="dxa"/>
            <w:hideMark/>
          </w:tcPr>
          <w:p w14:paraId="5B09D15D"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 Index admissions</w:t>
            </w:r>
          </w:p>
        </w:tc>
        <w:tc>
          <w:tcPr>
            <w:tcW w:w="900" w:type="dxa"/>
            <w:hideMark/>
          </w:tcPr>
          <w:p w14:paraId="22B1B940"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 of IPFs (</w:t>
            </w:r>
            <w:r>
              <w:t>N</w:t>
            </w:r>
            <w:r w:rsidRPr="00DC3138">
              <w:t>)</w:t>
            </w:r>
          </w:p>
        </w:tc>
        <w:tc>
          <w:tcPr>
            <w:tcW w:w="699" w:type="dxa"/>
            <w:hideMark/>
          </w:tcPr>
          <w:p w14:paraId="171C8546"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Mean</w:t>
            </w:r>
          </w:p>
        </w:tc>
        <w:tc>
          <w:tcPr>
            <w:tcW w:w="573" w:type="dxa"/>
            <w:hideMark/>
          </w:tcPr>
          <w:p w14:paraId="3C318AAC"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SD</w:t>
            </w:r>
          </w:p>
        </w:tc>
        <w:tc>
          <w:tcPr>
            <w:tcW w:w="672" w:type="dxa"/>
            <w:hideMark/>
          </w:tcPr>
          <w:p w14:paraId="53A1C3D2"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Min</w:t>
            </w:r>
          </w:p>
        </w:tc>
        <w:tc>
          <w:tcPr>
            <w:tcW w:w="666" w:type="dxa"/>
            <w:hideMark/>
          </w:tcPr>
          <w:p w14:paraId="7FE2393C"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 xml:space="preserve">10th </w:t>
            </w:r>
            <w:proofErr w:type="spellStart"/>
            <w:r>
              <w:t>pctl</w:t>
            </w:r>
            <w:proofErr w:type="spellEnd"/>
            <w:r>
              <w:t>.</w:t>
            </w:r>
          </w:p>
        </w:tc>
        <w:tc>
          <w:tcPr>
            <w:tcW w:w="872" w:type="dxa"/>
            <w:hideMark/>
          </w:tcPr>
          <w:p w14:paraId="24BAACDB"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Lower quartile</w:t>
            </w:r>
          </w:p>
        </w:tc>
        <w:tc>
          <w:tcPr>
            <w:tcW w:w="855" w:type="dxa"/>
            <w:hideMark/>
          </w:tcPr>
          <w:p w14:paraId="2886235A"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Median</w:t>
            </w:r>
          </w:p>
        </w:tc>
        <w:tc>
          <w:tcPr>
            <w:tcW w:w="872" w:type="dxa"/>
            <w:hideMark/>
          </w:tcPr>
          <w:p w14:paraId="3D070CB6"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Upper quartile</w:t>
            </w:r>
          </w:p>
        </w:tc>
        <w:tc>
          <w:tcPr>
            <w:tcW w:w="731" w:type="dxa"/>
            <w:hideMark/>
          </w:tcPr>
          <w:p w14:paraId="527F73DD"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 xml:space="preserve">90th </w:t>
            </w:r>
            <w:proofErr w:type="spellStart"/>
            <w:r>
              <w:t>pctl</w:t>
            </w:r>
            <w:proofErr w:type="spellEnd"/>
            <w:r>
              <w:t>.</w:t>
            </w:r>
          </w:p>
        </w:tc>
        <w:tc>
          <w:tcPr>
            <w:tcW w:w="630" w:type="dxa"/>
            <w:hideMark/>
          </w:tcPr>
          <w:p w14:paraId="7E8CC5A4" w14:textId="77777777" w:rsidR="00086FAC" w:rsidRPr="00DC3138" w:rsidRDefault="00086FAC" w:rsidP="00E06A5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Max</w:t>
            </w:r>
          </w:p>
        </w:tc>
      </w:tr>
      <w:tr w:rsidR="00CD4C6E" w:rsidRPr="0005621B" w14:paraId="06CFAAD1" w14:textId="77777777" w:rsidTr="00E06A50">
        <w:trPr>
          <w:trHeight w:val="120"/>
        </w:trPr>
        <w:tc>
          <w:tcPr>
            <w:cnfStyle w:val="001000000000" w:firstRow="0" w:lastRow="0" w:firstColumn="1" w:lastColumn="0" w:oddVBand="0" w:evenVBand="0" w:oddHBand="0" w:evenHBand="0" w:firstRowFirstColumn="0" w:firstRowLastColumn="0" w:lastRowFirstColumn="0" w:lastRowLastColumn="0"/>
            <w:tcW w:w="900" w:type="dxa"/>
            <w:noWrap/>
            <w:hideMark/>
          </w:tcPr>
          <w:p w14:paraId="4E3F3990" w14:textId="77777777" w:rsidR="00CD4C6E" w:rsidRPr="00434B0F" w:rsidRDefault="00CD4C6E" w:rsidP="00434B0F">
            <w:pPr>
              <w:pStyle w:val="TableTextLeft"/>
            </w:pPr>
            <w:r w:rsidRPr="00434B0F">
              <w:t>Sample 1</w:t>
            </w:r>
          </w:p>
        </w:tc>
        <w:tc>
          <w:tcPr>
            <w:tcW w:w="1080" w:type="dxa"/>
            <w:noWrap/>
            <w:hideMark/>
          </w:tcPr>
          <w:p w14:paraId="6A9018CF" w14:textId="77777777"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273,171</w:t>
            </w:r>
          </w:p>
        </w:tc>
        <w:tc>
          <w:tcPr>
            <w:tcW w:w="900" w:type="dxa"/>
            <w:hideMark/>
          </w:tcPr>
          <w:p w14:paraId="3514B2B0" w14:textId="15D18D10"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1691</w:t>
            </w:r>
          </w:p>
        </w:tc>
        <w:tc>
          <w:tcPr>
            <w:tcW w:w="699" w:type="dxa"/>
            <w:hideMark/>
          </w:tcPr>
          <w:p w14:paraId="7617DC95" w14:textId="1FFF78FD"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20.29</w:t>
            </w:r>
          </w:p>
        </w:tc>
        <w:tc>
          <w:tcPr>
            <w:tcW w:w="573" w:type="dxa"/>
            <w:hideMark/>
          </w:tcPr>
          <w:p w14:paraId="0C762762" w14:textId="2DA008D9"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2.26</w:t>
            </w:r>
          </w:p>
        </w:tc>
        <w:tc>
          <w:tcPr>
            <w:tcW w:w="672" w:type="dxa"/>
            <w:hideMark/>
          </w:tcPr>
          <w:p w14:paraId="2BD199C5" w14:textId="203E6006"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12.81</w:t>
            </w:r>
          </w:p>
        </w:tc>
        <w:tc>
          <w:tcPr>
            <w:tcW w:w="666" w:type="dxa"/>
            <w:hideMark/>
          </w:tcPr>
          <w:p w14:paraId="2304D2C4" w14:textId="62468DBA"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17.69</w:t>
            </w:r>
          </w:p>
        </w:tc>
        <w:tc>
          <w:tcPr>
            <w:tcW w:w="872" w:type="dxa"/>
            <w:hideMark/>
          </w:tcPr>
          <w:p w14:paraId="0B166586" w14:textId="489A224C"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18.81</w:t>
            </w:r>
          </w:p>
        </w:tc>
        <w:tc>
          <w:tcPr>
            <w:tcW w:w="855" w:type="dxa"/>
            <w:hideMark/>
          </w:tcPr>
          <w:p w14:paraId="7541819F" w14:textId="49996D94"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20.08</w:t>
            </w:r>
          </w:p>
        </w:tc>
        <w:tc>
          <w:tcPr>
            <w:tcW w:w="872" w:type="dxa"/>
            <w:hideMark/>
          </w:tcPr>
          <w:p w14:paraId="6D169696" w14:textId="3444B30E"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21.55</w:t>
            </w:r>
          </w:p>
        </w:tc>
        <w:tc>
          <w:tcPr>
            <w:tcW w:w="731" w:type="dxa"/>
            <w:hideMark/>
          </w:tcPr>
          <w:p w14:paraId="169BF301" w14:textId="60E9097B"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23.14</w:t>
            </w:r>
          </w:p>
        </w:tc>
        <w:tc>
          <w:tcPr>
            <w:tcW w:w="630" w:type="dxa"/>
            <w:hideMark/>
          </w:tcPr>
          <w:p w14:paraId="77C6203D" w14:textId="0455B1AA"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33.30</w:t>
            </w:r>
          </w:p>
        </w:tc>
      </w:tr>
      <w:tr w:rsidR="00CD4C6E" w:rsidRPr="0005621B" w14:paraId="4CEA6D68" w14:textId="77777777" w:rsidTr="00E06A50">
        <w:trPr>
          <w:trHeight w:val="120"/>
        </w:trPr>
        <w:tc>
          <w:tcPr>
            <w:cnfStyle w:val="001000000000" w:firstRow="0" w:lastRow="0" w:firstColumn="1" w:lastColumn="0" w:oddVBand="0" w:evenVBand="0" w:oddHBand="0" w:evenHBand="0" w:firstRowFirstColumn="0" w:firstRowLastColumn="0" w:lastRowFirstColumn="0" w:lastRowLastColumn="0"/>
            <w:tcW w:w="900" w:type="dxa"/>
            <w:noWrap/>
            <w:hideMark/>
          </w:tcPr>
          <w:p w14:paraId="67D8C1B4" w14:textId="77777777" w:rsidR="00CD4C6E" w:rsidRPr="00434B0F" w:rsidRDefault="00CD4C6E" w:rsidP="00434B0F">
            <w:pPr>
              <w:pStyle w:val="TableTextLeft"/>
            </w:pPr>
            <w:r w:rsidRPr="00434B0F">
              <w:t>Sample 2</w:t>
            </w:r>
          </w:p>
        </w:tc>
        <w:tc>
          <w:tcPr>
            <w:tcW w:w="1080" w:type="dxa"/>
            <w:noWrap/>
            <w:hideMark/>
          </w:tcPr>
          <w:p w14:paraId="018C15EC" w14:textId="77777777"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274,025</w:t>
            </w:r>
          </w:p>
        </w:tc>
        <w:tc>
          <w:tcPr>
            <w:tcW w:w="900" w:type="dxa"/>
            <w:hideMark/>
          </w:tcPr>
          <w:p w14:paraId="7631B80D" w14:textId="3AD08B2B"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1700</w:t>
            </w:r>
          </w:p>
        </w:tc>
        <w:tc>
          <w:tcPr>
            <w:tcW w:w="699" w:type="dxa"/>
            <w:hideMark/>
          </w:tcPr>
          <w:p w14:paraId="6C6EC933" w14:textId="24852EED"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20.06</w:t>
            </w:r>
          </w:p>
        </w:tc>
        <w:tc>
          <w:tcPr>
            <w:tcW w:w="573" w:type="dxa"/>
            <w:hideMark/>
          </w:tcPr>
          <w:p w14:paraId="7129A648" w14:textId="675CC235"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2.41</w:t>
            </w:r>
          </w:p>
        </w:tc>
        <w:tc>
          <w:tcPr>
            <w:tcW w:w="672" w:type="dxa"/>
            <w:hideMark/>
          </w:tcPr>
          <w:p w14:paraId="65DD02A1" w14:textId="07BDCBEF"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13.24</w:t>
            </w:r>
          </w:p>
        </w:tc>
        <w:tc>
          <w:tcPr>
            <w:tcW w:w="666" w:type="dxa"/>
            <w:hideMark/>
          </w:tcPr>
          <w:p w14:paraId="6ABAB8AC" w14:textId="79080031"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17.34</w:t>
            </w:r>
          </w:p>
        </w:tc>
        <w:tc>
          <w:tcPr>
            <w:tcW w:w="872" w:type="dxa"/>
            <w:hideMark/>
          </w:tcPr>
          <w:p w14:paraId="184B84B0" w14:textId="17509D25"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18.58</w:t>
            </w:r>
          </w:p>
        </w:tc>
        <w:tc>
          <w:tcPr>
            <w:tcW w:w="855" w:type="dxa"/>
            <w:hideMark/>
          </w:tcPr>
          <w:p w14:paraId="242E247D" w14:textId="6C1B1D41"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19.82</w:t>
            </w:r>
          </w:p>
        </w:tc>
        <w:tc>
          <w:tcPr>
            <w:tcW w:w="872" w:type="dxa"/>
            <w:hideMark/>
          </w:tcPr>
          <w:p w14:paraId="193A8D01" w14:textId="0B93C1C9"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21.27</w:t>
            </w:r>
          </w:p>
        </w:tc>
        <w:tc>
          <w:tcPr>
            <w:tcW w:w="731" w:type="dxa"/>
            <w:hideMark/>
          </w:tcPr>
          <w:p w14:paraId="76401EAD" w14:textId="7C0D8D5B"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22.94</w:t>
            </w:r>
          </w:p>
        </w:tc>
        <w:tc>
          <w:tcPr>
            <w:tcW w:w="630" w:type="dxa"/>
            <w:hideMark/>
          </w:tcPr>
          <w:p w14:paraId="14E5BF59" w14:textId="50BCA06E" w:rsidR="00CD4C6E" w:rsidRPr="00434B0F" w:rsidRDefault="00CD4C6E" w:rsidP="00B02D47">
            <w:pPr>
              <w:pStyle w:val="TableTextLeft"/>
              <w:jc w:val="center"/>
              <w:cnfStyle w:val="000000000000" w:firstRow="0" w:lastRow="0" w:firstColumn="0" w:lastColumn="0" w:oddVBand="0" w:evenVBand="0" w:oddHBand="0" w:evenHBand="0" w:firstRowFirstColumn="0" w:firstRowLastColumn="0" w:lastRowFirstColumn="0" w:lastRowLastColumn="0"/>
            </w:pPr>
            <w:r w:rsidRPr="00434B0F">
              <w:t>35.09</w:t>
            </w:r>
          </w:p>
        </w:tc>
      </w:tr>
    </w:tbl>
    <w:p w14:paraId="587411D6" w14:textId="44ABF9A2" w:rsidR="00086FAC" w:rsidRPr="00EA3665" w:rsidRDefault="00086FAC" w:rsidP="00086FAC">
      <w:pPr>
        <w:pStyle w:val="TableSourceCaption"/>
        <w:tabs>
          <w:tab w:val="left" w:pos="0"/>
        </w:tabs>
        <w:rPr>
          <w:rFonts w:asciiTheme="minorHAnsi" w:hAnsiTheme="minorHAnsi" w:cstheme="minorHAnsi"/>
          <w:color w:val="0070C0"/>
        </w:rPr>
      </w:pPr>
      <w:r w:rsidRPr="00EA3665">
        <w:rPr>
          <w:rFonts w:asciiTheme="minorHAnsi" w:hAnsiTheme="minorHAnsi" w:cstheme="minorHAnsi"/>
          <w:color w:val="0070C0"/>
        </w:rPr>
        <w:t>Source:</w:t>
      </w:r>
      <w:r w:rsidRPr="00EA3665">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bookmarkEnd w:id="21"/>
    <w:p w14:paraId="77DD1D86" w14:textId="37BBAB0A" w:rsidR="00086FAC" w:rsidRPr="00EA3665" w:rsidRDefault="00086FAC" w:rsidP="00086FAC">
      <w:pPr>
        <w:spacing w:after="0"/>
        <w:ind w:left="810" w:hanging="810"/>
        <w:rPr>
          <w:color w:val="0070C0"/>
          <w:sz w:val="18"/>
          <w:szCs w:val="18"/>
        </w:rPr>
      </w:pPr>
      <w:r w:rsidRPr="00EA3665">
        <w:rPr>
          <w:color w:val="0070C0"/>
          <w:sz w:val="18"/>
          <w:szCs w:val="18"/>
        </w:rPr>
        <w:t>Note:         Nine hospitals had only one discharge each and thus only appeared in one split-half sample.</w:t>
      </w:r>
    </w:p>
    <w:p w14:paraId="78C29543" w14:textId="77777777" w:rsidR="00086FAC" w:rsidRPr="00EA3665" w:rsidRDefault="00086FAC" w:rsidP="00086FAC">
      <w:pPr>
        <w:spacing w:after="0"/>
        <w:rPr>
          <w:color w:val="0070C0"/>
        </w:rPr>
      </w:pPr>
    </w:p>
    <w:p w14:paraId="5BE527A5" w14:textId="2A61AC3F" w:rsidR="00086FAC" w:rsidRPr="00EA3665" w:rsidRDefault="00086FAC" w:rsidP="00086FAC">
      <w:pPr>
        <w:spacing w:after="120" w:line="240" w:lineRule="auto"/>
        <w:rPr>
          <w:color w:val="0070C0"/>
        </w:rPr>
      </w:pPr>
      <w:r w:rsidRPr="00EA3665">
        <w:rPr>
          <w:color w:val="0070C0"/>
        </w:rPr>
        <w:t>The ICC obtained from the bootstrapping approach, comparing 1,000 pairs of samples of the original measurement cohort, which were sampled with replacement yielding an identical sample size as the original measurement cohort, is 0.</w:t>
      </w:r>
      <w:r w:rsidR="009E6459" w:rsidRPr="00EA3665">
        <w:rPr>
          <w:color w:val="0070C0"/>
        </w:rPr>
        <w:t>752</w:t>
      </w:r>
      <w:r w:rsidR="00610E73" w:rsidRPr="00EA3665">
        <w:rPr>
          <w:color w:val="0070C0"/>
        </w:rPr>
        <w:t xml:space="preserve"> </w:t>
      </w:r>
      <w:r w:rsidRPr="00EA3665">
        <w:rPr>
          <w:color w:val="0070C0"/>
        </w:rPr>
        <w:t>(95</w:t>
      </w:r>
      <w:r w:rsidR="00610E73" w:rsidRPr="00EA3665">
        <w:rPr>
          <w:color w:val="0070C0"/>
        </w:rPr>
        <w:t xml:space="preserve"> percent</w:t>
      </w:r>
      <w:r w:rsidRPr="00EA3665">
        <w:rPr>
          <w:color w:val="0070C0"/>
        </w:rPr>
        <w:t xml:space="preserve"> C.I.: </w:t>
      </w:r>
      <w:r w:rsidR="0038788B" w:rsidRPr="00EA3665">
        <w:rPr>
          <w:color w:val="0070C0"/>
        </w:rPr>
        <w:t>0.734</w:t>
      </w:r>
      <w:r w:rsidRPr="00EA3665">
        <w:rPr>
          <w:color w:val="0070C0"/>
        </w:rPr>
        <w:t>-</w:t>
      </w:r>
      <w:r w:rsidR="0038788B" w:rsidRPr="00EA3665">
        <w:rPr>
          <w:color w:val="0070C0"/>
        </w:rPr>
        <w:t>0.769</w:t>
      </w:r>
      <w:r w:rsidRPr="00EA3665">
        <w:rPr>
          <w:color w:val="0070C0"/>
        </w:rPr>
        <w:t xml:space="preserve">; ICC range: </w:t>
      </w:r>
      <w:r w:rsidR="009E6459" w:rsidRPr="00EA3665">
        <w:rPr>
          <w:color w:val="0070C0"/>
        </w:rPr>
        <w:t>0.722</w:t>
      </w:r>
      <w:r w:rsidRPr="00EA3665">
        <w:rPr>
          <w:color w:val="0070C0"/>
        </w:rPr>
        <w:t xml:space="preserve"> – 0.</w:t>
      </w:r>
      <w:r w:rsidR="009E6459" w:rsidRPr="00EA3665">
        <w:rPr>
          <w:color w:val="0070C0"/>
        </w:rPr>
        <w:t>0.779</w:t>
      </w:r>
      <w:r w:rsidRPr="00EA3665">
        <w:rPr>
          <w:color w:val="0070C0"/>
        </w:rPr>
        <w:t xml:space="preserve">). </w:t>
      </w:r>
    </w:p>
    <w:p w14:paraId="7B53B990" w14:textId="4E30B8B6" w:rsidR="00086FAC" w:rsidRPr="00EA3665" w:rsidRDefault="00086FAC" w:rsidP="00086FAC">
      <w:pPr>
        <w:spacing w:after="120" w:line="240" w:lineRule="auto"/>
        <w:rPr>
          <w:rFonts w:eastAsia="Times New Roman" w:cstheme="minorHAnsi"/>
          <w:b/>
          <w:bCs/>
          <w:color w:val="0070C0"/>
        </w:rPr>
      </w:pPr>
      <w:bookmarkStart w:id="22" w:name="_Hlk40273259"/>
      <w:r w:rsidRPr="00EA3665">
        <w:rPr>
          <w:rFonts w:eastAsia="Times New Roman" w:cstheme="minorHAnsi"/>
          <w:b/>
          <w:bCs/>
          <w:color w:val="0070C0"/>
        </w:rPr>
        <w:t xml:space="preserve">Table </w:t>
      </w:r>
      <w:r w:rsidR="000F114E" w:rsidRPr="00EA3665">
        <w:rPr>
          <w:rFonts w:eastAsia="Times New Roman" w:cstheme="minorHAnsi"/>
          <w:b/>
          <w:bCs/>
          <w:color w:val="0070C0"/>
        </w:rPr>
        <w:t>2</w:t>
      </w:r>
      <w:r w:rsidR="0078380D" w:rsidRPr="00EA3665">
        <w:rPr>
          <w:rFonts w:eastAsia="Times New Roman" w:cstheme="minorHAnsi"/>
          <w:b/>
          <w:bCs/>
          <w:color w:val="0070C0"/>
        </w:rPr>
        <w:t>a2.3.</w:t>
      </w:r>
      <w:r w:rsidR="000F114E" w:rsidRPr="00EA3665">
        <w:rPr>
          <w:rFonts w:eastAsia="Times New Roman" w:cstheme="minorHAnsi"/>
          <w:b/>
          <w:bCs/>
          <w:color w:val="0070C0"/>
        </w:rPr>
        <w:t>b</w:t>
      </w:r>
      <w:r w:rsidRPr="00EA3665">
        <w:rPr>
          <w:rFonts w:eastAsia="Times New Roman" w:cstheme="minorHAnsi"/>
          <w:b/>
          <w:bCs/>
          <w:color w:val="0070C0"/>
        </w:rPr>
        <w:t>. Distribution of the ICC statistic in the bootstrap samples</w:t>
      </w:r>
    </w:p>
    <w:tbl>
      <w:tblPr>
        <w:tblStyle w:val="MathUBaseTable"/>
        <w:tblW w:w="9396" w:type="dxa"/>
        <w:tblLook w:val="04A0" w:firstRow="1" w:lastRow="0" w:firstColumn="1" w:lastColumn="0" w:noHBand="0" w:noVBand="1"/>
      </w:tblPr>
      <w:tblGrid>
        <w:gridCol w:w="1219"/>
        <w:gridCol w:w="698"/>
        <w:gridCol w:w="672"/>
        <w:gridCol w:w="880"/>
        <w:gridCol w:w="1055"/>
        <w:gridCol w:w="869"/>
        <w:gridCol w:w="854"/>
        <w:gridCol w:w="869"/>
        <w:gridCol w:w="1056"/>
        <w:gridCol w:w="1224"/>
      </w:tblGrid>
      <w:tr w:rsidR="00086FAC" w:rsidRPr="0005621B" w14:paraId="6B066613" w14:textId="77777777" w:rsidTr="00434B0F">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219" w:type="dxa"/>
            <w:hideMark/>
          </w:tcPr>
          <w:p w14:paraId="5602CCA9" w14:textId="2C4AA8D0" w:rsidR="00086FAC" w:rsidRPr="00DC3138" w:rsidRDefault="00086FAC" w:rsidP="00434B0F">
            <w:pPr>
              <w:pStyle w:val="TableHeaderLeft"/>
              <w:rPr>
                <w:b w:val="0"/>
              </w:rPr>
            </w:pPr>
            <w:r w:rsidRPr="00DC3138">
              <w:t># of sample pairs</w:t>
            </w:r>
          </w:p>
        </w:tc>
        <w:tc>
          <w:tcPr>
            <w:tcW w:w="698" w:type="dxa"/>
            <w:hideMark/>
          </w:tcPr>
          <w:p w14:paraId="447264CF"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Mean</w:t>
            </w:r>
            <w:r>
              <w:t xml:space="preserve"> ICC</w:t>
            </w:r>
          </w:p>
        </w:tc>
        <w:tc>
          <w:tcPr>
            <w:tcW w:w="672" w:type="dxa"/>
            <w:hideMark/>
          </w:tcPr>
          <w:p w14:paraId="739224E0"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SD</w:t>
            </w:r>
          </w:p>
        </w:tc>
        <w:tc>
          <w:tcPr>
            <w:tcW w:w="880" w:type="dxa"/>
            <w:hideMark/>
          </w:tcPr>
          <w:p w14:paraId="489D90BF"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Min</w:t>
            </w:r>
            <w:r>
              <w:t xml:space="preserve"> ICC</w:t>
            </w:r>
          </w:p>
        </w:tc>
        <w:tc>
          <w:tcPr>
            <w:tcW w:w="1055" w:type="dxa"/>
            <w:hideMark/>
          </w:tcPr>
          <w:p w14:paraId="5FC6D477"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10th Percentile</w:t>
            </w:r>
          </w:p>
        </w:tc>
        <w:tc>
          <w:tcPr>
            <w:tcW w:w="869" w:type="dxa"/>
            <w:hideMark/>
          </w:tcPr>
          <w:p w14:paraId="69D1B457"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Lower quartile</w:t>
            </w:r>
          </w:p>
        </w:tc>
        <w:tc>
          <w:tcPr>
            <w:tcW w:w="854" w:type="dxa"/>
            <w:hideMark/>
          </w:tcPr>
          <w:p w14:paraId="2D006904"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Median</w:t>
            </w:r>
          </w:p>
        </w:tc>
        <w:tc>
          <w:tcPr>
            <w:tcW w:w="869" w:type="dxa"/>
            <w:hideMark/>
          </w:tcPr>
          <w:p w14:paraId="03C97827"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Upper quartile</w:t>
            </w:r>
          </w:p>
        </w:tc>
        <w:tc>
          <w:tcPr>
            <w:tcW w:w="1056" w:type="dxa"/>
            <w:hideMark/>
          </w:tcPr>
          <w:p w14:paraId="63131E66"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90th percentile</w:t>
            </w:r>
          </w:p>
        </w:tc>
        <w:tc>
          <w:tcPr>
            <w:tcW w:w="1224" w:type="dxa"/>
            <w:hideMark/>
          </w:tcPr>
          <w:p w14:paraId="6F820BAA" w14:textId="77777777" w:rsidR="00086FAC" w:rsidRPr="00DC3138" w:rsidRDefault="00086FA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rsidRPr="00DC3138">
              <w:t>Max</w:t>
            </w:r>
            <w:r>
              <w:t xml:space="preserve"> ICC</w:t>
            </w:r>
          </w:p>
        </w:tc>
      </w:tr>
      <w:tr w:rsidR="0038788B" w:rsidRPr="0005621B" w14:paraId="267E8070" w14:textId="77777777" w:rsidTr="00434B0F">
        <w:trPr>
          <w:trHeight w:val="120"/>
        </w:trPr>
        <w:tc>
          <w:tcPr>
            <w:cnfStyle w:val="001000000000" w:firstRow="0" w:lastRow="0" w:firstColumn="1" w:lastColumn="0" w:oddVBand="0" w:evenVBand="0" w:oddHBand="0" w:evenHBand="0" w:firstRowFirstColumn="0" w:firstRowLastColumn="0" w:lastRowFirstColumn="0" w:lastRowLastColumn="0"/>
            <w:tcW w:w="1219" w:type="dxa"/>
            <w:hideMark/>
          </w:tcPr>
          <w:p w14:paraId="6F86E7B4" w14:textId="77777777" w:rsidR="0038788B" w:rsidRPr="005944DA" w:rsidRDefault="0038788B" w:rsidP="00434B0F">
            <w:pPr>
              <w:pStyle w:val="TableTextLeft"/>
              <w:rPr>
                <w:color w:val="000000"/>
                <w:sz w:val="18"/>
                <w:szCs w:val="18"/>
              </w:rPr>
            </w:pPr>
            <w:r w:rsidRPr="005944DA">
              <w:rPr>
                <w:color w:val="000000"/>
                <w:sz w:val="18"/>
                <w:szCs w:val="18"/>
              </w:rPr>
              <w:t>1,000</w:t>
            </w:r>
          </w:p>
        </w:tc>
        <w:tc>
          <w:tcPr>
            <w:tcW w:w="698" w:type="dxa"/>
            <w:hideMark/>
          </w:tcPr>
          <w:p w14:paraId="2573C786" w14:textId="629EC3F5"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0.752</w:t>
            </w:r>
          </w:p>
        </w:tc>
        <w:tc>
          <w:tcPr>
            <w:tcW w:w="672" w:type="dxa"/>
            <w:hideMark/>
          </w:tcPr>
          <w:p w14:paraId="65BA1F24" w14:textId="7A015191"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0.009</w:t>
            </w:r>
          </w:p>
        </w:tc>
        <w:tc>
          <w:tcPr>
            <w:tcW w:w="880" w:type="dxa"/>
            <w:hideMark/>
          </w:tcPr>
          <w:p w14:paraId="3049A283" w14:textId="517731E6"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0.722</w:t>
            </w:r>
          </w:p>
        </w:tc>
        <w:tc>
          <w:tcPr>
            <w:tcW w:w="1055" w:type="dxa"/>
            <w:hideMark/>
          </w:tcPr>
          <w:p w14:paraId="13EC4DCA" w14:textId="063478F2"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0.741</w:t>
            </w:r>
          </w:p>
        </w:tc>
        <w:tc>
          <w:tcPr>
            <w:tcW w:w="869" w:type="dxa"/>
            <w:hideMark/>
          </w:tcPr>
          <w:p w14:paraId="6B70FBD2" w14:textId="633D2DCD"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0.746</w:t>
            </w:r>
          </w:p>
        </w:tc>
        <w:tc>
          <w:tcPr>
            <w:tcW w:w="854" w:type="dxa"/>
            <w:hideMark/>
          </w:tcPr>
          <w:p w14:paraId="6879A564" w14:textId="1D6F247B"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0.752</w:t>
            </w:r>
          </w:p>
        </w:tc>
        <w:tc>
          <w:tcPr>
            <w:tcW w:w="869" w:type="dxa"/>
            <w:hideMark/>
          </w:tcPr>
          <w:p w14:paraId="1DCAE225" w14:textId="1E6A44D9"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0.758</w:t>
            </w:r>
          </w:p>
        </w:tc>
        <w:tc>
          <w:tcPr>
            <w:tcW w:w="1056" w:type="dxa"/>
            <w:hideMark/>
          </w:tcPr>
          <w:p w14:paraId="0B525FBD" w14:textId="447BED39"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0.764</w:t>
            </w:r>
          </w:p>
        </w:tc>
        <w:tc>
          <w:tcPr>
            <w:tcW w:w="1224" w:type="dxa"/>
            <w:hideMark/>
          </w:tcPr>
          <w:p w14:paraId="722F9546" w14:textId="33A6854F" w:rsidR="0038788B" w:rsidRPr="005944DA" w:rsidRDefault="0038788B" w:rsidP="00B02D47">
            <w:pPr>
              <w:pStyle w:val="TableTextLeft"/>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944DA">
              <w:rPr>
                <w:rFonts w:ascii="Calibri" w:hAnsi="Calibri"/>
                <w:color w:val="000000"/>
                <w:sz w:val="18"/>
                <w:szCs w:val="18"/>
              </w:rPr>
              <w:t>0.779</w:t>
            </w:r>
          </w:p>
        </w:tc>
      </w:tr>
    </w:tbl>
    <w:p w14:paraId="5E1212A4" w14:textId="006342A6" w:rsidR="00086FAC" w:rsidRPr="00EA3665" w:rsidRDefault="00086FAC" w:rsidP="00086FAC">
      <w:pPr>
        <w:pStyle w:val="TableSourceCaption"/>
        <w:tabs>
          <w:tab w:val="left" w:pos="0"/>
        </w:tabs>
        <w:rPr>
          <w:rFonts w:asciiTheme="minorHAnsi" w:hAnsiTheme="minorHAnsi" w:cstheme="minorHAnsi"/>
          <w:color w:val="0070C0"/>
        </w:rPr>
      </w:pPr>
      <w:r w:rsidRPr="00EA3665">
        <w:rPr>
          <w:rFonts w:asciiTheme="minorHAnsi" w:hAnsiTheme="minorHAnsi" w:cstheme="minorHAnsi"/>
          <w:color w:val="0070C0"/>
        </w:rPr>
        <w:t>Source:</w:t>
      </w:r>
      <w:r w:rsidRPr="00EA3665">
        <w:rPr>
          <w:rFonts w:asciiTheme="minorHAnsi" w:hAnsiTheme="minorHAnsi" w:cstheme="minorHAnsi"/>
          <w:color w:val="0070C0"/>
        </w:rPr>
        <w:tab/>
        <w:t>Mathematica analysis of the Medicare Fee for Service (FFS) data for the 7/1/2016-6/30/2018 performance period. Facility-level results based on 1,700 facilities with a total of 547,196 discharges.</w:t>
      </w:r>
      <w:r w:rsidR="005729DB" w:rsidRPr="00EA3665">
        <w:rPr>
          <w:rFonts w:asciiTheme="minorHAnsi" w:hAnsiTheme="minorHAnsi" w:cstheme="minorHAnsi"/>
          <w:color w:val="0070C0"/>
        </w:rPr>
        <w:t xml:space="preserve"> Facility-level results based on 1,691 facilities with more than one eligible discharge with a total of 547,1</w:t>
      </w:r>
      <w:r w:rsidR="000530F7" w:rsidRPr="00EA3665">
        <w:rPr>
          <w:rFonts w:asciiTheme="minorHAnsi" w:hAnsiTheme="minorHAnsi" w:cstheme="minorHAnsi"/>
          <w:color w:val="0070C0"/>
        </w:rPr>
        <w:t>87</w:t>
      </w:r>
      <w:r w:rsidR="005729DB" w:rsidRPr="00EA3665">
        <w:rPr>
          <w:rFonts w:asciiTheme="minorHAnsi" w:hAnsiTheme="minorHAnsi" w:cstheme="minorHAnsi"/>
          <w:color w:val="0070C0"/>
        </w:rPr>
        <w:t xml:space="preserve"> discharges.</w:t>
      </w:r>
    </w:p>
    <w:bookmarkEnd w:id="22"/>
    <w:p w14:paraId="76620221" w14:textId="77777777" w:rsidR="00086FAC" w:rsidRPr="00A25024" w:rsidRDefault="00086FAC" w:rsidP="00086FAC">
      <w:pPr>
        <w:autoSpaceDE w:val="0"/>
        <w:autoSpaceDN w:val="0"/>
        <w:adjustRightInd w:val="0"/>
        <w:spacing w:after="0" w:line="240" w:lineRule="auto"/>
        <w:rPr>
          <w:rFonts w:cstheme="minorHAnsi"/>
          <w:bCs/>
        </w:rPr>
      </w:pPr>
    </w:p>
    <w:p w14:paraId="28F8A30D"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2a2.4 </w:t>
      </w:r>
      <w:r w:rsidRPr="00A25024">
        <w:rPr>
          <w:rFonts w:cstheme="minorHAnsi"/>
          <w:b/>
          <w:bCs/>
        </w:rPr>
        <w:t>What is your interpretation of the results in terms of demonstrating reliability</w:t>
      </w:r>
      <w:r w:rsidRPr="00A25024">
        <w:rPr>
          <w:rFonts w:cstheme="minorHAnsi"/>
          <w:bCs/>
        </w:rPr>
        <w:t>? (i</w:t>
      </w:r>
      <w:r w:rsidRPr="00A25024">
        <w:rPr>
          <w:rFonts w:cstheme="minorHAnsi"/>
          <w:bCs/>
          <w:i/>
        </w:rPr>
        <w:t>.e., what do the results mean and what are the norms for the test conducted?</w:t>
      </w:r>
      <w:r w:rsidRPr="00A25024">
        <w:rPr>
          <w:rFonts w:cstheme="minorHAnsi"/>
          <w:bCs/>
        </w:rPr>
        <w:t>)</w:t>
      </w:r>
    </w:p>
    <w:p w14:paraId="6593F553" w14:textId="4A7BD205" w:rsidR="00086FAC" w:rsidRPr="00EA3665" w:rsidRDefault="00086FAC" w:rsidP="00086FAC">
      <w:pPr>
        <w:autoSpaceDE w:val="0"/>
        <w:autoSpaceDN w:val="0"/>
        <w:adjustRightInd w:val="0"/>
        <w:spacing w:after="0" w:line="240" w:lineRule="auto"/>
        <w:rPr>
          <w:color w:val="0070C0"/>
        </w:rPr>
      </w:pPr>
      <w:r w:rsidRPr="00EA3665">
        <w:rPr>
          <w:color w:val="0070C0"/>
        </w:rPr>
        <w:t>The ICC captures the effect of the IPF on the beneficiaries’ outcomes (RSRR) and could be interpreted as the correlation in the outcome between two individuals randomly selected from the same IPF.</w:t>
      </w:r>
      <w:r w:rsidRPr="00EA3665">
        <w:rPr>
          <w:rStyle w:val="EndnoteReference"/>
          <w:color w:val="0070C0"/>
        </w:rPr>
        <w:endnoteReference w:id="7"/>
      </w:r>
      <w:r w:rsidR="008058E0" w:rsidRPr="00EA3665">
        <w:rPr>
          <w:color w:val="0070C0"/>
        </w:rPr>
        <w:t xml:space="preserve"> </w:t>
      </w:r>
      <w:r w:rsidRPr="00EA3665">
        <w:rPr>
          <w:color w:val="0070C0"/>
        </w:rPr>
        <w:t xml:space="preserve">There are no standard values for acceptable reliability using ICC. A low ICC could not only reflect the low degree of agreement but also relate to the small number of subjects. Following </w:t>
      </w:r>
      <w:proofErr w:type="spellStart"/>
      <w:r w:rsidRPr="00EA3665">
        <w:rPr>
          <w:color w:val="0070C0"/>
        </w:rPr>
        <w:t>Porteny</w:t>
      </w:r>
      <w:proofErr w:type="spellEnd"/>
      <w:r w:rsidRPr="00EA3665">
        <w:rPr>
          <w:color w:val="0070C0"/>
        </w:rPr>
        <w:t xml:space="preserve"> and Watkins</w:t>
      </w:r>
      <w:r w:rsidR="00520C19" w:rsidRPr="00EA3665">
        <w:rPr>
          <w:color w:val="0070C0"/>
        </w:rPr>
        <w:t>,</w:t>
      </w:r>
      <w:r w:rsidRPr="00EA3665">
        <w:rPr>
          <w:rStyle w:val="EndnoteReference"/>
          <w:color w:val="0070C0"/>
        </w:rPr>
        <w:endnoteReference w:id="8"/>
      </w:r>
      <w:r w:rsidRPr="00EA3665">
        <w:rPr>
          <w:color w:val="0070C0"/>
        </w:rPr>
        <w:t xml:space="preserve"> we rely on the following interpretation: ICC values less than 0.5 are indicative of poor reliability, values between 0.5 and 0.75 indicate moderate reliability, values between 0.75 and 0.9 indicate good reliability, and values greater than 0.90 indicate excellent reliability. The ICC of </w:t>
      </w:r>
      <w:r w:rsidR="0038788B" w:rsidRPr="00EA3665">
        <w:rPr>
          <w:color w:val="0070C0"/>
        </w:rPr>
        <w:t>0.559</w:t>
      </w:r>
      <w:r w:rsidRPr="00EA3665">
        <w:rPr>
          <w:color w:val="0070C0"/>
        </w:rPr>
        <w:t xml:space="preserve"> obtained from the split-half sample method indicates moderate reliability. The ICC of </w:t>
      </w:r>
      <w:r w:rsidR="0038788B" w:rsidRPr="00EA3665">
        <w:rPr>
          <w:color w:val="0070C0"/>
        </w:rPr>
        <w:t>0.752</w:t>
      </w:r>
      <w:r w:rsidRPr="00EA3665">
        <w:rPr>
          <w:color w:val="0070C0"/>
        </w:rPr>
        <w:t xml:space="preserve"> (95</w:t>
      </w:r>
      <w:r w:rsidR="00520C19" w:rsidRPr="00EA3665">
        <w:rPr>
          <w:color w:val="0070C0"/>
        </w:rPr>
        <w:t xml:space="preserve"> percent</w:t>
      </w:r>
      <w:r w:rsidRPr="00EA3665">
        <w:rPr>
          <w:color w:val="0070C0"/>
        </w:rPr>
        <w:t xml:space="preserve"> C.I.: </w:t>
      </w:r>
      <w:r w:rsidR="0038788B" w:rsidRPr="00EA3665">
        <w:rPr>
          <w:color w:val="0070C0"/>
        </w:rPr>
        <w:t>0.734</w:t>
      </w:r>
      <w:r w:rsidR="00980C1F" w:rsidRPr="00EA3665">
        <w:rPr>
          <w:color w:val="0070C0"/>
        </w:rPr>
        <w:t>-</w:t>
      </w:r>
      <w:r w:rsidR="0038788B" w:rsidRPr="00EA3665">
        <w:rPr>
          <w:color w:val="0070C0"/>
        </w:rPr>
        <w:t>0.769</w:t>
      </w:r>
      <w:r w:rsidRPr="00EA3665">
        <w:rPr>
          <w:color w:val="0070C0"/>
        </w:rPr>
        <w:t>) obtained from the bootstrapping approach is considered good. The bootstrapping approach has advantages over the split-half method because it avoids biased sampling, maintains the original sample size, and allows estimation of ICC confidence.</w:t>
      </w:r>
      <w:r w:rsidRPr="00EA3665">
        <w:rPr>
          <w:rStyle w:val="EndnoteReference"/>
          <w:color w:val="0070C0"/>
        </w:rPr>
        <w:endnoteReference w:id="9"/>
      </w:r>
      <w:r w:rsidRPr="00EA3665">
        <w:rPr>
          <w:color w:val="0070C0"/>
        </w:rPr>
        <w:t xml:space="preserve"> </w:t>
      </w:r>
    </w:p>
    <w:p w14:paraId="7837558E" w14:textId="77777777" w:rsidR="00086FAC" w:rsidRPr="00A25024" w:rsidRDefault="00086FAC" w:rsidP="00086FAC">
      <w:pPr>
        <w:autoSpaceDE w:val="0"/>
        <w:autoSpaceDN w:val="0"/>
        <w:adjustRightInd w:val="0"/>
        <w:spacing w:after="0" w:line="240" w:lineRule="auto"/>
        <w:rPr>
          <w:rFonts w:cstheme="minorHAnsi"/>
          <w:noProof/>
        </w:rPr>
      </w:pPr>
      <w:r>
        <w:rPr>
          <w:rFonts w:cstheme="minorHAnsi"/>
          <w:noProof/>
        </w:rPr>
        <w:t>_________________________________</w:t>
      </w:r>
    </w:p>
    <w:p w14:paraId="7DDA11B5" w14:textId="77777777" w:rsidR="00086FAC" w:rsidRPr="00A25024" w:rsidRDefault="00086FAC" w:rsidP="00086FAC">
      <w:pPr>
        <w:autoSpaceDE w:val="0"/>
        <w:autoSpaceDN w:val="0"/>
        <w:adjustRightInd w:val="0"/>
        <w:spacing w:after="0" w:line="240" w:lineRule="auto"/>
        <w:rPr>
          <w:rFonts w:cstheme="minorHAnsi"/>
          <w:b/>
          <w:bCs/>
        </w:rPr>
      </w:pPr>
      <w:r w:rsidRPr="00A25024">
        <w:rPr>
          <w:rFonts w:cstheme="minorHAnsi"/>
          <w:b/>
          <w:noProof/>
        </w:rPr>
        <w:t>2b</w:t>
      </w:r>
      <w:r>
        <w:rPr>
          <w:rFonts w:cstheme="minorHAnsi"/>
          <w:b/>
          <w:noProof/>
        </w:rPr>
        <w:t>1</w:t>
      </w:r>
      <w:r w:rsidRPr="00A25024">
        <w:rPr>
          <w:rFonts w:cstheme="minorHAnsi"/>
          <w:b/>
          <w:noProof/>
        </w:rPr>
        <w:t xml:space="preserve">. </w:t>
      </w:r>
      <w:r w:rsidRPr="00A25024">
        <w:rPr>
          <w:rFonts w:cstheme="minorHAnsi"/>
          <w:b/>
          <w:bCs/>
        </w:rPr>
        <w:t xml:space="preserve">VALIDITY TESTING </w:t>
      </w:r>
    </w:p>
    <w:p w14:paraId="31E646F7" w14:textId="7E469A36" w:rsidR="00086FAC" w:rsidRPr="000414E8" w:rsidRDefault="00086FAC" w:rsidP="00086FAC">
      <w:pPr>
        <w:autoSpaceDE w:val="0"/>
        <w:autoSpaceDN w:val="0"/>
        <w:adjustRightInd w:val="0"/>
        <w:spacing w:after="0" w:line="240" w:lineRule="auto"/>
        <w:rPr>
          <w:rFonts w:cstheme="minorHAnsi"/>
          <w:bCs/>
        </w:rPr>
      </w:pPr>
      <w:r>
        <w:rPr>
          <w:rFonts w:cstheme="minorHAnsi"/>
          <w:b/>
          <w:bCs/>
        </w:rPr>
        <w:t>2b1.</w:t>
      </w:r>
      <w:r w:rsidRPr="00A25024">
        <w:rPr>
          <w:rFonts w:cstheme="minorHAnsi"/>
          <w:b/>
          <w:bCs/>
        </w:rPr>
        <w:t>1. What level of validity testing was conducted</w:t>
      </w:r>
      <w:r w:rsidRPr="00A25024">
        <w:rPr>
          <w:rFonts w:cstheme="minorHAnsi"/>
          <w:bCs/>
        </w:rPr>
        <w:t>? (</w:t>
      </w:r>
      <w:r w:rsidRPr="00A25024">
        <w:rPr>
          <w:rFonts w:cstheme="minorHAnsi"/>
          <w:bCs/>
          <w:i/>
        </w:rPr>
        <w:t>may be one or both levels</w:t>
      </w:r>
      <w:r w:rsidRPr="00A25024">
        <w:rPr>
          <w:rFonts w:cstheme="minorHAnsi"/>
          <w:bCs/>
        </w:rPr>
        <w:t>)</w:t>
      </w:r>
      <w:r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Pr="00A25024">
        <w:rPr>
          <w:rFonts w:eastAsia="MS Mincho" w:cstheme="minorHAnsi"/>
          <w:b/>
          <w:bCs/>
          <w:color w:val="0000FF"/>
        </w:rPr>
        <w:t xml:space="preserve"> </w:t>
      </w:r>
      <w:r>
        <w:rPr>
          <w:rFonts w:cstheme="minorHAnsi"/>
          <w:b/>
          <w:bCs/>
        </w:rPr>
        <w:t>C</w:t>
      </w:r>
      <w:r w:rsidRPr="00A25024">
        <w:rPr>
          <w:rFonts w:cstheme="minorHAnsi"/>
          <w:b/>
          <w:bCs/>
        </w:rPr>
        <w:t>ritical data elements</w:t>
      </w:r>
      <w:r>
        <w:rPr>
          <w:rFonts w:cstheme="minorHAnsi"/>
          <w:b/>
          <w:bCs/>
        </w:rPr>
        <w:t xml:space="preserve"> </w:t>
      </w:r>
      <w:r>
        <w:rPr>
          <w:rFonts w:cstheme="minorHAnsi"/>
          <w:bCs/>
        </w:rPr>
        <w:t>(</w:t>
      </w:r>
      <w:r w:rsidRPr="000414E8">
        <w:rPr>
          <w:rFonts w:cstheme="minorHAnsi"/>
          <w:bCs/>
          <w:i/>
        </w:rPr>
        <w:t>data element validity must address ALL critical data elements</w:t>
      </w:r>
      <w:r>
        <w:rPr>
          <w:rFonts w:cstheme="minorHAnsi"/>
          <w:bCs/>
        </w:rPr>
        <w:t>)</w:t>
      </w:r>
    </w:p>
    <w:p w14:paraId="6A3D2F18" w14:textId="61E70B69" w:rsidR="00086FAC" w:rsidRPr="00A25024" w:rsidRDefault="00A92E82" w:rsidP="00086FAC">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eastAsia="MS Mincho" w:cstheme="minorHAnsi"/>
          <w:b/>
          <w:bCs/>
          <w:color w:val="0000FF"/>
        </w:rPr>
        <w:t xml:space="preserve"> </w:t>
      </w:r>
      <w:r w:rsidR="00086FAC">
        <w:rPr>
          <w:rFonts w:eastAsia="MS Gothic" w:cstheme="minorHAnsi"/>
          <w:b/>
          <w:bCs/>
        </w:rPr>
        <w:t>P</w:t>
      </w:r>
      <w:r w:rsidR="00086FAC" w:rsidRPr="00A25024">
        <w:rPr>
          <w:rFonts w:eastAsia="MS Gothic" w:cstheme="minorHAnsi"/>
          <w:b/>
          <w:bCs/>
        </w:rPr>
        <w:t xml:space="preserve">erformance </w:t>
      </w:r>
      <w:r w:rsidR="00086FAC" w:rsidRPr="00A25024">
        <w:rPr>
          <w:rFonts w:cstheme="minorHAnsi"/>
          <w:b/>
          <w:bCs/>
        </w:rPr>
        <w:t>measure score</w:t>
      </w:r>
    </w:p>
    <w:p w14:paraId="4844A2DB" w14:textId="47230177" w:rsidR="00086FAC" w:rsidRPr="00A25024" w:rsidRDefault="00A92E82" w:rsidP="00086FAC">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eastAsia="MS Mincho" w:cstheme="minorHAnsi"/>
          <w:b/>
          <w:bCs/>
          <w:color w:val="0000FF"/>
        </w:rPr>
        <w:t xml:space="preserve"> </w:t>
      </w:r>
      <w:r w:rsidR="00086FAC">
        <w:rPr>
          <w:rFonts w:eastAsia="MS Mincho" w:cstheme="minorHAnsi"/>
          <w:b/>
          <w:bCs/>
        </w:rPr>
        <w:t>E</w:t>
      </w:r>
      <w:r w:rsidR="00086FAC" w:rsidRPr="00A25024">
        <w:rPr>
          <w:rFonts w:eastAsia="MS Mincho" w:cstheme="minorHAnsi"/>
          <w:b/>
          <w:bCs/>
        </w:rPr>
        <w:t>mpirical validity testing</w:t>
      </w:r>
      <w:r w:rsidR="00086FAC"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sidRPr="00A25024">
        <w:rPr>
          <w:rFonts w:eastAsia="MS Mincho" w:cstheme="minorHAnsi"/>
          <w:b/>
          <w:bCs/>
          <w:color w:val="0000FF"/>
        </w:rPr>
        <w:t xml:space="preserve"> </w:t>
      </w:r>
      <w:r w:rsidR="00086FAC">
        <w:rPr>
          <w:rFonts w:cstheme="minorHAnsi"/>
          <w:b/>
          <w:bCs/>
        </w:rPr>
        <w:t>S</w:t>
      </w:r>
      <w:r w:rsidR="00086FAC" w:rsidRPr="00A25024">
        <w:rPr>
          <w:rFonts w:cstheme="minorHAnsi"/>
          <w:b/>
          <w:bCs/>
        </w:rPr>
        <w:t xml:space="preserve">ystematic assessment of face </w:t>
      </w:r>
      <w:r w:rsidR="00086FAC" w:rsidRPr="00A25024">
        <w:rPr>
          <w:rFonts w:eastAsia="MS Gothic" w:cstheme="minorHAnsi"/>
          <w:b/>
          <w:bCs/>
        </w:rPr>
        <w:t xml:space="preserve">validity of </w:t>
      </w:r>
      <w:r w:rsidR="00086FAC" w:rsidRPr="00A25024">
        <w:rPr>
          <w:rFonts w:eastAsia="MS Gothic" w:cstheme="minorHAnsi"/>
          <w:b/>
          <w:bCs/>
          <w:u w:val="single"/>
        </w:rPr>
        <w:t>performance measure score</w:t>
      </w:r>
      <w:r w:rsidR="00086FAC" w:rsidRPr="00A25024">
        <w:rPr>
          <w:rFonts w:eastAsia="MS Gothic" w:cstheme="minorHAnsi"/>
          <w:b/>
          <w:bCs/>
        </w:rPr>
        <w:t xml:space="preserve"> as a</w:t>
      </w:r>
      <w:r w:rsidR="00086FAC">
        <w:rPr>
          <w:rFonts w:eastAsia="MS Gothic" w:cstheme="minorHAnsi"/>
          <w:b/>
          <w:bCs/>
        </w:rPr>
        <w:t>n</w:t>
      </w:r>
      <w:r w:rsidR="00086FAC" w:rsidRPr="00A25024">
        <w:rPr>
          <w:rFonts w:eastAsia="MS Gothic" w:cstheme="minorHAnsi"/>
          <w:b/>
          <w:bCs/>
        </w:rPr>
        <w:t xml:space="preserve"> indicator</w:t>
      </w:r>
      <w:r w:rsidR="00086FAC" w:rsidRPr="00A25024">
        <w:rPr>
          <w:rFonts w:eastAsia="MS Gothic" w:cstheme="minorHAnsi"/>
          <w:bCs/>
        </w:rPr>
        <w:t xml:space="preserve"> </w:t>
      </w:r>
      <w:r w:rsidR="00086FAC">
        <w:rPr>
          <w:rFonts w:eastAsia="MS Gothic" w:cstheme="minorHAnsi"/>
          <w:bCs/>
        </w:rPr>
        <w:t xml:space="preserve">of quality or resource use </w:t>
      </w:r>
      <w:r w:rsidR="00086FAC" w:rsidRPr="00A25024">
        <w:rPr>
          <w:rFonts w:eastAsia="MS Gothic" w:cstheme="minorHAnsi"/>
          <w:bCs/>
        </w:rPr>
        <w:t>(</w:t>
      </w:r>
      <w:r w:rsidR="00086FAC" w:rsidRPr="00A25024">
        <w:rPr>
          <w:rFonts w:eastAsia="MS Gothic" w:cstheme="minorHAnsi"/>
          <w:bCs/>
          <w:i/>
        </w:rPr>
        <w:t>i.e., is an accurate reflection of</w:t>
      </w:r>
      <w:r w:rsidR="00086FAC">
        <w:rPr>
          <w:rFonts w:eastAsia="MS Gothic" w:cstheme="minorHAnsi"/>
          <w:bCs/>
          <w:i/>
        </w:rPr>
        <w:t xml:space="preserve"> performance</w:t>
      </w:r>
      <w:r w:rsidR="00086FAC" w:rsidRPr="00A25024">
        <w:rPr>
          <w:rFonts w:eastAsia="MS Gothic" w:cstheme="minorHAnsi"/>
          <w:bCs/>
          <w:i/>
        </w:rPr>
        <w:t xml:space="preserve"> </w:t>
      </w:r>
      <w:r w:rsidR="00086FAC">
        <w:rPr>
          <w:rFonts w:eastAsia="MS Gothic" w:cstheme="minorHAnsi"/>
          <w:bCs/>
          <w:i/>
        </w:rPr>
        <w:t xml:space="preserve">on quality or resource use </w:t>
      </w:r>
      <w:r w:rsidR="00086FAC" w:rsidRPr="00A25024">
        <w:rPr>
          <w:rFonts w:eastAsia="MS Gothic" w:cstheme="minorHAnsi"/>
          <w:bCs/>
          <w:i/>
        </w:rPr>
        <w:t xml:space="preserve">and can distinguish </w:t>
      </w:r>
      <w:r w:rsidR="00086FAC">
        <w:rPr>
          <w:rFonts w:eastAsia="MS Gothic" w:cstheme="minorHAnsi"/>
          <w:bCs/>
          <w:i/>
        </w:rPr>
        <w:t>good from poor performance</w:t>
      </w:r>
      <w:r w:rsidR="00086FAC" w:rsidRPr="00A25024">
        <w:rPr>
          <w:rFonts w:eastAsia="MS Gothic" w:cstheme="minorHAnsi"/>
          <w:bCs/>
        </w:rPr>
        <w:t>)</w:t>
      </w:r>
      <w:r w:rsidR="00086FAC">
        <w:rPr>
          <w:rFonts w:eastAsia="MS Gothic" w:cstheme="minorHAnsi"/>
          <w:bCs/>
        </w:rPr>
        <w:t xml:space="preserve">  </w:t>
      </w:r>
      <w:r w:rsidR="00086FAC" w:rsidRPr="000F1B7A">
        <w:rPr>
          <w:rFonts w:eastAsia="MS Gothic" w:cstheme="minorHAnsi"/>
          <w:b/>
          <w:bCs/>
        </w:rPr>
        <w:t>NOTE</w:t>
      </w:r>
      <w:r w:rsidR="00086FAC">
        <w:rPr>
          <w:rFonts w:eastAsia="MS Gothic" w:cstheme="minorHAnsi"/>
          <w:bCs/>
        </w:rPr>
        <w:t>:  Empirical validity testing is expected at time of maintenance review; if not possible, justification is required.</w:t>
      </w:r>
    </w:p>
    <w:p w14:paraId="0C287E0F" w14:textId="77777777" w:rsidR="00086FAC" w:rsidRPr="00A25024" w:rsidRDefault="00086FAC" w:rsidP="00086FAC">
      <w:pPr>
        <w:autoSpaceDE w:val="0"/>
        <w:autoSpaceDN w:val="0"/>
        <w:adjustRightInd w:val="0"/>
        <w:spacing w:after="0" w:line="240" w:lineRule="auto"/>
        <w:rPr>
          <w:rFonts w:cstheme="minorHAnsi"/>
        </w:rPr>
      </w:pPr>
    </w:p>
    <w:p w14:paraId="0878B867" w14:textId="0989691D" w:rsidR="00086FAC" w:rsidRDefault="00086FAC" w:rsidP="00086FAC">
      <w:pPr>
        <w:autoSpaceDE w:val="0"/>
        <w:autoSpaceDN w:val="0"/>
        <w:adjustRightInd w:val="0"/>
        <w:spacing w:after="0" w:line="240" w:lineRule="auto"/>
        <w:rPr>
          <w:rFonts w:cstheme="minorHAnsi"/>
          <w:bCs/>
        </w:rPr>
      </w:pPr>
      <w:r>
        <w:rPr>
          <w:rFonts w:cstheme="minorHAnsi"/>
          <w:b/>
          <w:bCs/>
        </w:rPr>
        <w:lastRenderedPageBreak/>
        <w:t>2b1.</w:t>
      </w:r>
      <w:r w:rsidRPr="00A25024">
        <w:rPr>
          <w:rFonts w:cstheme="minorHAnsi"/>
          <w:b/>
          <w:bCs/>
        </w:rPr>
        <w:t xml:space="preserve">2. For each level </w:t>
      </w:r>
      <w:r>
        <w:rPr>
          <w:rFonts w:cstheme="minorHAnsi"/>
          <w:b/>
          <w:bCs/>
        </w:rPr>
        <w:t xml:space="preserve">of testing </w:t>
      </w:r>
      <w:r w:rsidRPr="00A25024">
        <w:rPr>
          <w:rFonts w:cstheme="minorHAnsi"/>
          <w:b/>
          <w:bCs/>
        </w:rPr>
        <w:t>checked above, describe the method of validity testing and what it tests</w:t>
      </w:r>
      <w:r w:rsidRPr="00A25024">
        <w:rPr>
          <w:rFonts w:cstheme="minorHAnsi"/>
          <w:bCs/>
        </w:rPr>
        <w:t xml:space="preserve"> (</w:t>
      </w:r>
      <w:r w:rsidRPr="00A25024">
        <w:rPr>
          <w:rFonts w:cstheme="minorHAnsi"/>
          <w:bCs/>
          <w:i/>
        </w:rPr>
        <w:t>describe the steps―do not just name a method; what was tested, e.g., accuracy of data elements compared to authoritative source, relationship to a</w:t>
      </w:r>
      <w:r>
        <w:rPr>
          <w:rFonts w:cstheme="minorHAnsi"/>
          <w:bCs/>
          <w:i/>
        </w:rPr>
        <w:t>nother measure as expected; what statistical analysis was used</w:t>
      </w:r>
      <w:r w:rsidRPr="00A25024">
        <w:rPr>
          <w:rFonts w:cstheme="minorHAnsi"/>
          <w:bCs/>
          <w:i/>
        </w:rPr>
        <w:t>)</w:t>
      </w:r>
      <w:r w:rsidR="007D5694">
        <w:rPr>
          <w:rFonts w:cstheme="minorHAnsi"/>
          <w:bCs/>
          <w:i/>
        </w:rPr>
        <w:t>.</w:t>
      </w:r>
    </w:p>
    <w:p w14:paraId="1300AC14" w14:textId="2B731963" w:rsidR="00086FAC" w:rsidRPr="00EA3665" w:rsidRDefault="00C93A3F" w:rsidP="00086FAC">
      <w:pPr>
        <w:spacing w:after="120" w:line="240" w:lineRule="auto"/>
        <w:rPr>
          <w:strike/>
          <w:color w:val="0070C0"/>
        </w:rPr>
      </w:pPr>
      <w:r w:rsidRPr="00EA3665">
        <w:rPr>
          <w:color w:val="0070C0"/>
        </w:rPr>
        <w:t xml:space="preserve">To </w:t>
      </w:r>
      <w:r w:rsidR="00086FAC" w:rsidRPr="00EA3665">
        <w:rPr>
          <w:color w:val="0070C0"/>
        </w:rPr>
        <w:t xml:space="preserve">assess </w:t>
      </w:r>
      <w:r w:rsidR="00C004E7" w:rsidRPr="00EA3665">
        <w:rPr>
          <w:color w:val="0070C0"/>
        </w:rPr>
        <w:t>validity</w:t>
      </w:r>
      <w:r w:rsidRPr="00EA3665">
        <w:rPr>
          <w:color w:val="0070C0"/>
        </w:rPr>
        <w:t>, we</w:t>
      </w:r>
      <w:r w:rsidR="00C004E7" w:rsidRPr="00EA3665">
        <w:rPr>
          <w:color w:val="0070C0"/>
        </w:rPr>
        <w:t xml:space="preserve"> examin</w:t>
      </w:r>
      <w:r w:rsidRPr="00EA3665">
        <w:rPr>
          <w:color w:val="0070C0"/>
        </w:rPr>
        <w:t>ed</w:t>
      </w:r>
      <w:r w:rsidR="00C004E7" w:rsidRPr="00EA3665">
        <w:rPr>
          <w:color w:val="0070C0"/>
        </w:rPr>
        <w:t xml:space="preserve"> the correlation of the measure with a related measure</w:t>
      </w:r>
      <w:r w:rsidRPr="00EA3665">
        <w:rPr>
          <w:color w:val="0070C0"/>
        </w:rPr>
        <w:t xml:space="preserve"> </w:t>
      </w:r>
      <w:r w:rsidR="00C004E7" w:rsidRPr="00EA3665">
        <w:rPr>
          <w:color w:val="0070C0"/>
        </w:rPr>
        <w:t>us</w:t>
      </w:r>
      <w:r w:rsidRPr="00EA3665">
        <w:rPr>
          <w:color w:val="0070C0"/>
        </w:rPr>
        <w:t>ing</w:t>
      </w:r>
      <w:r w:rsidR="00C004E7" w:rsidRPr="00EA3665">
        <w:rPr>
          <w:color w:val="0070C0"/>
        </w:rPr>
        <w:t xml:space="preserve"> the </w:t>
      </w:r>
      <w:r w:rsidR="00086FAC" w:rsidRPr="00EA3665">
        <w:rPr>
          <w:color w:val="0070C0"/>
        </w:rPr>
        <w:t xml:space="preserve">known-group </w:t>
      </w:r>
      <w:r w:rsidR="007D5694" w:rsidRPr="00EA3665">
        <w:rPr>
          <w:color w:val="0070C0"/>
        </w:rPr>
        <w:t xml:space="preserve">validity </w:t>
      </w:r>
      <w:r w:rsidR="00086FAC" w:rsidRPr="00EA3665">
        <w:rPr>
          <w:color w:val="0070C0"/>
        </w:rPr>
        <w:t xml:space="preserve">method. </w:t>
      </w:r>
    </w:p>
    <w:p w14:paraId="522E9458" w14:textId="0C26323A" w:rsidR="007D5694" w:rsidRPr="00EA3665" w:rsidRDefault="00C004E7" w:rsidP="003455F0">
      <w:pPr>
        <w:spacing w:after="160" w:line="240" w:lineRule="auto"/>
        <w:rPr>
          <w:color w:val="0070C0"/>
        </w:rPr>
      </w:pPr>
      <w:r w:rsidRPr="00EA3665">
        <w:rPr>
          <w:rStyle w:val="Emphasis"/>
          <w:rFonts w:eastAsiaTheme="minorHAnsi" w:cstheme="minorHAnsi"/>
          <w:b/>
          <w:bCs/>
          <w:i w:val="0"/>
          <w:iCs w:val="0"/>
          <w:color w:val="0070C0"/>
          <w:shd w:val="clear" w:color="auto" w:fill="FFFFFF"/>
        </w:rPr>
        <w:t>Correlation with related measure</w:t>
      </w:r>
      <w:r w:rsidR="007D5694" w:rsidRPr="00EA3665">
        <w:rPr>
          <w:rStyle w:val="Emphasis"/>
          <w:rFonts w:eastAsiaTheme="minorHAnsi" w:cstheme="minorHAnsi"/>
          <w:i w:val="0"/>
          <w:iCs w:val="0"/>
          <w:color w:val="0070C0"/>
          <w:shd w:val="clear" w:color="auto" w:fill="FFFFFF"/>
        </w:rPr>
        <w:t>. We examined validity of the IPF Readmission measure by analyzing the correlation between results from the IPF Readmission measure and the Medication Continuation Following Inpatient Psychiatric Discharge</w:t>
      </w:r>
      <w:r w:rsidR="007D5694" w:rsidRPr="00EA3665">
        <w:rPr>
          <w:rFonts w:eastAsia="Times New Roman" w:cstheme="minorHAnsi"/>
          <w:color w:val="0070C0"/>
        </w:rPr>
        <w:t xml:space="preserve"> measure (NQF #3205)</w:t>
      </w:r>
      <w:r w:rsidR="007D5694" w:rsidRPr="00EA3665">
        <w:rPr>
          <w:rStyle w:val="Emphasis"/>
          <w:rFonts w:eastAsiaTheme="minorHAnsi" w:cstheme="minorHAnsi"/>
          <w:i w:val="0"/>
          <w:iCs w:val="0"/>
          <w:color w:val="0070C0"/>
          <w:shd w:val="clear" w:color="auto" w:fill="FFFFFF"/>
        </w:rPr>
        <w:t xml:space="preserve">. </w:t>
      </w:r>
      <w:r w:rsidR="007D5694" w:rsidRPr="00EA3665">
        <w:rPr>
          <w:color w:val="0070C0"/>
        </w:rPr>
        <w:t xml:space="preserve">We calculated the Spearman rank correlations of the IPF Readmission measure with the Medication Continuation measure. </w:t>
      </w:r>
      <w:r w:rsidR="007D5694" w:rsidRPr="00EA3665">
        <w:rPr>
          <w:rFonts w:ascii="Calibri" w:eastAsia="Calibri" w:hAnsi="Calibri" w:cs="Calibri"/>
          <w:color w:val="0070C0"/>
        </w:rPr>
        <w:t xml:space="preserve">We expected the IPF Readmission scores to be negatively correlated with the Medication Continuation scores because readmissions may indicate a lack of care coordination and higher IPF Readmission </w:t>
      </w:r>
      <w:r w:rsidR="00C93A3F" w:rsidRPr="00EA3665">
        <w:rPr>
          <w:rFonts w:ascii="Calibri" w:eastAsia="Calibri" w:hAnsi="Calibri" w:cs="Calibri"/>
          <w:color w:val="0070C0"/>
        </w:rPr>
        <w:t>scores</w:t>
      </w:r>
      <w:r w:rsidR="007D5694" w:rsidRPr="00EA3665">
        <w:rPr>
          <w:rFonts w:ascii="Calibri" w:eastAsia="Calibri" w:hAnsi="Calibri" w:cs="Calibri"/>
          <w:color w:val="0070C0"/>
        </w:rPr>
        <w:t xml:space="preserve"> indicate lower quality. </w:t>
      </w:r>
      <w:r w:rsidR="00C93A3F" w:rsidRPr="00EA3665">
        <w:rPr>
          <w:rFonts w:ascii="Calibri" w:eastAsia="Calibri" w:hAnsi="Calibri" w:cs="Calibri"/>
          <w:color w:val="0070C0"/>
        </w:rPr>
        <w:t>Our a</w:t>
      </w:r>
      <w:r w:rsidR="007D5694" w:rsidRPr="00EA3665">
        <w:rPr>
          <w:rFonts w:ascii="Calibri" w:eastAsia="Calibri" w:hAnsi="Calibri" w:cs="Calibri"/>
          <w:color w:val="0070C0"/>
        </w:rPr>
        <w:t>nalysis of the peer-reviewed literature similarly suggests that patients with low and intermediate adherence to medication have higher readmission rates compared to patients with high adherence.</w:t>
      </w:r>
      <w:r w:rsidR="00935288" w:rsidRPr="00EA3665">
        <w:rPr>
          <w:rStyle w:val="EndnoteReference"/>
          <w:rFonts w:ascii="Calibri" w:eastAsia="Calibri" w:hAnsi="Calibri" w:cs="Calibri"/>
          <w:color w:val="0070C0"/>
        </w:rPr>
        <w:endnoteReference w:id="10"/>
      </w:r>
      <w:r w:rsidR="007D5694" w:rsidRPr="00EA3665">
        <w:rPr>
          <w:rFonts w:ascii="Calibri" w:eastAsia="Calibri" w:hAnsi="Calibri" w:cs="Calibri"/>
          <w:color w:val="0070C0"/>
        </w:rPr>
        <w:t xml:space="preserve"> </w:t>
      </w:r>
      <w:r w:rsidR="007D5694" w:rsidRPr="00EA3665">
        <w:rPr>
          <w:color w:val="0070C0"/>
        </w:rPr>
        <w:t xml:space="preserve">  </w:t>
      </w:r>
    </w:p>
    <w:p w14:paraId="4E8F3760" w14:textId="5AC16F33" w:rsidR="00086FAC" w:rsidRPr="00EA3665" w:rsidRDefault="00086FAC" w:rsidP="003455F0">
      <w:pPr>
        <w:tabs>
          <w:tab w:val="left" w:pos="0"/>
        </w:tabs>
        <w:spacing w:after="160" w:line="240" w:lineRule="auto"/>
        <w:rPr>
          <w:rStyle w:val="Emphasis"/>
          <w:rFonts w:eastAsiaTheme="minorHAnsi" w:cstheme="minorHAnsi"/>
          <w:i w:val="0"/>
          <w:iCs w:val="0"/>
          <w:color w:val="0070C0"/>
        </w:rPr>
      </w:pPr>
      <w:r w:rsidRPr="00EA3665">
        <w:rPr>
          <w:rStyle w:val="Emphasis"/>
          <w:rFonts w:eastAsiaTheme="minorHAnsi" w:cstheme="minorHAnsi"/>
          <w:b/>
          <w:bCs/>
          <w:i w:val="0"/>
          <w:iCs w:val="0"/>
          <w:color w:val="0070C0"/>
          <w:shd w:val="clear" w:color="auto" w:fill="FFFFFF"/>
        </w:rPr>
        <w:t>Known-group validity.</w:t>
      </w:r>
      <w:r w:rsidRPr="00EA3665">
        <w:rPr>
          <w:rStyle w:val="Emphasis"/>
          <w:rFonts w:eastAsiaTheme="minorHAnsi" w:cstheme="minorHAnsi"/>
          <w:i w:val="0"/>
          <w:iCs w:val="0"/>
          <w:color w:val="0070C0"/>
          <w:shd w:val="clear" w:color="auto" w:fill="FFFFFF"/>
        </w:rPr>
        <w:t xml:space="preserve"> A measure demonstrate</w:t>
      </w:r>
      <w:r w:rsidR="00C93A3F" w:rsidRPr="00EA3665">
        <w:rPr>
          <w:rStyle w:val="Emphasis"/>
          <w:rFonts w:eastAsiaTheme="minorHAnsi" w:cstheme="minorHAnsi"/>
          <w:i w:val="0"/>
          <w:iCs w:val="0"/>
          <w:color w:val="0070C0"/>
          <w:shd w:val="clear" w:color="auto" w:fill="FFFFFF"/>
        </w:rPr>
        <w:t>s</w:t>
      </w:r>
      <w:r w:rsidRPr="00EA3665">
        <w:rPr>
          <w:rStyle w:val="Emphasis"/>
          <w:rFonts w:eastAsiaTheme="minorHAnsi" w:cstheme="minorHAnsi"/>
          <w:i w:val="0"/>
          <w:iCs w:val="0"/>
          <w:color w:val="0070C0"/>
          <w:shd w:val="clear" w:color="auto" w:fill="FFFFFF"/>
        </w:rPr>
        <w:t xml:space="preserve"> known-group validity if the measure scores could be used to discriminate between subgroups of patients known to have disparities in the outcome. </w:t>
      </w:r>
      <w:r w:rsidR="00032315" w:rsidRPr="00EA3665">
        <w:rPr>
          <w:rStyle w:val="Emphasis"/>
          <w:rFonts w:eastAsiaTheme="minorHAnsi" w:cstheme="minorHAnsi"/>
          <w:i w:val="0"/>
          <w:iCs w:val="0"/>
          <w:color w:val="0070C0"/>
          <w:shd w:val="clear" w:color="auto" w:fill="FFFFFF"/>
        </w:rPr>
        <w:t>We investigated k</w:t>
      </w:r>
      <w:r w:rsidRPr="00EA3665">
        <w:rPr>
          <w:rStyle w:val="Emphasis"/>
          <w:rFonts w:eastAsiaTheme="minorHAnsi" w:cstheme="minorHAnsi"/>
          <w:i w:val="0"/>
          <w:iCs w:val="0"/>
          <w:color w:val="0070C0"/>
          <w:shd w:val="clear" w:color="auto" w:fill="FFFFFF"/>
        </w:rPr>
        <w:t>nown</w:t>
      </w:r>
      <w:r w:rsidRPr="00EA3665">
        <w:rPr>
          <w:rStyle w:val="Emphasis"/>
          <w:rFonts w:eastAsiaTheme="minorHAnsi" w:cstheme="minorHAnsi"/>
          <w:i w:val="0"/>
          <w:iCs w:val="0"/>
          <w:color w:val="0070C0"/>
        </w:rPr>
        <w:t>‐</w:t>
      </w:r>
      <w:r w:rsidRPr="00EA3665">
        <w:rPr>
          <w:rStyle w:val="Emphasis"/>
          <w:rFonts w:eastAsiaTheme="minorHAnsi" w:cstheme="minorHAnsi"/>
          <w:i w:val="0"/>
          <w:iCs w:val="0"/>
          <w:color w:val="0070C0"/>
          <w:shd w:val="clear" w:color="auto" w:fill="FFFFFF"/>
        </w:rPr>
        <w:t>group validity</w:t>
      </w:r>
      <w:r w:rsidRPr="00EA3665">
        <w:rPr>
          <w:rStyle w:val="Emphasis"/>
          <w:rFonts w:eastAsiaTheme="minorHAnsi" w:cstheme="minorHAnsi"/>
          <w:i w:val="0"/>
          <w:iCs w:val="0"/>
          <w:color w:val="0070C0"/>
        </w:rPr>
        <w:t xml:space="preserve"> by evaluating differences in the mean IPF </w:t>
      </w:r>
      <w:r w:rsidR="00032315" w:rsidRPr="00EA3665">
        <w:rPr>
          <w:rStyle w:val="Emphasis"/>
          <w:rFonts w:eastAsiaTheme="minorHAnsi" w:cstheme="minorHAnsi"/>
          <w:i w:val="0"/>
          <w:iCs w:val="0"/>
          <w:color w:val="0070C0"/>
        </w:rPr>
        <w:t>R</w:t>
      </w:r>
      <w:r w:rsidRPr="00EA3665">
        <w:rPr>
          <w:rStyle w:val="Emphasis"/>
          <w:rFonts w:eastAsiaTheme="minorHAnsi" w:cstheme="minorHAnsi"/>
          <w:i w:val="0"/>
          <w:iCs w:val="0"/>
          <w:color w:val="0070C0"/>
        </w:rPr>
        <w:t xml:space="preserve">eadmission rates among predefined groups of patients based on the evidence from peer-reviewed publications on psychiatric readmissions. Consistent with the literature, </w:t>
      </w:r>
      <w:r w:rsidR="00032315" w:rsidRPr="00EA3665">
        <w:rPr>
          <w:rStyle w:val="Emphasis"/>
          <w:rFonts w:eastAsiaTheme="minorHAnsi" w:cstheme="minorHAnsi"/>
          <w:i w:val="0"/>
          <w:iCs w:val="0"/>
          <w:color w:val="0070C0"/>
        </w:rPr>
        <w:t xml:space="preserve">we hypothesized </w:t>
      </w:r>
      <w:r w:rsidRPr="00EA3665">
        <w:rPr>
          <w:rStyle w:val="Emphasis"/>
          <w:rFonts w:eastAsiaTheme="minorHAnsi" w:cstheme="minorHAnsi"/>
          <w:i w:val="0"/>
          <w:iCs w:val="0"/>
          <w:color w:val="0070C0"/>
        </w:rPr>
        <w:t>readmission rates to be higher among males</w:t>
      </w:r>
      <w:r w:rsidR="00C93A3F" w:rsidRPr="00EA3665">
        <w:rPr>
          <w:rStyle w:val="Emphasis"/>
          <w:rFonts w:eastAsiaTheme="minorHAnsi" w:cstheme="minorHAnsi"/>
          <w:i w:val="0"/>
          <w:iCs w:val="0"/>
          <w:color w:val="0070C0"/>
        </w:rPr>
        <w:t>,</w:t>
      </w:r>
      <w:r w:rsidRPr="00EA3665">
        <w:rPr>
          <w:rStyle w:val="EndnoteReference"/>
          <w:rFonts w:eastAsiaTheme="minorHAnsi" w:cstheme="minorHAnsi"/>
          <w:color w:val="0070C0"/>
        </w:rPr>
        <w:endnoteReference w:id="11"/>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2"/>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3"/>
      </w:r>
      <w:r w:rsidRPr="00EA3665">
        <w:rPr>
          <w:rStyle w:val="Emphasis"/>
          <w:rFonts w:eastAsiaTheme="minorHAnsi" w:cstheme="minorHAnsi"/>
          <w:i w:val="0"/>
          <w:iCs w:val="0"/>
          <w:color w:val="0070C0"/>
        </w:rPr>
        <w:t xml:space="preserve"> patients with substance abuse disorder</w:t>
      </w:r>
      <w:r w:rsidR="00C93A3F" w:rsidRPr="00EA3665">
        <w:rPr>
          <w:rStyle w:val="Emphasis"/>
          <w:rFonts w:eastAsiaTheme="minorHAnsi" w:cstheme="minorHAnsi"/>
          <w:i w:val="0"/>
          <w:iCs w:val="0"/>
          <w:color w:val="0070C0"/>
        </w:rPr>
        <w:t>,</w:t>
      </w:r>
      <w:r w:rsidRPr="00EA3665">
        <w:rPr>
          <w:rStyle w:val="EndnoteReference"/>
          <w:rFonts w:eastAsiaTheme="minorHAnsi" w:cstheme="minorHAnsi"/>
          <w:color w:val="0070C0"/>
        </w:rPr>
        <w:endnoteReference w:id="14"/>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5"/>
      </w:r>
      <w:r w:rsidRPr="00EA3665">
        <w:rPr>
          <w:rStyle w:val="Emphasis"/>
          <w:rFonts w:eastAsiaTheme="minorHAnsi" w:cstheme="minorHAnsi"/>
          <w:i w:val="0"/>
          <w:iCs w:val="0"/>
          <w:color w:val="0070C0"/>
        </w:rPr>
        <w:t xml:space="preserve"> </w:t>
      </w:r>
      <w:r w:rsidR="00032315" w:rsidRPr="00EA3665">
        <w:rPr>
          <w:rStyle w:val="Emphasis"/>
          <w:rFonts w:eastAsiaTheme="minorHAnsi" w:cstheme="minorHAnsi"/>
          <w:i w:val="0"/>
          <w:iCs w:val="0"/>
          <w:color w:val="0070C0"/>
        </w:rPr>
        <w:t xml:space="preserve">patients with </w:t>
      </w:r>
      <w:r w:rsidRPr="00EA3665">
        <w:rPr>
          <w:rStyle w:val="Emphasis"/>
          <w:rFonts w:eastAsiaTheme="minorHAnsi" w:cstheme="minorHAnsi"/>
          <w:i w:val="0"/>
          <w:iCs w:val="0"/>
          <w:color w:val="0070C0"/>
        </w:rPr>
        <w:t>schizophrenia</w:t>
      </w:r>
      <w:r w:rsidR="00C93A3F" w:rsidRPr="00EA3665">
        <w:rPr>
          <w:rStyle w:val="Emphasis"/>
          <w:rFonts w:eastAsiaTheme="minorHAnsi" w:cstheme="minorHAnsi"/>
          <w:i w:val="0"/>
          <w:iCs w:val="0"/>
          <w:color w:val="0070C0"/>
        </w:rPr>
        <w:t>,</w:t>
      </w:r>
      <w:r w:rsidRPr="00EA3665">
        <w:rPr>
          <w:rStyle w:val="EndnoteReference"/>
          <w:rFonts w:eastAsiaTheme="minorHAnsi" w:cstheme="minorHAnsi"/>
          <w:color w:val="0070C0"/>
        </w:rPr>
        <w:endnoteReference w:id="16"/>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7"/>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8"/>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19"/>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0"/>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1"/>
      </w:r>
      <w:r w:rsidRPr="00EA3665">
        <w:rPr>
          <w:rStyle w:val="Emphasis"/>
          <w:rFonts w:eastAsiaTheme="minorHAnsi" w:cstheme="minorHAnsi"/>
          <w:i w:val="0"/>
          <w:iCs w:val="0"/>
          <w:color w:val="0070C0"/>
        </w:rPr>
        <w:t xml:space="preserve"> non-white patients</w:t>
      </w:r>
      <w:r w:rsidR="00C93A3F" w:rsidRPr="00EA3665">
        <w:rPr>
          <w:rStyle w:val="Emphasis"/>
          <w:rFonts w:eastAsiaTheme="minorHAnsi" w:cstheme="minorHAnsi"/>
          <w:i w:val="0"/>
          <w:iCs w:val="0"/>
          <w:color w:val="0070C0"/>
        </w:rPr>
        <w:t>,</w:t>
      </w:r>
      <w:r w:rsidRPr="00EA3665">
        <w:rPr>
          <w:rStyle w:val="EndnoteReference"/>
          <w:rFonts w:eastAsiaTheme="minorHAnsi" w:cstheme="minorHAnsi"/>
          <w:color w:val="0070C0"/>
        </w:rPr>
        <w:endnoteReference w:id="22"/>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3"/>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4"/>
      </w:r>
      <w:r w:rsidR="00CC5172" w:rsidRPr="00EA3665">
        <w:rPr>
          <w:rStyle w:val="Emphasis"/>
          <w:rFonts w:eastAsiaTheme="minorHAnsi" w:cstheme="minorHAnsi"/>
          <w:i w:val="0"/>
          <w:iCs w:val="0"/>
          <w:color w:val="0070C0"/>
          <w:vertAlign w:val="superscript"/>
        </w:rPr>
        <w:t>,</w:t>
      </w:r>
      <w:r w:rsidR="00CC5172" w:rsidRPr="00EA3665">
        <w:rPr>
          <w:rStyle w:val="EndnoteReference"/>
          <w:rFonts w:eastAsiaTheme="minorHAnsi" w:cstheme="minorHAnsi"/>
          <w:color w:val="0070C0"/>
        </w:rPr>
        <w:endnoteReference w:id="25"/>
      </w:r>
      <w:r w:rsidRPr="00EA3665">
        <w:rPr>
          <w:rStyle w:val="Emphasis"/>
          <w:rFonts w:eastAsiaTheme="minorHAnsi" w:cstheme="minorHAnsi"/>
          <w:i w:val="0"/>
          <w:iCs w:val="0"/>
          <w:color w:val="0070C0"/>
        </w:rPr>
        <w:t xml:space="preserve"> patients with shorter length of stay</w:t>
      </w:r>
      <w:r w:rsidR="006731A6" w:rsidRPr="00EA3665">
        <w:rPr>
          <w:rStyle w:val="Emphasis"/>
          <w:rFonts w:eastAsiaTheme="minorHAnsi" w:cstheme="minorHAnsi"/>
          <w:i w:val="0"/>
          <w:iCs w:val="0"/>
          <w:color w:val="0070C0"/>
        </w:rPr>
        <w:t xml:space="preserve"> (LOS)</w:t>
      </w:r>
      <w:r w:rsidRPr="00EA3665">
        <w:rPr>
          <w:rStyle w:val="Emphasis"/>
          <w:rFonts w:eastAsiaTheme="minorHAnsi" w:cstheme="minorHAnsi"/>
          <w:i w:val="0"/>
          <w:iCs w:val="0"/>
          <w:color w:val="0070C0"/>
        </w:rPr>
        <w:t xml:space="preserve"> at the IPF</w:t>
      </w:r>
      <w:r w:rsidR="00C93A3F" w:rsidRPr="00EA3665">
        <w:rPr>
          <w:rStyle w:val="Emphasis"/>
          <w:rFonts w:eastAsiaTheme="minorHAnsi" w:cstheme="minorHAnsi"/>
          <w:i w:val="0"/>
          <w:iCs w:val="0"/>
          <w:color w:val="0070C0"/>
        </w:rPr>
        <w:t>,</w:t>
      </w:r>
      <w:r w:rsidRPr="00EA3665">
        <w:rPr>
          <w:rStyle w:val="EndnoteReference"/>
          <w:rFonts w:eastAsiaTheme="minorHAnsi" w:cstheme="minorHAnsi"/>
          <w:color w:val="0070C0"/>
        </w:rPr>
        <w:endnoteReference w:id="26"/>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7"/>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8"/>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29"/>
      </w:r>
      <w:r w:rsidRPr="00EA3665">
        <w:rPr>
          <w:rStyle w:val="Emphasis"/>
          <w:rFonts w:eastAsiaTheme="minorHAnsi" w:cstheme="minorHAnsi"/>
          <w:i w:val="0"/>
          <w:iCs w:val="0"/>
          <w:color w:val="0070C0"/>
        </w:rPr>
        <w:t xml:space="preserve"> and </w:t>
      </w:r>
      <w:r w:rsidR="00032315" w:rsidRPr="00EA3665">
        <w:rPr>
          <w:rStyle w:val="Emphasis"/>
          <w:rFonts w:eastAsiaTheme="minorHAnsi" w:cstheme="minorHAnsi"/>
          <w:i w:val="0"/>
          <w:iCs w:val="0"/>
          <w:color w:val="0070C0"/>
        </w:rPr>
        <w:t xml:space="preserve">patients </w:t>
      </w:r>
      <w:r w:rsidRPr="00EA3665">
        <w:rPr>
          <w:rStyle w:val="Emphasis"/>
          <w:rFonts w:eastAsiaTheme="minorHAnsi" w:cstheme="minorHAnsi"/>
          <w:i w:val="0"/>
          <w:iCs w:val="0"/>
          <w:color w:val="0070C0"/>
        </w:rPr>
        <w:t>with</w:t>
      </w:r>
      <w:r w:rsidR="00A52612" w:rsidRPr="00EA3665">
        <w:rPr>
          <w:rStyle w:val="Emphasis"/>
          <w:rFonts w:eastAsiaTheme="minorHAnsi" w:cstheme="minorHAnsi"/>
          <w:i w:val="0"/>
          <w:iCs w:val="0"/>
          <w:color w:val="0070C0"/>
        </w:rPr>
        <w:t xml:space="preserve"> </w:t>
      </w:r>
      <w:r w:rsidR="00A52612" w:rsidRPr="00EA3665">
        <w:rPr>
          <w:rFonts w:eastAsiaTheme="minorHAnsi" w:cstheme="minorHAnsi"/>
          <w:color w:val="0070C0"/>
        </w:rPr>
        <w:t>socio-economic characteristics associated with worse health outcomes</w:t>
      </w:r>
      <w:r w:rsidRPr="00EA3665">
        <w:rPr>
          <w:rStyle w:val="EndnoteReference"/>
          <w:rFonts w:eastAsiaTheme="minorHAnsi" w:cstheme="minorHAnsi"/>
          <w:color w:val="0070C0"/>
        </w:rPr>
        <w:endnoteReference w:id="30"/>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31"/>
      </w:r>
      <w:r w:rsidRPr="00EA3665">
        <w:rPr>
          <w:rStyle w:val="Emphasis"/>
          <w:rFonts w:eastAsiaTheme="minorHAnsi" w:cstheme="minorHAnsi"/>
          <w:i w:val="0"/>
          <w:iCs w:val="0"/>
          <w:color w:val="0070C0"/>
          <w:vertAlign w:val="superscript"/>
        </w:rPr>
        <w:t>,</w:t>
      </w:r>
      <w:r w:rsidRPr="00EA3665">
        <w:rPr>
          <w:rStyle w:val="EndnoteReference"/>
          <w:rFonts w:eastAsiaTheme="minorHAnsi" w:cstheme="minorHAnsi"/>
          <w:color w:val="0070C0"/>
        </w:rPr>
        <w:endnoteReference w:id="32"/>
      </w:r>
      <w:r w:rsidRPr="00EA3665">
        <w:rPr>
          <w:rStyle w:val="Emphasis"/>
          <w:rFonts w:eastAsiaTheme="minorHAnsi" w:cstheme="minorHAnsi"/>
          <w:i w:val="0"/>
          <w:iCs w:val="0"/>
          <w:color w:val="0070C0"/>
        </w:rPr>
        <w:t xml:space="preserve"> (for example, dual Medicare-Medicaid beneficiaries, beneficiaries with disabilities, poor access to care, housing instability, </w:t>
      </w:r>
      <w:r w:rsidR="00C93A3F" w:rsidRPr="00EA3665">
        <w:rPr>
          <w:rStyle w:val="Emphasis"/>
          <w:rFonts w:eastAsiaTheme="minorHAnsi" w:cstheme="minorHAnsi"/>
          <w:i w:val="0"/>
          <w:iCs w:val="0"/>
          <w:color w:val="0070C0"/>
        </w:rPr>
        <w:t xml:space="preserve">or </w:t>
      </w:r>
      <w:r w:rsidRPr="00EA3665">
        <w:rPr>
          <w:rStyle w:val="Emphasis"/>
          <w:rFonts w:eastAsiaTheme="minorHAnsi" w:cstheme="minorHAnsi"/>
          <w:i w:val="0"/>
          <w:iCs w:val="0"/>
          <w:color w:val="0070C0"/>
        </w:rPr>
        <w:t>lack of social support). In addition to the literature</w:t>
      </w:r>
      <w:r w:rsidR="00032315" w:rsidRPr="00EA3665">
        <w:rPr>
          <w:rStyle w:val="Emphasis"/>
          <w:rFonts w:eastAsiaTheme="minorHAnsi" w:cstheme="minorHAnsi"/>
          <w:i w:val="0"/>
          <w:iCs w:val="0"/>
          <w:color w:val="0070C0"/>
        </w:rPr>
        <w:t xml:space="preserve"> we</w:t>
      </w:r>
      <w:r w:rsidRPr="00EA3665">
        <w:rPr>
          <w:rStyle w:val="Emphasis"/>
          <w:rFonts w:eastAsiaTheme="minorHAnsi" w:cstheme="minorHAnsi"/>
          <w:i w:val="0"/>
          <w:iCs w:val="0"/>
          <w:color w:val="0070C0"/>
        </w:rPr>
        <w:t xml:space="preserve"> cite in this section, Hu</w:t>
      </w:r>
      <w:r w:rsidR="00C72FEA" w:rsidRPr="00EA3665">
        <w:rPr>
          <w:rStyle w:val="Emphasis"/>
          <w:rFonts w:eastAsiaTheme="minorHAnsi" w:cstheme="minorHAnsi"/>
          <w:i w:val="0"/>
          <w:iCs w:val="0"/>
          <w:color w:val="0070C0"/>
        </w:rPr>
        <w:t xml:space="preserve"> et al. </w:t>
      </w:r>
      <w:r w:rsidR="00C93A3F" w:rsidRPr="00EA3665">
        <w:rPr>
          <w:rStyle w:val="Emphasis"/>
          <w:rFonts w:eastAsiaTheme="minorHAnsi" w:cstheme="minorHAnsi"/>
          <w:i w:val="0"/>
          <w:iCs w:val="0"/>
          <w:color w:val="0070C0"/>
        </w:rPr>
        <w:t>(</w:t>
      </w:r>
      <w:r w:rsidRPr="00EA3665">
        <w:rPr>
          <w:rStyle w:val="Emphasis"/>
          <w:rFonts w:eastAsiaTheme="minorHAnsi" w:cstheme="minorHAnsi"/>
          <w:i w:val="0"/>
          <w:iCs w:val="0"/>
          <w:color w:val="0070C0"/>
        </w:rPr>
        <w:t>2014</w:t>
      </w:r>
      <w:r w:rsidR="00C93A3F" w:rsidRPr="00EA3665">
        <w:rPr>
          <w:rStyle w:val="Emphasis"/>
          <w:rFonts w:eastAsiaTheme="minorHAnsi" w:cstheme="minorHAnsi"/>
          <w:i w:val="0"/>
          <w:iCs w:val="0"/>
          <w:color w:val="0070C0"/>
        </w:rPr>
        <w:t>)</w:t>
      </w:r>
      <w:r w:rsidRPr="00EA3665">
        <w:rPr>
          <w:rStyle w:val="Emphasis"/>
          <w:rFonts w:eastAsiaTheme="minorHAnsi" w:cstheme="minorHAnsi"/>
          <w:i w:val="0"/>
          <w:iCs w:val="0"/>
          <w:color w:val="0070C0"/>
        </w:rPr>
        <w:t xml:space="preserve"> provide a general overview of the effect of socio-economic disparities on readmission rates.</w:t>
      </w:r>
      <w:r w:rsidRPr="00EA3665">
        <w:rPr>
          <w:rStyle w:val="EndnoteReference"/>
          <w:rFonts w:eastAsiaTheme="minorHAnsi" w:cstheme="minorHAnsi"/>
          <w:color w:val="0070C0"/>
        </w:rPr>
        <w:endnoteReference w:id="33"/>
      </w:r>
    </w:p>
    <w:p w14:paraId="3BF391A3" w14:textId="5C27B732" w:rsidR="00A52612" w:rsidRPr="00EA3665" w:rsidRDefault="00086FAC" w:rsidP="003455F0">
      <w:pPr>
        <w:spacing w:after="160" w:line="240" w:lineRule="auto"/>
        <w:rPr>
          <w:rStyle w:val="Emphasis"/>
          <w:rFonts w:eastAsiaTheme="minorHAnsi"/>
          <w:i w:val="0"/>
          <w:iCs w:val="0"/>
          <w:color w:val="0070C0"/>
          <w:shd w:val="clear" w:color="auto" w:fill="FFFFFF"/>
        </w:rPr>
      </w:pPr>
      <w:r w:rsidRPr="00EA3665">
        <w:rPr>
          <w:rStyle w:val="Emphasis"/>
          <w:rFonts w:eastAsiaTheme="minorHAnsi" w:cstheme="minorHAnsi"/>
          <w:i w:val="0"/>
          <w:iCs w:val="0"/>
          <w:color w:val="0070C0"/>
          <w:shd w:val="clear" w:color="auto" w:fill="FFFFFF"/>
        </w:rPr>
        <w:t xml:space="preserve">To test for differences in IPF </w:t>
      </w:r>
      <w:r w:rsidR="00CE732A" w:rsidRPr="00EA3665">
        <w:rPr>
          <w:rStyle w:val="Emphasis"/>
          <w:rFonts w:eastAsiaTheme="minorHAnsi" w:cstheme="minorHAnsi"/>
          <w:i w:val="0"/>
          <w:iCs w:val="0"/>
          <w:color w:val="0070C0"/>
          <w:shd w:val="clear" w:color="auto" w:fill="FFFFFF"/>
        </w:rPr>
        <w:t xml:space="preserve">Readmission </w:t>
      </w:r>
      <w:r w:rsidRPr="00EA3665">
        <w:rPr>
          <w:rStyle w:val="Emphasis"/>
          <w:rFonts w:eastAsiaTheme="minorHAnsi" w:cstheme="minorHAnsi"/>
          <w:i w:val="0"/>
          <w:iCs w:val="0"/>
          <w:color w:val="0070C0"/>
          <w:shd w:val="clear" w:color="auto" w:fill="FFFFFF"/>
        </w:rPr>
        <w:t>measure rates by patient subgroups</w:t>
      </w:r>
      <w:r w:rsidR="00032315" w:rsidRPr="00EA3665">
        <w:rPr>
          <w:rStyle w:val="Emphasis"/>
          <w:rFonts w:eastAsiaTheme="minorHAnsi" w:cstheme="minorHAnsi"/>
          <w:i w:val="0"/>
          <w:iCs w:val="0"/>
          <w:color w:val="0070C0"/>
          <w:shd w:val="clear" w:color="auto" w:fill="FFFFFF"/>
        </w:rPr>
        <w:t>,</w:t>
      </w:r>
      <w:r w:rsidRPr="00EA3665">
        <w:rPr>
          <w:rStyle w:val="Emphasis"/>
          <w:rFonts w:eastAsiaTheme="minorHAnsi" w:cstheme="minorHAnsi"/>
          <w:i w:val="0"/>
          <w:iCs w:val="0"/>
          <w:color w:val="0070C0"/>
          <w:shd w:val="clear" w:color="auto" w:fill="FFFFFF"/>
        </w:rPr>
        <w:t xml:space="preserve"> we compared the mean observed, predicted</w:t>
      </w:r>
      <w:r w:rsidR="00032315" w:rsidRPr="00EA3665">
        <w:rPr>
          <w:rStyle w:val="Emphasis"/>
          <w:rFonts w:eastAsiaTheme="minorHAnsi" w:cstheme="minorHAnsi"/>
          <w:i w:val="0"/>
          <w:iCs w:val="0"/>
          <w:color w:val="0070C0"/>
          <w:shd w:val="clear" w:color="auto" w:fill="FFFFFF"/>
        </w:rPr>
        <w:t>,</w:t>
      </w:r>
      <w:r w:rsidRPr="00EA3665">
        <w:rPr>
          <w:rStyle w:val="Emphasis"/>
          <w:rFonts w:eastAsiaTheme="minorHAnsi" w:cstheme="minorHAnsi"/>
          <w:i w:val="0"/>
          <w:iCs w:val="0"/>
          <w:color w:val="0070C0"/>
          <w:shd w:val="clear" w:color="auto" w:fill="FFFFFF"/>
        </w:rPr>
        <w:t xml:space="preserve"> and expected readmission rates for </w:t>
      </w:r>
      <w:r w:rsidRPr="00EA3665">
        <w:rPr>
          <w:rStyle w:val="Emphasis"/>
          <w:rFonts w:eastAsiaTheme="minorHAnsi"/>
          <w:i w:val="0"/>
          <w:iCs w:val="0"/>
          <w:color w:val="0070C0"/>
          <w:shd w:val="clear" w:color="auto" w:fill="FFFFFF"/>
        </w:rPr>
        <w:t xml:space="preserve">each subgroup of beneficiaries. </w:t>
      </w:r>
      <w:r w:rsidR="008A25A0" w:rsidRPr="00EA3665">
        <w:rPr>
          <w:rFonts w:eastAsiaTheme="minorHAnsi"/>
          <w:color w:val="0070C0"/>
          <w:shd w:val="clear" w:color="auto" w:fill="FFFFFF"/>
        </w:rPr>
        <w:t>Observed readmission rate is the percentage of IPF readmissions during the measurement period that were followed by an unplanned readmission to an IPF within 30 days. Predicted rate of readmissions is an estimated number of readmissions based on the IPF’s performance and its observed case mix. The expected rate of readmissions is based on the national observed readmission rate and the IPF’s observed case mix.</w:t>
      </w:r>
    </w:p>
    <w:p w14:paraId="02233099" w14:textId="311B5CA4" w:rsidR="004D4F9C" w:rsidRPr="002A62A6" w:rsidRDefault="00032315" w:rsidP="003455F0">
      <w:pPr>
        <w:spacing w:after="160" w:line="240" w:lineRule="auto"/>
        <w:rPr>
          <w:rStyle w:val="Emphasis"/>
          <w:rFonts w:eastAsiaTheme="minorHAnsi"/>
          <w:i w:val="0"/>
          <w:iCs w:val="0"/>
          <w:color w:val="0070C0"/>
          <w:shd w:val="clear" w:color="auto" w:fill="FFFFFF"/>
        </w:rPr>
      </w:pPr>
      <w:r w:rsidRPr="00EA3665">
        <w:rPr>
          <w:rStyle w:val="Emphasis"/>
          <w:rFonts w:eastAsiaTheme="minorHAnsi" w:cstheme="minorHAnsi"/>
          <w:i w:val="0"/>
          <w:iCs w:val="0"/>
          <w:color w:val="0070C0"/>
          <w:shd w:val="clear" w:color="auto" w:fill="FFFFFF"/>
        </w:rPr>
        <w:t xml:space="preserve">We used </w:t>
      </w:r>
      <w:r w:rsidR="00086FAC" w:rsidRPr="00EA3665">
        <w:rPr>
          <w:rStyle w:val="Emphasis"/>
          <w:rFonts w:eastAsiaTheme="minorHAnsi" w:cstheme="minorHAnsi"/>
          <w:i w:val="0"/>
          <w:iCs w:val="0"/>
          <w:color w:val="0070C0"/>
          <w:shd w:val="clear" w:color="auto" w:fill="FFFFFF"/>
        </w:rPr>
        <w:t xml:space="preserve">t-tests to compare mean group differences. </w:t>
      </w:r>
      <w:r w:rsidR="00086FAC" w:rsidRPr="00EA3665">
        <w:rPr>
          <w:rStyle w:val="Emphasis"/>
          <w:rFonts w:eastAsiaTheme="minorHAnsi"/>
          <w:i w:val="0"/>
          <w:iCs w:val="0"/>
          <w:color w:val="0070C0"/>
          <w:shd w:val="clear" w:color="auto" w:fill="FFFFFF"/>
        </w:rPr>
        <w:t xml:space="preserve">With large sample sizes, small differences that are statistically significant may not </w:t>
      </w:r>
      <w:r w:rsidR="00086FAC" w:rsidRPr="00EA3665">
        <w:rPr>
          <w:rStyle w:val="Emphasis"/>
          <w:rFonts w:eastAsiaTheme="minorHAnsi" w:cstheme="minorHAnsi"/>
          <w:i w:val="0"/>
          <w:iCs w:val="0"/>
          <w:color w:val="0070C0"/>
        </w:rPr>
        <w:t xml:space="preserve">always </w:t>
      </w:r>
      <w:r w:rsidR="00086FAC" w:rsidRPr="00EA3665">
        <w:rPr>
          <w:rStyle w:val="Emphasis"/>
          <w:rFonts w:eastAsiaTheme="minorHAnsi"/>
          <w:i w:val="0"/>
          <w:iCs w:val="0"/>
          <w:color w:val="0070C0"/>
        </w:rPr>
        <w:t xml:space="preserve">be practically or clinically meaningful. Therefore, we </w:t>
      </w:r>
      <w:r w:rsidR="00C72FEA" w:rsidRPr="00EA3665">
        <w:rPr>
          <w:rStyle w:val="Emphasis"/>
          <w:rFonts w:eastAsiaTheme="minorHAnsi"/>
          <w:i w:val="0"/>
          <w:iCs w:val="0"/>
          <w:color w:val="0070C0"/>
        </w:rPr>
        <w:t xml:space="preserve">also </w:t>
      </w:r>
      <w:r w:rsidR="00086FAC" w:rsidRPr="00EA3665">
        <w:rPr>
          <w:rStyle w:val="Emphasis"/>
          <w:rFonts w:eastAsiaTheme="minorHAnsi"/>
          <w:i w:val="0"/>
          <w:iCs w:val="0"/>
          <w:color w:val="0070C0"/>
        </w:rPr>
        <w:t xml:space="preserve">computed </w:t>
      </w:r>
      <w:r w:rsidR="00086FAC" w:rsidRPr="00EA3665">
        <w:rPr>
          <w:rStyle w:val="Emphasis"/>
          <w:rFonts w:eastAsiaTheme="minorHAnsi" w:cstheme="minorHAnsi"/>
          <w:i w:val="0"/>
          <w:iCs w:val="0"/>
          <w:color w:val="0070C0"/>
        </w:rPr>
        <w:t xml:space="preserve">Cohen's </w:t>
      </w:r>
      <w:r w:rsidR="00086FAC" w:rsidRPr="00B02D47">
        <w:rPr>
          <w:rStyle w:val="Emphasis"/>
          <w:rFonts w:eastAsiaTheme="minorHAnsi" w:cstheme="minorHAnsi"/>
          <w:color w:val="0070C0"/>
        </w:rPr>
        <w:t>d</w:t>
      </w:r>
      <w:r w:rsidR="00086FAC" w:rsidRPr="00EA3665">
        <w:rPr>
          <w:rStyle w:val="Emphasis"/>
          <w:rFonts w:eastAsiaTheme="minorHAnsi" w:cstheme="minorHAnsi"/>
          <w:i w:val="0"/>
          <w:iCs w:val="0"/>
          <w:color w:val="0070C0"/>
        </w:rPr>
        <w:t xml:space="preserve"> effect size (the difference in mean scores divided by the pooled standard deviation). Following Coh</w:t>
      </w:r>
      <w:r w:rsidR="00C72FEA" w:rsidRPr="00EA3665">
        <w:rPr>
          <w:rStyle w:val="Emphasis"/>
          <w:rFonts w:eastAsiaTheme="minorHAnsi" w:cstheme="minorHAnsi"/>
          <w:i w:val="0"/>
          <w:iCs w:val="0"/>
          <w:color w:val="0070C0"/>
        </w:rPr>
        <w:t>e</w:t>
      </w:r>
      <w:r w:rsidR="00086FAC" w:rsidRPr="00EA3665">
        <w:rPr>
          <w:rStyle w:val="Emphasis"/>
          <w:rFonts w:eastAsiaTheme="minorHAnsi" w:cstheme="minorHAnsi"/>
          <w:i w:val="0"/>
          <w:iCs w:val="0"/>
          <w:color w:val="0070C0"/>
        </w:rPr>
        <w:t>n’s 1988 definitions</w:t>
      </w:r>
      <w:r w:rsidR="00C72FEA" w:rsidRPr="00EA3665">
        <w:rPr>
          <w:rStyle w:val="Emphasis"/>
          <w:rFonts w:eastAsiaTheme="minorHAnsi" w:cstheme="minorHAnsi"/>
          <w:i w:val="0"/>
          <w:iCs w:val="0"/>
          <w:color w:val="0070C0"/>
        </w:rPr>
        <w:t>,</w:t>
      </w:r>
      <w:r w:rsidR="00086FAC" w:rsidRPr="00EA3665">
        <w:rPr>
          <w:rStyle w:val="EndnoteReference"/>
          <w:rFonts w:eastAsiaTheme="minorHAnsi" w:cstheme="minorHAnsi"/>
          <w:color w:val="0070C0"/>
        </w:rPr>
        <w:endnoteReference w:id="34"/>
      </w:r>
      <w:r w:rsidR="00086FAC" w:rsidRPr="00EA3665">
        <w:rPr>
          <w:rStyle w:val="Emphasis"/>
          <w:rFonts w:eastAsiaTheme="minorHAnsi" w:cstheme="minorHAnsi"/>
          <w:i w:val="0"/>
          <w:iCs w:val="0"/>
          <w:color w:val="0070C0"/>
        </w:rPr>
        <w:t xml:space="preserve"> </w:t>
      </w:r>
      <w:r w:rsidRPr="00EA3665">
        <w:rPr>
          <w:rStyle w:val="Emphasis"/>
          <w:rFonts w:eastAsiaTheme="minorHAnsi" w:cstheme="minorHAnsi"/>
          <w:i w:val="0"/>
          <w:iCs w:val="0"/>
          <w:color w:val="0070C0"/>
        </w:rPr>
        <w:t xml:space="preserve">we defined </w:t>
      </w:r>
      <w:r w:rsidR="00086FAC" w:rsidRPr="00EA3665">
        <w:rPr>
          <w:rStyle w:val="Emphasis"/>
          <w:rFonts w:eastAsiaTheme="minorHAnsi" w:cstheme="minorHAnsi"/>
          <w:i w:val="0"/>
          <w:iCs w:val="0"/>
          <w:color w:val="0070C0"/>
        </w:rPr>
        <w:t>effect size values for dichotomous variables as small (0.2), medium (0.5), or large (0.8</w:t>
      </w:r>
      <w:r w:rsidR="00086FAC" w:rsidRPr="00EA3665">
        <w:rPr>
          <w:rStyle w:val="Emphasis"/>
          <w:rFonts w:eastAsiaTheme="minorHAnsi"/>
          <w:i w:val="0"/>
          <w:iCs w:val="0"/>
          <w:color w:val="0070C0"/>
          <w:shd w:val="clear" w:color="auto" w:fill="FFFFFF"/>
        </w:rPr>
        <w:t xml:space="preserve">). </w:t>
      </w:r>
      <w:r w:rsidR="004D4F9C">
        <w:rPr>
          <w:rStyle w:val="Emphasis"/>
          <w:rFonts w:eastAsiaTheme="minorHAnsi"/>
          <w:i w:val="0"/>
          <w:iCs w:val="0"/>
          <w:color w:val="0070C0"/>
          <w:shd w:val="clear" w:color="auto" w:fill="FFFFFF"/>
        </w:rPr>
        <w:t xml:space="preserve">We also compute </w:t>
      </w:r>
      <w:r w:rsidR="004D4F9C" w:rsidRPr="004D4F9C">
        <w:rPr>
          <w:rStyle w:val="Emphasis"/>
          <w:rFonts w:eastAsiaTheme="minorHAnsi"/>
          <w:i w:val="0"/>
          <w:iCs w:val="0"/>
          <w:color w:val="0070C0"/>
          <w:shd w:val="clear" w:color="auto" w:fill="FFFFFF"/>
        </w:rPr>
        <w:t>Binomial Effect Size Display (BESD)</w:t>
      </w:r>
      <w:r w:rsidR="004D4F9C">
        <w:rPr>
          <w:rStyle w:val="Emphasis"/>
          <w:rFonts w:eastAsiaTheme="minorHAnsi"/>
          <w:i w:val="0"/>
          <w:iCs w:val="0"/>
          <w:color w:val="0070C0"/>
          <w:shd w:val="clear" w:color="auto" w:fill="FFFFFF"/>
        </w:rPr>
        <w:t>,</w:t>
      </w:r>
      <w:r w:rsidR="004D4F9C" w:rsidRPr="004D4F9C">
        <w:rPr>
          <w:rStyle w:val="Emphasis"/>
          <w:rFonts w:eastAsiaTheme="minorHAnsi"/>
          <w:i w:val="0"/>
          <w:iCs w:val="0"/>
          <w:color w:val="0070C0"/>
          <w:shd w:val="clear" w:color="auto" w:fill="FFFFFF"/>
        </w:rPr>
        <w:tab/>
        <w:t>Cohen's U3</w:t>
      </w:r>
      <w:r w:rsidR="004D4F9C">
        <w:rPr>
          <w:rStyle w:val="Emphasis"/>
          <w:rFonts w:eastAsiaTheme="minorHAnsi"/>
          <w:i w:val="0"/>
          <w:iCs w:val="0"/>
          <w:color w:val="0070C0"/>
          <w:shd w:val="clear" w:color="auto" w:fill="FFFFFF"/>
        </w:rPr>
        <w:t xml:space="preserve"> and </w:t>
      </w:r>
      <w:r w:rsidR="004D4F9C" w:rsidRPr="004D4F9C">
        <w:rPr>
          <w:rStyle w:val="Emphasis"/>
          <w:rFonts w:eastAsiaTheme="minorHAnsi"/>
          <w:i w:val="0"/>
          <w:iCs w:val="0"/>
          <w:color w:val="0070C0"/>
          <w:shd w:val="clear" w:color="auto" w:fill="FFFFFF"/>
        </w:rPr>
        <w:t>Common language effect size (CLES)</w:t>
      </w:r>
      <w:r w:rsidR="004D4F9C">
        <w:rPr>
          <w:rStyle w:val="Emphasis"/>
          <w:rFonts w:eastAsiaTheme="minorHAnsi"/>
          <w:i w:val="0"/>
          <w:iCs w:val="0"/>
          <w:color w:val="0070C0"/>
          <w:shd w:val="clear" w:color="auto" w:fill="FFFFFF"/>
        </w:rPr>
        <w:t xml:space="preserve"> to supplement the Cohen’s </w:t>
      </w:r>
      <w:r w:rsidR="004D4F9C">
        <w:rPr>
          <w:rStyle w:val="Emphasis"/>
          <w:rFonts w:eastAsiaTheme="minorHAnsi"/>
          <w:color w:val="0070C0"/>
          <w:shd w:val="clear" w:color="auto" w:fill="FFFFFF"/>
        </w:rPr>
        <w:t xml:space="preserve">d </w:t>
      </w:r>
      <w:r w:rsidR="004D4F9C">
        <w:rPr>
          <w:rStyle w:val="Emphasis"/>
          <w:rFonts w:eastAsiaTheme="minorHAnsi"/>
          <w:i w:val="0"/>
          <w:iCs w:val="0"/>
          <w:color w:val="0070C0"/>
          <w:shd w:val="clear" w:color="auto" w:fill="FFFFFF"/>
        </w:rPr>
        <w:t>statistic</w:t>
      </w:r>
    </w:p>
    <w:p w14:paraId="674C3FCE" w14:textId="3FD5A4E1" w:rsidR="00086FAC" w:rsidRPr="00EA3665" w:rsidRDefault="00086FAC" w:rsidP="003455F0">
      <w:pPr>
        <w:spacing w:after="160" w:line="240" w:lineRule="auto"/>
        <w:rPr>
          <w:rFonts w:ascii="Calibri" w:eastAsia="Calibri" w:hAnsi="Calibri" w:cs="Calibri"/>
          <w:color w:val="0070C0"/>
        </w:rPr>
      </w:pPr>
      <w:r w:rsidRPr="00EA3665">
        <w:rPr>
          <w:rStyle w:val="Emphasis"/>
          <w:rFonts w:eastAsiaTheme="minorHAnsi"/>
          <w:i w:val="0"/>
          <w:iCs w:val="0"/>
          <w:color w:val="0070C0"/>
          <w:shd w:val="clear" w:color="auto" w:fill="FFFFFF"/>
        </w:rPr>
        <w:t xml:space="preserve">For the ordered-categorical variables, </w:t>
      </w:r>
      <w:r w:rsidR="00657DBF" w:rsidRPr="00EA3665">
        <w:rPr>
          <w:rStyle w:val="Emphasis"/>
          <w:rFonts w:eastAsiaTheme="minorHAnsi"/>
          <w:i w:val="0"/>
          <w:iCs w:val="0"/>
          <w:color w:val="0070C0"/>
          <w:shd w:val="clear" w:color="auto" w:fill="FFFFFF"/>
        </w:rPr>
        <w:t xml:space="preserve">we used </w:t>
      </w:r>
      <w:r w:rsidRPr="00EA3665">
        <w:rPr>
          <w:rStyle w:val="Emphasis"/>
          <w:rFonts w:eastAsiaTheme="minorHAnsi"/>
          <w:i w:val="0"/>
          <w:iCs w:val="0"/>
          <w:color w:val="0070C0"/>
          <w:shd w:val="clear" w:color="auto" w:fill="FFFFFF"/>
        </w:rPr>
        <w:t xml:space="preserve">analysis of variances (ANOVA) to test the overall differences in the IPF </w:t>
      </w:r>
      <w:r w:rsidR="00143151" w:rsidRPr="00EA3665">
        <w:rPr>
          <w:rStyle w:val="Emphasis"/>
          <w:rFonts w:eastAsiaTheme="minorHAnsi"/>
          <w:i w:val="0"/>
          <w:iCs w:val="0"/>
          <w:color w:val="0070C0"/>
          <w:shd w:val="clear" w:color="auto" w:fill="FFFFFF"/>
        </w:rPr>
        <w:t>R</w:t>
      </w:r>
      <w:r w:rsidRPr="00EA3665">
        <w:rPr>
          <w:rStyle w:val="Emphasis"/>
          <w:rFonts w:eastAsiaTheme="minorHAnsi"/>
          <w:i w:val="0"/>
          <w:iCs w:val="0"/>
          <w:color w:val="0070C0"/>
          <w:shd w:val="clear" w:color="auto" w:fill="FFFFFF"/>
        </w:rPr>
        <w:t>eadmission rates followed by the test of difference in means between the 1st and 4th quartiles.</w:t>
      </w:r>
    </w:p>
    <w:p w14:paraId="7338AB2F" w14:textId="77777777" w:rsidR="00086FAC" w:rsidRPr="00A25024" w:rsidRDefault="00086FAC" w:rsidP="00086FAC">
      <w:pPr>
        <w:autoSpaceDE w:val="0"/>
        <w:autoSpaceDN w:val="0"/>
        <w:adjustRightInd w:val="0"/>
        <w:spacing w:after="0" w:line="240" w:lineRule="auto"/>
        <w:rPr>
          <w:rFonts w:cstheme="minorHAnsi"/>
          <w:bCs/>
        </w:rPr>
      </w:pPr>
    </w:p>
    <w:p w14:paraId="600C12BF" w14:textId="77777777" w:rsidR="00086FAC" w:rsidRDefault="00086FAC" w:rsidP="004519E5">
      <w:pPr>
        <w:keepNext/>
        <w:autoSpaceDE w:val="0"/>
        <w:autoSpaceDN w:val="0"/>
        <w:adjustRightInd w:val="0"/>
        <w:spacing w:after="0" w:line="240" w:lineRule="auto"/>
        <w:rPr>
          <w:rFonts w:cstheme="minorHAnsi"/>
          <w:bCs/>
        </w:rPr>
      </w:pPr>
      <w:r>
        <w:rPr>
          <w:rFonts w:cstheme="minorHAnsi"/>
          <w:b/>
          <w:bCs/>
        </w:rPr>
        <w:lastRenderedPageBreak/>
        <w:t>2b1.</w:t>
      </w:r>
      <w:r w:rsidRPr="00A25024">
        <w:rPr>
          <w:rFonts w:cstheme="minorHAnsi"/>
          <w:b/>
          <w:bCs/>
        </w:rPr>
        <w:t>3. What were the statistical results from validity testing</w:t>
      </w:r>
      <w:r w:rsidRPr="00A25024">
        <w:rPr>
          <w:rFonts w:cstheme="minorHAnsi"/>
          <w:bCs/>
        </w:rPr>
        <w:t>? (</w:t>
      </w:r>
      <w:r w:rsidRPr="0022691B">
        <w:rPr>
          <w:rFonts w:cstheme="minorHAnsi"/>
          <w:bCs/>
          <w:i/>
        </w:rPr>
        <w:t xml:space="preserve">e.g., correlation; </w:t>
      </w:r>
      <w:r>
        <w:rPr>
          <w:rFonts w:cstheme="minorHAnsi"/>
          <w:bCs/>
          <w:i/>
        </w:rPr>
        <w:t>t-test</w:t>
      </w:r>
      <w:r w:rsidRPr="0022691B">
        <w:rPr>
          <w:rFonts w:cstheme="minorHAnsi"/>
          <w:bCs/>
        </w:rPr>
        <w:t>)</w:t>
      </w:r>
    </w:p>
    <w:p w14:paraId="663627D2" w14:textId="41958361" w:rsidR="00086FAC" w:rsidRPr="007D17AA" w:rsidRDefault="00F113BB" w:rsidP="00086FAC">
      <w:pPr>
        <w:pStyle w:val="BodyText"/>
        <w:ind w:left="0"/>
        <w:rPr>
          <w:rFonts w:eastAsia="Arial" w:cstheme="minorHAnsi"/>
          <w:b/>
          <w:bCs/>
          <w:iCs/>
          <w:color w:val="0070C0"/>
          <w:sz w:val="22"/>
          <w:szCs w:val="22"/>
        </w:rPr>
      </w:pPr>
      <w:r w:rsidRPr="007D17AA">
        <w:rPr>
          <w:rFonts w:eastAsia="Times New Roman" w:cstheme="minorHAnsi"/>
          <w:b/>
          <w:bCs/>
          <w:iCs/>
          <w:color w:val="0070C0"/>
          <w:sz w:val="22"/>
          <w:szCs w:val="22"/>
        </w:rPr>
        <w:t>Correlation with related measure</w:t>
      </w:r>
      <w:r w:rsidR="007A0F9D" w:rsidRPr="007D17AA">
        <w:rPr>
          <w:rFonts w:eastAsia="Times New Roman" w:cstheme="minorHAnsi"/>
          <w:iCs/>
          <w:color w:val="0070C0"/>
          <w:sz w:val="22"/>
          <w:szCs w:val="22"/>
        </w:rPr>
        <w:t xml:space="preserve">. </w:t>
      </w:r>
      <w:r w:rsidR="00144ED5" w:rsidRPr="007D17AA">
        <w:rPr>
          <w:rFonts w:eastAsia="Times New Roman" w:cstheme="minorHAnsi"/>
          <w:iCs/>
          <w:color w:val="0070C0"/>
          <w:sz w:val="22"/>
          <w:szCs w:val="22"/>
        </w:rPr>
        <w:t>Table 2b1.3</w:t>
      </w:r>
      <w:r w:rsidR="00C72FEA" w:rsidRPr="007D17AA">
        <w:rPr>
          <w:rFonts w:eastAsia="Times New Roman" w:cstheme="minorHAnsi"/>
          <w:iCs/>
          <w:color w:val="0070C0"/>
          <w:sz w:val="22"/>
          <w:szCs w:val="22"/>
        </w:rPr>
        <w:t>.a</w:t>
      </w:r>
      <w:r w:rsidR="00144ED5" w:rsidRPr="007D17AA">
        <w:rPr>
          <w:rFonts w:eastAsia="Times New Roman" w:cstheme="minorHAnsi"/>
          <w:iCs/>
          <w:color w:val="0070C0"/>
          <w:sz w:val="22"/>
          <w:szCs w:val="22"/>
        </w:rPr>
        <w:t xml:space="preserve"> shows </w:t>
      </w:r>
      <w:r w:rsidR="00E66BBC" w:rsidRPr="007D17AA">
        <w:rPr>
          <w:rFonts w:eastAsia="Times New Roman" w:cstheme="minorHAnsi"/>
          <w:iCs/>
          <w:color w:val="0070C0"/>
          <w:sz w:val="22"/>
          <w:szCs w:val="22"/>
        </w:rPr>
        <w:t xml:space="preserve">the </w:t>
      </w:r>
      <w:r w:rsidR="00086FAC" w:rsidRPr="007D17AA">
        <w:rPr>
          <w:rFonts w:eastAsia="Times New Roman" w:cstheme="minorHAnsi"/>
          <w:iCs/>
          <w:color w:val="0070C0"/>
          <w:sz w:val="22"/>
          <w:szCs w:val="22"/>
        </w:rPr>
        <w:t xml:space="preserve">correlation of IPF Readmission scores with the conceptually related Inpatient Psychiatric Facility Quality Reporting (IPFQR) </w:t>
      </w:r>
      <w:r w:rsidR="00086FAC" w:rsidRPr="007D17AA">
        <w:rPr>
          <w:rStyle w:val="Emphasis"/>
          <w:rFonts w:eastAsiaTheme="minorHAnsi" w:cstheme="minorHAnsi"/>
          <w:i w:val="0"/>
          <w:color w:val="0070C0"/>
          <w:sz w:val="22"/>
          <w:szCs w:val="22"/>
          <w:shd w:val="clear" w:color="auto" w:fill="FFFFFF"/>
        </w:rPr>
        <w:t>Medication Continuation Following Inpatient Psychiatric Discharge measure</w:t>
      </w:r>
      <w:r w:rsidR="00086FAC" w:rsidRPr="007D17AA">
        <w:rPr>
          <w:rFonts w:eastAsia="Times New Roman" w:cstheme="minorHAnsi"/>
          <w:iCs/>
          <w:color w:val="0070C0"/>
          <w:sz w:val="22"/>
          <w:szCs w:val="22"/>
        </w:rPr>
        <w:t xml:space="preserve">. Consistent with our expectations, the IPF Readmission scores were negatively correlated with Medication Continuation (ρ = </w:t>
      </w:r>
      <w:r w:rsidR="00747C3D">
        <w:rPr>
          <w:rFonts w:eastAsia="Times New Roman" w:cstheme="minorHAnsi"/>
          <w:iCs/>
          <w:color w:val="0070C0"/>
          <w:sz w:val="22"/>
          <w:szCs w:val="22"/>
        </w:rPr>
        <w:t>-0.</w:t>
      </w:r>
      <w:r w:rsidR="00AA471D">
        <w:rPr>
          <w:rFonts w:eastAsia="Times New Roman" w:cstheme="minorHAnsi"/>
          <w:iCs/>
          <w:color w:val="0070C0"/>
          <w:sz w:val="22"/>
          <w:szCs w:val="22"/>
        </w:rPr>
        <w:t>300</w:t>
      </w:r>
      <w:r w:rsidR="00086FAC" w:rsidRPr="007D17AA">
        <w:rPr>
          <w:rFonts w:eastAsia="Times New Roman" w:cstheme="minorHAnsi"/>
          <w:iCs/>
          <w:color w:val="0070C0"/>
          <w:sz w:val="22"/>
          <w:szCs w:val="22"/>
        </w:rPr>
        <w:t xml:space="preserve">; statistically significant at p&lt;0.001). The size of the </w:t>
      </w:r>
      <w:r w:rsidR="00144ED5" w:rsidRPr="007D17AA">
        <w:rPr>
          <w:rFonts w:eastAsia="Times New Roman" w:cstheme="minorHAnsi"/>
          <w:iCs/>
          <w:color w:val="0070C0"/>
          <w:sz w:val="22"/>
          <w:szCs w:val="22"/>
        </w:rPr>
        <w:t>correlation</w:t>
      </w:r>
      <w:r w:rsidR="00086FAC" w:rsidRPr="007D17AA">
        <w:rPr>
          <w:rFonts w:eastAsia="Times New Roman" w:cstheme="minorHAnsi"/>
          <w:iCs/>
          <w:color w:val="0070C0"/>
          <w:sz w:val="22"/>
          <w:szCs w:val="22"/>
        </w:rPr>
        <w:t xml:space="preserve"> corresponds to the medium effect size (strength of the association between the two measures; Cohen, 1969).</w:t>
      </w:r>
    </w:p>
    <w:p w14:paraId="46A29135" w14:textId="35C1B4F8" w:rsidR="00086FAC" w:rsidRPr="007D17AA" w:rsidRDefault="00086FAC" w:rsidP="00086FAC">
      <w:pPr>
        <w:pStyle w:val="BodyText"/>
        <w:ind w:left="0"/>
        <w:rPr>
          <w:rFonts w:ascii="Calibri" w:eastAsia="Arial" w:hAnsi="Calibri" w:cs="Arial"/>
          <w:b/>
          <w:bCs/>
          <w:color w:val="0070C0"/>
          <w:sz w:val="22"/>
          <w:szCs w:val="22"/>
        </w:rPr>
      </w:pPr>
      <w:r w:rsidRPr="007D17AA">
        <w:rPr>
          <w:rFonts w:ascii="Calibri" w:eastAsia="Arial" w:hAnsi="Calibri" w:cs="Arial"/>
          <w:b/>
          <w:bCs/>
          <w:color w:val="0070C0"/>
          <w:sz w:val="22"/>
          <w:szCs w:val="22"/>
        </w:rPr>
        <w:t xml:space="preserve">Table </w:t>
      </w:r>
      <w:r w:rsidR="00F12A5A" w:rsidRPr="007D17AA">
        <w:rPr>
          <w:rFonts w:ascii="Calibri" w:eastAsia="Arial" w:hAnsi="Calibri"/>
          <w:b/>
          <w:color w:val="0070C0"/>
          <w:sz w:val="22"/>
          <w:szCs w:val="22"/>
        </w:rPr>
        <w:t>2</w:t>
      </w:r>
      <w:r w:rsidR="0078380D" w:rsidRPr="007D17AA">
        <w:rPr>
          <w:rFonts w:ascii="Calibri" w:eastAsia="Arial" w:hAnsi="Calibri"/>
          <w:b/>
          <w:color w:val="0070C0"/>
          <w:sz w:val="22"/>
          <w:szCs w:val="22"/>
        </w:rPr>
        <w:t>b1.3.a</w:t>
      </w:r>
      <w:r w:rsidRPr="007D17AA">
        <w:rPr>
          <w:rFonts w:ascii="Calibri" w:eastAsia="Arial" w:hAnsi="Calibri" w:cs="Arial"/>
          <w:b/>
          <w:bCs/>
          <w:color w:val="0070C0"/>
          <w:sz w:val="22"/>
          <w:szCs w:val="22"/>
        </w:rPr>
        <w:t xml:space="preserve">. Performance </w:t>
      </w:r>
      <w:r w:rsidR="00327C3A" w:rsidRPr="007D17AA">
        <w:rPr>
          <w:rFonts w:ascii="Calibri" w:eastAsia="Arial" w:hAnsi="Calibri" w:cs="Arial"/>
          <w:b/>
          <w:bCs/>
          <w:color w:val="0070C0"/>
          <w:sz w:val="22"/>
          <w:szCs w:val="22"/>
        </w:rPr>
        <w:t>m</w:t>
      </w:r>
      <w:r w:rsidRPr="007D17AA">
        <w:rPr>
          <w:rFonts w:ascii="Calibri" w:eastAsia="Arial" w:hAnsi="Calibri" w:cs="Arial"/>
          <w:b/>
          <w:bCs/>
          <w:color w:val="0070C0"/>
          <w:sz w:val="22"/>
          <w:szCs w:val="22"/>
        </w:rPr>
        <w:t xml:space="preserve">easure </w:t>
      </w:r>
      <w:r w:rsidR="00327C3A" w:rsidRPr="007D17AA">
        <w:rPr>
          <w:rFonts w:ascii="Calibri" w:eastAsia="Arial" w:hAnsi="Calibri" w:cs="Arial"/>
          <w:b/>
          <w:bCs/>
          <w:color w:val="0070C0"/>
          <w:sz w:val="22"/>
          <w:szCs w:val="22"/>
        </w:rPr>
        <w:t>s</w:t>
      </w:r>
      <w:r w:rsidRPr="007D17AA">
        <w:rPr>
          <w:rFonts w:ascii="Calibri" w:eastAsia="Arial" w:hAnsi="Calibri" w:cs="Arial"/>
          <w:b/>
          <w:bCs/>
          <w:color w:val="0070C0"/>
          <w:sz w:val="22"/>
          <w:szCs w:val="22"/>
        </w:rPr>
        <w:t xml:space="preserve">core </w:t>
      </w:r>
      <w:r w:rsidR="00327C3A" w:rsidRPr="007D17AA">
        <w:rPr>
          <w:rFonts w:ascii="Calibri" w:eastAsia="Arial" w:hAnsi="Calibri" w:cs="Arial"/>
          <w:b/>
          <w:bCs/>
          <w:color w:val="0070C0"/>
          <w:sz w:val="22"/>
          <w:szCs w:val="22"/>
        </w:rPr>
        <w:t>c</w:t>
      </w:r>
      <w:r w:rsidRPr="007D17AA">
        <w:rPr>
          <w:rFonts w:ascii="Calibri" w:eastAsia="Arial" w:hAnsi="Calibri" w:cs="Arial"/>
          <w:b/>
          <w:bCs/>
          <w:color w:val="0070C0"/>
          <w:sz w:val="22"/>
          <w:szCs w:val="22"/>
        </w:rPr>
        <w:t>orrelation</w:t>
      </w:r>
    </w:p>
    <w:tbl>
      <w:tblPr>
        <w:tblStyle w:val="MathUBaseTable"/>
        <w:tblW w:w="9450" w:type="dxa"/>
        <w:tblLayout w:type="fixed"/>
        <w:tblLook w:val="04A0" w:firstRow="1" w:lastRow="0" w:firstColumn="1" w:lastColumn="0" w:noHBand="0" w:noVBand="1"/>
      </w:tblPr>
      <w:tblGrid>
        <w:gridCol w:w="4950"/>
        <w:gridCol w:w="1170"/>
        <w:gridCol w:w="2070"/>
        <w:gridCol w:w="1260"/>
      </w:tblGrid>
      <w:tr w:rsidR="002757EC" w:rsidRPr="004804AA" w14:paraId="68563487" w14:textId="5C5623FE" w:rsidTr="00434B0F">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4950" w:type="dxa"/>
            <w:noWrap/>
            <w:hideMark/>
          </w:tcPr>
          <w:p w14:paraId="65A98A00" w14:textId="77777777" w:rsidR="002757EC" w:rsidRPr="00B953A6" w:rsidRDefault="002757EC" w:rsidP="00434B0F">
            <w:pPr>
              <w:pStyle w:val="TableHeaderLeft"/>
              <w:rPr>
                <w:b w:val="0"/>
              </w:rPr>
            </w:pPr>
            <w:r>
              <w:t>Measure</w:t>
            </w:r>
          </w:p>
        </w:tc>
        <w:tc>
          <w:tcPr>
            <w:tcW w:w="1170" w:type="dxa"/>
            <w:noWrap/>
            <w:hideMark/>
          </w:tcPr>
          <w:p w14:paraId="3420037C" w14:textId="77777777" w:rsidR="002757EC" w:rsidRPr="00B953A6" w:rsidRDefault="002757E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t xml:space="preserve"># </w:t>
            </w:r>
            <w:r w:rsidRPr="00B953A6">
              <w:t>IPFs</w:t>
            </w:r>
          </w:p>
        </w:tc>
        <w:tc>
          <w:tcPr>
            <w:tcW w:w="2070" w:type="dxa"/>
            <w:noWrap/>
            <w:hideMark/>
          </w:tcPr>
          <w:p w14:paraId="4B326B96" w14:textId="77777777" w:rsidR="002757EC" w:rsidRPr="00B953A6" w:rsidRDefault="002757E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t>Spearman correlation</w:t>
            </w:r>
          </w:p>
        </w:tc>
        <w:tc>
          <w:tcPr>
            <w:tcW w:w="1260" w:type="dxa"/>
          </w:tcPr>
          <w:p w14:paraId="6FAFAEBF" w14:textId="69CE01DD" w:rsidR="002757EC" w:rsidRDefault="002757EC" w:rsidP="00434B0F">
            <w:pPr>
              <w:pStyle w:val="TableHeaderCenter"/>
              <w:cnfStyle w:val="100000000000" w:firstRow="1" w:lastRow="0" w:firstColumn="0" w:lastColumn="0" w:oddVBand="0" w:evenVBand="0" w:oddHBand="0" w:evenHBand="0" w:firstRowFirstColumn="0" w:firstRowLastColumn="0" w:lastRowFirstColumn="0" w:lastRowLastColumn="0"/>
              <w:rPr>
                <w:b w:val="0"/>
              </w:rPr>
            </w:pPr>
            <w:r>
              <w:t>p-value</w:t>
            </w:r>
          </w:p>
        </w:tc>
      </w:tr>
      <w:tr w:rsidR="002757EC" w:rsidRPr="00D94508" w14:paraId="7488DFFE" w14:textId="41CFCFAB" w:rsidTr="00434B0F">
        <w:trPr>
          <w:trHeight w:val="120"/>
        </w:trPr>
        <w:tc>
          <w:tcPr>
            <w:cnfStyle w:val="001000000000" w:firstRow="0" w:lastRow="0" w:firstColumn="1" w:lastColumn="0" w:oddVBand="0" w:evenVBand="0" w:oddHBand="0" w:evenHBand="0" w:firstRowFirstColumn="0" w:firstRowLastColumn="0" w:lastRowFirstColumn="0" w:lastRowLastColumn="0"/>
            <w:tcW w:w="4950" w:type="dxa"/>
            <w:noWrap/>
            <w:hideMark/>
          </w:tcPr>
          <w:p w14:paraId="4E2A137B" w14:textId="77777777" w:rsidR="002757EC" w:rsidRPr="00434B0F" w:rsidRDefault="002757EC" w:rsidP="00434B0F">
            <w:pPr>
              <w:pStyle w:val="TableTextLeft"/>
              <w:rPr>
                <w:szCs w:val="16"/>
              </w:rPr>
            </w:pPr>
            <w:r w:rsidRPr="00434B0F">
              <w:rPr>
                <w:szCs w:val="16"/>
              </w:rPr>
              <w:t>IPF Readmission (observed rate) (7/1/2017 – 6/30/2019)</w:t>
            </w:r>
          </w:p>
        </w:tc>
        <w:tc>
          <w:tcPr>
            <w:tcW w:w="1170" w:type="dxa"/>
            <w:noWrap/>
          </w:tcPr>
          <w:p w14:paraId="3F3A39DD" w14:textId="589851F3" w:rsidR="002757EC" w:rsidRPr="00434B0F" w:rsidRDefault="002757EC" w:rsidP="00434B0F">
            <w:pPr>
              <w:pStyle w:val="TableTextCentered"/>
              <w:cnfStyle w:val="000000000000" w:firstRow="0" w:lastRow="0" w:firstColumn="0" w:lastColumn="0" w:oddVBand="0" w:evenVBand="0" w:oddHBand="0" w:evenHBand="0" w:firstRowFirstColumn="0" w:firstRowLastColumn="0" w:lastRowFirstColumn="0" w:lastRowLastColumn="0"/>
              <w:rPr>
                <w:szCs w:val="16"/>
              </w:rPr>
            </w:pPr>
            <w:r w:rsidRPr="00434B0F">
              <w:rPr>
                <w:szCs w:val="16"/>
              </w:rPr>
              <w:t>1,064</w:t>
            </w:r>
          </w:p>
        </w:tc>
        <w:tc>
          <w:tcPr>
            <w:tcW w:w="2070" w:type="dxa"/>
            <w:noWrap/>
          </w:tcPr>
          <w:p w14:paraId="37CAA781" w14:textId="1FDDF13D" w:rsidR="002757EC" w:rsidRPr="00434B0F" w:rsidRDefault="00AA471D" w:rsidP="00434B0F">
            <w:pPr>
              <w:pStyle w:val="TableTextCentered"/>
              <w:cnfStyle w:val="000000000000" w:firstRow="0" w:lastRow="0" w:firstColumn="0" w:lastColumn="0" w:oddVBand="0" w:evenVBand="0" w:oddHBand="0" w:evenHBand="0" w:firstRowFirstColumn="0" w:firstRowLastColumn="0" w:lastRowFirstColumn="0" w:lastRowLastColumn="0"/>
              <w:rPr>
                <w:szCs w:val="16"/>
              </w:rPr>
            </w:pPr>
            <w:r w:rsidRPr="00434B0F">
              <w:rPr>
                <w:szCs w:val="16"/>
              </w:rPr>
              <w:t>-0.300</w:t>
            </w:r>
          </w:p>
        </w:tc>
        <w:tc>
          <w:tcPr>
            <w:tcW w:w="1260" w:type="dxa"/>
          </w:tcPr>
          <w:p w14:paraId="5C5EBDBE" w14:textId="1F93F877" w:rsidR="002757EC" w:rsidRPr="00434B0F" w:rsidRDefault="002757EC" w:rsidP="00434B0F">
            <w:pPr>
              <w:pStyle w:val="TableTextCentered"/>
              <w:cnfStyle w:val="000000000000" w:firstRow="0" w:lastRow="0" w:firstColumn="0" w:lastColumn="0" w:oddVBand="0" w:evenVBand="0" w:oddHBand="0" w:evenHBand="0" w:firstRowFirstColumn="0" w:firstRowLastColumn="0" w:lastRowFirstColumn="0" w:lastRowLastColumn="0"/>
              <w:rPr>
                <w:szCs w:val="16"/>
              </w:rPr>
            </w:pPr>
            <w:r w:rsidRPr="00434B0F">
              <w:rPr>
                <w:szCs w:val="16"/>
              </w:rPr>
              <w:t>&lt;0.001</w:t>
            </w:r>
          </w:p>
        </w:tc>
      </w:tr>
    </w:tbl>
    <w:p w14:paraId="42061533" w14:textId="3F7A2556" w:rsidR="00086FAC" w:rsidRPr="007D17AA" w:rsidRDefault="00086FAC">
      <w:pPr>
        <w:tabs>
          <w:tab w:val="left" w:pos="792"/>
        </w:tabs>
        <w:spacing w:before="60" w:after="0" w:line="240" w:lineRule="auto"/>
        <w:ind w:left="792" w:hanging="792"/>
        <w:rPr>
          <w:rFonts w:ascii="Calibri" w:eastAsia="Calibri" w:hAnsi="Calibri" w:cs="Calibri"/>
          <w:bCs/>
          <w:color w:val="0070C0"/>
          <w:sz w:val="18"/>
          <w:szCs w:val="18"/>
        </w:rPr>
      </w:pPr>
      <w:r w:rsidRPr="007D17AA">
        <w:rPr>
          <w:rFonts w:ascii="Calibri" w:eastAsia="Calibri" w:hAnsi="Calibri" w:cs="Calibri"/>
          <w:color w:val="0070C0"/>
          <w:sz w:val="18"/>
          <w:szCs w:val="18"/>
        </w:rPr>
        <w:t>Source:</w:t>
      </w:r>
      <w:r w:rsidRPr="007D17AA">
        <w:rPr>
          <w:rFonts w:ascii="Calibri" w:eastAsia="Calibri" w:hAnsi="Calibri" w:cs="Calibri"/>
          <w:color w:val="0070C0"/>
          <w:sz w:val="18"/>
          <w:szCs w:val="18"/>
        </w:rPr>
        <w:tab/>
        <w:t>Mathematica analysis of the Medicare fee-for-service (FFS) data for the July 1, 2017– June 30, 2019 performance period. Facilities with less than 25</w:t>
      </w:r>
      <w:r w:rsidR="000530F7" w:rsidRPr="007D17AA">
        <w:rPr>
          <w:rFonts w:ascii="Calibri" w:eastAsia="Calibri" w:hAnsi="Calibri" w:cs="Calibri"/>
          <w:color w:val="0070C0"/>
          <w:sz w:val="18"/>
          <w:szCs w:val="18"/>
        </w:rPr>
        <w:t xml:space="preserve"> discharges were excluded from the analysis</w:t>
      </w:r>
      <w:r w:rsidRPr="007D17AA">
        <w:rPr>
          <w:rFonts w:ascii="Calibri" w:eastAsia="Calibri" w:hAnsi="Calibri" w:cs="Calibri"/>
          <w:color w:val="0070C0"/>
          <w:sz w:val="18"/>
          <w:szCs w:val="18"/>
        </w:rPr>
        <w:t xml:space="preserve">. </w:t>
      </w:r>
    </w:p>
    <w:p w14:paraId="7E681E2A" w14:textId="77777777" w:rsidR="00086FAC" w:rsidRPr="007D17AA" w:rsidRDefault="00086FAC" w:rsidP="00A146CD">
      <w:pPr>
        <w:tabs>
          <w:tab w:val="left" w:pos="792"/>
        </w:tabs>
        <w:spacing w:after="160" w:line="259" w:lineRule="auto"/>
        <w:rPr>
          <w:color w:val="0070C0"/>
        </w:rPr>
      </w:pPr>
      <w:r w:rsidRPr="007D17AA">
        <w:rPr>
          <w:rFonts w:ascii="Calibri" w:eastAsia="Calibri" w:hAnsi="Calibri" w:cs="Calibri"/>
          <w:color w:val="0070C0"/>
          <w:sz w:val="18"/>
          <w:szCs w:val="18"/>
        </w:rPr>
        <w:t xml:space="preserve">Notes: </w:t>
      </w:r>
      <w:r w:rsidRPr="007D17AA">
        <w:rPr>
          <w:rFonts w:ascii="Calibri" w:eastAsia="Calibri" w:hAnsi="Calibri" w:cs="Calibri"/>
          <w:color w:val="0070C0"/>
          <w:sz w:val="18"/>
          <w:szCs w:val="18"/>
        </w:rPr>
        <w:tab/>
        <w:t>Statistically significant at p &lt;0.001</w:t>
      </w:r>
    </w:p>
    <w:p w14:paraId="309274E5" w14:textId="3BFAD005" w:rsidR="00086FAC" w:rsidRPr="007D17AA" w:rsidRDefault="00086FAC" w:rsidP="00086FAC">
      <w:pPr>
        <w:spacing w:after="160" w:line="259" w:lineRule="auto"/>
        <w:rPr>
          <w:rStyle w:val="Emphasis"/>
          <w:rFonts w:eastAsiaTheme="minorHAnsi" w:cstheme="minorHAnsi"/>
          <w:bCs/>
          <w:i w:val="0"/>
          <w:iCs w:val="0"/>
          <w:color w:val="0070C0"/>
        </w:rPr>
      </w:pPr>
      <w:r w:rsidRPr="007D17AA">
        <w:rPr>
          <w:b/>
          <w:bCs/>
          <w:color w:val="0070C0"/>
        </w:rPr>
        <w:t xml:space="preserve">Known-group validity. </w:t>
      </w:r>
      <w:r w:rsidR="008A25A0" w:rsidRPr="007D17AA">
        <w:rPr>
          <w:rStyle w:val="Emphasis"/>
          <w:rFonts w:eastAsiaTheme="minorHAnsi" w:cstheme="minorHAnsi"/>
          <w:bCs/>
          <w:i w:val="0"/>
          <w:iCs w:val="0"/>
          <w:color w:val="0070C0"/>
        </w:rPr>
        <w:t>All differences in the IPF readmission rates by subgroups were in the direction consistent with the literature and our hypotheses (see Table 2b1.3.b).</w:t>
      </w:r>
      <w:r w:rsidR="008A25A0" w:rsidRPr="007D17AA">
        <w:rPr>
          <w:rStyle w:val="Emphasis"/>
          <w:rFonts w:eastAsiaTheme="minorHAnsi" w:cstheme="minorHAnsi"/>
          <w:bCs/>
          <w:color w:val="0070C0"/>
        </w:rPr>
        <w:t xml:space="preserve"> </w:t>
      </w:r>
      <w:r w:rsidRPr="007D17AA">
        <w:rPr>
          <w:rStyle w:val="Emphasis"/>
          <w:rFonts w:eastAsiaTheme="minorHAnsi" w:cstheme="minorHAnsi"/>
          <w:bCs/>
          <w:i w:val="0"/>
          <w:iCs w:val="0"/>
          <w:color w:val="0070C0"/>
        </w:rPr>
        <w:t xml:space="preserve">Differences in the IPF </w:t>
      </w:r>
      <w:r w:rsidR="00143151" w:rsidRPr="007D17AA">
        <w:rPr>
          <w:rStyle w:val="Emphasis"/>
          <w:rFonts w:eastAsiaTheme="minorHAnsi" w:cstheme="minorHAnsi"/>
          <w:bCs/>
          <w:i w:val="0"/>
          <w:iCs w:val="0"/>
          <w:color w:val="0070C0"/>
        </w:rPr>
        <w:t>R</w:t>
      </w:r>
      <w:r w:rsidRPr="007D17AA">
        <w:rPr>
          <w:rStyle w:val="Emphasis"/>
          <w:rFonts w:eastAsiaTheme="minorHAnsi" w:cstheme="minorHAnsi"/>
          <w:bCs/>
          <w:i w:val="0"/>
          <w:iCs w:val="0"/>
          <w:color w:val="0070C0"/>
        </w:rPr>
        <w:t>eadmission rates by patient subgroups ranged from 0.</w:t>
      </w:r>
      <w:r w:rsidR="00357542">
        <w:rPr>
          <w:rStyle w:val="Emphasis"/>
          <w:rFonts w:eastAsiaTheme="minorHAnsi" w:cstheme="minorHAnsi"/>
          <w:bCs/>
          <w:i w:val="0"/>
          <w:iCs w:val="0"/>
          <w:color w:val="0070C0"/>
        </w:rPr>
        <w:t>1</w:t>
      </w:r>
      <w:r w:rsidR="00357542" w:rsidRPr="007D17AA">
        <w:rPr>
          <w:rStyle w:val="Emphasis"/>
          <w:rFonts w:eastAsiaTheme="minorHAnsi" w:cstheme="minorHAnsi"/>
          <w:bCs/>
          <w:i w:val="0"/>
          <w:iCs w:val="0"/>
          <w:color w:val="0070C0"/>
        </w:rPr>
        <w:t xml:space="preserve"> </w:t>
      </w:r>
      <w:r w:rsidR="00157E41" w:rsidRPr="007D17AA">
        <w:rPr>
          <w:rStyle w:val="Emphasis"/>
          <w:rFonts w:eastAsiaTheme="minorHAnsi" w:cstheme="minorHAnsi"/>
          <w:bCs/>
          <w:i w:val="0"/>
          <w:iCs w:val="0"/>
          <w:color w:val="0070C0"/>
        </w:rPr>
        <w:t>percent</w:t>
      </w:r>
      <w:r w:rsidRPr="007D17AA">
        <w:rPr>
          <w:rStyle w:val="Emphasis"/>
          <w:rFonts w:eastAsiaTheme="minorHAnsi" w:cstheme="minorHAnsi"/>
          <w:bCs/>
          <w:i w:val="0"/>
          <w:iCs w:val="0"/>
          <w:color w:val="0070C0"/>
        </w:rPr>
        <w:t xml:space="preserve"> to 4.</w:t>
      </w:r>
      <w:r w:rsidR="00357542">
        <w:rPr>
          <w:rStyle w:val="Emphasis"/>
          <w:rFonts w:eastAsiaTheme="minorHAnsi" w:cstheme="minorHAnsi"/>
          <w:bCs/>
          <w:i w:val="0"/>
          <w:iCs w:val="0"/>
          <w:color w:val="0070C0"/>
        </w:rPr>
        <w:t>4</w:t>
      </w:r>
      <w:r w:rsidR="00357542" w:rsidRPr="007D17AA">
        <w:rPr>
          <w:rStyle w:val="Emphasis"/>
          <w:rFonts w:eastAsiaTheme="minorHAnsi" w:cstheme="minorHAnsi"/>
          <w:bCs/>
          <w:i w:val="0"/>
          <w:iCs w:val="0"/>
          <w:color w:val="0070C0"/>
        </w:rPr>
        <w:t xml:space="preserve"> </w:t>
      </w:r>
      <w:r w:rsidR="00157E41" w:rsidRPr="007D17AA">
        <w:rPr>
          <w:rStyle w:val="Emphasis"/>
          <w:rFonts w:eastAsiaTheme="minorHAnsi" w:cstheme="minorHAnsi"/>
          <w:bCs/>
          <w:i w:val="0"/>
          <w:iCs w:val="0"/>
          <w:color w:val="0070C0"/>
        </w:rPr>
        <w:t>percent</w:t>
      </w:r>
      <w:r w:rsidRPr="007D17AA">
        <w:rPr>
          <w:rStyle w:val="Emphasis"/>
          <w:rFonts w:eastAsiaTheme="minorHAnsi" w:cstheme="minorHAnsi"/>
          <w:bCs/>
          <w:i w:val="0"/>
          <w:iCs w:val="0"/>
          <w:color w:val="0070C0"/>
        </w:rPr>
        <w:t xml:space="preserve"> for the observed and </w:t>
      </w:r>
      <w:r w:rsidR="00357542">
        <w:rPr>
          <w:rStyle w:val="Emphasis"/>
          <w:rFonts w:eastAsiaTheme="minorHAnsi" w:cstheme="minorHAnsi"/>
          <w:bCs/>
          <w:i w:val="0"/>
          <w:iCs w:val="0"/>
          <w:color w:val="0070C0"/>
        </w:rPr>
        <w:t>predicted</w:t>
      </w:r>
      <w:r w:rsidR="00357542" w:rsidRPr="007D17AA">
        <w:rPr>
          <w:rStyle w:val="Emphasis"/>
          <w:rFonts w:eastAsiaTheme="minorHAnsi" w:cstheme="minorHAnsi"/>
          <w:bCs/>
          <w:i w:val="0"/>
          <w:iCs w:val="0"/>
          <w:color w:val="0070C0"/>
        </w:rPr>
        <w:t xml:space="preserve"> </w:t>
      </w:r>
      <w:r w:rsidRPr="007D17AA">
        <w:rPr>
          <w:rStyle w:val="Emphasis"/>
          <w:rFonts w:eastAsiaTheme="minorHAnsi" w:cstheme="minorHAnsi"/>
          <w:bCs/>
          <w:i w:val="0"/>
          <w:iCs w:val="0"/>
          <w:color w:val="0070C0"/>
        </w:rPr>
        <w:t>rates and 0.</w:t>
      </w:r>
      <w:r w:rsidR="00357542">
        <w:rPr>
          <w:rStyle w:val="Emphasis"/>
          <w:rFonts w:eastAsiaTheme="minorHAnsi" w:cstheme="minorHAnsi"/>
          <w:bCs/>
          <w:i w:val="0"/>
          <w:iCs w:val="0"/>
          <w:color w:val="0070C0"/>
        </w:rPr>
        <w:t>4</w:t>
      </w:r>
      <w:r w:rsidR="00357542" w:rsidRPr="007D17AA">
        <w:rPr>
          <w:rStyle w:val="Emphasis"/>
          <w:rFonts w:eastAsiaTheme="minorHAnsi" w:cstheme="minorHAnsi"/>
          <w:bCs/>
          <w:i w:val="0"/>
          <w:iCs w:val="0"/>
          <w:color w:val="0070C0"/>
        </w:rPr>
        <w:t xml:space="preserve"> </w:t>
      </w:r>
      <w:r w:rsidR="00157E41" w:rsidRPr="007D17AA">
        <w:rPr>
          <w:rStyle w:val="Emphasis"/>
          <w:rFonts w:eastAsiaTheme="minorHAnsi" w:cstheme="minorHAnsi"/>
          <w:bCs/>
          <w:i w:val="0"/>
          <w:iCs w:val="0"/>
          <w:color w:val="0070C0"/>
        </w:rPr>
        <w:t>percent</w:t>
      </w:r>
      <w:r w:rsidRPr="007D17AA">
        <w:rPr>
          <w:rStyle w:val="Emphasis"/>
          <w:rFonts w:eastAsiaTheme="minorHAnsi" w:cstheme="minorHAnsi"/>
          <w:bCs/>
          <w:i w:val="0"/>
          <w:iCs w:val="0"/>
          <w:color w:val="0070C0"/>
        </w:rPr>
        <w:t xml:space="preserve"> to 4.</w:t>
      </w:r>
      <w:r w:rsidR="00357542">
        <w:rPr>
          <w:rStyle w:val="Emphasis"/>
          <w:rFonts w:eastAsiaTheme="minorHAnsi" w:cstheme="minorHAnsi"/>
          <w:bCs/>
          <w:i w:val="0"/>
          <w:iCs w:val="0"/>
          <w:color w:val="0070C0"/>
        </w:rPr>
        <w:t>1</w:t>
      </w:r>
      <w:r w:rsidR="00357542" w:rsidRPr="007D17AA">
        <w:rPr>
          <w:rStyle w:val="Emphasis"/>
          <w:rFonts w:eastAsiaTheme="minorHAnsi" w:cstheme="minorHAnsi"/>
          <w:bCs/>
          <w:i w:val="0"/>
          <w:iCs w:val="0"/>
          <w:color w:val="0070C0"/>
        </w:rPr>
        <w:t xml:space="preserve"> </w:t>
      </w:r>
      <w:r w:rsidR="00157E41" w:rsidRPr="007D17AA">
        <w:rPr>
          <w:rStyle w:val="Emphasis"/>
          <w:rFonts w:eastAsiaTheme="minorHAnsi" w:cstheme="minorHAnsi"/>
          <w:bCs/>
          <w:i w:val="0"/>
          <w:iCs w:val="0"/>
          <w:color w:val="0070C0"/>
        </w:rPr>
        <w:t>percent</w:t>
      </w:r>
      <w:r w:rsidRPr="007D17AA">
        <w:rPr>
          <w:rStyle w:val="Emphasis"/>
          <w:rFonts w:eastAsiaTheme="minorHAnsi" w:cstheme="minorHAnsi"/>
          <w:bCs/>
          <w:i w:val="0"/>
          <w:iCs w:val="0"/>
          <w:color w:val="0070C0"/>
        </w:rPr>
        <w:t xml:space="preserve"> for the expected rates</w:t>
      </w:r>
      <w:r w:rsidR="008A25A0" w:rsidRPr="007D17AA">
        <w:rPr>
          <w:rStyle w:val="Emphasis"/>
          <w:rFonts w:eastAsiaTheme="minorHAnsi" w:cstheme="minorHAnsi"/>
          <w:bCs/>
          <w:i w:val="0"/>
          <w:iCs w:val="0"/>
          <w:color w:val="0070C0"/>
        </w:rPr>
        <w:t>.</w:t>
      </w:r>
      <w:r w:rsidRPr="007D17AA">
        <w:rPr>
          <w:rStyle w:val="FootnoteReference"/>
          <w:rFonts w:eastAsiaTheme="minorHAnsi"/>
          <w:bCs/>
          <w:i/>
          <w:color w:val="0070C0"/>
        </w:rPr>
        <w:footnoteReference w:id="2"/>
      </w:r>
      <w:r w:rsidR="00CA29F3" w:rsidRPr="007D17AA">
        <w:rPr>
          <w:rStyle w:val="Emphasis"/>
          <w:rFonts w:eastAsiaTheme="minorHAnsi" w:cstheme="minorHAnsi"/>
          <w:bCs/>
          <w:i w:val="0"/>
          <w:iCs w:val="0"/>
          <w:color w:val="0070C0"/>
          <w:vertAlign w:val="superscript"/>
        </w:rPr>
        <w:t xml:space="preserve"> </w:t>
      </w:r>
      <w:r w:rsidRPr="007D17AA">
        <w:rPr>
          <w:rStyle w:val="Emphasis"/>
          <w:rFonts w:eastAsiaTheme="minorHAnsi" w:cstheme="minorHAnsi"/>
          <w:bCs/>
          <w:i w:val="0"/>
          <w:iCs w:val="0"/>
          <w:color w:val="0070C0"/>
        </w:rPr>
        <w:t xml:space="preserve">Consistent with the literature, we observed differences in the IPF </w:t>
      </w:r>
      <w:r w:rsidR="00143151" w:rsidRPr="007D17AA">
        <w:rPr>
          <w:rStyle w:val="Emphasis"/>
          <w:rFonts w:eastAsiaTheme="minorHAnsi" w:cstheme="minorHAnsi"/>
          <w:bCs/>
          <w:i w:val="0"/>
          <w:iCs w:val="0"/>
          <w:color w:val="0070C0"/>
        </w:rPr>
        <w:t>R</w:t>
      </w:r>
      <w:r w:rsidRPr="007D17AA">
        <w:rPr>
          <w:rStyle w:val="Emphasis"/>
          <w:rFonts w:eastAsiaTheme="minorHAnsi" w:cstheme="minorHAnsi"/>
          <w:bCs/>
          <w:i w:val="0"/>
          <w:iCs w:val="0"/>
          <w:color w:val="0070C0"/>
        </w:rPr>
        <w:t>eadmission rates by gender (lower</w:t>
      </w:r>
      <w:r w:rsidR="008A25A0" w:rsidRPr="007D17AA">
        <w:rPr>
          <w:rStyle w:val="Emphasis"/>
          <w:rFonts w:eastAsiaTheme="minorHAnsi" w:cstheme="minorHAnsi"/>
          <w:bCs/>
          <w:i w:val="0"/>
          <w:iCs w:val="0"/>
          <w:color w:val="0070C0"/>
        </w:rPr>
        <w:t xml:space="preserve"> rates</w:t>
      </w:r>
      <w:r w:rsidR="00661804" w:rsidRPr="007D17AA">
        <w:rPr>
          <w:rStyle w:val="Emphasis"/>
          <w:rFonts w:eastAsiaTheme="minorHAnsi" w:cstheme="minorHAnsi"/>
          <w:bCs/>
          <w:i w:val="0"/>
          <w:iCs w:val="0"/>
          <w:color w:val="0070C0"/>
        </w:rPr>
        <w:t xml:space="preserve"> of readmission</w:t>
      </w:r>
      <w:r w:rsidRPr="007D17AA">
        <w:rPr>
          <w:rStyle w:val="Emphasis"/>
          <w:rFonts w:eastAsiaTheme="minorHAnsi" w:cstheme="minorHAnsi"/>
          <w:bCs/>
          <w:i w:val="0"/>
          <w:iCs w:val="0"/>
          <w:color w:val="0070C0"/>
        </w:rPr>
        <w:t xml:space="preserve"> for women), dual Medicare-Medicaid status (lower</w:t>
      </w:r>
      <w:r w:rsidR="008A25A0" w:rsidRPr="007D17AA">
        <w:rPr>
          <w:rStyle w:val="Emphasis"/>
          <w:rFonts w:eastAsiaTheme="minorHAnsi" w:cstheme="minorHAnsi"/>
          <w:bCs/>
          <w:i w:val="0"/>
          <w:iCs w:val="0"/>
          <w:color w:val="0070C0"/>
        </w:rPr>
        <w:t xml:space="preserve"> rates</w:t>
      </w:r>
      <w:r w:rsidRPr="007D17AA">
        <w:rPr>
          <w:rStyle w:val="Emphasis"/>
          <w:rFonts w:eastAsiaTheme="minorHAnsi" w:cstheme="minorHAnsi"/>
          <w:bCs/>
          <w:i w:val="0"/>
          <w:iCs w:val="0"/>
          <w:color w:val="0070C0"/>
        </w:rPr>
        <w:t xml:space="preserve"> </w:t>
      </w:r>
      <w:r w:rsidR="00661804" w:rsidRPr="007D17AA">
        <w:rPr>
          <w:rStyle w:val="Emphasis"/>
          <w:rFonts w:eastAsiaTheme="minorHAnsi" w:cstheme="minorHAnsi"/>
          <w:bCs/>
          <w:i w:val="0"/>
          <w:iCs w:val="0"/>
          <w:color w:val="0070C0"/>
        </w:rPr>
        <w:t xml:space="preserve">of readmission </w:t>
      </w:r>
      <w:r w:rsidRPr="007D17AA">
        <w:rPr>
          <w:rStyle w:val="Emphasis"/>
          <w:rFonts w:eastAsiaTheme="minorHAnsi" w:cstheme="minorHAnsi"/>
          <w:bCs/>
          <w:i w:val="0"/>
          <w:iCs w:val="0"/>
          <w:color w:val="0070C0"/>
        </w:rPr>
        <w:t>for non-</w:t>
      </w:r>
      <w:r w:rsidR="007F5C9C" w:rsidRPr="007D17AA">
        <w:rPr>
          <w:rStyle w:val="Emphasis"/>
          <w:rFonts w:eastAsiaTheme="minorHAnsi" w:cstheme="minorHAnsi"/>
          <w:bCs/>
          <w:i w:val="0"/>
          <w:iCs w:val="0"/>
          <w:color w:val="0070C0"/>
        </w:rPr>
        <w:t>d</w:t>
      </w:r>
      <w:r w:rsidRPr="007D17AA">
        <w:rPr>
          <w:rStyle w:val="Emphasis"/>
          <w:rFonts w:eastAsiaTheme="minorHAnsi" w:cstheme="minorHAnsi"/>
          <w:bCs/>
          <w:i w:val="0"/>
          <w:iCs w:val="0"/>
          <w:color w:val="0070C0"/>
        </w:rPr>
        <w:t>ual beneficiaries), presence of schizophrenia diagnosis on admission (lower</w:t>
      </w:r>
      <w:r w:rsidR="008A25A0" w:rsidRPr="007D17AA">
        <w:rPr>
          <w:rStyle w:val="Emphasis"/>
          <w:rFonts w:eastAsiaTheme="minorHAnsi" w:cstheme="minorHAnsi"/>
          <w:bCs/>
          <w:i w:val="0"/>
          <w:iCs w:val="0"/>
          <w:color w:val="0070C0"/>
        </w:rPr>
        <w:t xml:space="preserve"> rates</w:t>
      </w:r>
      <w:r w:rsidRPr="007D17AA">
        <w:rPr>
          <w:rStyle w:val="Emphasis"/>
          <w:rFonts w:eastAsiaTheme="minorHAnsi" w:cstheme="minorHAnsi"/>
          <w:bCs/>
          <w:i w:val="0"/>
          <w:iCs w:val="0"/>
          <w:color w:val="0070C0"/>
        </w:rPr>
        <w:t xml:space="preserve"> </w:t>
      </w:r>
      <w:r w:rsidR="00661804" w:rsidRPr="007D17AA">
        <w:rPr>
          <w:rStyle w:val="Emphasis"/>
          <w:rFonts w:eastAsiaTheme="minorHAnsi" w:cstheme="minorHAnsi"/>
          <w:bCs/>
          <w:i w:val="0"/>
          <w:iCs w:val="0"/>
          <w:color w:val="0070C0"/>
        </w:rPr>
        <w:t xml:space="preserve">of readmission </w:t>
      </w:r>
      <w:r w:rsidRPr="007D17AA">
        <w:rPr>
          <w:rStyle w:val="Emphasis"/>
          <w:rFonts w:eastAsiaTheme="minorHAnsi" w:cstheme="minorHAnsi"/>
          <w:bCs/>
          <w:i w:val="0"/>
          <w:iCs w:val="0"/>
          <w:color w:val="0070C0"/>
        </w:rPr>
        <w:t xml:space="preserve">for beneficiaries without schizophrenia diagnosis), race (lower </w:t>
      </w:r>
      <w:r w:rsidR="008A25A0" w:rsidRPr="007D17AA">
        <w:rPr>
          <w:rStyle w:val="Emphasis"/>
          <w:rFonts w:eastAsiaTheme="minorHAnsi" w:cstheme="minorHAnsi"/>
          <w:bCs/>
          <w:i w:val="0"/>
          <w:iCs w:val="0"/>
          <w:color w:val="0070C0"/>
        </w:rPr>
        <w:t xml:space="preserve">rates </w:t>
      </w:r>
      <w:r w:rsidR="00661804" w:rsidRPr="007D17AA">
        <w:rPr>
          <w:rStyle w:val="Emphasis"/>
          <w:rFonts w:eastAsiaTheme="minorHAnsi" w:cstheme="minorHAnsi"/>
          <w:bCs/>
          <w:i w:val="0"/>
          <w:iCs w:val="0"/>
          <w:color w:val="0070C0"/>
        </w:rPr>
        <w:t xml:space="preserve">of readmission </w:t>
      </w:r>
      <w:r w:rsidRPr="007D17AA">
        <w:rPr>
          <w:rStyle w:val="Emphasis"/>
          <w:rFonts w:eastAsiaTheme="minorHAnsi" w:cstheme="minorHAnsi"/>
          <w:bCs/>
          <w:i w:val="0"/>
          <w:iCs w:val="0"/>
          <w:color w:val="0070C0"/>
        </w:rPr>
        <w:t>for white beneficiaries relative to black and non-white beneficiaries respectively)</w:t>
      </w:r>
      <w:r w:rsidR="00610355" w:rsidRPr="007D17AA">
        <w:rPr>
          <w:rStyle w:val="Emphasis"/>
          <w:rFonts w:eastAsiaTheme="minorHAnsi" w:cstheme="minorHAnsi"/>
          <w:bCs/>
          <w:i w:val="0"/>
          <w:iCs w:val="0"/>
          <w:color w:val="0070C0"/>
        </w:rPr>
        <w:t xml:space="preserve">, </w:t>
      </w:r>
      <w:r w:rsidR="005E5A36" w:rsidRPr="007D17AA">
        <w:rPr>
          <w:rStyle w:val="Emphasis"/>
          <w:rFonts w:eastAsiaTheme="minorHAnsi" w:cstheme="minorHAnsi"/>
          <w:bCs/>
          <w:i w:val="0"/>
          <w:iCs w:val="0"/>
          <w:color w:val="0070C0"/>
        </w:rPr>
        <w:t>LOS</w:t>
      </w:r>
      <w:r w:rsidRPr="007D17AA">
        <w:rPr>
          <w:rStyle w:val="Emphasis"/>
          <w:rFonts w:eastAsiaTheme="minorHAnsi" w:cstheme="minorHAnsi"/>
          <w:bCs/>
          <w:i w:val="0"/>
          <w:iCs w:val="0"/>
          <w:color w:val="0070C0"/>
        </w:rPr>
        <w:t xml:space="preserve"> (</w:t>
      </w:r>
      <w:r w:rsidR="00661804" w:rsidRPr="007D17AA">
        <w:rPr>
          <w:rStyle w:val="Emphasis"/>
          <w:rFonts w:eastAsiaTheme="minorHAnsi" w:cstheme="minorHAnsi"/>
          <w:bCs/>
          <w:i w:val="0"/>
          <w:iCs w:val="0"/>
          <w:color w:val="0070C0"/>
        </w:rPr>
        <w:t xml:space="preserve">higher </w:t>
      </w:r>
      <w:r w:rsidR="008A25A0" w:rsidRPr="007D17AA">
        <w:rPr>
          <w:rStyle w:val="Emphasis"/>
          <w:rFonts w:eastAsiaTheme="minorHAnsi" w:cstheme="minorHAnsi"/>
          <w:bCs/>
          <w:i w:val="0"/>
          <w:iCs w:val="0"/>
          <w:color w:val="0070C0"/>
        </w:rPr>
        <w:t>rates</w:t>
      </w:r>
      <w:r w:rsidRPr="007D17AA">
        <w:rPr>
          <w:rStyle w:val="Emphasis"/>
          <w:rFonts w:eastAsiaTheme="minorHAnsi" w:cstheme="minorHAnsi"/>
          <w:bCs/>
          <w:i w:val="0"/>
          <w:iCs w:val="0"/>
          <w:color w:val="0070C0"/>
        </w:rPr>
        <w:t xml:space="preserve"> </w:t>
      </w:r>
      <w:r w:rsidR="00661804" w:rsidRPr="007D17AA">
        <w:rPr>
          <w:rStyle w:val="Emphasis"/>
          <w:rFonts w:eastAsiaTheme="minorHAnsi" w:cstheme="minorHAnsi"/>
          <w:bCs/>
          <w:i w:val="0"/>
          <w:iCs w:val="0"/>
          <w:color w:val="0070C0"/>
        </w:rPr>
        <w:t xml:space="preserve">of readmission </w:t>
      </w:r>
      <w:r w:rsidRPr="007D17AA">
        <w:rPr>
          <w:rStyle w:val="Emphasis"/>
          <w:rFonts w:eastAsiaTheme="minorHAnsi" w:cstheme="minorHAnsi"/>
          <w:bCs/>
          <w:i w:val="0"/>
          <w:iCs w:val="0"/>
          <w:color w:val="0070C0"/>
        </w:rPr>
        <w:t>for beneficiaries with short</w:t>
      </w:r>
      <w:r w:rsidR="008A25A0" w:rsidRPr="007D17AA">
        <w:rPr>
          <w:rStyle w:val="Emphasis"/>
          <w:rFonts w:eastAsiaTheme="minorHAnsi" w:cstheme="minorHAnsi"/>
          <w:bCs/>
          <w:i w:val="0"/>
          <w:iCs w:val="0"/>
          <w:color w:val="0070C0"/>
        </w:rPr>
        <w:t xml:space="preserve">er </w:t>
      </w:r>
      <w:r w:rsidR="005E5A36" w:rsidRPr="007D17AA">
        <w:rPr>
          <w:rStyle w:val="Emphasis"/>
          <w:rFonts w:eastAsiaTheme="minorHAnsi" w:cstheme="minorHAnsi"/>
          <w:bCs/>
          <w:i w:val="0"/>
          <w:iCs w:val="0"/>
          <w:color w:val="0070C0"/>
        </w:rPr>
        <w:t>LOS</w:t>
      </w:r>
      <w:r w:rsidRPr="007D17AA">
        <w:rPr>
          <w:rStyle w:val="Emphasis"/>
          <w:rFonts w:eastAsiaTheme="minorHAnsi" w:cstheme="minorHAnsi"/>
          <w:bCs/>
          <w:i w:val="0"/>
          <w:iCs w:val="0"/>
          <w:color w:val="0070C0"/>
        </w:rPr>
        <w:t>)</w:t>
      </w:r>
      <w:r w:rsidR="006731A6" w:rsidRPr="007D17AA">
        <w:rPr>
          <w:rStyle w:val="Emphasis"/>
          <w:rFonts w:eastAsiaTheme="minorHAnsi" w:cstheme="minorHAnsi"/>
          <w:bCs/>
          <w:i w:val="0"/>
          <w:iCs w:val="0"/>
          <w:color w:val="0070C0"/>
        </w:rPr>
        <w:t>,</w:t>
      </w:r>
      <w:r w:rsidR="00610355" w:rsidRPr="007D17AA">
        <w:rPr>
          <w:rStyle w:val="Emphasis"/>
          <w:rFonts w:eastAsiaTheme="minorHAnsi" w:cstheme="minorHAnsi"/>
          <w:bCs/>
          <w:i w:val="0"/>
          <w:iCs w:val="0"/>
          <w:color w:val="0070C0"/>
        </w:rPr>
        <w:t xml:space="preserve"> and AHRQ SES status (lower </w:t>
      </w:r>
      <w:r w:rsidR="006731A6" w:rsidRPr="007D17AA">
        <w:rPr>
          <w:rStyle w:val="Emphasis"/>
          <w:rFonts w:eastAsiaTheme="minorHAnsi" w:cstheme="minorHAnsi"/>
          <w:bCs/>
          <w:i w:val="0"/>
          <w:iCs w:val="0"/>
          <w:color w:val="0070C0"/>
        </w:rPr>
        <w:t xml:space="preserve">rates </w:t>
      </w:r>
      <w:r w:rsidR="00661804" w:rsidRPr="007D17AA">
        <w:rPr>
          <w:rStyle w:val="Emphasis"/>
          <w:rFonts w:eastAsiaTheme="minorHAnsi" w:cstheme="minorHAnsi"/>
          <w:bCs/>
          <w:i w:val="0"/>
          <w:iCs w:val="0"/>
          <w:color w:val="0070C0"/>
        </w:rPr>
        <w:t xml:space="preserve">of readmission </w:t>
      </w:r>
      <w:r w:rsidR="00610355" w:rsidRPr="007D17AA">
        <w:rPr>
          <w:rStyle w:val="Emphasis"/>
          <w:rFonts w:eastAsiaTheme="minorHAnsi" w:cstheme="minorHAnsi"/>
          <w:bCs/>
          <w:i w:val="0"/>
          <w:iCs w:val="0"/>
          <w:color w:val="0070C0"/>
        </w:rPr>
        <w:t xml:space="preserve">for beneficiaries </w:t>
      </w:r>
      <w:r w:rsidR="00AE257D" w:rsidRPr="007D17AA">
        <w:rPr>
          <w:rStyle w:val="Emphasis"/>
          <w:rFonts w:eastAsiaTheme="minorHAnsi" w:cstheme="minorHAnsi"/>
          <w:bCs/>
          <w:i w:val="0"/>
          <w:iCs w:val="0"/>
          <w:color w:val="0070C0"/>
        </w:rPr>
        <w:t xml:space="preserve">living in neighborhoods </w:t>
      </w:r>
      <w:r w:rsidR="006731A6" w:rsidRPr="007D17AA">
        <w:rPr>
          <w:rStyle w:val="Emphasis"/>
          <w:rFonts w:eastAsiaTheme="minorHAnsi" w:cstheme="minorHAnsi"/>
          <w:bCs/>
          <w:i w:val="0"/>
          <w:iCs w:val="0"/>
          <w:color w:val="0070C0"/>
        </w:rPr>
        <w:t>with higher</w:t>
      </w:r>
      <w:r w:rsidR="00AE257D" w:rsidRPr="007D17AA">
        <w:rPr>
          <w:rStyle w:val="Emphasis"/>
          <w:rFonts w:eastAsiaTheme="minorHAnsi" w:cstheme="minorHAnsi"/>
          <w:bCs/>
          <w:i w:val="0"/>
          <w:iCs w:val="0"/>
          <w:color w:val="0070C0"/>
        </w:rPr>
        <w:t xml:space="preserve"> SES</w:t>
      </w:r>
      <w:r w:rsidR="006731A6" w:rsidRPr="007D17AA">
        <w:rPr>
          <w:rStyle w:val="Emphasis"/>
          <w:rFonts w:eastAsiaTheme="minorHAnsi" w:cstheme="minorHAnsi"/>
          <w:bCs/>
          <w:i w:val="0"/>
          <w:iCs w:val="0"/>
          <w:color w:val="0070C0"/>
        </w:rPr>
        <w:t>)</w:t>
      </w:r>
      <w:r w:rsidRPr="007D17AA">
        <w:rPr>
          <w:rStyle w:val="Emphasis"/>
          <w:rFonts w:eastAsiaTheme="minorHAnsi" w:cstheme="minorHAnsi"/>
          <w:bCs/>
          <w:i w:val="0"/>
          <w:iCs w:val="0"/>
          <w:color w:val="0070C0"/>
        </w:rPr>
        <w:t xml:space="preserve">. Observed differences in the IPF </w:t>
      </w:r>
      <w:r w:rsidR="00143151" w:rsidRPr="007D17AA">
        <w:rPr>
          <w:rStyle w:val="Emphasis"/>
          <w:rFonts w:eastAsiaTheme="minorHAnsi" w:cstheme="minorHAnsi"/>
          <w:bCs/>
          <w:i w:val="0"/>
          <w:iCs w:val="0"/>
          <w:color w:val="0070C0"/>
        </w:rPr>
        <w:t>R</w:t>
      </w:r>
      <w:r w:rsidRPr="007D17AA">
        <w:rPr>
          <w:rStyle w:val="Emphasis"/>
          <w:rFonts w:eastAsiaTheme="minorHAnsi" w:cstheme="minorHAnsi"/>
          <w:bCs/>
          <w:i w:val="0"/>
          <w:iCs w:val="0"/>
          <w:color w:val="0070C0"/>
        </w:rPr>
        <w:t>eadmission rates</w:t>
      </w:r>
      <w:r w:rsidR="003A66AF" w:rsidRPr="007D17AA">
        <w:rPr>
          <w:rStyle w:val="Emphasis"/>
          <w:rFonts w:eastAsiaTheme="minorHAnsi" w:cstheme="minorHAnsi"/>
          <w:bCs/>
          <w:i w:val="0"/>
          <w:iCs w:val="0"/>
          <w:color w:val="0070C0"/>
        </w:rPr>
        <w:t xml:space="preserve"> for beneficiaries with and without </w:t>
      </w:r>
      <w:r w:rsidR="00143151" w:rsidRPr="007D17AA">
        <w:rPr>
          <w:rStyle w:val="Emphasis"/>
          <w:rFonts w:eastAsiaTheme="minorHAnsi" w:cstheme="minorHAnsi"/>
          <w:bCs/>
          <w:i w:val="0"/>
          <w:iCs w:val="0"/>
          <w:color w:val="0070C0"/>
        </w:rPr>
        <w:t>a</w:t>
      </w:r>
      <w:r w:rsidR="00150B13" w:rsidRPr="007D17AA">
        <w:rPr>
          <w:rStyle w:val="Emphasis"/>
          <w:rFonts w:eastAsiaTheme="minorHAnsi" w:cstheme="minorHAnsi"/>
          <w:bCs/>
          <w:i w:val="0"/>
          <w:iCs w:val="0"/>
          <w:color w:val="0070C0"/>
        </w:rPr>
        <w:t xml:space="preserve"> </w:t>
      </w:r>
      <w:r w:rsidR="00143151" w:rsidRPr="007D17AA">
        <w:rPr>
          <w:rStyle w:val="Emphasis"/>
          <w:rFonts w:eastAsiaTheme="minorHAnsi" w:cstheme="minorHAnsi"/>
          <w:bCs/>
          <w:i w:val="0"/>
          <w:iCs w:val="0"/>
          <w:color w:val="0070C0"/>
        </w:rPr>
        <w:t>substance use disorder (</w:t>
      </w:r>
      <w:r w:rsidR="003A66AF" w:rsidRPr="007D17AA">
        <w:rPr>
          <w:rStyle w:val="Emphasis"/>
          <w:rFonts w:eastAsiaTheme="minorHAnsi" w:cstheme="minorHAnsi"/>
          <w:bCs/>
          <w:i w:val="0"/>
          <w:iCs w:val="0"/>
          <w:color w:val="0070C0"/>
        </w:rPr>
        <w:t>SUD</w:t>
      </w:r>
      <w:r w:rsidR="00143151" w:rsidRPr="007D17AA">
        <w:rPr>
          <w:rStyle w:val="Emphasis"/>
          <w:rFonts w:eastAsiaTheme="minorHAnsi" w:cstheme="minorHAnsi"/>
          <w:bCs/>
          <w:i w:val="0"/>
          <w:iCs w:val="0"/>
          <w:color w:val="0070C0"/>
        </w:rPr>
        <w:t>)</w:t>
      </w:r>
      <w:r w:rsidR="003A66AF" w:rsidRPr="007D17AA">
        <w:rPr>
          <w:rStyle w:val="Emphasis"/>
          <w:rFonts w:eastAsiaTheme="minorHAnsi" w:cstheme="minorHAnsi"/>
          <w:bCs/>
          <w:i w:val="0"/>
          <w:iCs w:val="0"/>
          <w:color w:val="0070C0"/>
        </w:rPr>
        <w:t xml:space="preserve"> diagnosis on admission</w:t>
      </w:r>
      <w:r w:rsidRPr="007D17AA">
        <w:rPr>
          <w:rStyle w:val="Emphasis"/>
          <w:rFonts w:eastAsiaTheme="minorHAnsi" w:cstheme="minorHAnsi"/>
          <w:bCs/>
          <w:i w:val="0"/>
          <w:iCs w:val="0"/>
          <w:color w:val="0070C0"/>
        </w:rPr>
        <w:t xml:space="preserve"> were small. </w:t>
      </w:r>
    </w:p>
    <w:p w14:paraId="7D9B5087" w14:textId="221F2C92" w:rsidR="00086FAC" w:rsidRPr="007D17AA" w:rsidRDefault="00086FAC" w:rsidP="00086FAC">
      <w:pPr>
        <w:spacing w:after="160" w:line="259" w:lineRule="auto"/>
        <w:rPr>
          <w:rStyle w:val="Emphasis"/>
          <w:rFonts w:eastAsiaTheme="minorHAnsi" w:cstheme="minorHAnsi"/>
          <w:bCs/>
          <w:i w:val="0"/>
          <w:color w:val="0070C0"/>
        </w:rPr>
      </w:pPr>
      <w:r w:rsidRPr="007D17AA">
        <w:rPr>
          <w:rStyle w:val="Emphasis"/>
          <w:rFonts w:eastAsiaTheme="minorHAnsi"/>
          <w:bCs/>
          <w:i w:val="0"/>
          <w:iCs w:val="0"/>
          <w:color w:val="0070C0"/>
        </w:rPr>
        <w:t xml:space="preserve">We also computed </w:t>
      </w:r>
      <w:r w:rsidRPr="007D17AA">
        <w:rPr>
          <w:rStyle w:val="Emphasis"/>
          <w:rFonts w:eastAsiaTheme="minorHAnsi" w:cstheme="minorHAnsi"/>
          <w:bCs/>
          <w:i w:val="0"/>
          <w:iCs w:val="0"/>
          <w:color w:val="0070C0"/>
        </w:rPr>
        <w:t xml:space="preserve">Cohen's </w:t>
      </w:r>
      <w:r w:rsidR="006A55F6" w:rsidRPr="007D17AA">
        <w:rPr>
          <w:rStyle w:val="Emphasis"/>
          <w:rFonts w:eastAsiaTheme="minorHAnsi" w:cstheme="minorHAnsi"/>
          <w:bCs/>
          <w:i w:val="0"/>
          <w:iCs w:val="0"/>
          <w:color w:val="0070C0"/>
        </w:rPr>
        <w:t>d</w:t>
      </w:r>
      <w:r w:rsidRPr="007D17AA">
        <w:rPr>
          <w:rStyle w:val="Emphasis"/>
          <w:rFonts w:eastAsiaTheme="minorHAnsi" w:cstheme="minorHAnsi"/>
          <w:bCs/>
          <w:i w:val="0"/>
          <w:iCs w:val="0"/>
          <w:color w:val="0070C0"/>
        </w:rPr>
        <w:t xml:space="preserve"> standardized effect size (the difference in mean scores divided by the pooled standard deviation across groups) for the differences in the mean IPF </w:t>
      </w:r>
      <w:r w:rsidR="006A55F6" w:rsidRPr="007D17AA">
        <w:rPr>
          <w:rStyle w:val="Emphasis"/>
          <w:rFonts w:eastAsiaTheme="minorHAnsi" w:cstheme="minorHAnsi"/>
          <w:bCs/>
          <w:i w:val="0"/>
          <w:iCs w:val="0"/>
          <w:color w:val="0070C0"/>
        </w:rPr>
        <w:t>R</w:t>
      </w:r>
      <w:r w:rsidRPr="007D17AA">
        <w:rPr>
          <w:rStyle w:val="Emphasis"/>
          <w:rFonts w:eastAsiaTheme="minorHAnsi" w:cstheme="minorHAnsi"/>
          <w:bCs/>
          <w:i w:val="0"/>
          <w:iCs w:val="0"/>
          <w:color w:val="0070C0"/>
        </w:rPr>
        <w:t>eadmission rates by beneficiaries’ subgroups (</w:t>
      </w:r>
      <w:r w:rsidR="006312E3" w:rsidRPr="007D17AA">
        <w:rPr>
          <w:rStyle w:val="Emphasis"/>
          <w:rFonts w:eastAsiaTheme="minorHAnsi" w:cstheme="minorHAnsi"/>
          <w:bCs/>
          <w:i w:val="0"/>
          <w:iCs w:val="0"/>
          <w:color w:val="0070C0"/>
        </w:rPr>
        <w:t>Table 2b1.3.c</w:t>
      </w:r>
      <w:r w:rsidRPr="007D17AA">
        <w:rPr>
          <w:rStyle w:val="Emphasis"/>
          <w:rFonts w:eastAsiaTheme="minorHAnsi" w:cstheme="minorHAnsi"/>
          <w:bCs/>
          <w:i w:val="0"/>
          <w:iCs w:val="0"/>
          <w:color w:val="0070C0"/>
        </w:rPr>
        <w:t xml:space="preserve">). </w:t>
      </w:r>
      <w:r w:rsidR="002111FE" w:rsidRPr="007D17AA">
        <w:rPr>
          <w:rStyle w:val="Emphasis"/>
          <w:rFonts w:eastAsiaTheme="minorHAnsi" w:cstheme="minorHAnsi"/>
          <w:bCs/>
          <w:i w:val="0"/>
          <w:iCs w:val="0"/>
          <w:color w:val="0070C0"/>
        </w:rPr>
        <w:t>We categorized e</w:t>
      </w:r>
      <w:r w:rsidRPr="007D17AA">
        <w:rPr>
          <w:rStyle w:val="Emphasis"/>
          <w:rFonts w:eastAsiaTheme="minorHAnsi" w:cstheme="minorHAnsi"/>
          <w:bCs/>
          <w:i w:val="0"/>
          <w:iCs w:val="0"/>
          <w:color w:val="0070C0"/>
        </w:rPr>
        <w:t xml:space="preserve">ffect size values for dichotomous variables as small (0.2), medium (0.5), or large (0.8). We observed small to medium effect sizes for the differences in predicted and expected rates by patient subgroups. The effects ranged from </w:t>
      </w:r>
      <w:r w:rsidR="00DB7BCC">
        <w:rPr>
          <w:rStyle w:val="Emphasis"/>
          <w:rFonts w:eastAsiaTheme="minorHAnsi" w:cstheme="minorHAnsi"/>
          <w:bCs/>
          <w:i w:val="0"/>
          <w:iCs w:val="0"/>
          <w:color w:val="0070C0"/>
        </w:rPr>
        <w:t xml:space="preserve">0.012 to 0.457 and 0.05 to 0.473 </w:t>
      </w:r>
      <w:r w:rsidRPr="007D17AA">
        <w:rPr>
          <w:rStyle w:val="Emphasis"/>
          <w:rFonts w:eastAsiaTheme="minorHAnsi" w:cstheme="minorHAnsi"/>
          <w:bCs/>
          <w:i w:val="0"/>
          <w:iCs w:val="0"/>
          <w:color w:val="0070C0"/>
        </w:rPr>
        <w:t>for predicted and expected rates, respectively. For the observed rates, effects were smaller, ranging from 0.</w:t>
      </w:r>
      <w:r w:rsidR="009F12DB" w:rsidRPr="007D17AA">
        <w:rPr>
          <w:rStyle w:val="Emphasis"/>
          <w:rFonts w:eastAsiaTheme="minorHAnsi" w:cstheme="minorHAnsi"/>
          <w:bCs/>
          <w:i w:val="0"/>
          <w:iCs w:val="0"/>
          <w:color w:val="0070C0"/>
        </w:rPr>
        <w:t xml:space="preserve">003 </w:t>
      </w:r>
      <w:r w:rsidRPr="007D17AA">
        <w:rPr>
          <w:rStyle w:val="Emphasis"/>
          <w:rFonts w:eastAsiaTheme="minorHAnsi" w:cstheme="minorHAnsi"/>
          <w:bCs/>
          <w:i w:val="0"/>
          <w:iCs w:val="0"/>
          <w:color w:val="0070C0"/>
        </w:rPr>
        <w:t xml:space="preserve">to </w:t>
      </w:r>
      <w:r w:rsidR="00654C30" w:rsidRPr="007D17AA">
        <w:rPr>
          <w:rStyle w:val="Emphasis"/>
          <w:rFonts w:eastAsiaTheme="minorHAnsi" w:cstheme="minorHAnsi"/>
          <w:bCs/>
          <w:i w:val="0"/>
          <w:iCs w:val="0"/>
          <w:color w:val="0070C0"/>
        </w:rPr>
        <w:t>0.</w:t>
      </w:r>
      <w:r w:rsidR="00DB7BCC">
        <w:rPr>
          <w:rStyle w:val="Emphasis"/>
          <w:rFonts w:eastAsiaTheme="minorHAnsi" w:cstheme="minorHAnsi"/>
          <w:bCs/>
          <w:i w:val="0"/>
          <w:iCs w:val="0"/>
          <w:color w:val="0070C0"/>
        </w:rPr>
        <w:t>109</w:t>
      </w:r>
      <w:r w:rsidRPr="007D17AA">
        <w:rPr>
          <w:rStyle w:val="Emphasis"/>
          <w:rFonts w:eastAsiaTheme="minorHAnsi" w:cstheme="minorHAnsi"/>
          <w:bCs/>
          <w:i w:val="0"/>
          <w:iCs w:val="0"/>
          <w:color w:val="0070C0"/>
        </w:rPr>
        <w:t>. Smaller effects for the observed rates were due to more variability in the observed readmission rates, compare</w:t>
      </w:r>
      <w:r w:rsidR="002111FE" w:rsidRPr="007D17AA">
        <w:rPr>
          <w:rStyle w:val="Emphasis"/>
          <w:rFonts w:eastAsiaTheme="minorHAnsi" w:cstheme="minorHAnsi"/>
          <w:bCs/>
          <w:i w:val="0"/>
          <w:iCs w:val="0"/>
          <w:color w:val="0070C0"/>
        </w:rPr>
        <w:t>d</w:t>
      </w:r>
      <w:r w:rsidRPr="007D17AA">
        <w:rPr>
          <w:rStyle w:val="Emphasis"/>
          <w:rFonts w:eastAsiaTheme="minorHAnsi" w:cstheme="minorHAnsi"/>
          <w:bCs/>
          <w:i w:val="0"/>
          <w:iCs w:val="0"/>
          <w:color w:val="0070C0"/>
        </w:rPr>
        <w:t xml:space="preserve"> to the variability in the predicted and expected rates (see Table </w:t>
      </w:r>
      <w:r w:rsidR="006E543B" w:rsidRPr="007D17AA">
        <w:rPr>
          <w:rFonts w:ascii="Calibri" w:eastAsia="Arial" w:hAnsi="Calibri"/>
          <w:bCs/>
          <w:color w:val="0070C0"/>
        </w:rPr>
        <w:t>2b1.3.b</w:t>
      </w:r>
      <w:r w:rsidR="006E543B" w:rsidRPr="007D17AA" w:rsidDel="006E543B">
        <w:rPr>
          <w:rFonts w:ascii="Calibri" w:eastAsia="Arial" w:hAnsi="Calibri"/>
          <w:bCs/>
          <w:color w:val="0070C0"/>
          <w:sz w:val="20"/>
        </w:rPr>
        <w:t xml:space="preserve"> </w:t>
      </w:r>
      <w:r w:rsidRPr="007D17AA">
        <w:rPr>
          <w:rStyle w:val="Emphasis"/>
          <w:rFonts w:eastAsiaTheme="minorHAnsi" w:cstheme="minorHAnsi"/>
          <w:bCs/>
          <w:i w:val="0"/>
          <w:iCs w:val="0"/>
          <w:color w:val="0070C0"/>
        </w:rPr>
        <w:t xml:space="preserve">). </w:t>
      </w:r>
      <w:r w:rsidR="00150B13" w:rsidRPr="007D17AA">
        <w:rPr>
          <w:rStyle w:val="Emphasis"/>
          <w:rFonts w:eastAsiaTheme="minorHAnsi" w:cstheme="minorHAnsi"/>
          <w:bCs/>
          <w:i w:val="0"/>
          <w:iCs w:val="0"/>
          <w:color w:val="0070C0"/>
        </w:rPr>
        <w:t>This is</w:t>
      </w:r>
      <w:r w:rsidRPr="007D17AA">
        <w:rPr>
          <w:rStyle w:val="Emphasis"/>
          <w:rFonts w:eastAsiaTheme="minorHAnsi" w:cstheme="minorHAnsi"/>
          <w:bCs/>
          <w:i w:val="0"/>
          <w:iCs w:val="0"/>
          <w:color w:val="0070C0"/>
        </w:rPr>
        <w:t xml:space="preserve"> </w:t>
      </w:r>
      <w:r w:rsidR="00150B13" w:rsidRPr="007D17AA">
        <w:rPr>
          <w:rStyle w:val="Emphasis"/>
          <w:rFonts w:eastAsiaTheme="minorHAnsi" w:cstheme="minorHAnsi"/>
          <w:bCs/>
          <w:i w:val="0"/>
          <w:iCs w:val="0"/>
          <w:color w:val="0070C0"/>
        </w:rPr>
        <w:t xml:space="preserve">largely </w:t>
      </w:r>
      <w:r w:rsidRPr="007D17AA">
        <w:rPr>
          <w:rStyle w:val="Emphasis"/>
          <w:rFonts w:eastAsiaTheme="minorHAnsi" w:cstheme="minorHAnsi"/>
          <w:bCs/>
          <w:i w:val="0"/>
          <w:iCs w:val="0"/>
          <w:color w:val="0070C0"/>
        </w:rPr>
        <w:t xml:space="preserve">due to </w:t>
      </w:r>
      <w:r w:rsidR="00150B13" w:rsidRPr="007D17AA">
        <w:rPr>
          <w:rStyle w:val="Emphasis"/>
          <w:rFonts w:eastAsiaTheme="minorHAnsi" w:cstheme="minorHAnsi"/>
          <w:bCs/>
          <w:i w:val="0"/>
          <w:iCs w:val="0"/>
          <w:color w:val="0070C0"/>
        </w:rPr>
        <w:t xml:space="preserve">the </w:t>
      </w:r>
      <w:r w:rsidRPr="007D17AA">
        <w:rPr>
          <w:rStyle w:val="Emphasis"/>
          <w:rFonts w:eastAsiaTheme="minorHAnsi" w:cstheme="minorHAnsi"/>
          <w:bCs/>
          <w:i w:val="0"/>
          <w:iCs w:val="0"/>
          <w:color w:val="0070C0"/>
        </w:rPr>
        <w:t xml:space="preserve">shrinkage </w:t>
      </w:r>
      <w:r w:rsidR="006753FA">
        <w:rPr>
          <w:rStyle w:val="Emphasis"/>
          <w:rFonts w:eastAsiaTheme="minorHAnsi" w:cstheme="minorHAnsi"/>
          <w:bCs/>
          <w:i w:val="0"/>
          <w:iCs w:val="0"/>
          <w:color w:val="0070C0"/>
        </w:rPr>
        <w:t>effect</w:t>
      </w:r>
      <w:r w:rsidRPr="007D17AA">
        <w:rPr>
          <w:rStyle w:val="Emphasis"/>
          <w:rFonts w:eastAsiaTheme="minorHAnsi" w:cstheme="minorHAnsi"/>
          <w:bCs/>
          <w:i w:val="0"/>
          <w:iCs w:val="0"/>
          <w:color w:val="0070C0"/>
        </w:rPr>
        <w:t xml:space="preserve"> in hierarchical logistic regression </w:t>
      </w:r>
      <w:r w:rsidR="00150B13" w:rsidRPr="007D17AA">
        <w:rPr>
          <w:rStyle w:val="Emphasis"/>
          <w:rFonts w:eastAsiaTheme="minorHAnsi" w:cstheme="minorHAnsi"/>
          <w:bCs/>
          <w:i w:val="0"/>
          <w:iCs w:val="0"/>
          <w:color w:val="0070C0"/>
        </w:rPr>
        <w:t xml:space="preserve">which </w:t>
      </w:r>
      <w:r w:rsidRPr="007D17AA">
        <w:rPr>
          <w:rStyle w:val="Emphasis"/>
          <w:rFonts w:eastAsiaTheme="minorHAnsi" w:cstheme="minorHAnsi"/>
          <w:bCs/>
          <w:i w:val="0"/>
          <w:iCs w:val="0"/>
          <w:color w:val="0070C0"/>
        </w:rPr>
        <w:t>reduc</w:t>
      </w:r>
      <w:r w:rsidR="00150B13" w:rsidRPr="007D17AA">
        <w:rPr>
          <w:rStyle w:val="Emphasis"/>
          <w:rFonts w:eastAsiaTheme="minorHAnsi" w:cstheme="minorHAnsi"/>
          <w:bCs/>
          <w:i w:val="0"/>
          <w:iCs w:val="0"/>
          <w:color w:val="0070C0"/>
        </w:rPr>
        <w:t>es</w:t>
      </w:r>
      <w:r w:rsidRPr="007D17AA">
        <w:rPr>
          <w:rStyle w:val="Emphasis"/>
          <w:rFonts w:eastAsiaTheme="minorHAnsi" w:cstheme="minorHAnsi"/>
          <w:bCs/>
          <w:i w:val="0"/>
          <w:iCs w:val="0"/>
          <w:color w:val="0070C0"/>
        </w:rPr>
        <w:t xml:space="preserve"> the influence </w:t>
      </w:r>
      <w:r w:rsidR="009F12DB" w:rsidRPr="007D17AA">
        <w:rPr>
          <w:rStyle w:val="Emphasis"/>
          <w:rFonts w:eastAsiaTheme="minorHAnsi" w:cstheme="minorHAnsi"/>
          <w:bCs/>
          <w:i w:val="0"/>
          <w:iCs w:val="0"/>
          <w:color w:val="0070C0"/>
        </w:rPr>
        <w:t xml:space="preserve">of </w:t>
      </w:r>
      <w:r w:rsidRPr="007D17AA">
        <w:rPr>
          <w:rStyle w:val="Emphasis"/>
          <w:rFonts w:eastAsiaTheme="minorHAnsi" w:cstheme="minorHAnsi"/>
          <w:bCs/>
          <w:i w:val="0"/>
          <w:iCs w:val="0"/>
          <w:color w:val="0070C0"/>
        </w:rPr>
        <w:t>unstable and noisy estimates for low-volume facilities (e.g.</w:t>
      </w:r>
      <w:r w:rsidR="002111FE" w:rsidRPr="007D17AA">
        <w:rPr>
          <w:rStyle w:val="Emphasis"/>
          <w:rFonts w:eastAsiaTheme="minorHAnsi" w:cstheme="minorHAnsi"/>
          <w:bCs/>
          <w:i w:val="0"/>
          <w:iCs w:val="0"/>
          <w:color w:val="0070C0"/>
        </w:rPr>
        <w:t>,</w:t>
      </w:r>
      <w:r w:rsidRPr="007D17AA">
        <w:rPr>
          <w:rStyle w:val="Emphasis"/>
          <w:rFonts w:eastAsiaTheme="minorHAnsi" w:cstheme="minorHAnsi"/>
          <w:bCs/>
          <w:i w:val="0"/>
          <w:iCs w:val="0"/>
          <w:color w:val="0070C0"/>
        </w:rPr>
        <w:t xml:space="preserve"> Clark</w:t>
      </w:r>
      <w:r w:rsidR="002111FE" w:rsidRPr="007D17AA">
        <w:rPr>
          <w:rStyle w:val="Emphasis"/>
          <w:rFonts w:eastAsiaTheme="minorHAnsi" w:cstheme="minorHAnsi"/>
          <w:bCs/>
          <w:i w:val="0"/>
          <w:iCs w:val="0"/>
          <w:color w:val="0070C0"/>
        </w:rPr>
        <w:t xml:space="preserve"> at al. </w:t>
      </w:r>
      <w:r w:rsidRPr="007D17AA">
        <w:rPr>
          <w:rStyle w:val="Emphasis"/>
          <w:rFonts w:eastAsiaTheme="minorHAnsi" w:cstheme="minorHAnsi"/>
          <w:bCs/>
          <w:i w:val="0"/>
          <w:iCs w:val="0"/>
          <w:color w:val="0070C0"/>
        </w:rPr>
        <w:t xml:space="preserve">2010; Quality </w:t>
      </w:r>
      <w:r w:rsidRPr="007D17AA">
        <w:rPr>
          <w:rStyle w:val="Emphasis"/>
          <w:rFonts w:eastAsiaTheme="minorHAnsi" w:cstheme="minorHAnsi"/>
          <w:bCs/>
          <w:i w:val="0"/>
          <w:iCs w:val="0"/>
          <w:color w:val="0070C0"/>
        </w:rPr>
        <w:lastRenderedPageBreak/>
        <w:t>Indicator Empirical Methods 2019).</w:t>
      </w:r>
      <w:r w:rsidRPr="007D17AA">
        <w:rPr>
          <w:rStyle w:val="FootnoteReference"/>
          <w:rFonts w:eastAsiaTheme="minorHAnsi"/>
          <w:bCs/>
          <w:color w:val="0070C0"/>
        </w:rPr>
        <w:footnoteReference w:id="3"/>
      </w:r>
      <w:r w:rsidRPr="007D17AA">
        <w:rPr>
          <w:rStyle w:val="Emphasis"/>
          <w:rFonts w:eastAsiaTheme="minorHAnsi" w:cstheme="minorHAnsi"/>
          <w:bCs/>
          <w:i w:val="0"/>
          <w:iCs w:val="0"/>
          <w:color w:val="0070C0"/>
          <w:vertAlign w:val="superscript"/>
        </w:rPr>
        <w:t>,</w:t>
      </w:r>
      <w:r w:rsidRPr="007D17AA">
        <w:rPr>
          <w:rStyle w:val="EndnoteReference"/>
          <w:rFonts w:eastAsiaTheme="minorHAnsi" w:cstheme="minorHAnsi"/>
          <w:bCs/>
          <w:color w:val="0070C0"/>
        </w:rPr>
        <w:endnoteReference w:id="35"/>
      </w:r>
      <w:r w:rsidRPr="007D17AA">
        <w:rPr>
          <w:rStyle w:val="Emphasis"/>
          <w:rFonts w:eastAsiaTheme="minorHAnsi" w:cstheme="minorHAnsi"/>
          <w:bCs/>
          <w:i w:val="0"/>
          <w:iCs w:val="0"/>
          <w:color w:val="0070C0"/>
          <w:vertAlign w:val="superscript"/>
        </w:rPr>
        <w:t>,</w:t>
      </w:r>
      <w:r w:rsidRPr="007D17AA">
        <w:rPr>
          <w:rStyle w:val="EndnoteReference"/>
          <w:rFonts w:eastAsiaTheme="minorHAnsi" w:cstheme="minorHAnsi"/>
          <w:bCs/>
          <w:color w:val="0070C0"/>
        </w:rPr>
        <w:endnoteReference w:id="36"/>
      </w:r>
      <w:r w:rsidRPr="007D17AA">
        <w:rPr>
          <w:rStyle w:val="Emphasis"/>
          <w:rFonts w:eastAsiaTheme="minorHAnsi" w:cstheme="minorHAnsi"/>
          <w:bCs/>
          <w:i w:val="0"/>
          <w:iCs w:val="0"/>
          <w:color w:val="0070C0"/>
        </w:rPr>
        <w:t xml:space="preserve"> Readmission rates within larger IPFs will tend not to move much with smoothing, even if their rate differs from the reference population rate.</w:t>
      </w:r>
    </w:p>
    <w:p w14:paraId="4A6D34FE" w14:textId="6DB59B15" w:rsidR="00086FAC" w:rsidRDefault="00086FAC" w:rsidP="00086FAC">
      <w:pPr>
        <w:spacing w:after="0" w:line="240" w:lineRule="auto"/>
        <w:rPr>
          <w:b/>
          <w:bCs/>
          <w:color w:val="0070C0"/>
        </w:rPr>
      </w:pPr>
      <w:r w:rsidRPr="007D17AA">
        <w:rPr>
          <w:b/>
          <w:bCs/>
          <w:color w:val="0070C0"/>
        </w:rPr>
        <w:t xml:space="preserve">Table </w:t>
      </w:r>
      <w:r w:rsidR="0078380D" w:rsidRPr="007D17AA">
        <w:rPr>
          <w:rFonts w:ascii="Calibri" w:eastAsia="Arial" w:hAnsi="Calibri"/>
          <w:b/>
          <w:color w:val="0070C0"/>
          <w:sz w:val="20"/>
        </w:rPr>
        <w:t>2b1.3.b</w:t>
      </w:r>
      <w:r w:rsidRPr="007D17AA">
        <w:rPr>
          <w:b/>
          <w:bCs/>
          <w:color w:val="0070C0"/>
        </w:rPr>
        <w:t xml:space="preserve">. Differences in the mean IPF </w:t>
      </w:r>
      <w:r w:rsidR="00861F64" w:rsidRPr="007D17AA">
        <w:rPr>
          <w:b/>
          <w:bCs/>
          <w:color w:val="0070C0"/>
        </w:rPr>
        <w:t>R</w:t>
      </w:r>
      <w:r w:rsidRPr="007D17AA">
        <w:rPr>
          <w:b/>
          <w:bCs/>
          <w:color w:val="0070C0"/>
        </w:rPr>
        <w:t xml:space="preserve">eadmission rates by beneficiaries’ subgroups  </w:t>
      </w:r>
    </w:p>
    <w:tbl>
      <w:tblPr>
        <w:tblStyle w:val="MathUBaseTable"/>
        <w:tblW w:w="10393" w:type="dxa"/>
        <w:tblLayout w:type="fixed"/>
        <w:tblLook w:val="04A0" w:firstRow="1" w:lastRow="0" w:firstColumn="1" w:lastColumn="0" w:noHBand="0" w:noVBand="1"/>
      </w:tblPr>
      <w:tblGrid>
        <w:gridCol w:w="1440"/>
        <w:gridCol w:w="1876"/>
        <w:gridCol w:w="934"/>
        <w:gridCol w:w="627"/>
        <w:gridCol w:w="809"/>
        <w:gridCol w:w="936"/>
        <w:gridCol w:w="627"/>
        <w:gridCol w:w="809"/>
        <w:gridCol w:w="899"/>
        <w:gridCol w:w="627"/>
        <w:gridCol w:w="809"/>
      </w:tblGrid>
      <w:tr w:rsidR="00DB7BCC" w:rsidRPr="00DB7BCC" w14:paraId="652BE7EF" w14:textId="77777777" w:rsidTr="00323AD1">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440" w:type="dxa"/>
            <w:hideMark/>
          </w:tcPr>
          <w:p w14:paraId="46DA6BD3" w14:textId="77777777" w:rsidR="00DB7BCC" w:rsidRPr="00DB7BCC" w:rsidRDefault="00DB7BCC" w:rsidP="00323AD1">
            <w:pPr>
              <w:pStyle w:val="TableHeaderLeft"/>
              <w:rPr>
                <w:rFonts w:cs="Calibri"/>
                <w:b w:val="0"/>
              </w:rPr>
            </w:pPr>
            <w:r w:rsidRPr="00DB7BCC">
              <w:t>Category</w:t>
            </w:r>
          </w:p>
        </w:tc>
        <w:tc>
          <w:tcPr>
            <w:tcW w:w="1876" w:type="dxa"/>
            <w:noWrap/>
            <w:hideMark/>
          </w:tcPr>
          <w:p w14:paraId="446762F5"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Value</w:t>
            </w:r>
          </w:p>
        </w:tc>
        <w:tc>
          <w:tcPr>
            <w:tcW w:w="934" w:type="dxa"/>
            <w:hideMark/>
          </w:tcPr>
          <w:p w14:paraId="4D4C1AA8"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Observed rate</w:t>
            </w:r>
          </w:p>
        </w:tc>
        <w:tc>
          <w:tcPr>
            <w:tcW w:w="627" w:type="dxa"/>
            <w:noWrap/>
            <w:hideMark/>
          </w:tcPr>
          <w:p w14:paraId="7BA78E12"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SD</w:t>
            </w:r>
          </w:p>
        </w:tc>
        <w:tc>
          <w:tcPr>
            <w:tcW w:w="809" w:type="dxa"/>
            <w:noWrap/>
            <w:hideMark/>
          </w:tcPr>
          <w:p w14:paraId="66025015"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N</w:t>
            </w:r>
          </w:p>
        </w:tc>
        <w:tc>
          <w:tcPr>
            <w:tcW w:w="936" w:type="dxa"/>
            <w:hideMark/>
          </w:tcPr>
          <w:p w14:paraId="01C7261A"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Predicted rate</w:t>
            </w:r>
          </w:p>
        </w:tc>
        <w:tc>
          <w:tcPr>
            <w:tcW w:w="627" w:type="dxa"/>
            <w:noWrap/>
            <w:hideMark/>
          </w:tcPr>
          <w:p w14:paraId="500D5935"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SD</w:t>
            </w:r>
          </w:p>
        </w:tc>
        <w:tc>
          <w:tcPr>
            <w:tcW w:w="809" w:type="dxa"/>
            <w:noWrap/>
            <w:hideMark/>
          </w:tcPr>
          <w:p w14:paraId="2B243514"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N</w:t>
            </w:r>
          </w:p>
        </w:tc>
        <w:tc>
          <w:tcPr>
            <w:tcW w:w="899" w:type="dxa"/>
            <w:hideMark/>
          </w:tcPr>
          <w:p w14:paraId="2714FD2F"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Expected rate</w:t>
            </w:r>
          </w:p>
        </w:tc>
        <w:tc>
          <w:tcPr>
            <w:tcW w:w="627" w:type="dxa"/>
            <w:noWrap/>
            <w:hideMark/>
          </w:tcPr>
          <w:p w14:paraId="6B41C166"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SD</w:t>
            </w:r>
          </w:p>
        </w:tc>
        <w:tc>
          <w:tcPr>
            <w:tcW w:w="809" w:type="dxa"/>
            <w:noWrap/>
            <w:hideMark/>
          </w:tcPr>
          <w:p w14:paraId="54A55147" w14:textId="77777777" w:rsidR="00DB7BCC" w:rsidRPr="00DB7BCC" w:rsidRDefault="00DB7BCC" w:rsidP="00323AD1">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7BCC">
              <w:t>N</w:t>
            </w:r>
          </w:p>
        </w:tc>
      </w:tr>
      <w:tr w:rsidR="00DB7BCC" w:rsidRPr="00DB7BCC" w14:paraId="16318A38"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606D9F2D" w14:textId="77777777" w:rsidR="00DB7BCC" w:rsidRPr="00DB7BCC" w:rsidRDefault="00DB7BCC" w:rsidP="00323AD1">
            <w:pPr>
              <w:pStyle w:val="TableTextLeft"/>
              <w:rPr>
                <w:rFonts w:cs="Calibri"/>
                <w:color w:val="000000"/>
              </w:rPr>
            </w:pPr>
            <w:r w:rsidRPr="00DB7BCC">
              <w:rPr>
                <w:rFonts w:cs="Calibri"/>
                <w:color w:val="000000"/>
              </w:rPr>
              <w:t>Gender</w:t>
            </w:r>
          </w:p>
        </w:tc>
        <w:tc>
          <w:tcPr>
            <w:tcW w:w="1876" w:type="dxa"/>
            <w:noWrap/>
            <w:hideMark/>
          </w:tcPr>
          <w:p w14:paraId="68807C01"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Male</w:t>
            </w:r>
          </w:p>
        </w:tc>
        <w:tc>
          <w:tcPr>
            <w:tcW w:w="934" w:type="dxa"/>
            <w:noWrap/>
            <w:hideMark/>
          </w:tcPr>
          <w:p w14:paraId="2422197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0.223</w:t>
            </w:r>
          </w:p>
        </w:tc>
        <w:tc>
          <w:tcPr>
            <w:tcW w:w="627" w:type="dxa"/>
            <w:noWrap/>
            <w:hideMark/>
          </w:tcPr>
          <w:p w14:paraId="4B37C1A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0.416</w:t>
            </w:r>
          </w:p>
        </w:tc>
        <w:tc>
          <w:tcPr>
            <w:tcW w:w="809" w:type="dxa"/>
            <w:noWrap/>
            <w:hideMark/>
          </w:tcPr>
          <w:p w14:paraId="350DBC5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273,711</w:t>
            </w:r>
          </w:p>
        </w:tc>
        <w:tc>
          <w:tcPr>
            <w:tcW w:w="936" w:type="dxa"/>
            <w:noWrap/>
            <w:hideMark/>
          </w:tcPr>
          <w:p w14:paraId="6AFF8C8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0.223</w:t>
            </w:r>
          </w:p>
        </w:tc>
        <w:tc>
          <w:tcPr>
            <w:tcW w:w="627" w:type="dxa"/>
            <w:noWrap/>
            <w:hideMark/>
          </w:tcPr>
          <w:p w14:paraId="68BE197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0.104</w:t>
            </w:r>
          </w:p>
        </w:tc>
        <w:tc>
          <w:tcPr>
            <w:tcW w:w="809" w:type="dxa"/>
            <w:noWrap/>
            <w:hideMark/>
          </w:tcPr>
          <w:p w14:paraId="5FE3B39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273,711</w:t>
            </w:r>
          </w:p>
        </w:tc>
        <w:tc>
          <w:tcPr>
            <w:tcW w:w="899" w:type="dxa"/>
            <w:noWrap/>
            <w:hideMark/>
          </w:tcPr>
          <w:p w14:paraId="3D6D54A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0.215</w:t>
            </w:r>
          </w:p>
        </w:tc>
        <w:tc>
          <w:tcPr>
            <w:tcW w:w="627" w:type="dxa"/>
            <w:noWrap/>
            <w:hideMark/>
          </w:tcPr>
          <w:p w14:paraId="2655C910"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0.094</w:t>
            </w:r>
          </w:p>
        </w:tc>
        <w:tc>
          <w:tcPr>
            <w:tcW w:w="809" w:type="dxa"/>
            <w:noWrap/>
            <w:hideMark/>
          </w:tcPr>
          <w:p w14:paraId="440F335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273,711</w:t>
            </w:r>
          </w:p>
        </w:tc>
      </w:tr>
      <w:tr w:rsidR="00DB7BCC" w:rsidRPr="00DB7BCC" w14:paraId="3A9A4FA9"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05903241" w14:textId="77777777" w:rsidR="00DB7BCC" w:rsidRPr="00DB7BCC" w:rsidRDefault="00DB7BCC" w:rsidP="00323AD1">
            <w:pPr>
              <w:pStyle w:val="TableTextLeft"/>
              <w:rPr>
                <w:rFonts w:cs="Calibri"/>
                <w:color w:val="000000"/>
              </w:rPr>
            </w:pPr>
          </w:p>
        </w:tc>
        <w:tc>
          <w:tcPr>
            <w:tcW w:w="1876" w:type="dxa"/>
            <w:noWrap/>
            <w:hideMark/>
          </w:tcPr>
          <w:p w14:paraId="07E4AC07"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Female</w:t>
            </w:r>
          </w:p>
        </w:tc>
        <w:tc>
          <w:tcPr>
            <w:tcW w:w="934" w:type="dxa"/>
            <w:noWrap/>
            <w:hideMark/>
          </w:tcPr>
          <w:p w14:paraId="6AA835C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0.179</w:t>
            </w:r>
          </w:p>
        </w:tc>
        <w:tc>
          <w:tcPr>
            <w:tcW w:w="627" w:type="dxa"/>
            <w:noWrap/>
            <w:hideMark/>
          </w:tcPr>
          <w:p w14:paraId="5224C83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0.383</w:t>
            </w:r>
          </w:p>
        </w:tc>
        <w:tc>
          <w:tcPr>
            <w:tcW w:w="809" w:type="dxa"/>
            <w:noWrap/>
            <w:hideMark/>
          </w:tcPr>
          <w:p w14:paraId="682208D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273,485</w:t>
            </w:r>
          </w:p>
        </w:tc>
        <w:tc>
          <w:tcPr>
            <w:tcW w:w="936" w:type="dxa"/>
            <w:noWrap/>
            <w:hideMark/>
          </w:tcPr>
          <w:p w14:paraId="7CBB4ED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0.179</w:t>
            </w:r>
          </w:p>
        </w:tc>
        <w:tc>
          <w:tcPr>
            <w:tcW w:w="627" w:type="dxa"/>
            <w:noWrap/>
            <w:hideMark/>
          </w:tcPr>
          <w:p w14:paraId="38CD7E2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0.086</w:t>
            </w:r>
          </w:p>
        </w:tc>
        <w:tc>
          <w:tcPr>
            <w:tcW w:w="809" w:type="dxa"/>
            <w:noWrap/>
            <w:hideMark/>
          </w:tcPr>
          <w:p w14:paraId="3E6D806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273,485</w:t>
            </w:r>
          </w:p>
        </w:tc>
        <w:tc>
          <w:tcPr>
            <w:tcW w:w="899" w:type="dxa"/>
            <w:noWrap/>
            <w:hideMark/>
          </w:tcPr>
          <w:p w14:paraId="09E3A7E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0.174</w:t>
            </w:r>
          </w:p>
        </w:tc>
        <w:tc>
          <w:tcPr>
            <w:tcW w:w="627" w:type="dxa"/>
            <w:noWrap/>
            <w:hideMark/>
          </w:tcPr>
          <w:p w14:paraId="7DAD9432"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0.078</w:t>
            </w:r>
          </w:p>
        </w:tc>
        <w:tc>
          <w:tcPr>
            <w:tcW w:w="809" w:type="dxa"/>
            <w:noWrap/>
            <w:hideMark/>
          </w:tcPr>
          <w:p w14:paraId="071B3A5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273,485</w:t>
            </w:r>
          </w:p>
        </w:tc>
      </w:tr>
      <w:tr w:rsidR="00DB7BCC" w:rsidRPr="00DB7BCC" w14:paraId="429C66EB"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4CEECC61" w14:textId="6E69CADF" w:rsidR="00DB7BCC" w:rsidRPr="00D32859" w:rsidRDefault="00DB7BCC" w:rsidP="00323AD1">
            <w:pPr>
              <w:pStyle w:val="TableTextLeft"/>
              <w:rPr>
                <w:rFonts w:cs="Calibri"/>
                <w:color w:val="000000"/>
                <w:spacing w:val="-10"/>
              </w:rPr>
            </w:pPr>
            <w:r w:rsidRPr="00D32859">
              <w:rPr>
                <w:rFonts w:cs="Calibri"/>
                <w:color w:val="000000"/>
                <w:spacing w:val="-10"/>
              </w:rPr>
              <w:t>Alcohol/Substance Use Disorder</w:t>
            </w:r>
          </w:p>
        </w:tc>
        <w:tc>
          <w:tcPr>
            <w:tcW w:w="1876" w:type="dxa"/>
            <w:noWrap/>
            <w:hideMark/>
          </w:tcPr>
          <w:p w14:paraId="002371BF"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Alcohol/SUD Disorder</w:t>
            </w:r>
          </w:p>
        </w:tc>
        <w:tc>
          <w:tcPr>
            <w:tcW w:w="934" w:type="dxa"/>
            <w:noWrap/>
            <w:hideMark/>
          </w:tcPr>
          <w:p w14:paraId="6ACF4AF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0.200</w:t>
            </w:r>
          </w:p>
        </w:tc>
        <w:tc>
          <w:tcPr>
            <w:tcW w:w="627" w:type="dxa"/>
            <w:noWrap/>
            <w:hideMark/>
          </w:tcPr>
          <w:p w14:paraId="2D7B770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0.400</w:t>
            </w:r>
          </w:p>
        </w:tc>
        <w:tc>
          <w:tcPr>
            <w:tcW w:w="809" w:type="dxa"/>
            <w:noWrap/>
            <w:hideMark/>
          </w:tcPr>
          <w:p w14:paraId="7492A15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33,272</w:t>
            </w:r>
          </w:p>
        </w:tc>
        <w:tc>
          <w:tcPr>
            <w:tcW w:w="936" w:type="dxa"/>
            <w:noWrap/>
            <w:hideMark/>
          </w:tcPr>
          <w:p w14:paraId="3845216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0.200</w:t>
            </w:r>
          </w:p>
        </w:tc>
        <w:tc>
          <w:tcPr>
            <w:tcW w:w="627" w:type="dxa"/>
            <w:noWrap/>
            <w:hideMark/>
          </w:tcPr>
          <w:p w14:paraId="4F1E9A3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0.097</w:t>
            </w:r>
          </w:p>
        </w:tc>
        <w:tc>
          <w:tcPr>
            <w:tcW w:w="809" w:type="dxa"/>
            <w:noWrap/>
            <w:hideMark/>
          </w:tcPr>
          <w:p w14:paraId="640F4C9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33,272</w:t>
            </w:r>
          </w:p>
        </w:tc>
        <w:tc>
          <w:tcPr>
            <w:tcW w:w="899" w:type="dxa"/>
            <w:noWrap/>
            <w:hideMark/>
          </w:tcPr>
          <w:p w14:paraId="39F9BBB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0.199</w:t>
            </w:r>
          </w:p>
        </w:tc>
        <w:tc>
          <w:tcPr>
            <w:tcW w:w="627" w:type="dxa"/>
            <w:noWrap/>
            <w:hideMark/>
          </w:tcPr>
          <w:p w14:paraId="3CA3D95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0.091</w:t>
            </w:r>
          </w:p>
        </w:tc>
        <w:tc>
          <w:tcPr>
            <w:tcW w:w="809" w:type="dxa"/>
            <w:noWrap/>
            <w:hideMark/>
          </w:tcPr>
          <w:p w14:paraId="74D5A15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33,272</w:t>
            </w:r>
          </w:p>
        </w:tc>
      </w:tr>
      <w:tr w:rsidR="00DB7BCC" w:rsidRPr="00DB7BCC" w14:paraId="7FC07283"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05252236" w14:textId="77777777" w:rsidR="00DB7BCC" w:rsidRPr="00DB7BCC" w:rsidRDefault="00DB7BCC" w:rsidP="00323AD1">
            <w:pPr>
              <w:pStyle w:val="TableTextLeft"/>
              <w:rPr>
                <w:rFonts w:cs="Calibri"/>
                <w:color w:val="000000"/>
              </w:rPr>
            </w:pPr>
          </w:p>
        </w:tc>
        <w:tc>
          <w:tcPr>
            <w:tcW w:w="1876" w:type="dxa"/>
            <w:noWrap/>
            <w:hideMark/>
          </w:tcPr>
          <w:p w14:paraId="7C9E271D" w14:textId="77777777" w:rsidR="00DB7BCC" w:rsidRPr="00D32859"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spacing w:val="-8"/>
              </w:rPr>
            </w:pPr>
            <w:r w:rsidRPr="00D32859">
              <w:rPr>
                <w:rFonts w:cs="Calibri"/>
                <w:color w:val="000000"/>
                <w:spacing w:val="-8"/>
              </w:rPr>
              <w:t>No Alcohol/SUD Disorder</w:t>
            </w:r>
          </w:p>
        </w:tc>
        <w:tc>
          <w:tcPr>
            <w:tcW w:w="934" w:type="dxa"/>
            <w:noWrap/>
            <w:hideMark/>
          </w:tcPr>
          <w:p w14:paraId="5A4F77E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0.201</w:t>
            </w:r>
          </w:p>
        </w:tc>
        <w:tc>
          <w:tcPr>
            <w:tcW w:w="627" w:type="dxa"/>
            <w:noWrap/>
            <w:hideMark/>
          </w:tcPr>
          <w:p w14:paraId="35B78FD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0.401</w:t>
            </w:r>
          </w:p>
        </w:tc>
        <w:tc>
          <w:tcPr>
            <w:tcW w:w="809" w:type="dxa"/>
            <w:noWrap/>
            <w:hideMark/>
          </w:tcPr>
          <w:p w14:paraId="5E160A6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513,924</w:t>
            </w:r>
          </w:p>
        </w:tc>
        <w:tc>
          <w:tcPr>
            <w:tcW w:w="936" w:type="dxa"/>
            <w:noWrap/>
            <w:hideMark/>
          </w:tcPr>
          <w:p w14:paraId="0E9A602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0.201</w:t>
            </w:r>
          </w:p>
        </w:tc>
        <w:tc>
          <w:tcPr>
            <w:tcW w:w="627" w:type="dxa"/>
            <w:noWrap/>
            <w:hideMark/>
          </w:tcPr>
          <w:p w14:paraId="53674AE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0.098</w:t>
            </w:r>
          </w:p>
        </w:tc>
        <w:tc>
          <w:tcPr>
            <w:tcW w:w="809" w:type="dxa"/>
            <w:noWrap/>
            <w:hideMark/>
          </w:tcPr>
          <w:p w14:paraId="3CB1432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513,924</w:t>
            </w:r>
          </w:p>
        </w:tc>
        <w:tc>
          <w:tcPr>
            <w:tcW w:w="899" w:type="dxa"/>
            <w:noWrap/>
            <w:hideMark/>
          </w:tcPr>
          <w:p w14:paraId="7769203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0.195</w:t>
            </w:r>
          </w:p>
        </w:tc>
        <w:tc>
          <w:tcPr>
            <w:tcW w:w="627" w:type="dxa"/>
            <w:noWrap/>
            <w:hideMark/>
          </w:tcPr>
          <w:p w14:paraId="1705553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0.088</w:t>
            </w:r>
          </w:p>
        </w:tc>
        <w:tc>
          <w:tcPr>
            <w:tcW w:w="809" w:type="dxa"/>
            <w:noWrap/>
            <w:hideMark/>
          </w:tcPr>
          <w:p w14:paraId="42A2EF3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513,924</w:t>
            </w:r>
          </w:p>
        </w:tc>
      </w:tr>
      <w:tr w:rsidR="00DB7BCC" w:rsidRPr="00DB7BCC" w14:paraId="54A29DD9"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14F601C1" w14:textId="134030D3" w:rsidR="00DB7BCC" w:rsidRPr="00DB7BCC" w:rsidRDefault="00DB7BCC" w:rsidP="00323AD1">
            <w:pPr>
              <w:pStyle w:val="TableTextLeft"/>
              <w:rPr>
                <w:rFonts w:cs="Calibri"/>
                <w:color w:val="000000"/>
              </w:rPr>
            </w:pPr>
            <w:r w:rsidRPr="00DB7BCC">
              <w:rPr>
                <w:rFonts w:cs="Calibri"/>
                <w:color w:val="000000"/>
              </w:rPr>
              <w:t>Schizophrenia Disorder</w:t>
            </w:r>
          </w:p>
        </w:tc>
        <w:tc>
          <w:tcPr>
            <w:tcW w:w="1876" w:type="dxa"/>
            <w:noWrap/>
            <w:hideMark/>
          </w:tcPr>
          <w:p w14:paraId="3CAE0DD3" w14:textId="77777777" w:rsidR="00DB7BCC" w:rsidRPr="00D32859"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spacing w:val="-4"/>
              </w:rPr>
            </w:pPr>
            <w:r w:rsidRPr="00D32859">
              <w:rPr>
                <w:rFonts w:cs="Calibri"/>
                <w:color w:val="000000"/>
                <w:spacing w:val="-4"/>
              </w:rPr>
              <w:t>Schizophrenia Diagnosis</w:t>
            </w:r>
          </w:p>
        </w:tc>
        <w:tc>
          <w:tcPr>
            <w:tcW w:w="934" w:type="dxa"/>
            <w:noWrap/>
            <w:hideMark/>
          </w:tcPr>
          <w:p w14:paraId="7C5520C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0.228</w:t>
            </w:r>
          </w:p>
        </w:tc>
        <w:tc>
          <w:tcPr>
            <w:tcW w:w="627" w:type="dxa"/>
            <w:noWrap/>
            <w:hideMark/>
          </w:tcPr>
          <w:p w14:paraId="68D77D4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0.419</w:t>
            </w:r>
          </w:p>
        </w:tc>
        <w:tc>
          <w:tcPr>
            <w:tcW w:w="809" w:type="dxa"/>
            <w:noWrap/>
            <w:hideMark/>
          </w:tcPr>
          <w:p w14:paraId="2DEE314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188,884</w:t>
            </w:r>
          </w:p>
        </w:tc>
        <w:tc>
          <w:tcPr>
            <w:tcW w:w="936" w:type="dxa"/>
            <w:noWrap/>
            <w:hideMark/>
          </w:tcPr>
          <w:p w14:paraId="25E4A5B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0.228</w:t>
            </w:r>
          </w:p>
        </w:tc>
        <w:tc>
          <w:tcPr>
            <w:tcW w:w="627" w:type="dxa"/>
            <w:noWrap/>
            <w:hideMark/>
          </w:tcPr>
          <w:p w14:paraId="4FB6372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0.104</w:t>
            </w:r>
          </w:p>
        </w:tc>
        <w:tc>
          <w:tcPr>
            <w:tcW w:w="809" w:type="dxa"/>
            <w:noWrap/>
            <w:hideMark/>
          </w:tcPr>
          <w:p w14:paraId="1C6F56B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188,884</w:t>
            </w:r>
          </w:p>
        </w:tc>
        <w:tc>
          <w:tcPr>
            <w:tcW w:w="899" w:type="dxa"/>
            <w:noWrap/>
            <w:hideMark/>
          </w:tcPr>
          <w:p w14:paraId="765EB27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0.218</w:t>
            </w:r>
          </w:p>
        </w:tc>
        <w:tc>
          <w:tcPr>
            <w:tcW w:w="627" w:type="dxa"/>
            <w:noWrap/>
            <w:hideMark/>
          </w:tcPr>
          <w:p w14:paraId="29F1BFC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0.092</w:t>
            </w:r>
          </w:p>
        </w:tc>
        <w:tc>
          <w:tcPr>
            <w:tcW w:w="809" w:type="dxa"/>
            <w:noWrap/>
            <w:hideMark/>
          </w:tcPr>
          <w:p w14:paraId="3A57C80E"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188,884</w:t>
            </w:r>
          </w:p>
        </w:tc>
      </w:tr>
      <w:tr w:rsidR="00DB7BCC" w:rsidRPr="00DB7BCC" w14:paraId="7CBF5C44"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7D8E62B9" w14:textId="77777777" w:rsidR="00DB7BCC" w:rsidRPr="00DB7BCC" w:rsidRDefault="00DB7BCC" w:rsidP="00323AD1">
            <w:pPr>
              <w:pStyle w:val="TableTextLeft"/>
              <w:rPr>
                <w:rFonts w:cs="Calibri"/>
                <w:color w:val="000000"/>
              </w:rPr>
            </w:pPr>
          </w:p>
        </w:tc>
        <w:tc>
          <w:tcPr>
            <w:tcW w:w="1876" w:type="dxa"/>
            <w:hideMark/>
          </w:tcPr>
          <w:p w14:paraId="5A6E4BB1" w14:textId="77777777" w:rsidR="00DB7BCC" w:rsidRPr="00D32859"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spacing w:val="-4"/>
              </w:rPr>
            </w:pPr>
            <w:r w:rsidRPr="00D32859">
              <w:rPr>
                <w:rFonts w:cs="Calibri"/>
                <w:color w:val="000000"/>
                <w:spacing w:val="-4"/>
              </w:rPr>
              <w:t>No Schizophrenia Diagnosis</w:t>
            </w:r>
          </w:p>
        </w:tc>
        <w:tc>
          <w:tcPr>
            <w:tcW w:w="934" w:type="dxa"/>
            <w:noWrap/>
            <w:hideMark/>
          </w:tcPr>
          <w:p w14:paraId="545AA22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0.187</w:t>
            </w:r>
          </w:p>
        </w:tc>
        <w:tc>
          <w:tcPr>
            <w:tcW w:w="627" w:type="dxa"/>
            <w:noWrap/>
            <w:hideMark/>
          </w:tcPr>
          <w:p w14:paraId="340AF49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0.390</w:t>
            </w:r>
          </w:p>
        </w:tc>
        <w:tc>
          <w:tcPr>
            <w:tcW w:w="809" w:type="dxa"/>
            <w:noWrap/>
            <w:hideMark/>
          </w:tcPr>
          <w:p w14:paraId="23559FC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358,312</w:t>
            </w:r>
          </w:p>
        </w:tc>
        <w:tc>
          <w:tcPr>
            <w:tcW w:w="936" w:type="dxa"/>
            <w:noWrap/>
            <w:hideMark/>
          </w:tcPr>
          <w:p w14:paraId="26DEFF6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0.187</w:t>
            </w:r>
          </w:p>
        </w:tc>
        <w:tc>
          <w:tcPr>
            <w:tcW w:w="627" w:type="dxa"/>
            <w:noWrap/>
            <w:hideMark/>
          </w:tcPr>
          <w:p w14:paraId="53F95DD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0.092</w:t>
            </w:r>
          </w:p>
        </w:tc>
        <w:tc>
          <w:tcPr>
            <w:tcW w:w="809" w:type="dxa"/>
            <w:noWrap/>
            <w:hideMark/>
          </w:tcPr>
          <w:p w14:paraId="20922D9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358,312</w:t>
            </w:r>
          </w:p>
        </w:tc>
        <w:tc>
          <w:tcPr>
            <w:tcW w:w="899" w:type="dxa"/>
            <w:noWrap/>
            <w:hideMark/>
          </w:tcPr>
          <w:p w14:paraId="22EBD8F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0.183</w:t>
            </w:r>
          </w:p>
        </w:tc>
        <w:tc>
          <w:tcPr>
            <w:tcW w:w="627" w:type="dxa"/>
            <w:noWrap/>
            <w:hideMark/>
          </w:tcPr>
          <w:p w14:paraId="4CEE5C4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0.084</w:t>
            </w:r>
          </w:p>
        </w:tc>
        <w:tc>
          <w:tcPr>
            <w:tcW w:w="809" w:type="dxa"/>
            <w:noWrap/>
            <w:hideMark/>
          </w:tcPr>
          <w:p w14:paraId="6F5721F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358,312</w:t>
            </w:r>
          </w:p>
        </w:tc>
      </w:tr>
      <w:tr w:rsidR="00DB7BCC" w:rsidRPr="00DB7BCC" w14:paraId="5960305B"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5443A4FF" w14:textId="77777777" w:rsidR="00DB7BCC" w:rsidRPr="00DB7BCC" w:rsidRDefault="00DB7BCC" w:rsidP="00323AD1">
            <w:pPr>
              <w:pStyle w:val="TableTextLeft"/>
              <w:rPr>
                <w:rFonts w:cs="Calibri"/>
                <w:color w:val="000000"/>
              </w:rPr>
            </w:pPr>
            <w:r w:rsidRPr="00DB7BCC">
              <w:rPr>
                <w:rFonts w:cs="Calibri"/>
                <w:color w:val="000000"/>
              </w:rPr>
              <w:t>Race (White vs Black)</w:t>
            </w:r>
          </w:p>
        </w:tc>
        <w:tc>
          <w:tcPr>
            <w:tcW w:w="1876" w:type="dxa"/>
            <w:noWrap/>
            <w:hideMark/>
          </w:tcPr>
          <w:p w14:paraId="421DB410"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Black (non-Hispanic)</w:t>
            </w:r>
          </w:p>
        </w:tc>
        <w:tc>
          <w:tcPr>
            <w:tcW w:w="934" w:type="dxa"/>
            <w:noWrap/>
            <w:hideMark/>
          </w:tcPr>
          <w:p w14:paraId="0891931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0.225</w:t>
            </w:r>
          </w:p>
        </w:tc>
        <w:tc>
          <w:tcPr>
            <w:tcW w:w="627" w:type="dxa"/>
            <w:noWrap/>
            <w:hideMark/>
          </w:tcPr>
          <w:p w14:paraId="53C4CBE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0.418</w:t>
            </w:r>
          </w:p>
        </w:tc>
        <w:tc>
          <w:tcPr>
            <w:tcW w:w="809" w:type="dxa"/>
            <w:noWrap/>
            <w:hideMark/>
          </w:tcPr>
          <w:p w14:paraId="3FCFEC2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90,424</w:t>
            </w:r>
          </w:p>
        </w:tc>
        <w:tc>
          <w:tcPr>
            <w:tcW w:w="936" w:type="dxa"/>
            <w:noWrap/>
            <w:hideMark/>
          </w:tcPr>
          <w:p w14:paraId="26A3A90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0.218</w:t>
            </w:r>
          </w:p>
        </w:tc>
        <w:tc>
          <w:tcPr>
            <w:tcW w:w="627" w:type="dxa"/>
            <w:noWrap/>
            <w:hideMark/>
          </w:tcPr>
          <w:p w14:paraId="6F992E7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0.103</w:t>
            </w:r>
          </w:p>
        </w:tc>
        <w:tc>
          <w:tcPr>
            <w:tcW w:w="809" w:type="dxa"/>
            <w:noWrap/>
            <w:hideMark/>
          </w:tcPr>
          <w:p w14:paraId="6299584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90,424</w:t>
            </w:r>
          </w:p>
        </w:tc>
        <w:tc>
          <w:tcPr>
            <w:tcW w:w="899" w:type="dxa"/>
            <w:noWrap/>
            <w:hideMark/>
          </w:tcPr>
          <w:p w14:paraId="2FDCD17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0.208</w:t>
            </w:r>
          </w:p>
        </w:tc>
        <w:tc>
          <w:tcPr>
            <w:tcW w:w="627" w:type="dxa"/>
            <w:noWrap/>
            <w:hideMark/>
          </w:tcPr>
          <w:p w14:paraId="455DBAF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0.091</w:t>
            </w:r>
          </w:p>
        </w:tc>
        <w:tc>
          <w:tcPr>
            <w:tcW w:w="809" w:type="dxa"/>
            <w:noWrap/>
            <w:hideMark/>
          </w:tcPr>
          <w:p w14:paraId="37DAA10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90,424</w:t>
            </w:r>
          </w:p>
        </w:tc>
      </w:tr>
      <w:tr w:rsidR="00DB7BCC" w:rsidRPr="00DB7BCC" w14:paraId="1756DF31"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5A2BF058" w14:textId="77777777" w:rsidR="00DB7BCC" w:rsidRPr="00DB7BCC" w:rsidRDefault="00DB7BCC" w:rsidP="00323AD1">
            <w:pPr>
              <w:pStyle w:val="TableTextLeft"/>
              <w:rPr>
                <w:rFonts w:cs="Calibri"/>
                <w:color w:val="000000"/>
              </w:rPr>
            </w:pPr>
          </w:p>
        </w:tc>
        <w:tc>
          <w:tcPr>
            <w:tcW w:w="1876" w:type="dxa"/>
            <w:noWrap/>
            <w:hideMark/>
          </w:tcPr>
          <w:p w14:paraId="62B03F47"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White (non-Hispanic)</w:t>
            </w:r>
          </w:p>
        </w:tc>
        <w:tc>
          <w:tcPr>
            <w:tcW w:w="934" w:type="dxa"/>
            <w:noWrap/>
            <w:hideMark/>
          </w:tcPr>
          <w:p w14:paraId="1E78626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0.194</w:t>
            </w:r>
          </w:p>
        </w:tc>
        <w:tc>
          <w:tcPr>
            <w:tcW w:w="627" w:type="dxa"/>
            <w:noWrap/>
            <w:hideMark/>
          </w:tcPr>
          <w:p w14:paraId="0B64F56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0.396</w:t>
            </w:r>
          </w:p>
        </w:tc>
        <w:tc>
          <w:tcPr>
            <w:tcW w:w="809" w:type="dxa"/>
            <w:noWrap/>
            <w:hideMark/>
          </w:tcPr>
          <w:p w14:paraId="3B27F372"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c>
          <w:tcPr>
            <w:tcW w:w="936" w:type="dxa"/>
            <w:noWrap/>
            <w:hideMark/>
          </w:tcPr>
          <w:p w14:paraId="06B333A2"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0.195</w:t>
            </w:r>
          </w:p>
        </w:tc>
        <w:tc>
          <w:tcPr>
            <w:tcW w:w="627" w:type="dxa"/>
            <w:noWrap/>
            <w:hideMark/>
          </w:tcPr>
          <w:p w14:paraId="23D091D0"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0.096</w:t>
            </w:r>
          </w:p>
        </w:tc>
        <w:tc>
          <w:tcPr>
            <w:tcW w:w="809" w:type="dxa"/>
            <w:noWrap/>
            <w:hideMark/>
          </w:tcPr>
          <w:p w14:paraId="1376A8B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c>
          <w:tcPr>
            <w:tcW w:w="899" w:type="dxa"/>
            <w:noWrap/>
            <w:hideMark/>
          </w:tcPr>
          <w:p w14:paraId="4A341BC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0.191</w:t>
            </w:r>
          </w:p>
        </w:tc>
        <w:tc>
          <w:tcPr>
            <w:tcW w:w="627" w:type="dxa"/>
            <w:noWrap/>
            <w:hideMark/>
          </w:tcPr>
          <w:p w14:paraId="4C1A4ED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0.087</w:t>
            </w:r>
          </w:p>
        </w:tc>
        <w:tc>
          <w:tcPr>
            <w:tcW w:w="809" w:type="dxa"/>
            <w:noWrap/>
            <w:hideMark/>
          </w:tcPr>
          <w:p w14:paraId="284FC57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r>
      <w:tr w:rsidR="00DB7BCC" w:rsidRPr="00DB7BCC" w14:paraId="095F0638"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7ABD0B6D" w14:textId="77777777" w:rsidR="00DB7BCC" w:rsidRPr="00DB7BCC" w:rsidRDefault="00DB7BCC" w:rsidP="00323AD1">
            <w:pPr>
              <w:pStyle w:val="TableTextLeft"/>
              <w:rPr>
                <w:rFonts w:cs="Calibri"/>
                <w:color w:val="000000"/>
              </w:rPr>
            </w:pPr>
            <w:r w:rsidRPr="00DB7BCC">
              <w:rPr>
                <w:rFonts w:cs="Calibri"/>
                <w:color w:val="000000"/>
              </w:rPr>
              <w:t>Race (White vs Non-white)</w:t>
            </w:r>
          </w:p>
        </w:tc>
        <w:tc>
          <w:tcPr>
            <w:tcW w:w="1876" w:type="dxa"/>
            <w:noWrap/>
            <w:hideMark/>
          </w:tcPr>
          <w:p w14:paraId="416C5061"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White (non-Hispanic)</w:t>
            </w:r>
          </w:p>
        </w:tc>
        <w:tc>
          <w:tcPr>
            <w:tcW w:w="934" w:type="dxa"/>
            <w:noWrap/>
            <w:hideMark/>
          </w:tcPr>
          <w:p w14:paraId="735475C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0.194</w:t>
            </w:r>
          </w:p>
        </w:tc>
        <w:tc>
          <w:tcPr>
            <w:tcW w:w="627" w:type="dxa"/>
            <w:noWrap/>
            <w:hideMark/>
          </w:tcPr>
          <w:p w14:paraId="0A37134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0.396</w:t>
            </w:r>
          </w:p>
        </w:tc>
        <w:tc>
          <w:tcPr>
            <w:tcW w:w="809" w:type="dxa"/>
            <w:noWrap/>
            <w:hideMark/>
          </w:tcPr>
          <w:p w14:paraId="7DEB8FC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c>
          <w:tcPr>
            <w:tcW w:w="936" w:type="dxa"/>
            <w:noWrap/>
            <w:hideMark/>
          </w:tcPr>
          <w:p w14:paraId="50F8220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0.195</w:t>
            </w:r>
          </w:p>
        </w:tc>
        <w:tc>
          <w:tcPr>
            <w:tcW w:w="627" w:type="dxa"/>
            <w:noWrap/>
            <w:hideMark/>
          </w:tcPr>
          <w:p w14:paraId="5A3E6B3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0.096</w:t>
            </w:r>
          </w:p>
        </w:tc>
        <w:tc>
          <w:tcPr>
            <w:tcW w:w="809" w:type="dxa"/>
            <w:noWrap/>
            <w:hideMark/>
          </w:tcPr>
          <w:p w14:paraId="27A4F74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c>
          <w:tcPr>
            <w:tcW w:w="899" w:type="dxa"/>
            <w:noWrap/>
            <w:hideMark/>
          </w:tcPr>
          <w:p w14:paraId="7EB00D4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0.191</w:t>
            </w:r>
          </w:p>
        </w:tc>
        <w:tc>
          <w:tcPr>
            <w:tcW w:w="627" w:type="dxa"/>
            <w:noWrap/>
            <w:hideMark/>
          </w:tcPr>
          <w:p w14:paraId="42FA417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0.087</w:t>
            </w:r>
          </w:p>
        </w:tc>
        <w:tc>
          <w:tcPr>
            <w:tcW w:w="809" w:type="dxa"/>
            <w:noWrap/>
            <w:hideMark/>
          </w:tcPr>
          <w:p w14:paraId="15AF83C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416,256</w:t>
            </w:r>
          </w:p>
        </w:tc>
      </w:tr>
      <w:tr w:rsidR="00DB7BCC" w:rsidRPr="00DB7BCC" w14:paraId="7FC34D1A"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1D7E4A2B" w14:textId="77777777" w:rsidR="00DB7BCC" w:rsidRPr="00DB7BCC" w:rsidRDefault="00DB7BCC" w:rsidP="00323AD1">
            <w:pPr>
              <w:pStyle w:val="TableTextLeft"/>
              <w:rPr>
                <w:rFonts w:cs="Calibri"/>
                <w:color w:val="000000"/>
              </w:rPr>
            </w:pPr>
          </w:p>
        </w:tc>
        <w:tc>
          <w:tcPr>
            <w:tcW w:w="1876" w:type="dxa"/>
            <w:noWrap/>
            <w:hideMark/>
          </w:tcPr>
          <w:p w14:paraId="10F01377"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Non-White</w:t>
            </w:r>
          </w:p>
        </w:tc>
        <w:tc>
          <w:tcPr>
            <w:tcW w:w="934" w:type="dxa"/>
            <w:noWrap/>
            <w:hideMark/>
          </w:tcPr>
          <w:p w14:paraId="6527666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0.223</w:t>
            </w:r>
          </w:p>
        </w:tc>
        <w:tc>
          <w:tcPr>
            <w:tcW w:w="627" w:type="dxa"/>
            <w:noWrap/>
            <w:hideMark/>
          </w:tcPr>
          <w:p w14:paraId="3390D47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0.416</w:t>
            </w:r>
          </w:p>
        </w:tc>
        <w:tc>
          <w:tcPr>
            <w:tcW w:w="809" w:type="dxa"/>
            <w:noWrap/>
            <w:hideMark/>
          </w:tcPr>
          <w:p w14:paraId="5633988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130,940</w:t>
            </w:r>
          </w:p>
        </w:tc>
        <w:tc>
          <w:tcPr>
            <w:tcW w:w="936" w:type="dxa"/>
            <w:noWrap/>
            <w:hideMark/>
          </w:tcPr>
          <w:p w14:paraId="146FF8F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0.219</w:t>
            </w:r>
          </w:p>
        </w:tc>
        <w:tc>
          <w:tcPr>
            <w:tcW w:w="627" w:type="dxa"/>
            <w:noWrap/>
            <w:hideMark/>
          </w:tcPr>
          <w:p w14:paraId="26B002B7"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0.104</w:t>
            </w:r>
          </w:p>
        </w:tc>
        <w:tc>
          <w:tcPr>
            <w:tcW w:w="809" w:type="dxa"/>
            <w:noWrap/>
            <w:hideMark/>
          </w:tcPr>
          <w:p w14:paraId="4964E32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130,940</w:t>
            </w:r>
          </w:p>
        </w:tc>
        <w:tc>
          <w:tcPr>
            <w:tcW w:w="899" w:type="dxa"/>
            <w:noWrap/>
            <w:hideMark/>
          </w:tcPr>
          <w:p w14:paraId="3E6BEDC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0.208</w:t>
            </w:r>
          </w:p>
        </w:tc>
        <w:tc>
          <w:tcPr>
            <w:tcW w:w="627" w:type="dxa"/>
            <w:noWrap/>
            <w:hideMark/>
          </w:tcPr>
          <w:p w14:paraId="4D8D6FC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0.092</w:t>
            </w:r>
          </w:p>
        </w:tc>
        <w:tc>
          <w:tcPr>
            <w:tcW w:w="809" w:type="dxa"/>
            <w:noWrap/>
            <w:hideMark/>
          </w:tcPr>
          <w:p w14:paraId="46066E5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130,940</w:t>
            </w:r>
          </w:p>
        </w:tc>
      </w:tr>
      <w:tr w:rsidR="00DB7BCC" w:rsidRPr="00DB7BCC" w14:paraId="6CE5211E"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0271CE51" w14:textId="77777777" w:rsidR="00DB7BCC" w:rsidRPr="00DB7BCC" w:rsidRDefault="00DB7BCC" w:rsidP="00323AD1">
            <w:pPr>
              <w:pStyle w:val="TableTextLeft"/>
              <w:rPr>
                <w:rFonts w:cs="Calibri"/>
                <w:color w:val="000000"/>
              </w:rPr>
            </w:pPr>
            <w:r w:rsidRPr="00DB7BCC">
              <w:rPr>
                <w:rFonts w:cs="Calibri"/>
                <w:color w:val="000000"/>
              </w:rPr>
              <w:t>Dual Medicare-Medicaid status</w:t>
            </w:r>
          </w:p>
        </w:tc>
        <w:tc>
          <w:tcPr>
            <w:tcW w:w="1876" w:type="dxa"/>
            <w:noWrap/>
            <w:hideMark/>
          </w:tcPr>
          <w:p w14:paraId="6304B43E" w14:textId="3C5FCA7C"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 xml:space="preserve">Dual </w:t>
            </w:r>
            <w:r w:rsidR="00DB5C50">
              <w:rPr>
                <w:rFonts w:cs="Calibri"/>
                <w:color w:val="000000"/>
              </w:rPr>
              <w:t xml:space="preserve">Medicare-Medicaid </w:t>
            </w:r>
          </w:p>
        </w:tc>
        <w:tc>
          <w:tcPr>
            <w:tcW w:w="934" w:type="dxa"/>
            <w:noWrap/>
            <w:hideMark/>
          </w:tcPr>
          <w:p w14:paraId="46839EE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0.221</w:t>
            </w:r>
          </w:p>
        </w:tc>
        <w:tc>
          <w:tcPr>
            <w:tcW w:w="627" w:type="dxa"/>
            <w:noWrap/>
            <w:hideMark/>
          </w:tcPr>
          <w:p w14:paraId="4274798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0.415</w:t>
            </w:r>
          </w:p>
        </w:tc>
        <w:tc>
          <w:tcPr>
            <w:tcW w:w="809" w:type="dxa"/>
            <w:noWrap/>
            <w:hideMark/>
          </w:tcPr>
          <w:p w14:paraId="0967404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263,104</w:t>
            </w:r>
          </w:p>
        </w:tc>
        <w:tc>
          <w:tcPr>
            <w:tcW w:w="936" w:type="dxa"/>
            <w:noWrap/>
            <w:hideMark/>
          </w:tcPr>
          <w:p w14:paraId="5919D6E2"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0.220</w:t>
            </w:r>
          </w:p>
        </w:tc>
        <w:tc>
          <w:tcPr>
            <w:tcW w:w="627" w:type="dxa"/>
            <w:noWrap/>
            <w:hideMark/>
          </w:tcPr>
          <w:p w14:paraId="4F5575F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0.101</w:t>
            </w:r>
          </w:p>
        </w:tc>
        <w:tc>
          <w:tcPr>
            <w:tcW w:w="809" w:type="dxa"/>
            <w:noWrap/>
            <w:hideMark/>
          </w:tcPr>
          <w:p w14:paraId="1C9A703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263,104</w:t>
            </w:r>
          </w:p>
        </w:tc>
        <w:tc>
          <w:tcPr>
            <w:tcW w:w="899" w:type="dxa"/>
            <w:noWrap/>
            <w:hideMark/>
          </w:tcPr>
          <w:p w14:paraId="6BD0141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0.213</w:t>
            </w:r>
          </w:p>
        </w:tc>
        <w:tc>
          <w:tcPr>
            <w:tcW w:w="627" w:type="dxa"/>
            <w:noWrap/>
            <w:hideMark/>
          </w:tcPr>
          <w:p w14:paraId="289FD14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0.091</w:t>
            </w:r>
          </w:p>
        </w:tc>
        <w:tc>
          <w:tcPr>
            <w:tcW w:w="809" w:type="dxa"/>
            <w:noWrap/>
            <w:hideMark/>
          </w:tcPr>
          <w:p w14:paraId="162D8F7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263,104</w:t>
            </w:r>
          </w:p>
        </w:tc>
      </w:tr>
      <w:tr w:rsidR="00DB7BCC" w:rsidRPr="00DB7BCC" w14:paraId="5108035E"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2D345CC8" w14:textId="77777777" w:rsidR="00DB7BCC" w:rsidRPr="00DB7BCC" w:rsidRDefault="00DB7BCC" w:rsidP="00323AD1">
            <w:pPr>
              <w:pStyle w:val="TableTextLeft"/>
              <w:rPr>
                <w:rFonts w:cs="Calibri"/>
                <w:color w:val="000000"/>
              </w:rPr>
            </w:pPr>
          </w:p>
        </w:tc>
        <w:tc>
          <w:tcPr>
            <w:tcW w:w="1876" w:type="dxa"/>
            <w:noWrap/>
            <w:hideMark/>
          </w:tcPr>
          <w:p w14:paraId="4CD83940" w14:textId="41E7C1AD" w:rsidR="00DB7BCC" w:rsidRPr="00DB7BCC" w:rsidRDefault="00DB5C50"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Pr>
                <w:rFonts w:cs="Calibri"/>
                <w:color w:val="000000"/>
              </w:rPr>
              <w:t>Medicare only</w:t>
            </w:r>
          </w:p>
        </w:tc>
        <w:tc>
          <w:tcPr>
            <w:tcW w:w="934" w:type="dxa"/>
            <w:noWrap/>
            <w:hideMark/>
          </w:tcPr>
          <w:p w14:paraId="1E1928D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0.182</w:t>
            </w:r>
          </w:p>
        </w:tc>
        <w:tc>
          <w:tcPr>
            <w:tcW w:w="627" w:type="dxa"/>
            <w:noWrap/>
            <w:hideMark/>
          </w:tcPr>
          <w:p w14:paraId="46416D3E"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0.386</w:t>
            </w:r>
          </w:p>
        </w:tc>
        <w:tc>
          <w:tcPr>
            <w:tcW w:w="809" w:type="dxa"/>
            <w:noWrap/>
            <w:hideMark/>
          </w:tcPr>
          <w:p w14:paraId="5708BDE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284,092</w:t>
            </w:r>
          </w:p>
        </w:tc>
        <w:tc>
          <w:tcPr>
            <w:tcW w:w="936" w:type="dxa"/>
            <w:noWrap/>
            <w:hideMark/>
          </w:tcPr>
          <w:p w14:paraId="0569898E"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0.184</w:t>
            </w:r>
          </w:p>
        </w:tc>
        <w:tc>
          <w:tcPr>
            <w:tcW w:w="627" w:type="dxa"/>
            <w:noWrap/>
            <w:hideMark/>
          </w:tcPr>
          <w:p w14:paraId="3CCEC92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0.092</w:t>
            </w:r>
          </w:p>
        </w:tc>
        <w:tc>
          <w:tcPr>
            <w:tcW w:w="809" w:type="dxa"/>
            <w:noWrap/>
            <w:hideMark/>
          </w:tcPr>
          <w:p w14:paraId="6406C7D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284,092</w:t>
            </w:r>
          </w:p>
        </w:tc>
        <w:tc>
          <w:tcPr>
            <w:tcW w:w="899" w:type="dxa"/>
            <w:noWrap/>
            <w:hideMark/>
          </w:tcPr>
          <w:p w14:paraId="732D363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0.178</w:t>
            </w:r>
          </w:p>
        </w:tc>
        <w:tc>
          <w:tcPr>
            <w:tcW w:w="627" w:type="dxa"/>
            <w:noWrap/>
            <w:hideMark/>
          </w:tcPr>
          <w:p w14:paraId="2885647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0.083</w:t>
            </w:r>
          </w:p>
        </w:tc>
        <w:tc>
          <w:tcPr>
            <w:tcW w:w="809" w:type="dxa"/>
            <w:noWrap/>
            <w:hideMark/>
          </w:tcPr>
          <w:p w14:paraId="206B577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284,092</w:t>
            </w:r>
          </w:p>
        </w:tc>
      </w:tr>
      <w:tr w:rsidR="00DB7BCC" w:rsidRPr="00DB7BCC" w14:paraId="3C9C4261"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3B760663" w14:textId="77777777" w:rsidR="00DB7BCC" w:rsidRPr="00DB7BCC" w:rsidRDefault="00DB7BCC" w:rsidP="00323AD1">
            <w:pPr>
              <w:pStyle w:val="TableTextLeft"/>
              <w:rPr>
                <w:rFonts w:cs="Calibri"/>
                <w:color w:val="000000"/>
              </w:rPr>
            </w:pPr>
            <w:r w:rsidRPr="00DB7BCC">
              <w:rPr>
                <w:rFonts w:cs="Calibri"/>
                <w:color w:val="000000"/>
              </w:rPr>
              <w:t>AHRQ SES Index</w:t>
            </w:r>
          </w:p>
        </w:tc>
        <w:tc>
          <w:tcPr>
            <w:tcW w:w="1876" w:type="dxa"/>
            <w:hideMark/>
          </w:tcPr>
          <w:p w14:paraId="39DFEA9E"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1st Quartile (&lt;51.2 on a 0-100 scale)</w:t>
            </w:r>
          </w:p>
        </w:tc>
        <w:tc>
          <w:tcPr>
            <w:tcW w:w="934" w:type="dxa"/>
            <w:noWrap/>
            <w:hideMark/>
          </w:tcPr>
          <w:p w14:paraId="5E38836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0.208</w:t>
            </w:r>
          </w:p>
        </w:tc>
        <w:tc>
          <w:tcPr>
            <w:tcW w:w="627" w:type="dxa"/>
            <w:noWrap/>
            <w:hideMark/>
          </w:tcPr>
          <w:p w14:paraId="391584EC"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0.406</w:t>
            </w:r>
          </w:p>
        </w:tc>
        <w:tc>
          <w:tcPr>
            <w:tcW w:w="809" w:type="dxa"/>
            <w:noWrap/>
            <w:hideMark/>
          </w:tcPr>
          <w:p w14:paraId="0999134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135,680</w:t>
            </w:r>
          </w:p>
        </w:tc>
        <w:tc>
          <w:tcPr>
            <w:tcW w:w="936" w:type="dxa"/>
            <w:noWrap/>
            <w:hideMark/>
          </w:tcPr>
          <w:p w14:paraId="508621FA"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0.209</w:t>
            </w:r>
          </w:p>
        </w:tc>
        <w:tc>
          <w:tcPr>
            <w:tcW w:w="627" w:type="dxa"/>
            <w:noWrap/>
            <w:hideMark/>
          </w:tcPr>
          <w:p w14:paraId="44D245B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0.102</w:t>
            </w:r>
          </w:p>
        </w:tc>
        <w:tc>
          <w:tcPr>
            <w:tcW w:w="809" w:type="dxa"/>
            <w:noWrap/>
            <w:hideMark/>
          </w:tcPr>
          <w:p w14:paraId="51C96BC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135,680</w:t>
            </w:r>
          </w:p>
        </w:tc>
        <w:tc>
          <w:tcPr>
            <w:tcW w:w="899" w:type="dxa"/>
            <w:noWrap/>
            <w:hideMark/>
          </w:tcPr>
          <w:p w14:paraId="3738732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0.201</w:t>
            </w:r>
          </w:p>
        </w:tc>
        <w:tc>
          <w:tcPr>
            <w:tcW w:w="627" w:type="dxa"/>
            <w:noWrap/>
            <w:hideMark/>
          </w:tcPr>
          <w:p w14:paraId="0BA6926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0.091</w:t>
            </w:r>
          </w:p>
        </w:tc>
        <w:tc>
          <w:tcPr>
            <w:tcW w:w="809" w:type="dxa"/>
            <w:noWrap/>
            <w:hideMark/>
          </w:tcPr>
          <w:p w14:paraId="104B878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135,680</w:t>
            </w:r>
          </w:p>
        </w:tc>
      </w:tr>
      <w:tr w:rsidR="00DB7BCC" w:rsidRPr="00DB7BCC" w14:paraId="72B4C882"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51AB5D60" w14:textId="77777777" w:rsidR="00DB7BCC" w:rsidRPr="00DB7BCC" w:rsidRDefault="00DB7BCC" w:rsidP="00323AD1">
            <w:pPr>
              <w:pStyle w:val="TableTextLeft"/>
              <w:rPr>
                <w:rFonts w:cs="Calibri"/>
                <w:color w:val="000000"/>
              </w:rPr>
            </w:pPr>
          </w:p>
        </w:tc>
        <w:tc>
          <w:tcPr>
            <w:tcW w:w="1876" w:type="dxa"/>
            <w:hideMark/>
          </w:tcPr>
          <w:p w14:paraId="362A196C" w14:textId="0043C59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 xml:space="preserve">4th Quartile (&gt;53.9 on a </w:t>
            </w:r>
            <w:r w:rsidR="00D32859">
              <w:rPr>
                <w:rFonts w:cs="Calibri"/>
                <w:color w:val="000000"/>
              </w:rPr>
              <w:t>0</w:t>
            </w:r>
            <w:r w:rsidRPr="00DB7BCC">
              <w:rPr>
                <w:rFonts w:cs="Calibri"/>
                <w:color w:val="000000"/>
              </w:rPr>
              <w:t xml:space="preserve">-100 scale) </w:t>
            </w:r>
          </w:p>
        </w:tc>
        <w:tc>
          <w:tcPr>
            <w:tcW w:w="934" w:type="dxa"/>
            <w:noWrap/>
            <w:hideMark/>
          </w:tcPr>
          <w:p w14:paraId="081E0D2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0.195</w:t>
            </w:r>
          </w:p>
        </w:tc>
        <w:tc>
          <w:tcPr>
            <w:tcW w:w="627" w:type="dxa"/>
            <w:noWrap/>
            <w:hideMark/>
          </w:tcPr>
          <w:p w14:paraId="03EAEDCE"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0.396</w:t>
            </w:r>
          </w:p>
        </w:tc>
        <w:tc>
          <w:tcPr>
            <w:tcW w:w="809" w:type="dxa"/>
            <w:noWrap/>
            <w:hideMark/>
          </w:tcPr>
          <w:p w14:paraId="66B1B580"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135,672</w:t>
            </w:r>
          </w:p>
        </w:tc>
        <w:tc>
          <w:tcPr>
            <w:tcW w:w="936" w:type="dxa"/>
            <w:noWrap/>
            <w:hideMark/>
          </w:tcPr>
          <w:p w14:paraId="4A8CDC2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0.195</w:t>
            </w:r>
          </w:p>
        </w:tc>
        <w:tc>
          <w:tcPr>
            <w:tcW w:w="627" w:type="dxa"/>
            <w:noWrap/>
            <w:hideMark/>
          </w:tcPr>
          <w:p w14:paraId="18E65FD2"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0.096</w:t>
            </w:r>
          </w:p>
        </w:tc>
        <w:tc>
          <w:tcPr>
            <w:tcW w:w="809" w:type="dxa"/>
            <w:noWrap/>
            <w:hideMark/>
          </w:tcPr>
          <w:p w14:paraId="58F6AFB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135,672</w:t>
            </w:r>
          </w:p>
        </w:tc>
        <w:tc>
          <w:tcPr>
            <w:tcW w:w="899" w:type="dxa"/>
            <w:noWrap/>
            <w:hideMark/>
          </w:tcPr>
          <w:p w14:paraId="0AC0C53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0.189</w:t>
            </w:r>
          </w:p>
        </w:tc>
        <w:tc>
          <w:tcPr>
            <w:tcW w:w="627" w:type="dxa"/>
            <w:noWrap/>
            <w:hideMark/>
          </w:tcPr>
          <w:p w14:paraId="2059D958"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0.087</w:t>
            </w:r>
          </w:p>
        </w:tc>
        <w:tc>
          <w:tcPr>
            <w:tcW w:w="809" w:type="dxa"/>
            <w:noWrap/>
            <w:hideMark/>
          </w:tcPr>
          <w:p w14:paraId="31F3D81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135,672</w:t>
            </w:r>
          </w:p>
        </w:tc>
      </w:tr>
      <w:tr w:rsidR="00DB7BCC" w:rsidRPr="00DB7BCC" w14:paraId="5A56AD91"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val="restart"/>
            <w:hideMark/>
          </w:tcPr>
          <w:p w14:paraId="1C7D163E" w14:textId="77777777" w:rsidR="00DB7BCC" w:rsidRPr="00DB7BCC" w:rsidRDefault="00DB7BCC" w:rsidP="00323AD1">
            <w:pPr>
              <w:pStyle w:val="TableTextLeft"/>
              <w:rPr>
                <w:rFonts w:cs="Calibri"/>
                <w:color w:val="000000"/>
              </w:rPr>
            </w:pPr>
            <w:r w:rsidRPr="00DB7BCC">
              <w:rPr>
                <w:rFonts w:cs="Calibri"/>
                <w:color w:val="000000"/>
              </w:rPr>
              <w:t>Length of Stay</w:t>
            </w:r>
          </w:p>
        </w:tc>
        <w:tc>
          <w:tcPr>
            <w:tcW w:w="1876" w:type="dxa"/>
            <w:noWrap/>
            <w:hideMark/>
          </w:tcPr>
          <w:p w14:paraId="05CB1B79"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1st Quartile (&lt;6 days)</w:t>
            </w:r>
          </w:p>
        </w:tc>
        <w:tc>
          <w:tcPr>
            <w:tcW w:w="934" w:type="dxa"/>
            <w:noWrap/>
            <w:hideMark/>
          </w:tcPr>
          <w:p w14:paraId="5BE9A75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0.211</w:t>
            </w:r>
          </w:p>
        </w:tc>
        <w:tc>
          <w:tcPr>
            <w:tcW w:w="627" w:type="dxa"/>
            <w:noWrap/>
            <w:hideMark/>
          </w:tcPr>
          <w:p w14:paraId="2DC622F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0.408</w:t>
            </w:r>
          </w:p>
        </w:tc>
        <w:tc>
          <w:tcPr>
            <w:tcW w:w="809" w:type="dxa"/>
            <w:noWrap/>
            <w:hideMark/>
          </w:tcPr>
          <w:p w14:paraId="2537BCC4"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119,267</w:t>
            </w:r>
          </w:p>
        </w:tc>
        <w:tc>
          <w:tcPr>
            <w:tcW w:w="936" w:type="dxa"/>
            <w:noWrap/>
            <w:hideMark/>
          </w:tcPr>
          <w:p w14:paraId="665161A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0.214</w:t>
            </w:r>
          </w:p>
        </w:tc>
        <w:tc>
          <w:tcPr>
            <w:tcW w:w="627" w:type="dxa"/>
            <w:noWrap/>
            <w:hideMark/>
          </w:tcPr>
          <w:p w14:paraId="5B1D05B5"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0.110</w:t>
            </w:r>
          </w:p>
        </w:tc>
        <w:tc>
          <w:tcPr>
            <w:tcW w:w="809" w:type="dxa"/>
            <w:noWrap/>
            <w:hideMark/>
          </w:tcPr>
          <w:p w14:paraId="0370E51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119,267</w:t>
            </w:r>
          </w:p>
        </w:tc>
        <w:tc>
          <w:tcPr>
            <w:tcW w:w="899" w:type="dxa"/>
            <w:noWrap/>
            <w:hideMark/>
          </w:tcPr>
          <w:p w14:paraId="1D128D1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0.203</w:t>
            </w:r>
          </w:p>
        </w:tc>
        <w:tc>
          <w:tcPr>
            <w:tcW w:w="627" w:type="dxa"/>
            <w:noWrap/>
            <w:hideMark/>
          </w:tcPr>
          <w:p w14:paraId="6BBC4383"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0.098</w:t>
            </w:r>
          </w:p>
        </w:tc>
        <w:tc>
          <w:tcPr>
            <w:tcW w:w="809" w:type="dxa"/>
            <w:noWrap/>
            <w:hideMark/>
          </w:tcPr>
          <w:p w14:paraId="3076D85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119,267</w:t>
            </w:r>
          </w:p>
        </w:tc>
      </w:tr>
      <w:tr w:rsidR="00DB7BCC" w:rsidRPr="00DB7BCC" w14:paraId="2D7D9B30" w14:textId="77777777" w:rsidTr="00323AD1">
        <w:trPr>
          <w:trHeight w:val="120"/>
        </w:trPr>
        <w:tc>
          <w:tcPr>
            <w:cnfStyle w:val="001000000000" w:firstRow="0" w:lastRow="0" w:firstColumn="1" w:lastColumn="0" w:oddVBand="0" w:evenVBand="0" w:oddHBand="0" w:evenHBand="0" w:firstRowFirstColumn="0" w:firstRowLastColumn="0" w:lastRowFirstColumn="0" w:lastRowLastColumn="0"/>
            <w:tcW w:w="1440" w:type="dxa"/>
            <w:vMerge/>
            <w:hideMark/>
          </w:tcPr>
          <w:p w14:paraId="4A4D6858" w14:textId="77777777" w:rsidR="00DB7BCC" w:rsidRPr="00DB7BCC" w:rsidRDefault="00DB7BCC" w:rsidP="00323AD1">
            <w:pPr>
              <w:pStyle w:val="TableTextLeft"/>
              <w:rPr>
                <w:rFonts w:cs="Calibri"/>
                <w:color w:val="000000"/>
              </w:rPr>
            </w:pPr>
          </w:p>
        </w:tc>
        <w:tc>
          <w:tcPr>
            <w:tcW w:w="1876" w:type="dxa"/>
            <w:noWrap/>
            <w:hideMark/>
          </w:tcPr>
          <w:p w14:paraId="16A8DB8D" w14:textId="77777777" w:rsidR="00DB7BCC" w:rsidRPr="00DB7BCC" w:rsidRDefault="00DB7BCC" w:rsidP="00323AD1">
            <w:pPr>
              <w:pStyle w:val="TableTextLeft"/>
              <w:cnfStyle w:val="000000000000" w:firstRow="0" w:lastRow="0" w:firstColumn="0" w:lastColumn="0" w:oddVBand="0" w:evenVBand="0" w:oddHBand="0" w:evenHBand="0" w:firstRowFirstColumn="0" w:firstRowLastColumn="0" w:lastRowFirstColumn="0" w:lastRowLastColumn="0"/>
              <w:rPr>
                <w:rFonts w:cs="Calibri"/>
                <w:color w:val="000000"/>
              </w:rPr>
            </w:pPr>
            <w:r w:rsidRPr="00DB7BCC">
              <w:rPr>
                <w:rFonts w:cs="Calibri"/>
                <w:color w:val="000000"/>
              </w:rPr>
              <w:t>4th Quartile (&gt;16 days)</w:t>
            </w:r>
          </w:p>
        </w:tc>
        <w:tc>
          <w:tcPr>
            <w:tcW w:w="934" w:type="dxa"/>
            <w:noWrap/>
            <w:hideMark/>
          </w:tcPr>
          <w:p w14:paraId="66FB730F"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0.185</w:t>
            </w:r>
          </w:p>
        </w:tc>
        <w:tc>
          <w:tcPr>
            <w:tcW w:w="627" w:type="dxa"/>
            <w:noWrap/>
            <w:hideMark/>
          </w:tcPr>
          <w:p w14:paraId="5779E130"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0.388</w:t>
            </w:r>
          </w:p>
        </w:tc>
        <w:tc>
          <w:tcPr>
            <w:tcW w:w="809" w:type="dxa"/>
            <w:noWrap/>
            <w:hideMark/>
          </w:tcPr>
          <w:p w14:paraId="79C0C700"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136,278</w:t>
            </w:r>
          </w:p>
        </w:tc>
        <w:tc>
          <w:tcPr>
            <w:tcW w:w="936" w:type="dxa"/>
            <w:noWrap/>
            <w:hideMark/>
          </w:tcPr>
          <w:p w14:paraId="739F3FA9"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0.188</w:t>
            </w:r>
          </w:p>
        </w:tc>
        <w:tc>
          <w:tcPr>
            <w:tcW w:w="627" w:type="dxa"/>
            <w:noWrap/>
            <w:hideMark/>
          </w:tcPr>
          <w:p w14:paraId="3F5A2F8E"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0.087</w:t>
            </w:r>
          </w:p>
        </w:tc>
        <w:tc>
          <w:tcPr>
            <w:tcW w:w="809" w:type="dxa"/>
            <w:noWrap/>
            <w:hideMark/>
          </w:tcPr>
          <w:p w14:paraId="01DF297D"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136,278</w:t>
            </w:r>
          </w:p>
        </w:tc>
        <w:tc>
          <w:tcPr>
            <w:tcW w:w="899" w:type="dxa"/>
            <w:noWrap/>
            <w:hideMark/>
          </w:tcPr>
          <w:p w14:paraId="69475E26"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0.188</w:t>
            </w:r>
          </w:p>
        </w:tc>
        <w:tc>
          <w:tcPr>
            <w:tcW w:w="627" w:type="dxa"/>
            <w:noWrap/>
            <w:hideMark/>
          </w:tcPr>
          <w:p w14:paraId="71F3CB6B"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0.080</w:t>
            </w:r>
          </w:p>
        </w:tc>
        <w:tc>
          <w:tcPr>
            <w:tcW w:w="809" w:type="dxa"/>
            <w:noWrap/>
            <w:hideMark/>
          </w:tcPr>
          <w:p w14:paraId="30CFC321" w14:textId="77777777" w:rsidR="00DB7BCC" w:rsidRPr="00DB7BCC" w:rsidRDefault="00DB7BCC" w:rsidP="00323AD1">
            <w:pPr>
              <w:pStyle w:val="TableTextCentered"/>
              <w:cnfStyle w:val="000000000000" w:firstRow="0" w:lastRow="0" w:firstColumn="0" w:lastColumn="0" w:oddVBand="0" w:evenVBand="0" w:oddHBand="0" w:evenHBand="0" w:firstRowFirstColumn="0" w:firstRowLastColumn="0" w:lastRowFirstColumn="0" w:lastRowLastColumn="0"/>
            </w:pPr>
            <w:r w:rsidRPr="00DB7BCC">
              <w:t>136,278</w:t>
            </w:r>
          </w:p>
        </w:tc>
      </w:tr>
    </w:tbl>
    <w:p w14:paraId="0B85531B" w14:textId="18C50851" w:rsidR="00F060C0" w:rsidRPr="007D17AA" w:rsidRDefault="00F8487A" w:rsidP="00F060C0">
      <w:pPr>
        <w:tabs>
          <w:tab w:val="left" w:pos="792"/>
        </w:tabs>
        <w:spacing w:before="60" w:after="0" w:line="240" w:lineRule="auto"/>
        <w:ind w:left="792" w:hanging="792"/>
        <w:rPr>
          <w:rFonts w:ascii="Calibri" w:eastAsia="Calibri" w:hAnsi="Calibri" w:cs="Calibri"/>
          <w:color w:val="0070C0"/>
          <w:sz w:val="18"/>
          <w:szCs w:val="18"/>
        </w:rPr>
      </w:pPr>
      <w:r w:rsidRPr="007D17AA">
        <w:rPr>
          <w:rFonts w:ascii="Calibri" w:eastAsia="Calibri" w:hAnsi="Calibri" w:cs="Calibri"/>
          <w:color w:val="0070C0"/>
          <w:sz w:val="18"/>
          <w:szCs w:val="18"/>
        </w:rPr>
        <w:t xml:space="preserve"> </w:t>
      </w:r>
      <w:r w:rsidR="00F060C0" w:rsidRPr="007D17AA">
        <w:rPr>
          <w:rFonts w:ascii="Calibri" w:eastAsia="Calibri" w:hAnsi="Calibri" w:cs="Calibri"/>
          <w:color w:val="0070C0"/>
          <w:sz w:val="18"/>
          <w:szCs w:val="18"/>
        </w:rPr>
        <w:t>Source:</w:t>
      </w:r>
      <w:r w:rsidR="00F060C0" w:rsidRPr="007D17AA">
        <w:rPr>
          <w:rFonts w:ascii="Calibri" w:eastAsia="Calibri" w:hAnsi="Calibri" w:cs="Calibri"/>
          <w:color w:val="0070C0"/>
          <w:sz w:val="18"/>
          <w:szCs w:val="18"/>
        </w:rPr>
        <w:tab/>
      </w:r>
      <w:r w:rsidR="003930C5" w:rsidRPr="007D17AA">
        <w:rPr>
          <w:rFonts w:ascii="Calibri" w:eastAsia="Calibri" w:hAnsi="Calibri" w:cs="Calibri"/>
          <w:color w:val="0070C0"/>
          <w:sz w:val="18"/>
          <w:szCs w:val="18"/>
        </w:rPr>
        <w:t>Mathematica analysis of the Medicare fee-for-service (FFS) data for the July 1, 2017– June 30, 2019 performance period. Facilities with less than the 25 discharges during the performance period were excluded from the analysis.</w:t>
      </w:r>
      <w:r w:rsidR="00661804" w:rsidRPr="007D17AA">
        <w:rPr>
          <w:rFonts w:ascii="Calibri" w:eastAsia="Calibri" w:hAnsi="Calibri" w:cs="Calibri"/>
          <w:color w:val="0070C0"/>
          <w:sz w:val="18"/>
          <w:szCs w:val="18"/>
        </w:rPr>
        <w:t xml:space="preserve"> </w:t>
      </w:r>
      <w:r w:rsidR="00661804" w:rsidRPr="007D17AA">
        <w:rPr>
          <w:color w:val="0070C0"/>
          <w:sz w:val="18"/>
          <w:szCs w:val="18"/>
        </w:rPr>
        <w:t>Higher values on the AHRQ SES Index represent higher SES levels.</w:t>
      </w:r>
    </w:p>
    <w:p w14:paraId="356A700E" w14:textId="77777777" w:rsidR="003930C5" w:rsidRPr="007D17AA" w:rsidRDefault="003930C5" w:rsidP="00F060C0">
      <w:pPr>
        <w:tabs>
          <w:tab w:val="left" w:pos="792"/>
        </w:tabs>
        <w:spacing w:before="60" w:after="0" w:line="240" w:lineRule="auto"/>
        <w:ind w:left="792" w:hanging="792"/>
        <w:rPr>
          <w:rFonts w:ascii="Calibri" w:eastAsia="Calibri" w:hAnsi="Calibri" w:cs="Calibri"/>
          <w:bCs/>
          <w:color w:val="0070C0"/>
          <w:sz w:val="18"/>
          <w:szCs w:val="18"/>
        </w:rPr>
      </w:pPr>
    </w:p>
    <w:p w14:paraId="504EC56B" w14:textId="77777777" w:rsidR="009E7C92" w:rsidRDefault="009E7C92" w:rsidP="00086FAC">
      <w:pPr>
        <w:spacing w:after="0" w:line="240" w:lineRule="auto"/>
        <w:rPr>
          <w:b/>
          <w:bCs/>
          <w:color w:val="0070C0"/>
        </w:rPr>
      </w:pPr>
      <w:bookmarkStart w:id="23" w:name="_Hlk40353150"/>
    </w:p>
    <w:p w14:paraId="719DDAB4" w14:textId="77777777" w:rsidR="009E7C92" w:rsidRDefault="009E7C92" w:rsidP="00086FAC">
      <w:pPr>
        <w:spacing w:after="0" w:line="240" w:lineRule="auto"/>
        <w:rPr>
          <w:b/>
          <w:bCs/>
          <w:color w:val="0070C0"/>
        </w:rPr>
      </w:pPr>
    </w:p>
    <w:p w14:paraId="4C9DF6AC" w14:textId="77777777" w:rsidR="009E7C92" w:rsidRDefault="009E7C92" w:rsidP="00086FAC">
      <w:pPr>
        <w:spacing w:after="0" w:line="240" w:lineRule="auto"/>
        <w:rPr>
          <w:b/>
          <w:bCs/>
          <w:color w:val="0070C0"/>
        </w:rPr>
      </w:pPr>
    </w:p>
    <w:p w14:paraId="0512617E" w14:textId="77777777" w:rsidR="009E7C92" w:rsidRDefault="009E7C92" w:rsidP="00086FAC">
      <w:pPr>
        <w:spacing w:after="0" w:line="240" w:lineRule="auto"/>
        <w:rPr>
          <w:b/>
          <w:bCs/>
          <w:color w:val="0070C0"/>
        </w:rPr>
      </w:pPr>
    </w:p>
    <w:p w14:paraId="2C6F5EF5" w14:textId="630D01FE" w:rsidR="00086FAC" w:rsidRDefault="00086FAC" w:rsidP="00FF79D1">
      <w:pPr>
        <w:pageBreakBefore/>
        <w:spacing w:after="0" w:line="240" w:lineRule="auto"/>
        <w:rPr>
          <w:b/>
          <w:bCs/>
          <w:color w:val="0070C0"/>
        </w:rPr>
      </w:pPr>
      <w:r w:rsidRPr="007D17AA">
        <w:rPr>
          <w:b/>
          <w:bCs/>
          <w:color w:val="0070C0"/>
        </w:rPr>
        <w:lastRenderedPageBreak/>
        <w:t xml:space="preserve">Table </w:t>
      </w:r>
      <w:r w:rsidR="0078380D" w:rsidRPr="007D17AA">
        <w:rPr>
          <w:rFonts w:ascii="Calibri" w:eastAsia="Arial" w:hAnsi="Calibri"/>
          <w:b/>
          <w:color w:val="0070C0"/>
          <w:sz w:val="20"/>
        </w:rPr>
        <w:t>2b1.3.c</w:t>
      </w:r>
      <w:r w:rsidRPr="007D17AA">
        <w:rPr>
          <w:b/>
          <w:bCs/>
          <w:color w:val="0070C0"/>
        </w:rPr>
        <w:t>. Effect sizes for differences in group means by beneficiaries’ characteristics</w:t>
      </w:r>
      <w:r w:rsidR="00150B13" w:rsidRPr="007D17AA">
        <w:rPr>
          <w:b/>
          <w:bCs/>
          <w:color w:val="0070C0"/>
        </w:rPr>
        <w:t xml:space="preserve"> </w:t>
      </w:r>
    </w:p>
    <w:tbl>
      <w:tblPr>
        <w:tblStyle w:val="MathUBaseTable"/>
        <w:tblW w:w="10257" w:type="dxa"/>
        <w:tblLook w:val="04A0" w:firstRow="1" w:lastRow="0" w:firstColumn="1" w:lastColumn="0" w:noHBand="0" w:noVBand="1"/>
      </w:tblPr>
      <w:tblGrid>
        <w:gridCol w:w="1522"/>
        <w:gridCol w:w="1786"/>
        <w:gridCol w:w="918"/>
        <w:gridCol w:w="887"/>
        <w:gridCol w:w="918"/>
        <w:gridCol w:w="1691"/>
        <w:gridCol w:w="918"/>
        <w:gridCol w:w="1617"/>
      </w:tblGrid>
      <w:tr w:rsidR="009E7C92" w:rsidRPr="00DB5C50" w14:paraId="42F4B41B" w14:textId="77777777" w:rsidTr="00A257D0">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22" w:type="dxa"/>
            <w:vMerge w:val="restart"/>
            <w:hideMark/>
          </w:tcPr>
          <w:p w14:paraId="71885F56" w14:textId="77777777" w:rsidR="009E7C92" w:rsidRPr="00DB5C50" w:rsidRDefault="009E7C92" w:rsidP="00A257D0">
            <w:pPr>
              <w:pStyle w:val="TableHeaderLeft"/>
              <w:rPr>
                <w:b w:val="0"/>
              </w:rPr>
            </w:pPr>
            <w:r w:rsidRPr="00DB5C50">
              <w:t>Category</w:t>
            </w:r>
          </w:p>
        </w:tc>
        <w:tc>
          <w:tcPr>
            <w:tcW w:w="1786" w:type="dxa"/>
            <w:vMerge w:val="restart"/>
            <w:hideMark/>
          </w:tcPr>
          <w:p w14:paraId="17BE60FA" w14:textId="6B67FA63" w:rsidR="009E7C92" w:rsidRPr="00DB5C50" w:rsidRDefault="00DB5C50"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Patient group</w:t>
            </w:r>
          </w:p>
        </w:tc>
        <w:tc>
          <w:tcPr>
            <w:tcW w:w="6949" w:type="dxa"/>
            <w:gridSpan w:val="6"/>
            <w:tcBorders>
              <w:bottom w:val="single" w:sz="4" w:space="0" w:color="FFFFFF" w:themeColor="background1"/>
            </w:tcBorders>
            <w:hideMark/>
          </w:tcPr>
          <w:p w14:paraId="7D9B1EAC"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Effect size for the difference in the IPF readmission rates</w:t>
            </w:r>
          </w:p>
        </w:tc>
      </w:tr>
      <w:tr w:rsidR="009E7C92" w:rsidRPr="00DB5C50" w14:paraId="61D257BE" w14:textId="77777777" w:rsidTr="00A17313">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22" w:type="dxa"/>
            <w:vMerge/>
            <w:hideMark/>
          </w:tcPr>
          <w:p w14:paraId="40AE40F5" w14:textId="77777777" w:rsidR="009E7C92" w:rsidRPr="00DB5C50" w:rsidRDefault="009E7C92" w:rsidP="00A257D0">
            <w:pPr>
              <w:pStyle w:val="TableTextLeft"/>
              <w:rPr>
                <w:b w:val="0"/>
              </w:rPr>
            </w:pPr>
          </w:p>
        </w:tc>
        <w:tc>
          <w:tcPr>
            <w:tcW w:w="1786" w:type="dxa"/>
            <w:vMerge/>
            <w:hideMark/>
          </w:tcPr>
          <w:p w14:paraId="77FEC5FA" w14:textId="77777777" w:rsidR="009E7C92" w:rsidRPr="00DB5C50" w:rsidRDefault="009E7C92" w:rsidP="00A257D0">
            <w:pPr>
              <w:pStyle w:val="TableTextLeft"/>
              <w:cnfStyle w:val="100000000000" w:firstRow="1" w:lastRow="0" w:firstColumn="0" w:lastColumn="0" w:oddVBand="0" w:evenVBand="0" w:oddHBand="0" w:evenHBand="0" w:firstRowFirstColumn="0" w:firstRowLastColumn="0" w:lastRowFirstColumn="0" w:lastRowLastColumn="0"/>
              <w:rPr>
                <w:b w:val="0"/>
              </w:rPr>
            </w:pPr>
          </w:p>
        </w:tc>
        <w:tc>
          <w:tcPr>
            <w:tcW w:w="2723" w:type="dxa"/>
            <w:gridSpan w:val="3"/>
            <w:tcBorders>
              <w:top w:val="single" w:sz="4" w:space="0" w:color="FFFFFF" w:themeColor="background1"/>
              <w:bottom w:val="single" w:sz="4" w:space="0" w:color="FFFFFF" w:themeColor="background1"/>
            </w:tcBorders>
            <w:hideMark/>
          </w:tcPr>
          <w:p w14:paraId="03FDF2E6"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 xml:space="preserve">Cohen's </w:t>
            </w:r>
            <w:r w:rsidRPr="00DB5C50">
              <w:rPr>
                <w:i/>
                <w:iCs/>
              </w:rPr>
              <w:t>d</w:t>
            </w:r>
            <w:r w:rsidRPr="00DB5C50">
              <w:t xml:space="preserve"> </w:t>
            </w:r>
          </w:p>
        </w:tc>
        <w:tc>
          <w:tcPr>
            <w:tcW w:w="1691" w:type="dxa"/>
            <w:tcBorders>
              <w:top w:val="single" w:sz="4" w:space="0" w:color="FFFFFF" w:themeColor="background1"/>
              <w:bottom w:val="single" w:sz="4" w:space="0" w:color="FFFFFF" w:themeColor="background1"/>
            </w:tcBorders>
            <w:hideMark/>
          </w:tcPr>
          <w:p w14:paraId="405C0466"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Binomial Effect Size Display (BESD)</w:t>
            </w:r>
          </w:p>
        </w:tc>
        <w:tc>
          <w:tcPr>
            <w:tcW w:w="918" w:type="dxa"/>
            <w:tcBorders>
              <w:top w:val="single" w:sz="4" w:space="0" w:color="FFFFFF" w:themeColor="background1"/>
              <w:bottom w:val="single" w:sz="4" w:space="0" w:color="FFFFFF" w:themeColor="background1"/>
            </w:tcBorders>
            <w:hideMark/>
          </w:tcPr>
          <w:p w14:paraId="2521824A"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Cohen's U3</w:t>
            </w:r>
          </w:p>
        </w:tc>
        <w:tc>
          <w:tcPr>
            <w:tcW w:w="1617" w:type="dxa"/>
            <w:tcBorders>
              <w:top w:val="single" w:sz="4" w:space="0" w:color="FFFFFF" w:themeColor="background1"/>
              <w:bottom w:val="single" w:sz="4" w:space="0" w:color="FFFFFF" w:themeColor="background1"/>
            </w:tcBorders>
            <w:hideMark/>
          </w:tcPr>
          <w:p w14:paraId="1190246E"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Common language effect size (CLES)</w:t>
            </w:r>
          </w:p>
        </w:tc>
      </w:tr>
      <w:tr w:rsidR="009E7C92" w:rsidRPr="00DB5C50" w14:paraId="6C15B784" w14:textId="77777777" w:rsidTr="00A17313">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22" w:type="dxa"/>
            <w:vMerge/>
            <w:hideMark/>
          </w:tcPr>
          <w:p w14:paraId="5D7CEE50" w14:textId="77777777" w:rsidR="009E7C92" w:rsidRPr="00DB5C50" w:rsidRDefault="009E7C92" w:rsidP="00A257D0">
            <w:pPr>
              <w:pStyle w:val="TableTextLeft"/>
              <w:rPr>
                <w:b w:val="0"/>
              </w:rPr>
            </w:pPr>
          </w:p>
        </w:tc>
        <w:tc>
          <w:tcPr>
            <w:tcW w:w="1786" w:type="dxa"/>
            <w:vMerge/>
            <w:hideMark/>
          </w:tcPr>
          <w:p w14:paraId="1CCF482F" w14:textId="77777777" w:rsidR="009E7C92" w:rsidRPr="00DB5C50" w:rsidRDefault="009E7C92" w:rsidP="00A257D0">
            <w:pPr>
              <w:pStyle w:val="TableTextLeft"/>
              <w:cnfStyle w:val="100000000000" w:firstRow="1" w:lastRow="0" w:firstColumn="0" w:lastColumn="0" w:oddVBand="0" w:evenVBand="0" w:oddHBand="0" w:evenHBand="0" w:firstRowFirstColumn="0" w:firstRowLastColumn="0" w:lastRowFirstColumn="0" w:lastRowLastColumn="0"/>
              <w:rPr>
                <w:b w:val="0"/>
              </w:rPr>
            </w:pPr>
          </w:p>
        </w:tc>
        <w:tc>
          <w:tcPr>
            <w:tcW w:w="918" w:type="dxa"/>
            <w:tcBorders>
              <w:top w:val="single" w:sz="4" w:space="0" w:color="FFFFFF" w:themeColor="background1"/>
            </w:tcBorders>
            <w:noWrap/>
            <w:hideMark/>
          </w:tcPr>
          <w:p w14:paraId="5710F3BC"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Predicted rate</w:t>
            </w:r>
          </w:p>
        </w:tc>
        <w:tc>
          <w:tcPr>
            <w:tcW w:w="887" w:type="dxa"/>
            <w:tcBorders>
              <w:top w:val="single" w:sz="4" w:space="0" w:color="FFFFFF" w:themeColor="background1"/>
            </w:tcBorders>
            <w:noWrap/>
            <w:hideMark/>
          </w:tcPr>
          <w:p w14:paraId="40636A22"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Expected rate</w:t>
            </w:r>
          </w:p>
        </w:tc>
        <w:tc>
          <w:tcPr>
            <w:tcW w:w="918" w:type="dxa"/>
            <w:tcBorders>
              <w:top w:val="single" w:sz="4" w:space="0" w:color="FFFFFF" w:themeColor="background1"/>
            </w:tcBorders>
            <w:noWrap/>
            <w:hideMark/>
          </w:tcPr>
          <w:p w14:paraId="40EB7756"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Observed rate</w:t>
            </w:r>
          </w:p>
        </w:tc>
        <w:tc>
          <w:tcPr>
            <w:tcW w:w="1691" w:type="dxa"/>
            <w:tcBorders>
              <w:top w:val="single" w:sz="4" w:space="0" w:color="FFFFFF" w:themeColor="background1"/>
            </w:tcBorders>
            <w:noWrap/>
            <w:hideMark/>
          </w:tcPr>
          <w:p w14:paraId="244E080B"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 xml:space="preserve">Observed </w:t>
            </w:r>
          </w:p>
          <w:p w14:paraId="609753C1"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rate</w:t>
            </w:r>
          </w:p>
        </w:tc>
        <w:tc>
          <w:tcPr>
            <w:tcW w:w="918" w:type="dxa"/>
            <w:tcBorders>
              <w:top w:val="single" w:sz="4" w:space="0" w:color="FFFFFF" w:themeColor="background1"/>
            </w:tcBorders>
            <w:noWrap/>
            <w:hideMark/>
          </w:tcPr>
          <w:p w14:paraId="2874F113"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Observed rate</w:t>
            </w:r>
          </w:p>
        </w:tc>
        <w:tc>
          <w:tcPr>
            <w:tcW w:w="1617" w:type="dxa"/>
            <w:tcBorders>
              <w:top w:val="single" w:sz="4" w:space="0" w:color="FFFFFF" w:themeColor="background1"/>
            </w:tcBorders>
            <w:noWrap/>
            <w:hideMark/>
          </w:tcPr>
          <w:p w14:paraId="29513734"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 xml:space="preserve">Observed </w:t>
            </w:r>
          </w:p>
          <w:p w14:paraId="2BBF7C71" w14:textId="77777777" w:rsidR="009E7C92" w:rsidRPr="00DB5C50" w:rsidRDefault="009E7C92" w:rsidP="00A257D0">
            <w:pPr>
              <w:pStyle w:val="TableHeaderCenter"/>
              <w:cnfStyle w:val="100000000000" w:firstRow="1" w:lastRow="0" w:firstColumn="0" w:lastColumn="0" w:oddVBand="0" w:evenVBand="0" w:oddHBand="0" w:evenHBand="0" w:firstRowFirstColumn="0" w:firstRowLastColumn="0" w:lastRowFirstColumn="0" w:lastRowLastColumn="0"/>
            </w:pPr>
            <w:r w:rsidRPr="00DB5C50">
              <w:t>rate</w:t>
            </w:r>
          </w:p>
        </w:tc>
      </w:tr>
      <w:tr w:rsidR="009E7C92" w:rsidRPr="00DB5C50" w14:paraId="2D88E77E"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182E3333" w14:textId="77777777" w:rsidR="009E7C92" w:rsidRPr="00A66E7F" w:rsidRDefault="009E7C92" w:rsidP="00A257D0">
            <w:pPr>
              <w:pStyle w:val="TableTextLeft"/>
              <w:rPr>
                <w:color w:val="000000"/>
              </w:rPr>
            </w:pPr>
            <w:r w:rsidRPr="00A66E7F">
              <w:rPr>
                <w:color w:val="000000"/>
              </w:rPr>
              <w:t>Gender</w:t>
            </w:r>
          </w:p>
        </w:tc>
        <w:tc>
          <w:tcPr>
            <w:tcW w:w="1786" w:type="dxa"/>
            <w:hideMark/>
          </w:tcPr>
          <w:p w14:paraId="3F6EE2E6" w14:textId="77777777" w:rsidR="009E7C92" w:rsidRPr="00DB5C50" w:rsidRDefault="009E7C92"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 xml:space="preserve">Male vs. female beneficiaries </w:t>
            </w:r>
          </w:p>
        </w:tc>
        <w:tc>
          <w:tcPr>
            <w:tcW w:w="918" w:type="dxa"/>
            <w:noWrap/>
            <w:hideMark/>
          </w:tcPr>
          <w:p w14:paraId="1C037450"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0.457</w:t>
            </w:r>
          </w:p>
        </w:tc>
        <w:tc>
          <w:tcPr>
            <w:tcW w:w="887" w:type="dxa"/>
            <w:noWrap/>
            <w:hideMark/>
          </w:tcPr>
          <w:p w14:paraId="4B91E3F9"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0.473</w:t>
            </w:r>
          </w:p>
        </w:tc>
        <w:tc>
          <w:tcPr>
            <w:tcW w:w="918" w:type="dxa"/>
            <w:noWrap/>
            <w:hideMark/>
          </w:tcPr>
          <w:p w14:paraId="36E3A92A"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0.109</w:t>
            </w:r>
          </w:p>
        </w:tc>
        <w:tc>
          <w:tcPr>
            <w:tcW w:w="1691" w:type="dxa"/>
            <w:noWrap/>
            <w:hideMark/>
          </w:tcPr>
          <w:p w14:paraId="56DD84B3"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4.40%</w:t>
            </w:r>
          </w:p>
        </w:tc>
        <w:tc>
          <w:tcPr>
            <w:tcW w:w="918" w:type="dxa"/>
            <w:noWrap/>
            <w:hideMark/>
          </w:tcPr>
          <w:p w14:paraId="0B38BC12"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54.40%</w:t>
            </w:r>
          </w:p>
        </w:tc>
        <w:tc>
          <w:tcPr>
            <w:tcW w:w="1617" w:type="dxa"/>
            <w:noWrap/>
            <w:hideMark/>
          </w:tcPr>
          <w:p w14:paraId="1A93A761"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53.10%</w:t>
            </w:r>
          </w:p>
        </w:tc>
      </w:tr>
      <w:tr w:rsidR="009E7C92" w:rsidRPr="00DB5C50" w14:paraId="3B3F3BEA"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7825898A" w14:textId="77777777" w:rsidR="009E7C92" w:rsidRPr="00A66E7F" w:rsidRDefault="009E7C92" w:rsidP="00A257D0">
            <w:pPr>
              <w:pStyle w:val="TableTextLeft"/>
              <w:rPr>
                <w:color w:val="000000"/>
              </w:rPr>
            </w:pPr>
            <w:r w:rsidRPr="00A66E7F">
              <w:rPr>
                <w:color w:val="000000"/>
              </w:rPr>
              <w:t>Schizophrenia diagnosis</w:t>
            </w:r>
          </w:p>
        </w:tc>
        <w:tc>
          <w:tcPr>
            <w:tcW w:w="1786" w:type="dxa"/>
            <w:hideMark/>
          </w:tcPr>
          <w:p w14:paraId="531A58E2" w14:textId="46116C67" w:rsidR="009E7C92" w:rsidRPr="00DB5C50" w:rsidRDefault="009E7C92"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 xml:space="preserve">Beneficiaries with vs. without </w:t>
            </w:r>
            <w:proofErr w:type="spellStart"/>
            <w:r w:rsidRPr="00DB5C50">
              <w:rPr>
                <w:color w:val="000000"/>
              </w:rPr>
              <w:t>schizophre</w:t>
            </w:r>
            <w:r w:rsidR="00B025CD" w:rsidRPr="00DB5C50">
              <w:rPr>
                <w:color w:val="000000"/>
              </w:rPr>
              <w:t>-</w:t>
            </w:r>
            <w:r w:rsidRPr="00DB5C50">
              <w:rPr>
                <w:color w:val="000000"/>
              </w:rPr>
              <w:t>nia</w:t>
            </w:r>
            <w:proofErr w:type="spellEnd"/>
            <w:r w:rsidRPr="00DB5C50">
              <w:rPr>
                <w:color w:val="000000"/>
              </w:rPr>
              <w:t xml:space="preserve"> diagnosis</w:t>
            </w:r>
          </w:p>
        </w:tc>
        <w:tc>
          <w:tcPr>
            <w:tcW w:w="918" w:type="dxa"/>
            <w:noWrap/>
            <w:hideMark/>
          </w:tcPr>
          <w:p w14:paraId="34D0C9B8"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0.424</w:t>
            </w:r>
          </w:p>
        </w:tc>
        <w:tc>
          <w:tcPr>
            <w:tcW w:w="887" w:type="dxa"/>
            <w:noWrap/>
            <w:hideMark/>
          </w:tcPr>
          <w:p w14:paraId="48D755BC"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0.406</w:t>
            </w:r>
          </w:p>
        </w:tc>
        <w:tc>
          <w:tcPr>
            <w:tcW w:w="918" w:type="dxa"/>
            <w:noWrap/>
            <w:hideMark/>
          </w:tcPr>
          <w:p w14:paraId="0800E87D"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0.102</w:t>
            </w:r>
          </w:p>
        </w:tc>
        <w:tc>
          <w:tcPr>
            <w:tcW w:w="1691" w:type="dxa"/>
            <w:noWrap/>
            <w:hideMark/>
          </w:tcPr>
          <w:p w14:paraId="25E3B910"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4.10%</w:t>
            </w:r>
          </w:p>
        </w:tc>
        <w:tc>
          <w:tcPr>
            <w:tcW w:w="918" w:type="dxa"/>
            <w:noWrap/>
            <w:hideMark/>
          </w:tcPr>
          <w:p w14:paraId="2C3F5063"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54.10%</w:t>
            </w:r>
          </w:p>
        </w:tc>
        <w:tc>
          <w:tcPr>
            <w:tcW w:w="1617" w:type="dxa"/>
            <w:noWrap/>
            <w:hideMark/>
          </w:tcPr>
          <w:p w14:paraId="13FBBAF0"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52.90%</w:t>
            </w:r>
          </w:p>
        </w:tc>
      </w:tr>
      <w:tr w:rsidR="009E7C92" w:rsidRPr="00DB5C50" w14:paraId="363BE6EE"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03EA58BA" w14:textId="77777777" w:rsidR="009E7C92" w:rsidRPr="00A66E7F" w:rsidRDefault="009E7C92" w:rsidP="00A257D0">
            <w:pPr>
              <w:pStyle w:val="TableTextLeft"/>
              <w:rPr>
                <w:color w:val="000000"/>
              </w:rPr>
            </w:pPr>
            <w:r w:rsidRPr="00A66E7F">
              <w:rPr>
                <w:color w:val="000000"/>
              </w:rPr>
              <w:t>SUD diagnosis</w:t>
            </w:r>
          </w:p>
        </w:tc>
        <w:tc>
          <w:tcPr>
            <w:tcW w:w="1786" w:type="dxa"/>
            <w:hideMark/>
          </w:tcPr>
          <w:p w14:paraId="505A8D71" w14:textId="77777777" w:rsidR="009E7C92" w:rsidRPr="00DB5C50" w:rsidRDefault="009E7C92"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Beneficiaries with vs. without SUD diagnosis</w:t>
            </w:r>
          </w:p>
        </w:tc>
        <w:tc>
          <w:tcPr>
            <w:tcW w:w="918" w:type="dxa"/>
            <w:noWrap/>
            <w:hideMark/>
          </w:tcPr>
          <w:p w14:paraId="3CF118E5"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0.012</w:t>
            </w:r>
          </w:p>
        </w:tc>
        <w:tc>
          <w:tcPr>
            <w:tcW w:w="887" w:type="dxa"/>
            <w:noWrap/>
            <w:hideMark/>
          </w:tcPr>
          <w:p w14:paraId="0854D1CD"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0.050</w:t>
            </w:r>
          </w:p>
        </w:tc>
        <w:tc>
          <w:tcPr>
            <w:tcW w:w="918" w:type="dxa"/>
            <w:noWrap/>
            <w:hideMark/>
          </w:tcPr>
          <w:p w14:paraId="39015953"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0.003</w:t>
            </w:r>
          </w:p>
        </w:tc>
        <w:tc>
          <w:tcPr>
            <w:tcW w:w="1691" w:type="dxa"/>
            <w:noWrap/>
            <w:hideMark/>
          </w:tcPr>
          <w:p w14:paraId="03CC934E"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0.10%</w:t>
            </w:r>
          </w:p>
        </w:tc>
        <w:tc>
          <w:tcPr>
            <w:tcW w:w="918" w:type="dxa"/>
            <w:noWrap/>
            <w:hideMark/>
          </w:tcPr>
          <w:p w14:paraId="5A3BDC1E"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50.10%</w:t>
            </w:r>
          </w:p>
        </w:tc>
        <w:tc>
          <w:tcPr>
            <w:tcW w:w="1617" w:type="dxa"/>
            <w:noWrap/>
            <w:hideMark/>
          </w:tcPr>
          <w:p w14:paraId="4578615C"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50.30%</w:t>
            </w:r>
          </w:p>
        </w:tc>
      </w:tr>
      <w:tr w:rsidR="009E7C92" w:rsidRPr="00DB5C50" w14:paraId="6E0DB3B3"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vMerge w:val="restart"/>
            <w:hideMark/>
          </w:tcPr>
          <w:p w14:paraId="33171081" w14:textId="77777777" w:rsidR="009E7C92" w:rsidRPr="00A66E7F" w:rsidRDefault="009E7C92" w:rsidP="00A257D0">
            <w:pPr>
              <w:pStyle w:val="TableTextLeft"/>
              <w:rPr>
                <w:color w:val="000000"/>
              </w:rPr>
            </w:pPr>
            <w:r w:rsidRPr="00A66E7F">
              <w:rPr>
                <w:color w:val="000000"/>
              </w:rPr>
              <w:t>Beneficiaries’ race</w:t>
            </w:r>
          </w:p>
        </w:tc>
        <w:tc>
          <w:tcPr>
            <w:tcW w:w="1786" w:type="dxa"/>
            <w:hideMark/>
          </w:tcPr>
          <w:p w14:paraId="16E0E8C0" w14:textId="4FFB9B6D" w:rsidR="009E7C92" w:rsidRPr="00DB5C50" w:rsidRDefault="009E7C92"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Black vs. white</w:t>
            </w:r>
            <w:r w:rsidR="00DB5C50" w:rsidRPr="00DB5C50">
              <w:rPr>
                <w:color w:val="000000"/>
              </w:rPr>
              <w:t xml:space="preserve"> beneficiaries</w:t>
            </w:r>
            <w:r w:rsidRPr="00DB5C50">
              <w:rPr>
                <w:color w:val="000000"/>
              </w:rPr>
              <w:t xml:space="preserve"> </w:t>
            </w:r>
          </w:p>
        </w:tc>
        <w:tc>
          <w:tcPr>
            <w:tcW w:w="918" w:type="dxa"/>
            <w:noWrap/>
            <w:hideMark/>
          </w:tcPr>
          <w:p w14:paraId="4D4DD6F4"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0.230</w:t>
            </w:r>
          </w:p>
        </w:tc>
        <w:tc>
          <w:tcPr>
            <w:tcW w:w="887" w:type="dxa"/>
            <w:noWrap/>
            <w:hideMark/>
          </w:tcPr>
          <w:p w14:paraId="3E3C3A3D"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0.190</w:t>
            </w:r>
          </w:p>
        </w:tc>
        <w:tc>
          <w:tcPr>
            <w:tcW w:w="918" w:type="dxa"/>
            <w:noWrap/>
            <w:hideMark/>
          </w:tcPr>
          <w:p w14:paraId="279309B5"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0.078</w:t>
            </w:r>
          </w:p>
        </w:tc>
        <w:tc>
          <w:tcPr>
            <w:tcW w:w="1691" w:type="dxa"/>
            <w:noWrap/>
            <w:hideMark/>
          </w:tcPr>
          <w:p w14:paraId="4EE82C89"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3.10%</w:t>
            </w:r>
          </w:p>
        </w:tc>
        <w:tc>
          <w:tcPr>
            <w:tcW w:w="918" w:type="dxa"/>
            <w:noWrap/>
            <w:hideMark/>
          </w:tcPr>
          <w:p w14:paraId="3C015E0F"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53.10%</w:t>
            </w:r>
          </w:p>
        </w:tc>
        <w:tc>
          <w:tcPr>
            <w:tcW w:w="1617" w:type="dxa"/>
            <w:noWrap/>
            <w:hideMark/>
          </w:tcPr>
          <w:p w14:paraId="1B823A92"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52.20%</w:t>
            </w:r>
          </w:p>
        </w:tc>
      </w:tr>
      <w:tr w:rsidR="009E7C92" w:rsidRPr="00DB5C50" w14:paraId="425B7676"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vMerge/>
            <w:hideMark/>
          </w:tcPr>
          <w:p w14:paraId="1EB3D0DE" w14:textId="77777777" w:rsidR="009E7C92" w:rsidRPr="00A66E7F" w:rsidRDefault="009E7C92" w:rsidP="00A257D0">
            <w:pPr>
              <w:pStyle w:val="TableTextLeft"/>
              <w:rPr>
                <w:color w:val="000000"/>
              </w:rPr>
            </w:pPr>
          </w:p>
        </w:tc>
        <w:tc>
          <w:tcPr>
            <w:tcW w:w="1786" w:type="dxa"/>
            <w:hideMark/>
          </w:tcPr>
          <w:p w14:paraId="73608B6B" w14:textId="0A705C6D" w:rsidR="009E7C92" w:rsidRPr="00DB5C50" w:rsidRDefault="009E7C92"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White vs. non-white</w:t>
            </w:r>
            <w:r w:rsidR="00DB5C50" w:rsidRPr="00DB5C50">
              <w:rPr>
                <w:color w:val="000000"/>
              </w:rPr>
              <w:t xml:space="preserve"> beneficiaries</w:t>
            </w:r>
            <w:r w:rsidRPr="00DB5C50">
              <w:rPr>
                <w:color w:val="000000"/>
              </w:rPr>
              <w:t xml:space="preserve"> </w:t>
            </w:r>
          </w:p>
        </w:tc>
        <w:tc>
          <w:tcPr>
            <w:tcW w:w="918" w:type="dxa"/>
            <w:noWrap/>
            <w:hideMark/>
          </w:tcPr>
          <w:p w14:paraId="59D17F9B"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0.239</w:t>
            </w:r>
          </w:p>
        </w:tc>
        <w:tc>
          <w:tcPr>
            <w:tcW w:w="887" w:type="dxa"/>
            <w:noWrap/>
            <w:hideMark/>
          </w:tcPr>
          <w:p w14:paraId="55194156"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0.190</w:t>
            </w:r>
          </w:p>
        </w:tc>
        <w:tc>
          <w:tcPr>
            <w:tcW w:w="918" w:type="dxa"/>
            <w:noWrap/>
            <w:hideMark/>
          </w:tcPr>
          <w:p w14:paraId="44EC6CE3"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0.071</w:t>
            </w:r>
          </w:p>
        </w:tc>
        <w:tc>
          <w:tcPr>
            <w:tcW w:w="1691" w:type="dxa"/>
            <w:noWrap/>
            <w:hideMark/>
          </w:tcPr>
          <w:p w14:paraId="3D1A28D7"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2.90%</w:t>
            </w:r>
          </w:p>
        </w:tc>
        <w:tc>
          <w:tcPr>
            <w:tcW w:w="918" w:type="dxa"/>
            <w:noWrap/>
            <w:hideMark/>
          </w:tcPr>
          <w:p w14:paraId="2F9D9AEB"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52.90%</w:t>
            </w:r>
          </w:p>
        </w:tc>
        <w:tc>
          <w:tcPr>
            <w:tcW w:w="1617" w:type="dxa"/>
            <w:noWrap/>
            <w:hideMark/>
          </w:tcPr>
          <w:p w14:paraId="4C4D08E7"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52.00%</w:t>
            </w:r>
          </w:p>
        </w:tc>
      </w:tr>
      <w:tr w:rsidR="009E7C92" w:rsidRPr="00DB5C50" w14:paraId="6668B348"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49DC5FF6" w14:textId="77777777" w:rsidR="009E7C92" w:rsidRPr="00A66E7F" w:rsidRDefault="009E7C92" w:rsidP="00A257D0">
            <w:pPr>
              <w:pStyle w:val="TableTextLeft"/>
              <w:rPr>
                <w:color w:val="000000"/>
              </w:rPr>
            </w:pPr>
            <w:r w:rsidRPr="00A66E7F">
              <w:rPr>
                <w:color w:val="000000"/>
              </w:rPr>
              <w:t>Dual Medicare-Medicaid status</w:t>
            </w:r>
          </w:p>
        </w:tc>
        <w:tc>
          <w:tcPr>
            <w:tcW w:w="1786" w:type="dxa"/>
            <w:hideMark/>
          </w:tcPr>
          <w:p w14:paraId="265A4B11" w14:textId="33E0B562" w:rsidR="009E7C92" w:rsidRPr="00DB5C50" w:rsidRDefault="00DB5C50"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 xml:space="preserve">Dual Medicare-Medicaid beneficiaries vs. Medicare only </w:t>
            </w:r>
          </w:p>
        </w:tc>
        <w:tc>
          <w:tcPr>
            <w:tcW w:w="918" w:type="dxa"/>
            <w:noWrap/>
            <w:hideMark/>
          </w:tcPr>
          <w:p w14:paraId="70FE97D3"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0.372</w:t>
            </w:r>
          </w:p>
        </w:tc>
        <w:tc>
          <w:tcPr>
            <w:tcW w:w="887" w:type="dxa"/>
            <w:noWrap/>
            <w:hideMark/>
          </w:tcPr>
          <w:p w14:paraId="721372E2"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0.392</w:t>
            </w:r>
          </w:p>
        </w:tc>
        <w:tc>
          <w:tcPr>
            <w:tcW w:w="918" w:type="dxa"/>
            <w:noWrap/>
            <w:hideMark/>
          </w:tcPr>
          <w:p w14:paraId="6F2B4468"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0.097</w:t>
            </w:r>
          </w:p>
        </w:tc>
        <w:tc>
          <w:tcPr>
            <w:tcW w:w="1691" w:type="dxa"/>
            <w:noWrap/>
            <w:hideMark/>
          </w:tcPr>
          <w:p w14:paraId="69EC30CE"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3.90%</w:t>
            </w:r>
          </w:p>
        </w:tc>
        <w:tc>
          <w:tcPr>
            <w:tcW w:w="918" w:type="dxa"/>
            <w:noWrap/>
            <w:hideMark/>
          </w:tcPr>
          <w:p w14:paraId="251945C0"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53.90%</w:t>
            </w:r>
          </w:p>
        </w:tc>
        <w:tc>
          <w:tcPr>
            <w:tcW w:w="1617" w:type="dxa"/>
            <w:noWrap/>
            <w:hideMark/>
          </w:tcPr>
          <w:p w14:paraId="55959457" w14:textId="77777777" w:rsidR="009E7C92" w:rsidRPr="00DB5C50" w:rsidRDefault="009E7C92"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52.70%</w:t>
            </w:r>
          </w:p>
        </w:tc>
      </w:tr>
      <w:tr w:rsidR="00DB5C50" w:rsidRPr="00DB5C50" w14:paraId="2452DD4A"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59B2BDA7" w14:textId="77777777" w:rsidR="00DB5C50" w:rsidRPr="00A66E7F" w:rsidRDefault="00DB5C50" w:rsidP="00A257D0">
            <w:pPr>
              <w:pStyle w:val="TableTextLeft"/>
              <w:rPr>
                <w:color w:val="000000"/>
              </w:rPr>
            </w:pPr>
            <w:r w:rsidRPr="00A66E7F">
              <w:rPr>
                <w:color w:val="000000"/>
              </w:rPr>
              <w:t>AHRQ SES Index</w:t>
            </w:r>
          </w:p>
        </w:tc>
        <w:tc>
          <w:tcPr>
            <w:tcW w:w="1786" w:type="dxa"/>
            <w:hideMark/>
          </w:tcPr>
          <w:p w14:paraId="39228A1B" w14:textId="35318C30" w:rsidR="00DB5C50" w:rsidRPr="00DB5C50" w:rsidRDefault="00DB5C50"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 xml:space="preserve">1st Quartile (&lt;51.2 on a 0-100 scale) vs 4th Quartile (&gt;53.9 on a 0-100 scale)  </w:t>
            </w:r>
          </w:p>
        </w:tc>
        <w:tc>
          <w:tcPr>
            <w:tcW w:w="918" w:type="dxa"/>
            <w:noWrap/>
            <w:hideMark/>
          </w:tcPr>
          <w:p w14:paraId="7D1910DC"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0.140</w:t>
            </w:r>
          </w:p>
        </w:tc>
        <w:tc>
          <w:tcPr>
            <w:tcW w:w="887" w:type="dxa"/>
            <w:noWrap/>
            <w:hideMark/>
          </w:tcPr>
          <w:p w14:paraId="45A8CD12"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0.139</w:t>
            </w:r>
          </w:p>
        </w:tc>
        <w:tc>
          <w:tcPr>
            <w:tcW w:w="918" w:type="dxa"/>
            <w:noWrap/>
            <w:hideMark/>
          </w:tcPr>
          <w:p w14:paraId="77CFFCD5"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0.032 </w:t>
            </w:r>
          </w:p>
        </w:tc>
        <w:tc>
          <w:tcPr>
            <w:tcW w:w="1691" w:type="dxa"/>
            <w:noWrap/>
            <w:hideMark/>
          </w:tcPr>
          <w:p w14:paraId="01237AA8"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1.30%</w:t>
            </w:r>
          </w:p>
        </w:tc>
        <w:tc>
          <w:tcPr>
            <w:tcW w:w="918" w:type="dxa"/>
            <w:noWrap/>
            <w:hideMark/>
          </w:tcPr>
          <w:p w14:paraId="49253B80"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51.30%</w:t>
            </w:r>
          </w:p>
        </w:tc>
        <w:tc>
          <w:tcPr>
            <w:tcW w:w="1617" w:type="dxa"/>
            <w:noWrap/>
            <w:hideMark/>
          </w:tcPr>
          <w:p w14:paraId="34686762"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50.90%</w:t>
            </w:r>
          </w:p>
        </w:tc>
      </w:tr>
      <w:tr w:rsidR="00DB5C50" w:rsidRPr="00DB5C50" w14:paraId="620FF8F3" w14:textId="77777777" w:rsidTr="00A257D0">
        <w:trPr>
          <w:trHeight w:val="120"/>
        </w:trPr>
        <w:tc>
          <w:tcPr>
            <w:cnfStyle w:val="001000000000" w:firstRow="0" w:lastRow="0" w:firstColumn="1" w:lastColumn="0" w:oddVBand="0" w:evenVBand="0" w:oddHBand="0" w:evenHBand="0" w:firstRowFirstColumn="0" w:firstRowLastColumn="0" w:lastRowFirstColumn="0" w:lastRowLastColumn="0"/>
            <w:tcW w:w="1522" w:type="dxa"/>
            <w:hideMark/>
          </w:tcPr>
          <w:p w14:paraId="1A002CB0" w14:textId="77777777" w:rsidR="00DB5C50" w:rsidRPr="00A66E7F" w:rsidRDefault="00DB5C50" w:rsidP="00A257D0">
            <w:pPr>
              <w:pStyle w:val="TableTextLeft"/>
              <w:rPr>
                <w:color w:val="000000"/>
              </w:rPr>
            </w:pPr>
            <w:r w:rsidRPr="00A66E7F">
              <w:rPr>
                <w:color w:val="000000"/>
              </w:rPr>
              <w:t>Length of stay at an IPF</w:t>
            </w:r>
          </w:p>
        </w:tc>
        <w:tc>
          <w:tcPr>
            <w:tcW w:w="1786" w:type="dxa"/>
            <w:hideMark/>
          </w:tcPr>
          <w:p w14:paraId="13BF1662" w14:textId="48DBE21B" w:rsidR="00DB5C50" w:rsidRPr="00DB5C50" w:rsidRDefault="00DB5C50" w:rsidP="00A257D0">
            <w:pPr>
              <w:pStyle w:val="TableTextLeft"/>
              <w:cnfStyle w:val="000000000000" w:firstRow="0" w:lastRow="0" w:firstColumn="0" w:lastColumn="0" w:oddVBand="0" w:evenVBand="0" w:oddHBand="0" w:evenHBand="0" w:firstRowFirstColumn="0" w:firstRowLastColumn="0" w:lastRowFirstColumn="0" w:lastRowLastColumn="0"/>
              <w:rPr>
                <w:color w:val="000000"/>
              </w:rPr>
            </w:pPr>
            <w:r w:rsidRPr="00DB5C50">
              <w:rPr>
                <w:color w:val="000000"/>
              </w:rPr>
              <w:t>1st Quartile (&lt;6 days) vs. 4th Quartile (&gt;16 days)</w:t>
            </w:r>
          </w:p>
        </w:tc>
        <w:tc>
          <w:tcPr>
            <w:tcW w:w="918" w:type="dxa"/>
            <w:noWrap/>
            <w:hideMark/>
          </w:tcPr>
          <w:p w14:paraId="24CA7B28"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0.263</w:t>
            </w:r>
          </w:p>
        </w:tc>
        <w:tc>
          <w:tcPr>
            <w:tcW w:w="887" w:type="dxa"/>
            <w:noWrap/>
            <w:hideMark/>
          </w:tcPr>
          <w:p w14:paraId="06E360F0"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0.160</w:t>
            </w:r>
          </w:p>
        </w:tc>
        <w:tc>
          <w:tcPr>
            <w:tcW w:w="918" w:type="dxa"/>
            <w:noWrap/>
            <w:hideMark/>
          </w:tcPr>
          <w:p w14:paraId="5C0A7B87"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0.067</w:t>
            </w:r>
          </w:p>
        </w:tc>
        <w:tc>
          <w:tcPr>
            <w:tcW w:w="1691" w:type="dxa"/>
            <w:noWrap/>
            <w:hideMark/>
          </w:tcPr>
          <w:p w14:paraId="1931C78E"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2.60%</w:t>
            </w:r>
          </w:p>
        </w:tc>
        <w:tc>
          <w:tcPr>
            <w:tcW w:w="918" w:type="dxa"/>
            <w:noWrap/>
            <w:hideMark/>
          </w:tcPr>
          <w:p w14:paraId="25C16070"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52.60%</w:t>
            </w:r>
          </w:p>
        </w:tc>
        <w:tc>
          <w:tcPr>
            <w:tcW w:w="1617" w:type="dxa"/>
            <w:noWrap/>
            <w:hideMark/>
          </w:tcPr>
          <w:p w14:paraId="069D77F7" w14:textId="77777777" w:rsidR="00DB5C50" w:rsidRPr="00DB5C50" w:rsidRDefault="00DB5C50" w:rsidP="00A257D0">
            <w:pPr>
              <w:pStyle w:val="TableTextCentered"/>
              <w:cnfStyle w:val="000000000000" w:firstRow="0" w:lastRow="0" w:firstColumn="0" w:lastColumn="0" w:oddVBand="0" w:evenVBand="0" w:oddHBand="0" w:evenHBand="0" w:firstRowFirstColumn="0" w:firstRowLastColumn="0" w:lastRowFirstColumn="0" w:lastRowLastColumn="0"/>
            </w:pPr>
            <w:r w:rsidRPr="00DB5C50">
              <w:t>51.90%</w:t>
            </w:r>
          </w:p>
        </w:tc>
      </w:tr>
    </w:tbl>
    <w:bookmarkEnd w:id="23"/>
    <w:p w14:paraId="2521AC19" w14:textId="0D7488FA" w:rsidR="00F12A5A" w:rsidRPr="007D17AA" w:rsidRDefault="00F12A5A" w:rsidP="00F12A5A">
      <w:pPr>
        <w:tabs>
          <w:tab w:val="left" w:pos="792"/>
        </w:tabs>
        <w:spacing w:before="60" w:after="0" w:line="240" w:lineRule="auto"/>
        <w:ind w:left="792" w:hanging="792"/>
        <w:rPr>
          <w:rFonts w:ascii="Calibri" w:eastAsia="Calibri" w:hAnsi="Calibri" w:cs="Calibri"/>
          <w:bCs/>
          <w:color w:val="0070C0"/>
          <w:sz w:val="18"/>
          <w:szCs w:val="18"/>
        </w:rPr>
      </w:pPr>
      <w:r w:rsidRPr="007D17AA">
        <w:rPr>
          <w:rFonts w:ascii="Calibri" w:eastAsia="Calibri" w:hAnsi="Calibri" w:cs="Calibri"/>
          <w:color w:val="0070C0"/>
          <w:sz w:val="18"/>
          <w:szCs w:val="18"/>
        </w:rPr>
        <w:t>Source:</w:t>
      </w:r>
      <w:r w:rsidRPr="007D17AA">
        <w:rPr>
          <w:rFonts w:ascii="Calibri" w:eastAsia="Calibri" w:hAnsi="Calibri" w:cs="Calibri"/>
          <w:color w:val="0070C0"/>
          <w:sz w:val="18"/>
          <w:szCs w:val="18"/>
        </w:rPr>
        <w:tab/>
        <w:t xml:space="preserve">Mathematica analysis of the Medicare fee-for-service (FFS) data for the July 1, 2017– June 30, 2019 performance period. Facilities with less than the </w:t>
      </w:r>
      <w:r w:rsidR="003930C5" w:rsidRPr="007D17AA">
        <w:rPr>
          <w:rFonts w:ascii="Calibri" w:eastAsia="Calibri" w:hAnsi="Calibri" w:cs="Calibri"/>
          <w:color w:val="0070C0"/>
          <w:sz w:val="18"/>
          <w:szCs w:val="18"/>
        </w:rPr>
        <w:t xml:space="preserve">25 </w:t>
      </w:r>
      <w:r w:rsidRPr="007D17AA">
        <w:rPr>
          <w:rFonts w:ascii="Calibri" w:eastAsia="Calibri" w:hAnsi="Calibri" w:cs="Calibri"/>
          <w:color w:val="0070C0"/>
          <w:sz w:val="18"/>
          <w:szCs w:val="18"/>
        </w:rPr>
        <w:t xml:space="preserve">discharges </w:t>
      </w:r>
      <w:r w:rsidR="003930C5" w:rsidRPr="007D17AA">
        <w:rPr>
          <w:rFonts w:ascii="Calibri" w:eastAsia="Calibri" w:hAnsi="Calibri" w:cs="Calibri"/>
          <w:color w:val="0070C0"/>
          <w:sz w:val="18"/>
          <w:szCs w:val="18"/>
        </w:rPr>
        <w:t xml:space="preserve">during the performance period </w:t>
      </w:r>
      <w:r w:rsidRPr="007D17AA">
        <w:rPr>
          <w:rFonts w:ascii="Calibri" w:eastAsia="Calibri" w:hAnsi="Calibri" w:cs="Calibri"/>
          <w:color w:val="0070C0"/>
          <w:sz w:val="18"/>
          <w:szCs w:val="18"/>
        </w:rPr>
        <w:t>were excluded from the analysis</w:t>
      </w:r>
      <w:r w:rsidR="003930C5" w:rsidRPr="007D17AA">
        <w:rPr>
          <w:rFonts w:ascii="Calibri" w:eastAsia="Calibri" w:hAnsi="Calibri" w:cs="Calibri"/>
          <w:color w:val="0070C0"/>
          <w:sz w:val="18"/>
          <w:szCs w:val="18"/>
        </w:rPr>
        <w:t>.</w:t>
      </w:r>
    </w:p>
    <w:p w14:paraId="7CD96C86" w14:textId="73A13CB7" w:rsidR="00086FAC" w:rsidRPr="007D17AA" w:rsidRDefault="00144ED5" w:rsidP="00940A72">
      <w:pPr>
        <w:autoSpaceDE w:val="0"/>
        <w:autoSpaceDN w:val="0"/>
        <w:adjustRightInd w:val="0"/>
        <w:spacing w:after="120" w:line="240" w:lineRule="auto"/>
        <w:ind w:left="810" w:hanging="810"/>
        <w:rPr>
          <w:rFonts w:ascii="Calibri" w:eastAsia="Calibri" w:hAnsi="Calibri" w:cs="Calibri"/>
          <w:color w:val="0070C0"/>
          <w:sz w:val="18"/>
          <w:szCs w:val="18"/>
        </w:rPr>
      </w:pPr>
      <w:r w:rsidRPr="007D17AA">
        <w:rPr>
          <w:rFonts w:ascii="Calibri" w:eastAsia="Calibri" w:hAnsi="Calibri" w:cs="Calibri"/>
          <w:color w:val="0070C0"/>
          <w:sz w:val="18"/>
          <w:szCs w:val="18"/>
        </w:rPr>
        <w:t xml:space="preserve">Notes: </w:t>
      </w:r>
      <w:r w:rsidR="00F12A5A" w:rsidRPr="007D17AA">
        <w:rPr>
          <w:rFonts w:ascii="Calibri" w:eastAsia="Calibri" w:hAnsi="Calibri" w:cs="Calibri"/>
          <w:color w:val="0070C0"/>
          <w:sz w:val="18"/>
          <w:szCs w:val="18"/>
        </w:rPr>
        <w:tab/>
      </w:r>
      <w:r w:rsidRPr="007D17AA">
        <w:rPr>
          <w:rFonts w:ascii="Calibri" w:eastAsia="Calibri" w:hAnsi="Calibri" w:cs="Calibri"/>
          <w:color w:val="0070C0"/>
          <w:sz w:val="18"/>
          <w:szCs w:val="18"/>
        </w:rPr>
        <w:t>An effect size provides a quantitative measure of the magnitude of the difference between groups or association between variables.</w:t>
      </w:r>
      <w:r w:rsidR="00BE676A" w:rsidRPr="007D17AA">
        <w:rPr>
          <w:rFonts w:ascii="Calibri" w:eastAsia="Calibri" w:hAnsi="Calibri" w:cs="Calibri"/>
          <w:color w:val="0070C0"/>
          <w:sz w:val="18"/>
          <w:szCs w:val="18"/>
        </w:rPr>
        <w:t xml:space="preserve"> </w:t>
      </w:r>
      <w:r w:rsidR="00DD2092" w:rsidRPr="007D17AA">
        <w:rPr>
          <w:rFonts w:ascii="Calibri" w:eastAsia="Calibri" w:hAnsi="Calibri" w:cs="Calibri"/>
          <w:color w:val="0070C0"/>
          <w:sz w:val="18"/>
          <w:szCs w:val="18"/>
        </w:rPr>
        <w:t xml:space="preserve">Cohen’s </w:t>
      </w:r>
      <w:r w:rsidR="00DD2092" w:rsidRPr="00B02D47">
        <w:rPr>
          <w:rFonts w:ascii="Calibri" w:eastAsia="Calibri" w:hAnsi="Calibri" w:cs="Calibri"/>
          <w:i/>
          <w:iCs/>
          <w:color w:val="0070C0"/>
          <w:sz w:val="18"/>
          <w:szCs w:val="18"/>
        </w:rPr>
        <w:t>d</w:t>
      </w:r>
      <w:r w:rsidR="00DD2092" w:rsidRPr="007D17AA">
        <w:rPr>
          <w:rFonts w:ascii="Calibri" w:eastAsia="Calibri" w:hAnsi="Calibri" w:cs="Calibri"/>
          <w:color w:val="0070C0"/>
          <w:sz w:val="18"/>
          <w:szCs w:val="18"/>
        </w:rPr>
        <w:t xml:space="preserve"> indicates the standardized difference between </w:t>
      </w:r>
      <w:r w:rsidR="005A66E5">
        <w:rPr>
          <w:rFonts w:ascii="Calibri" w:eastAsia="Calibri" w:hAnsi="Calibri" w:cs="Calibri"/>
          <w:color w:val="0070C0"/>
          <w:sz w:val="18"/>
          <w:szCs w:val="18"/>
        </w:rPr>
        <w:t xml:space="preserve">the </w:t>
      </w:r>
      <w:r w:rsidR="00DD2092" w:rsidRPr="007D17AA">
        <w:rPr>
          <w:rFonts w:ascii="Calibri" w:eastAsia="Calibri" w:hAnsi="Calibri" w:cs="Calibri"/>
          <w:color w:val="0070C0"/>
          <w:sz w:val="18"/>
          <w:szCs w:val="18"/>
        </w:rPr>
        <w:t xml:space="preserve">two means. </w:t>
      </w:r>
      <w:r w:rsidR="002A6FF7" w:rsidRPr="007D17AA">
        <w:rPr>
          <w:rFonts w:ascii="Calibri" w:eastAsia="Calibri" w:hAnsi="Calibri" w:cs="Calibri"/>
          <w:color w:val="0070C0"/>
          <w:sz w:val="18"/>
          <w:szCs w:val="18"/>
        </w:rPr>
        <w:t xml:space="preserve">Cohen’s </w:t>
      </w:r>
      <w:r w:rsidR="00BE676A" w:rsidRPr="007D17AA">
        <w:rPr>
          <w:rFonts w:ascii="Calibri" w:eastAsia="Calibri" w:hAnsi="Calibri" w:cs="Calibri"/>
          <w:color w:val="0070C0"/>
          <w:sz w:val="18"/>
          <w:szCs w:val="18"/>
        </w:rPr>
        <w:t xml:space="preserve">U3 is the proportion of the </w:t>
      </w:r>
      <w:r w:rsidR="001F02A2" w:rsidRPr="007D17AA">
        <w:rPr>
          <w:rFonts w:ascii="Calibri" w:eastAsia="Calibri" w:hAnsi="Calibri" w:cs="Calibri"/>
          <w:color w:val="0070C0"/>
          <w:sz w:val="18"/>
          <w:szCs w:val="18"/>
        </w:rPr>
        <w:t xml:space="preserve">distribution of the scores in group A that falls below or above the mean of a distribution B. </w:t>
      </w:r>
      <w:r w:rsidR="002A6FF7" w:rsidRPr="007D17AA">
        <w:rPr>
          <w:rFonts w:ascii="Calibri" w:eastAsia="Calibri" w:hAnsi="Calibri" w:cs="Calibri"/>
          <w:color w:val="0070C0"/>
          <w:sz w:val="18"/>
          <w:szCs w:val="18"/>
        </w:rPr>
        <w:t xml:space="preserve">Rosenthal and Rubin’s </w:t>
      </w:r>
      <w:r w:rsidR="001F02A2" w:rsidRPr="007D17AA">
        <w:rPr>
          <w:rFonts w:ascii="Calibri" w:eastAsia="Calibri" w:hAnsi="Calibri" w:cs="Calibri"/>
          <w:color w:val="0070C0"/>
          <w:sz w:val="18"/>
          <w:szCs w:val="18"/>
        </w:rPr>
        <w:t>BESD</w:t>
      </w:r>
      <w:r w:rsidR="00861F64" w:rsidRPr="007D17AA">
        <w:rPr>
          <w:rFonts w:ascii="Calibri" w:eastAsia="Calibri" w:hAnsi="Calibri" w:cs="Calibri"/>
          <w:color w:val="0070C0"/>
          <w:sz w:val="18"/>
          <w:szCs w:val="18"/>
        </w:rPr>
        <w:t xml:space="preserve"> is</w:t>
      </w:r>
      <w:r w:rsidR="001F02A2" w:rsidRPr="007D17AA">
        <w:rPr>
          <w:rFonts w:ascii="Calibri" w:eastAsia="Calibri" w:hAnsi="Calibri" w:cs="Calibri"/>
          <w:color w:val="0070C0"/>
          <w:sz w:val="18"/>
          <w:szCs w:val="18"/>
        </w:rPr>
        <w:t xml:space="preserve"> </w:t>
      </w:r>
      <w:r w:rsidR="00940A72" w:rsidRPr="007D17AA">
        <w:rPr>
          <w:rFonts w:ascii="Calibri" w:eastAsia="Calibri" w:hAnsi="Calibri" w:cs="Calibri"/>
          <w:color w:val="0070C0"/>
          <w:sz w:val="18"/>
          <w:szCs w:val="18"/>
        </w:rPr>
        <w:t xml:space="preserve">the difference in outcome rates between groups A and B. </w:t>
      </w:r>
      <w:r w:rsidR="00A20AD4" w:rsidRPr="007D17AA">
        <w:rPr>
          <w:rFonts w:ascii="Calibri" w:eastAsia="Calibri" w:hAnsi="Calibri" w:cs="Calibri"/>
          <w:color w:val="0070C0"/>
          <w:sz w:val="18"/>
          <w:szCs w:val="18"/>
        </w:rPr>
        <w:t xml:space="preserve">McGraw and Wong’s CLES </w:t>
      </w:r>
      <w:r w:rsidR="00481E01" w:rsidRPr="007D17AA">
        <w:rPr>
          <w:rFonts w:ascii="Calibri" w:eastAsia="Calibri" w:hAnsi="Calibri" w:cs="Calibri"/>
          <w:color w:val="0070C0"/>
          <w:sz w:val="18"/>
          <w:szCs w:val="18"/>
        </w:rPr>
        <w:t xml:space="preserve">is the probability that a readmission rate </w:t>
      </w:r>
      <w:r w:rsidR="0062214B" w:rsidRPr="007D17AA">
        <w:rPr>
          <w:rFonts w:ascii="Calibri" w:eastAsia="Calibri" w:hAnsi="Calibri" w:cs="Calibri"/>
          <w:color w:val="0070C0"/>
          <w:sz w:val="18"/>
          <w:szCs w:val="18"/>
        </w:rPr>
        <w:t xml:space="preserve">for a patient </w:t>
      </w:r>
      <w:r w:rsidR="00481E01" w:rsidRPr="007D17AA">
        <w:rPr>
          <w:rFonts w:ascii="Calibri" w:eastAsia="Calibri" w:hAnsi="Calibri" w:cs="Calibri"/>
          <w:color w:val="0070C0"/>
          <w:sz w:val="18"/>
          <w:szCs w:val="18"/>
        </w:rPr>
        <w:t>sampled at random from group A will be greater than a score sampled from group B.</w:t>
      </w:r>
    </w:p>
    <w:p w14:paraId="3C2539A8" w14:textId="77777777" w:rsidR="00086FAC" w:rsidRDefault="00086FAC" w:rsidP="00086FAC">
      <w:pPr>
        <w:autoSpaceDE w:val="0"/>
        <w:autoSpaceDN w:val="0"/>
        <w:adjustRightInd w:val="0"/>
        <w:spacing w:after="0" w:line="240" w:lineRule="auto"/>
        <w:rPr>
          <w:rFonts w:cstheme="minorHAnsi"/>
          <w:bCs/>
        </w:rPr>
      </w:pPr>
      <w:r>
        <w:rPr>
          <w:rFonts w:cstheme="minorHAnsi"/>
          <w:b/>
          <w:bCs/>
        </w:rPr>
        <w:t>2b1.</w:t>
      </w:r>
      <w:r w:rsidRPr="00A25024">
        <w:rPr>
          <w:rFonts w:cstheme="minorHAnsi"/>
          <w:b/>
          <w:bCs/>
        </w:rPr>
        <w:t>4. What is your interpretation of the results in terms of demonstrating validity</w:t>
      </w:r>
      <w:r w:rsidRPr="00A25024">
        <w:rPr>
          <w:rFonts w:cstheme="minorHAnsi"/>
          <w:bCs/>
        </w:rPr>
        <w:t>? (i</w:t>
      </w:r>
      <w:r w:rsidRPr="00A25024">
        <w:rPr>
          <w:rFonts w:cstheme="minorHAnsi"/>
          <w:bCs/>
          <w:i/>
        </w:rPr>
        <w:t>.e., what do the results mean and what are the norms for the test conducted?</w:t>
      </w:r>
      <w:r w:rsidRPr="00A25024">
        <w:rPr>
          <w:rFonts w:cstheme="minorHAnsi"/>
          <w:bCs/>
        </w:rPr>
        <w:t>)</w:t>
      </w:r>
    </w:p>
    <w:p w14:paraId="6BC635C0" w14:textId="14D8ACAE" w:rsidR="002C515D" w:rsidRPr="007D17AA" w:rsidRDefault="007C1EE1" w:rsidP="00760F39">
      <w:pPr>
        <w:pStyle w:val="NormalWeb"/>
        <w:spacing w:before="0" w:beforeAutospacing="0" w:after="0" w:afterAutospacing="0"/>
        <w:rPr>
          <w:rFonts w:asciiTheme="minorHAnsi" w:hAnsiTheme="minorHAnsi" w:cstheme="minorHAnsi"/>
          <w:color w:val="0070C0"/>
          <w:sz w:val="22"/>
          <w:szCs w:val="22"/>
        </w:rPr>
      </w:pPr>
      <w:r w:rsidRPr="007D17AA">
        <w:rPr>
          <w:rFonts w:asciiTheme="minorHAnsi" w:eastAsiaTheme="minorEastAsia" w:hAnsiTheme="minorHAnsi" w:cstheme="minorHAnsi"/>
          <w:color w:val="0070C0"/>
          <w:sz w:val="22"/>
          <w:szCs w:val="22"/>
        </w:rPr>
        <w:t xml:space="preserve">As shown in </w:t>
      </w:r>
      <w:r w:rsidR="006E543B" w:rsidRPr="007D17AA">
        <w:rPr>
          <w:rFonts w:asciiTheme="minorHAnsi" w:eastAsiaTheme="minorEastAsia" w:hAnsiTheme="minorHAnsi" w:cstheme="minorHAnsi"/>
          <w:color w:val="0070C0"/>
          <w:sz w:val="22"/>
          <w:szCs w:val="22"/>
        </w:rPr>
        <w:t>Tables 2b1.3.a - Table 2b1.3.c</w:t>
      </w:r>
      <w:r w:rsidR="006E543B" w:rsidRPr="007D17AA" w:rsidDel="006E543B">
        <w:rPr>
          <w:rFonts w:asciiTheme="minorHAnsi" w:eastAsiaTheme="minorEastAsia" w:hAnsiTheme="minorHAnsi" w:cstheme="minorHAnsi"/>
          <w:color w:val="0070C0"/>
          <w:sz w:val="22"/>
          <w:szCs w:val="22"/>
        </w:rPr>
        <w:t xml:space="preserve"> </w:t>
      </w:r>
      <w:r w:rsidRPr="007D17AA">
        <w:rPr>
          <w:rFonts w:asciiTheme="minorHAnsi" w:eastAsiaTheme="minorEastAsia" w:hAnsiTheme="minorHAnsi" w:cstheme="minorHAnsi"/>
          <w:color w:val="0070C0"/>
          <w:sz w:val="22"/>
          <w:szCs w:val="22"/>
        </w:rPr>
        <w:t xml:space="preserve">we found multiple instances </w:t>
      </w:r>
      <w:r w:rsidR="00F12A5A" w:rsidRPr="007D17AA">
        <w:rPr>
          <w:rFonts w:asciiTheme="minorHAnsi" w:eastAsiaTheme="minorEastAsia" w:hAnsiTheme="minorHAnsi" w:cstheme="minorHAnsi"/>
          <w:color w:val="0070C0"/>
          <w:sz w:val="22"/>
          <w:szCs w:val="22"/>
        </w:rPr>
        <w:t>supporting</w:t>
      </w:r>
      <w:r w:rsidRPr="007D17AA">
        <w:rPr>
          <w:rFonts w:asciiTheme="minorHAnsi" w:eastAsiaTheme="minorEastAsia" w:hAnsiTheme="minorHAnsi" w:cstheme="minorHAnsi"/>
          <w:color w:val="0070C0"/>
          <w:sz w:val="22"/>
          <w:szCs w:val="22"/>
        </w:rPr>
        <w:t xml:space="preserve"> validity for the Medication Continuation measure</w:t>
      </w:r>
      <w:r w:rsidR="00803B3E" w:rsidRPr="007D17AA">
        <w:rPr>
          <w:rFonts w:asciiTheme="minorHAnsi" w:eastAsiaTheme="minorEastAsia" w:hAnsiTheme="minorHAnsi" w:cstheme="minorHAnsi"/>
          <w:color w:val="0070C0"/>
          <w:sz w:val="22"/>
          <w:szCs w:val="22"/>
        </w:rPr>
        <w:t xml:space="preserve">. </w:t>
      </w:r>
      <w:r w:rsidR="00D231CC" w:rsidRPr="007D17AA">
        <w:rPr>
          <w:rFonts w:asciiTheme="minorHAnsi" w:eastAsiaTheme="minorEastAsia" w:hAnsiTheme="minorHAnsi" w:cstheme="minorHAnsi"/>
          <w:color w:val="0070C0"/>
          <w:sz w:val="22"/>
          <w:szCs w:val="22"/>
        </w:rPr>
        <w:t xml:space="preserve">There is a moderate, yet meaningful, </w:t>
      </w:r>
      <w:r w:rsidR="00FE3D3B" w:rsidRPr="007D17AA">
        <w:rPr>
          <w:rFonts w:asciiTheme="minorHAnsi" w:eastAsiaTheme="minorEastAsia" w:hAnsiTheme="minorHAnsi" w:cstheme="minorHAnsi"/>
          <w:color w:val="0070C0"/>
          <w:sz w:val="22"/>
          <w:szCs w:val="22"/>
        </w:rPr>
        <w:t xml:space="preserve">inverse </w:t>
      </w:r>
      <w:r w:rsidR="00410FA8" w:rsidRPr="007D17AA">
        <w:rPr>
          <w:rFonts w:asciiTheme="minorHAnsi" w:eastAsiaTheme="minorEastAsia" w:hAnsiTheme="minorHAnsi" w:cstheme="minorHAnsi"/>
          <w:color w:val="0070C0"/>
          <w:sz w:val="22"/>
          <w:szCs w:val="22"/>
        </w:rPr>
        <w:t xml:space="preserve">relationship between </w:t>
      </w:r>
      <w:r w:rsidR="00410FA8" w:rsidRPr="007D17AA">
        <w:rPr>
          <w:rFonts w:asciiTheme="minorHAnsi" w:hAnsiTheme="minorHAnsi" w:cstheme="minorHAnsi"/>
          <w:color w:val="0070C0"/>
          <w:sz w:val="22"/>
          <w:szCs w:val="22"/>
        </w:rPr>
        <w:t>t</w:t>
      </w:r>
      <w:r w:rsidR="00355023" w:rsidRPr="007D17AA">
        <w:rPr>
          <w:rFonts w:asciiTheme="minorHAnsi" w:eastAsiaTheme="minorEastAsia" w:hAnsiTheme="minorHAnsi" w:cstheme="minorHAnsi"/>
          <w:color w:val="0070C0"/>
          <w:sz w:val="22"/>
          <w:szCs w:val="22"/>
        </w:rPr>
        <w:t xml:space="preserve">he </w:t>
      </w:r>
      <w:r w:rsidR="00EB7C3E" w:rsidRPr="007D17AA">
        <w:rPr>
          <w:rFonts w:asciiTheme="minorHAnsi" w:eastAsiaTheme="minorEastAsia" w:hAnsiTheme="minorHAnsi" w:cstheme="minorHAnsi"/>
          <w:color w:val="0070C0"/>
          <w:sz w:val="22"/>
          <w:szCs w:val="22"/>
        </w:rPr>
        <w:t xml:space="preserve">facilities’ rates on the </w:t>
      </w:r>
      <w:r w:rsidR="00355023" w:rsidRPr="007D17AA">
        <w:rPr>
          <w:rFonts w:asciiTheme="minorHAnsi" w:eastAsiaTheme="minorEastAsia" w:hAnsiTheme="minorHAnsi" w:cstheme="minorHAnsi"/>
          <w:color w:val="0070C0"/>
          <w:sz w:val="22"/>
          <w:szCs w:val="22"/>
        </w:rPr>
        <w:t>IPF Readmission and Medication Continuation measures</w:t>
      </w:r>
      <w:r w:rsidR="00410FA8" w:rsidRPr="007D17AA">
        <w:rPr>
          <w:rFonts w:asciiTheme="minorHAnsi" w:eastAsiaTheme="minorEastAsia" w:hAnsiTheme="minorHAnsi" w:cstheme="minorHAnsi"/>
          <w:color w:val="0070C0"/>
          <w:sz w:val="22"/>
          <w:szCs w:val="22"/>
        </w:rPr>
        <w:t xml:space="preserve"> (Spearman </w:t>
      </w:r>
      <w:r w:rsidR="003A369F" w:rsidRPr="007D17AA">
        <w:rPr>
          <w:rFonts w:asciiTheme="minorHAnsi" w:eastAsiaTheme="minorEastAsia" w:hAnsiTheme="minorHAnsi" w:cstheme="minorHAnsi"/>
          <w:color w:val="0070C0"/>
          <w:sz w:val="22"/>
          <w:szCs w:val="22"/>
        </w:rPr>
        <w:t xml:space="preserve">ranked correlation </w:t>
      </w:r>
      <w:r w:rsidR="00410FA8" w:rsidRPr="007D17AA">
        <w:rPr>
          <w:rFonts w:asciiTheme="minorHAnsi" w:eastAsiaTheme="minorEastAsia" w:hAnsiTheme="minorHAnsi" w:cstheme="minorHAnsi"/>
          <w:color w:val="0070C0"/>
          <w:sz w:val="22"/>
          <w:szCs w:val="22"/>
        </w:rPr>
        <w:t>ρ</w:t>
      </w:r>
      <w:r w:rsidR="00861F64" w:rsidRPr="007D17AA">
        <w:rPr>
          <w:rFonts w:asciiTheme="minorHAnsi" w:eastAsiaTheme="minorEastAsia" w:hAnsiTheme="minorHAnsi" w:cstheme="minorHAnsi"/>
          <w:color w:val="0070C0"/>
          <w:sz w:val="22"/>
          <w:szCs w:val="22"/>
        </w:rPr>
        <w:t xml:space="preserve"> </w:t>
      </w:r>
      <w:r w:rsidR="00410FA8" w:rsidRPr="007D17AA">
        <w:rPr>
          <w:rFonts w:asciiTheme="minorHAnsi" w:eastAsiaTheme="minorEastAsia" w:hAnsiTheme="minorHAnsi" w:cstheme="minorHAnsi"/>
          <w:color w:val="0070C0"/>
          <w:sz w:val="22"/>
          <w:szCs w:val="22"/>
        </w:rPr>
        <w:t>=</w:t>
      </w:r>
      <w:r w:rsidR="00861F64" w:rsidRPr="007D17AA">
        <w:rPr>
          <w:rFonts w:asciiTheme="minorHAnsi" w:eastAsiaTheme="minorEastAsia" w:hAnsiTheme="minorHAnsi" w:cstheme="minorHAnsi"/>
          <w:color w:val="0070C0"/>
          <w:sz w:val="22"/>
          <w:szCs w:val="22"/>
        </w:rPr>
        <w:t xml:space="preserve"> </w:t>
      </w:r>
      <w:r w:rsidR="00410FA8" w:rsidRPr="007D17AA">
        <w:rPr>
          <w:rFonts w:asciiTheme="minorHAnsi" w:eastAsiaTheme="minorEastAsia" w:hAnsiTheme="minorHAnsi" w:cstheme="minorHAnsi"/>
          <w:color w:val="0070C0"/>
          <w:sz w:val="22"/>
          <w:szCs w:val="22"/>
        </w:rPr>
        <w:t>-0.301</w:t>
      </w:r>
      <w:r w:rsidR="00410FA8" w:rsidRPr="007D17AA">
        <w:rPr>
          <w:rFonts w:asciiTheme="minorHAnsi" w:hAnsiTheme="minorHAnsi" w:cstheme="minorHAnsi"/>
          <w:color w:val="0070C0"/>
          <w:sz w:val="22"/>
          <w:szCs w:val="22"/>
        </w:rPr>
        <w:t>)</w:t>
      </w:r>
      <w:r w:rsidR="00FE3D3B" w:rsidRPr="007D17AA">
        <w:rPr>
          <w:rFonts w:asciiTheme="minorHAnsi" w:hAnsiTheme="minorHAnsi" w:cstheme="minorHAnsi"/>
          <w:color w:val="0070C0"/>
          <w:sz w:val="22"/>
          <w:szCs w:val="22"/>
        </w:rPr>
        <w:t xml:space="preserve">. </w:t>
      </w:r>
      <w:r w:rsidR="0081689D" w:rsidRPr="007D17AA">
        <w:rPr>
          <w:rFonts w:asciiTheme="minorHAnsi" w:hAnsiTheme="minorHAnsi" w:cstheme="minorHAnsi"/>
          <w:color w:val="0070C0"/>
          <w:sz w:val="22"/>
          <w:szCs w:val="22"/>
        </w:rPr>
        <w:t>Inverse relationship between the measure rates indicates that</w:t>
      </w:r>
      <w:r w:rsidR="00992559" w:rsidRPr="007D17AA">
        <w:rPr>
          <w:rFonts w:asciiTheme="minorHAnsi" w:hAnsiTheme="minorHAnsi" w:cstheme="minorHAnsi"/>
          <w:color w:val="0070C0"/>
          <w:sz w:val="22"/>
          <w:szCs w:val="22"/>
        </w:rPr>
        <w:t xml:space="preserve"> increase in the adherence rates to the psychotropic medication 30 days post discharge leads to the reduction </w:t>
      </w:r>
      <w:r w:rsidR="007C3A14" w:rsidRPr="007D17AA">
        <w:rPr>
          <w:rFonts w:asciiTheme="minorHAnsi" w:hAnsiTheme="minorHAnsi" w:cstheme="minorHAnsi"/>
          <w:color w:val="0070C0"/>
          <w:sz w:val="22"/>
          <w:szCs w:val="22"/>
        </w:rPr>
        <w:t xml:space="preserve">in the unplanned 30-day IPF readmission. </w:t>
      </w:r>
    </w:p>
    <w:p w14:paraId="4006CEAC" w14:textId="77777777" w:rsidR="00581F30" w:rsidRPr="007D17AA" w:rsidRDefault="00581F30" w:rsidP="00760F39">
      <w:pPr>
        <w:pStyle w:val="NormalWeb"/>
        <w:spacing w:before="0" w:beforeAutospacing="0" w:after="0" w:afterAutospacing="0"/>
        <w:rPr>
          <w:rFonts w:asciiTheme="minorHAnsi" w:hAnsiTheme="minorHAnsi" w:cstheme="minorHAnsi"/>
          <w:color w:val="0070C0"/>
          <w:sz w:val="22"/>
          <w:szCs w:val="22"/>
        </w:rPr>
      </w:pPr>
    </w:p>
    <w:p w14:paraId="42510C00" w14:textId="20FDAE57" w:rsidR="00803C22" w:rsidRPr="007D17AA" w:rsidRDefault="005E5A36" w:rsidP="00760F39">
      <w:pPr>
        <w:pStyle w:val="NormalWeb"/>
        <w:spacing w:before="0" w:beforeAutospacing="0" w:after="0" w:afterAutospacing="0"/>
        <w:rPr>
          <w:rStyle w:val="Emphasis"/>
          <w:rFonts w:asciiTheme="minorHAnsi" w:hAnsiTheme="minorHAnsi" w:cstheme="minorHAnsi"/>
          <w:i w:val="0"/>
          <w:iCs w:val="0"/>
          <w:color w:val="0070C0"/>
          <w:sz w:val="22"/>
          <w:szCs w:val="22"/>
        </w:rPr>
      </w:pPr>
      <w:r w:rsidRPr="007D17AA">
        <w:rPr>
          <w:rFonts w:asciiTheme="minorHAnsi" w:hAnsiTheme="minorHAnsi" w:cstheme="minorHAnsi"/>
          <w:color w:val="0070C0"/>
          <w:sz w:val="22"/>
          <w:szCs w:val="22"/>
        </w:rPr>
        <w:t>W</w:t>
      </w:r>
      <w:r w:rsidR="00F6410A" w:rsidRPr="007D17AA">
        <w:rPr>
          <w:rFonts w:asciiTheme="minorHAnsi" w:hAnsiTheme="minorHAnsi" w:cstheme="minorHAnsi"/>
          <w:color w:val="0070C0"/>
          <w:sz w:val="22"/>
          <w:szCs w:val="22"/>
        </w:rPr>
        <w:t>e observed</w:t>
      </w:r>
      <w:r w:rsidR="004B4F53" w:rsidRPr="007D17AA">
        <w:rPr>
          <w:rFonts w:asciiTheme="minorHAnsi" w:hAnsiTheme="minorHAnsi" w:cstheme="minorHAnsi"/>
          <w:color w:val="0070C0"/>
          <w:sz w:val="22"/>
          <w:szCs w:val="22"/>
        </w:rPr>
        <w:t xml:space="preserve"> s</w:t>
      </w:r>
      <w:r w:rsidR="00F6410A" w:rsidRPr="007D17AA">
        <w:rPr>
          <w:rStyle w:val="Emphasis"/>
          <w:rFonts w:asciiTheme="minorHAnsi" w:eastAsiaTheme="minorHAnsi" w:hAnsiTheme="minorHAnsi" w:cstheme="minorHAnsi"/>
          <w:bCs/>
          <w:i w:val="0"/>
          <w:iCs w:val="0"/>
          <w:color w:val="0070C0"/>
          <w:sz w:val="22"/>
          <w:szCs w:val="22"/>
        </w:rPr>
        <w:t>mall to medium effect sizes for the differences in predicted and expected rates by patient subgroups</w:t>
      </w:r>
      <w:r w:rsidR="004B4F53" w:rsidRPr="007D17AA">
        <w:rPr>
          <w:rStyle w:val="Emphasis"/>
          <w:rFonts w:asciiTheme="minorHAnsi" w:eastAsiaTheme="minorHAnsi" w:hAnsiTheme="minorHAnsi" w:cstheme="minorHAnsi"/>
          <w:bCs/>
          <w:i w:val="0"/>
          <w:iCs w:val="0"/>
          <w:color w:val="0070C0"/>
          <w:sz w:val="22"/>
          <w:szCs w:val="22"/>
        </w:rPr>
        <w:t>,</w:t>
      </w:r>
      <w:r w:rsidR="009F12DB" w:rsidRPr="007D17AA">
        <w:rPr>
          <w:rStyle w:val="Emphasis"/>
          <w:rFonts w:asciiTheme="minorHAnsi" w:eastAsiaTheme="minorHAnsi" w:hAnsiTheme="minorHAnsi" w:cstheme="minorHAnsi"/>
          <w:bCs/>
          <w:i w:val="0"/>
          <w:iCs w:val="0"/>
          <w:color w:val="0070C0"/>
          <w:sz w:val="22"/>
          <w:szCs w:val="22"/>
        </w:rPr>
        <w:t xml:space="preserve"> and small effect sizes for the differences in the observed rates</w:t>
      </w:r>
      <w:r w:rsidR="00F6410A" w:rsidRPr="007D17AA">
        <w:rPr>
          <w:rStyle w:val="Emphasis"/>
          <w:rFonts w:asciiTheme="minorHAnsi" w:eastAsiaTheme="minorHAnsi" w:hAnsiTheme="minorHAnsi" w:cstheme="minorHAnsi"/>
          <w:bCs/>
          <w:i w:val="0"/>
          <w:iCs w:val="0"/>
          <w:color w:val="0070C0"/>
          <w:sz w:val="22"/>
          <w:szCs w:val="22"/>
        </w:rPr>
        <w:t xml:space="preserve">. </w:t>
      </w:r>
      <w:r w:rsidR="009F12DB" w:rsidRPr="007D17AA">
        <w:rPr>
          <w:rStyle w:val="Emphasis"/>
          <w:rFonts w:asciiTheme="minorHAnsi" w:eastAsiaTheme="minorHAnsi" w:hAnsiTheme="minorHAnsi" w:cstheme="minorHAnsi"/>
          <w:bCs/>
          <w:i w:val="0"/>
          <w:iCs w:val="0"/>
          <w:color w:val="0070C0"/>
          <w:sz w:val="22"/>
          <w:szCs w:val="22"/>
        </w:rPr>
        <w:t>As described above, there</w:t>
      </w:r>
      <w:r w:rsidR="004B4F53" w:rsidRPr="007D17AA">
        <w:rPr>
          <w:rStyle w:val="Emphasis"/>
          <w:rFonts w:asciiTheme="minorHAnsi" w:eastAsiaTheme="minorHAnsi" w:hAnsiTheme="minorHAnsi" w:cstheme="minorHAnsi"/>
          <w:bCs/>
          <w:i w:val="0"/>
          <w:iCs w:val="0"/>
          <w:color w:val="0070C0"/>
          <w:sz w:val="22"/>
          <w:szCs w:val="22"/>
        </w:rPr>
        <w:t xml:space="preserve"> i</w:t>
      </w:r>
      <w:r w:rsidR="009F12DB" w:rsidRPr="007D17AA">
        <w:rPr>
          <w:rStyle w:val="Emphasis"/>
          <w:rFonts w:asciiTheme="minorHAnsi" w:eastAsiaTheme="minorHAnsi" w:hAnsiTheme="minorHAnsi" w:cstheme="minorHAnsi"/>
          <w:bCs/>
          <w:i w:val="0"/>
          <w:iCs w:val="0"/>
          <w:color w:val="0070C0"/>
          <w:sz w:val="22"/>
          <w:szCs w:val="22"/>
        </w:rPr>
        <w:t xml:space="preserve">s less variation </w:t>
      </w:r>
      <w:r w:rsidR="00F6410A" w:rsidRPr="007D17AA">
        <w:rPr>
          <w:rStyle w:val="Emphasis"/>
          <w:rFonts w:asciiTheme="minorHAnsi" w:eastAsiaTheme="minorHAnsi" w:hAnsiTheme="minorHAnsi" w:cstheme="minorHAnsi"/>
          <w:bCs/>
          <w:i w:val="0"/>
          <w:iCs w:val="0"/>
          <w:color w:val="0070C0"/>
          <w:sz w:val="22"/>
          <w:szCs w:val="22"/>
        </w:rPr>
        <w:t xml:space="preserve">in the distribution of the predicted and expected rates due to </w:t>
      </w:r>
      <w:r w:rsidR="0094523A" w:rsidRPr="007D17AA">
        <w:rPr>
          <w:rStyle w:val="Emphasis"/>
          <w:rFonts w:asciiTheme="minorHAnsi" w:eastAsiaTheme="minorHAnsi" w:hAnsiTheme="minorHAnsi" w:cstheme="minorHAnsi"/>
          <w:bCs/>
          <w:i w:val="0"/>
          <w:iCs w:val="0"/>
          <w:color w:val="0070C0"/>
          <w:sz w:val="22"/>
          <w:szCs w:val="22"/>
        </w:rPr>
        <w:t xml:space="preserve">the </w:t>
      </w:r>
      <w:r w:rsidR="00F6410A" w:rsidRPr="007D17AA">
        <w:rPr>
          <w:rStyle w:val="Emphasis"/>
          <w:rFonts w:asciiTheme="minorHAnsi" w:eastAsiaTheme="minorHAnsi" w:hAnsiTheme="minorHAnsi" w:cstheme="minorHAnsi"/>
          <w:bCs/>
          <w:i w:val="0"/>
          <w:iCs w:val="0"/>
          <w:color w:val="0070C0"/>
          <w:sz w:val="22"/>
          <w:szCs w:val="22"/>
        </w:rPr>
        <w:t xml:space="preserve">shrinkage of </w:t>
      </w:r>
      <w:r w:rsidR="0094523A" w:rsidRPr="007D17AA">
        <w:rPr>
          <w:rStyle w:val="Emphasis"/>
          <w:rFonts w:asciiTheme="minorHAnsi" w:eastAsiaTheme="minorHAnsi" w:hAnsiTheme="minorHAnsi" w:cstheme="minorHAnsi"/>
          <w:bCs/>
          <w:i w:val="0"/>
          <w:iCs w:val="0"/>
          <w:color w:val="0070C0"/>
          <w:sz w:val="22"/>
          <w:szCs w:val="22"/>
        </w:rPr>
        <w:t xml:space="preserve">the </w:t>
      </w:r>
      <w:r w:rsidR="006753FA">
        <w:rPr>
          <w:rStyle w:val="Emphasis"/>
          <w:rFonts w:asciiTheme="minorHAnsi" w:eastAsiaTheme="minorHAnsi" w:hAnsiTheme="minorHAnsi" w:cstheme="minorHAnsi"/>
          <w:bCs/>
          <w:i w:val="0"/>
          <w:iCs w:val="0"/>
          <w:color w:val="0070C0"/>
          <w:sz w:val="22"/>
          <w:szCs w:val="22"/>
        </w:rPr>
        <w:t>corresponding rates</w:t>
      </w:r>
      <w:r w:rsidR="006753FA" w:rsidRPr="007D17AA">
        <w:rPr>
          <w:rStyle w:val="Emphasis"/>
          <w:rFonts w:asciiTheme="minorHAnsi" w:eastAsiaTheme="minorHAnsi" w:hAnsiTheme="minorHAnsi" w:cstheme="minorHAnsi"/>
          <w:bCs/>
          <w:i w:val="0"/>
          <w:iCs w:val="0"/>
          <w:color w:val="0070C0"/>
          <w:sz w:val="22"/>
          <w:szCs w:val="22"/>
        </w:rPr>
        <w:t xml:space="preserve"> </w:t>
      </w:r>
      <w:r w:rsidR="00F6410A" w:rsidRPr="007D17AA">
        <w:rPr>
          <w:rStyle w:val="Emphasis"/>
          <w:rFonts w:asciiTheme="minorHAnsi" w:eastAsiaTheme="minorHAnsi" w:hAnsiTheme="minorHAnsi" w:cstheme="minorHAnsi"/>
          <w:bCs/>
          <w:i w:val="0"/>
          <w:iCs w:val="0"/>
          <w:color w:val="0070C0"/>
          <w:sz w:val="22"/>
          <w:szCs w:val="22"/>
        </w:rPr>
        <w:t>to the national mean in hierarchical logistic regression.</w:t>
      </w:r>
      <w:r w:rsidR="009F12DB" w:rsidRPr="007D17AA">
        <w:rPr>
          <w:rStyle w:val="Emphasis"/>
          <w:rFonts w:asciiTheme="minorHAnsi" w:eastAsiaTheme="minorHAnsi" w:hAnsiTheme="minorHAnsi" w:cstheme="minorHAnsi"/>
          <w:bCs/>
          <w:i w:val="0"/>
          <w:iCs w:val="0"/>
          <w:color w:val="0070C0"/>
          <w:sz w:val="22"/>
          <w:szCs w:val="22"/>
        </w:rPr>
        <w:t xml:space="preserve"> </w:t>
      </w:r>
      <w:r w:rsidR="004B4F53" w:rsidRPr="007D17AA">
        <w:rPr>
          <w:rStyle w:val="Emphasis"/>
          <w:rFonts w:asciiTheme="minorHAnsi" w:eastAsiaTheme="minorHAnsi" w:hAnsiTheme="minorHAnsi" w:cstheme="minorHAnsi"/>
          <w:bCs/>
          <w:i w:val="0"/>
          <w:iCs w:val="0"/>
          <w:color w:val="0070C0"/>
          <w:sz w:val="22"/>
          <w:szCs w:val="22"/>
        </w:rPr>
        <w:t xml:space="preserve">This, in turn, </w:t>
      </w:r>
      <w:r w:rsidR="0094523A" w:rsidRPr="007D17AA">
        <w:rPr>
          <w:rStyle w:val="Emphasis"/>
          <w:rFonts w:asciiTheme="minorHAnsi" w:eastAsiaTheme="minorHAnsi" w:hAnsiTheme="minorHAnsi" w:cstheme="minorHAnsi"/>
          <w:bCs/>
          <w:i w:val="0"/>
          <w:iCs w:val="0"/>
          <w:color w:val="0070C0"/>
          <w:sz w:val="22"/>
          <w:szCs w:val="22"/>
        </w:rPr>
        <w:t xml:space="preserve">results in larger effect sizes </w:t>
      </w:r>
      <w:r w:rsidR="00ED38C2">
        <w:rPr>
          <w:rStyle w:val="Emphasis"/>
          <w:rFonts w:asciiTheme="minorHAnsi" w:eastAsiaTheme="minorHAnsi" w:hAnsiTheme="minorHAnsi" w:cstheme="minorHAnsi"/>
          <w:bCs/>
          <w:i w:val="0"/>
          <w:iCs w:val="0"/>
          <w:color w:val="0070C0"/>
          <w:sz w:val="22"/>
          <w:szCs w:val="22"/>
        </w:rPr>
        <w:t xml:space="preserve">(Cohen’s </w:t>
      </w:r>
      <w:r w:rsidR="00ED38C2">
        <w:rPr>
          <w:rStyle w:val="Emphasis"/>
          <w:rFonts w:asciiTheme="minorHAnsi" w:eastAsiaTheme="minorHAnsi" w:hAnsiTheme="minorHAnsi" w:cstheme="minorHAnsi"/>
          <w:bCs/>
          <w:color w:val="0070C0"/>
          <w:sz w:val="22"/>
          <w:szCs w:val="22"/>
        </w:rPr>
        <w:t>d</w:t>
      </w:r>
      <w:r w:rsidR="00ED38C2" w:rsidRPr="00ED38C2">
        <w:rPr>
          <w:rStyle w:val="Emphasis"/>
          <w:rFonts w:asciiTheme="minorHAnsi" w:eastAsiaTheme="minorHAnsi" w:hAnsiTheme="minorHAnsi" w:cstheme="minorHAnsi"/>
          <w:bCs/>
          <w:i w:val="0"/>
          <w:iCs w:val="0"/>
          <w:color w:val="0070C0"/>
          <w:sz w:val="22"/>
          <w:szCs w:val="22"/>
        </w:rPr>
        <w:t xml:space="preserve">) </w:t>
      </w:r>
      <w:r w:rsidR="0094523A" w:rsidRPr="007D17AA">
        <w:rPr>
          <w:rStyle w:val="Emphasis"/>
          <w:rFonts w:asciiTheme="minorHAnsi" w:eastAsiaTheme="minorHAnsi" w:hAnsiTheme="minorHAnsi" w:cstheme="minorHAnsi"/>
          <w:bCs/>
          <w:i w:val="0"/>
          <w:iCs w:val="0"/>
          <w:color w:val="0070C0"/>
          <w:sz w:val="22"/>
          <w:szCs w:val="22"/>
        </w:rPr>
        <w:t>for the differences in rates. Therefore, for practical reasons</w:t>
      </w:r>
      <w:r w:rsidR="008036F6" w:rsidRPr="007D17AA">
        <w:rPr>
          <w:rStyle w:val="Emphasis"/>
          <w:rFonts w:asciiTheme="minorHAnsi" w:eastAsiaTheme="minorHAnsi" w:hAnsiTheme="minorHAnsi" w:cstheme="minorHAnsi"/>
          <w:bCs/>
          <w:i w:val="0"/>
          <w:iCs w:val="0"/>
          <w:color w:val="0070C0"/>
          <w:sz w:val="22"/>
          <w:szCs w:val="22"/>
        </w:rPr>
        <w:t>,</w:t>
      </w:r>
      <w:r w:rsidR="0094523A" w:rsidRPr="007D17AA">
        <w:rPr>
          <w:rStyle w:val="Emphasis"/>
          <w:rFonts w:asciiTheme="minorHAnsi" w:eastAsiaTheme="minorHAnsi" w:hAnsiTheme="minorHAnsi" w:cstheme="minorHAnsi"/>
          <w:bCs/>
          <w:i w:val="0"/>
          <w:iCs w:val="0"/>
          <w:color w:val="0070C0"/>
          <w:sz w:val="22"/>
          <w:szCs w:val="22"/>
        </w:rPr>
        <w:t xml:space="preserve"> it is more useful to focus on the interpretation of the effect sizes for the observed </w:t>
      </w:r>
      <w:r w:rsidRPr="007D17AA">
        <w:rPr>
          <w:rStyle w:val="Emphasis"/>
          <w:rFonts w:asciiTheme="minorHAnsi" w:eastAsiaTheme="minorHAnsi" w:hAnsiTheme="minorHAnsi" w:cstheme="minorHAnsi"/>
          <w:bCs/>
          <w:i w:val="0"/>
          <w:iCs w:val="0"/>
          <w:color w:val="0070C0"/>
          <w:sz w:val="22"/>
          <w:szCs w:val="22"/>
        </w:rPr>
        <w:t xml:space="preserve">(unadjusted) </w:t>
      </w:r>
      <w:r w:rsidR="0094523A" w:rsidRPr="007D17AA">
        <w:rPr>
          <w:rStyle w:val="Emphasis"/>
          <w:rFonts w:asciiTheme="minorHAnsi" w:eastAsiaTheme="minorHAnsi" w:hAnsiTheme="minorHAnsi" w:cstheme="minorHAnsi"/>
          <w:bCs/>
          <w:i w:val="0"/>
          <w:iCs w:val="0"/>
          <w:color w:val="0070C0"/>
          <w:sz w:val="22"/>
          <w:szCs w:val="22"/>
        </w:rPr>
        <w:t xml:space="preserve">rates. </w:t>
      </w:r>
      <w:r w:rsidR="0094523A" w:rsidRPr="007D17AA">
        <w:rPr>
          <w:rStyle w:val="Emphasis"/>
          <w:rFonts w:asciiTheme="minorHAnsi" w:hAnsiTheme="minorHAnsi" w:cstheme="minorHAnsi"/>
          <w:i w:val="0"/>
          <w:iCs w:val="0"/>
          <w:color w:val="0070C0"/>
          <w:sz w:val="22"/>
          <w:szCs w:val="22"/>
          <w:shd w:val="clear" w:color="auto" w:fill="FFFFFF"/>
        </w:rPr>
        <w:t>To put the differences in the measure performance rates into context</w:t>
      </w:r>
      <w:r w:rsidR="00ED38C2">
        <w:rPr>
          <w:rStyle w:val="Emphasis"/>
          <w:rFonts w:asciiTheme="minorHAnsi" w:hAnsiTheme="minorHAnsi" w:cstheme="minorHAnsi"/>
          <w:i w:val="0"/>
          <w:iCs w:val="0"/>
          <w:color w:val="0070C0"/>
          <w:sz w:val="22"/>
          <w:szCs w:val="22"/>
          <w:shd w:val="clear" w:color="auto" w:fill="FFFFFF"/>
        </w:rPr>
        <w:t xml:space="preserve"> by beneficiaries’ subgroups</w:t>
      </w:r>
      <w:r w:rsidR="0094523A" w:rsidRPr="007D17AA">
        <w:rPr>
          <w:rStyle w:val="Emphasis"/>
          <w:rFonts w:asciiTheme="minorHAnsi" w:hAnsiTheme="minorHAnsi" w:cstheme="minorHAnsi"/>
          <w:i w:val="0"/>
          <w:iCs w:val="0"/>
          <w:color w:val="0070C0"/>
          <w:sz w:val="22"/>
          <w:szCs w:val="22"/>
        </w:rPr>
        <w:t xml:space="preserve">: </w:t>
      </w:r>
    </w:p>
    <w:p w14:paraId="4338B935" w14:textId="581D2056" w:rsidR="0094523A" w:rsidRPr="00FD62DF" w:rsidRDefault="0094523A" w:rsidP="0094523A">
      <w:pPr>
        <w:pStyle w:val="NormalWeb"/>
        <w:numPr>
          <w:ilvl w:val="0"/>
          <w:numId w:val="10"/>
        </w:numPr>
        <w:spacing w:before="0" w:beforeAutospacing="0" w:after="0" w:afterAutospacing="0"/>
        <w:rPr>
          <w:rStyle w:val="Emphasis"/>
          <w:rFonts w:asciiTheme="minorHAnsi" w:hAnsiTheme="minorHAnsi" w:cstheme="minorHAnsi"/>
          <w:i w:val="0"/>
          <w:iCs w:val="0"/>
          <w:color w:val="0070C0"/>
          <w:sz w:val="22"/>
          <w:szCs w:val="22"/>
        </w:rPr>
      </w:pPr>
      <w:r w:rsidRPr="00FD62DF">
        <w:rPr>
          <w:rStyle w:val="Emphasis"/>
          <w:rFonts w:asciiTheme="minorHAnsi" w:hAnsiTheme="minorHAnsi" w:cstheme="minorHAnsi"/>
          <w:i w:val="0"/>
          <w:iCs w:val="0"/>
          <w:color w:val="0070C0"/>
          <w:sz w:val="22"/>
          <w:szCs w:val="22"/>
        </w:rPr>
        <w:lastRenderedPageBreak/>
        <w:t>There is a 4.4</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w:t>
      </w:r>
      <w:r w:rsidR="006D69B0">
        <w:rPr>
          <w:rStyle w:val="Emphasis"/>
          <w:rFonts w:asciiTheme="minorHAnsi" w:hAnsiTheme="minorHAnsi" w:cstheme="minorHAnsi"/>
          <w:i w:val="0"/>
          <w:iCs w:val="0"/>
          <w:color w:val="0070C0"/>
          <w:sz w:val="22"/>
          <w:szCs w:val="22"/>
        </w:rPr>
        <w:t xml:space="preserve">difference </w:t>
      </w:r>
      <w:r w:rsidR="00B742A4">
        <w:rPr>
          <w:rStyle w:val="Emphasis"/>
          <w:rFonts w:asciiTheme="minorHAnsi" w:hAnsiTheme="minorHAnsi" w:cstheme="minorHAnsi"/>
          <w:i w:val="0"/>
          <w:iCs w:val="0"/>
          <w:color w:val="0070C0"/>
          <w:sz w:val="22"/>
          <w:szCs w:val="22"/>
        </w:rPr>
        <w:t xml:space="preserve">in the mean readmission rate between </w:t>
      </w:r>
      <w:r w:rsidR="00ED38C2">
        <w:rPr>
          <w:rStyle w:val="Emphasis"/>
          <w:rFonts w:asciiTheme="minorHAnsi" w:hAnsiTheme="minorHAnsi" w:cstheme="minorHAnsi"/>
          <w:i w:val="0"/>
          <w:iCs w:val="0"/>
          <w:color w:val="0070C0"/>
          <w:sz w:val="22"/>
          <w:szCs w:val="22"/>
        </w:rPr>
        <w:t xml:space="preserve">the </w:t>
      </w:r>
      <w:r w:rsidR="00B742A4">
        <w:rPr>
          <w:rStyle w:val="Emphasis"/>
          <w:rFonts w:asciiTheme="minorHAnsi" w:hAnsiTheme="minorHAnsi" w:cstheme="minorHAnsi"/>
          <w:i w:val="0"/>
          <w:iCs w:val="0"/>
          <w:color w:val="0070C0"/>
          <w:sz w:val="22"/>
          <w:szCs w:val="22"/>
        </w:rPr>
        <w:t>male and female beneficiaries</w:t>
      </w:r>
      <w:r w:rsidRPr="00FD62DF">
        <w:rPr>
          <w:rStyle w:val="Emphasis"/>
          <w:rFonts w:asciiTheme="minorHAnsi" w:hAnsiTheme="minorHAnsi" w:cstheme="minorHAnsi"/>
          <w:i w:val="0"/>
          <w:iCs w:val="0"/>
          <w:color w:val="0070C0"/>
          <w:sz w:val="22"/>
          <w:szCs w:val="22"/>
        </w:rPr>
        <w:t>. A total of 54.4</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of male beneficiaries</w:t>
      </w:r>
      <w:r w:rsidR="00203ADC">
        <w:rPr>
          <w:rStyle w:val="Emphasis"/>
          <w:rFonts w:asciiTheme="minorHAnsi" w:hAnsiTheme="minorHAnsi" w:cstheme="minorHAnsi"/>
          <w:i w:val="0"/>
          <w:iCs w:val="0"/>
          <w:color w:val="0070C0"/>
          <w:sz w:val="22"/>
          <w:szCs w:val="22"/>
        </w:rPr>
        <w:t xml:space="preserve"> will</w:t>
      </w:r>
      <w:r w:rsidRPr="00FD62DF">
        <w:rPr>
          <w:rStyle w:val="Emphasis"/>
          <w:rFonts w:asciiTheme="minorHAnsi" w:hAnsiTheme="minorHAnsi" w:cstheme="minorHAnsi"/>
          <w:i w:val="0"/>
          <w:iCs w:val="0"/>
          <w:color w:val="0070C0"/>
          <w:sz w:val="22"/>
          <w:szCs w:val="22"/>
        </w:rPr>
        <w:t xml:space="preserve"> have </w:t>
      </w:r>
      <w:r w:rsidR="005A66E5">
        <w:rPr>
          <w:rStyle w:val="Emphasis"/>
          <w:rFonts w:asciiTheme="minorHAnsi" w:hAnsiTheme="minorHAnsi" w:cstheme="minorHAnsi"/>
          <w:i w:val="0"/>
          <w:iCs w:val="0"/>
          <w:color w:val="0070C0"/>
          <w:sz w:val="22"/>
          <w:szCs w:val="22"/>
        </w:rPr>
        <w:t xml:space="preserve">higher </w:t>
      </w:r>
      <w:r w:rsidR="00203ADC">
        <w:rPr>
          <w:rStyle w:val="Emphasis"/>
          <w:rFonts w:asciiTheme="minorHAnsi" w:hAnsiTheme="minorHAnsi" w:cstheme="minorHAnsi"/>
          <w:i w:val="0"/>
          <w:iCs w:val="0"/>
          <w:color w:val="0070C0"/>
          <w:sz w:val="22"/>
          <w:szCs w:val="22"/>
        </w:rPr>
        <w:t>probability</w:t>
      </w:r>
      <w:r w:rsidR="00203ADC"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of </w:t>
      </w:r>
      <w:r w:rsidR="00B742A4">
        <w:rPr>
          <w:rStyle w:val="Emphasis"/>
          <w:rFonts w:asciiTheme="minorHAnsi" w:hAnsiTheme="minorHAnsi" w:cstheme="minorHAnsi"/>
          <w:i w:val="0"/>
          <w:iCs w:val="0"/>
          <w:color w:val="0070C0"/>
          <w:sz w:val="22"/>
          <w:szCs w:val="22"/>
        </w:rPr>
        <w:t>being readmitted to an IPF</w:t>
      </w:r>
      <w:r w:rsidR="00B742A4" w:rsidRPr="00FD62DF">
        <w:rPr>
          <w:rStyle w:val="Emphasis"/>
          <w:rFonts w:asciiTheme="minorHAnsi" w:hAnsiTheme="minorHAnsi" w:cstheme="minorHAnsi"/>
          <w:i w:val="0"/>
          <w:iCs w:val="0"/>
          <w:color w:val="0070C0"/>
          <w:sz w:val="22"/>
          <w:szCs w:val="22"/>
        </w:rPr>
        <w:t xml:space="preserve"> </w:t>
      </w:r>
      <w:r w:rsidR="005A66E5">
        <w:rPr>
          <w:rStyle w:val="Emphasis"/>
          <w:rFonts w:asciiTheme="minorHAnsi" w:hAnsiTheme="minorHAnsi" w:cstheme="minorHAnsi"/>
          <w:i w:val="0"/>
          <w:iCs w:val="0"/>
          <w:color w:val="0070C0"/>
          <w:sz w:val="22"/>
          <w:szCs w:val="22"/>
        </w:rPr>
        <w:t>than an average female beneficiary</w:t>
      </w:r>
      <w:r w:rsidRPr="00FD62DF">
        <w:rPr>
          <w:rStyle w:val="Emphasis"/>
          <w:rFonts w:asciiTheme="minorHAnsi" w:hAnsiTheme="minorHAnsi" w:cstheme="minorHAnsi"/>
          <w:i w:val="0"/>
          <w:iCs w:val="0"/>
          <w:color w:val="0070C0"/>
          <w:sz w:val="22"/>
          <w:szCs w:val="22"/>
        </w:rPr>
        <w:t xml:space="preserve">. </w:t>
      </w:r>
      <w:r w:rsidR="00ED38C2">
        <w:rPr>
          <w:rStyle w:val="Emphasis"/>
          <w:rFonts w:asciiTheme="minorHAnsi" w:hAnsiTheme="minorHAnsi" w:cstheme="minorHAnsi"/>
          <w:i w:val="0"/>
          <w:iCs w:val="0"/>
          <w:color w:val="0070C0"/>
          <w:sz w:val="22"/>
          <w:szCs w:val="22"/>
        </w:rPr>
        <w:t>The</w:t>
      </w:r>
      <w:r w:rsidR="00434FC4">
        <w:rPr>
          <w:rStyle w:val="Emphasis"/>
          <w:rFonts w:asciiTheme="minorHAnsi" w:hAnsiTheme="minorHAnsi" w:cstheme="minorHAnsi"/>
          <w:i w:val="0"/>
          <w:iCs w:val="0"/>
          <w:color w:val="0070C0"/>
          <w:sz w:val="22"/>
          <w:szCs w:val="22"/>
        </w:rPr>
        <w:t xml:space="preserve">re is a 53.1 percent chance that a male beneficiary will </w:t>
      </w:r>
      <w:r w:rsidR="00660F5F">
        <w:rPr>
          <w:rStyle w:val="Emphasis"/>
          <w:rFonts w:asciiTheme="minorHAnsi" w:hAnsiTheme="minorHAnsi" w:cstheme="minorHAnsi"/>
          <w:i w:val="0"/>
          <w:iCs w:val="0"/>
          <w:color w:val="0070C0"/>
          <w:sz w:val="22"/>
          <w:szCs w:val="22"/>
        </w:rPr>
        <w:t>have higher probability of</w:t>
      </w:r>
      <w:r w:rsidR="00434FC4">
        <w:rPr>
          <w:rStyle w:val="Emphasis"/>
          <w:rFonts w:asciiTheme="minorHAnsi" w:hAnsiTheme="minorHAnsi" w:cstheme="minorHAnsi"/>
          <w:i w:val="0"/>
          <w:iCs w:val="0"/>
          <w:color w:val="0070C0"/>
          <w:sz w:val="22"/>
          <w:szCs w:val="22"/>
        </w:rPr>
        <w:t xml:space="preserve"> </w:t>
      </w:r>
      <w:r w:rsidR="00E71F58">
        <w:rPr>
          <w:rStyle w:val="Emphasis"/>
          <w:rFonts w:asciiTheme="minorHAnsi" w:hAnsiTheme="minorHAnsi" w:cstheme="minorHAnsi"/>
          <w:i w:val="0"/>
          <w:iCs w:val="0"/>
          <w:color w:val="0070C0"/>
          <w:sz w:val="22"/>
          <w:szCs w:val="22"/>
        </w:rPr>
        <w:t xml:space="preserve">readmission </w:t>
      </w:r>
      <w:r w:rsidR="00434FC4">
        <w:rPr>
          <w:rStyle w:val="Emphasis"/>
          <w:rFonts w:asciiTheme="minorHAnsi" w:hAnsiTheme="minorHAnsi" w:cstheme="minorHAnsi"/>
          <w:i w:val="0"/>
          <w:iCs w:val="0"/>
          <w:color w:val="0070C0"/>
          <w:sz w:val="22"/>
          <w:szCs w:val="22"/>
        </w:rPr>
        <w:t>to an IPF compare to a female beneficiary</w:t>
      </w:r>
      <w:r w:rsidRPr="00FD62DF">
        <w:rPr>
          <w:rStyle w:val="Emphasis"/>
          <w:rFonts w:asciiTheme="minorHAnsi" w:hAnsiTheme="minorHAnsi" w:cstheme="minorHAnsi"/>
          <w:i w:val="0"/>
          <w:iCs w:val="0"/>
          <w:color w:val="0070C0"/>
          <w:sz w:val="22"/>
          <w:szCs w:val="22"/>
        </w:rPr>
        <w:t xml:space="preserve">. </w:t>
      </w:r>
    </w:p>
    <w:p w14:paraId="7225F2C1" w14:textId="3EA8A551" w:rsidR="0094523A" w:rsidRDefault="0094523A" w:rsidP="0094523A">
      <w:pPr>
        <w:pStyle w:val="NormalWeb"/>
        <w:numPr>
          <w:ilvl w:val="0"/>
          <w:numId w:val="10"/>
        </w:numPr>
        <w:spacing w:before="0" w:beforeAutospacing="0" w:after="0" w:afterAutospacing="0"/>
        <w:rPr>
          <w:rStyle w:val="Emphasis"/>
          <w:rFonts w:asciiTheme="minorHAnsi" w:hAnsiTheme="minorHAnsi" w:cstheme="minorHAnsi"/>
          <w:i w:val="0"/>
          <w:iCs w:val="0"/>
          <w:color w:val="0070C0"/>
          <w:sz w:val="22"/>
          <w:szCs w:val="22"/>
        </w:rPr>
      </w:pPr>
      <w:r w:rsidRPr="00FD62DF">
        <w:rPr>
          <w:rStyle w:val="Emphasis"/>
          <w:rFonts w:asciiTheme="minorHAnsi" w:hAnsiTheme="minorHAnsi" w:cstheme="minorHAnsi"/>
          <w:i w:val="0"/>
          <w:iCs w:val="0"/>
          <w:color w:val="0070C0"/>
          <w:sz w:val="22"/>
          <w:szCs w:val="22"/>
        </w:rPr>
        <w:t>The</w:t>
      </w:r>
      <w:r w:rsidR="00B742A4">
        <w:rPr>
          <w:rStyle w:val="Emphasis"/>
          <w:rFonts w:asciiTheme="minorHAnsi" w:hAnsiTheme="minorHAnsi" w:cstheme="minorHAnsi"/>
          <w:i w:val="0"/>
          <w:iCs w:val="0"/>
          <w:color w:val="0070C0"/>
          <w:sz w:val="22"/>
          <w:szCs w:val="22"/>
        </w:rPr>
        <w:t>re is a 4.1 percent</w:t>
      </w:r>
      <w:r w:rsidRPr="00FD62DF">
        <w:rPr>
          <w:rStyle w:val="Emphasis"/>
          <w:rFonts w:asciiTheme="minorHAnsi" w:hAnsiTheme="minorHAnsi" w:cstheme="minorHAnsi"/>
          <w:i w:val="0"/>
          <w:iCs w:val="0"/>
          <w:color w:val="0070C0"/>
          <w:sz w:val="22"/>
          <w:szCs w:val="22"/>
        </w:rPr>
        <w:t xml:space="preserve"> difference in the mean IPF </w:t>
      </w:r>
      <w:r w:rsidR="008036F6" w:rsidRPr="00FD62DF">
        <w:rPr>
          <w:rStyle w:val="Emphasis"/>
          <w:rFonts w:asciiTheme="minorHAnsi" w:hAnsiTheme="minorHAnsi" w:cstheme="minorHAnsi"/>
          <w:i w:val="0"/>
          <w:iCs w:val="0"/>
          <w:color w:val="0070C0"/>
          <w:sz w:val="22"/>
          <w:szCs w:val="22"/>
        </w:rPr>
        <w:t>R</w:t>
      </w:r>
      <w:r w:rsidRPr="00FD62DF">
        <w:rPr>
          <w:rStyle w:val="Emphasis"/>
          <w:rFonts w:asciiTheme="minorHAnsi" w:hAnsiTheme="minorHAnsi" w:cstheme="minorHAnsi"/>
          <w:i w:val="0"/>
          <w:iCs w:val="0"/>
          <w:color w:val="0070C0"/>
          <w:sz w:val="22"/>
          <w:szCs w:val="22"/>
        </w:rPr>
        <w:t xml:space="preserve">eadmission between </w:t>
      </w:r>
      <w:r w:rsidR="00B742A4">
        <w:rPr>
          <w:rStyle w:val="Emphasis"/>
          <w:rFonts w:asciiTheme="minorHAnsi" w:hAnsiTheme="minorHAnsi" w:cstheme="minorHAnsi"/>
          <w:i w:val="0"/>
          <w:iCs w:val="0"/>
          <w:color w:val="0070C0"/>
          <w:sz w:val="22"/>
          <w:szCs w:val="22"/>
        </w:rPr>
        <w:t>beneficiaries</w:t>
      </w:r>
      <w:r w:rsidR="00B742A4"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with and without a schizophrenia diagnosis. A total of 54.1</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of patients with a schizophrenia diagnosis </w:t>
      </w:r>
      <w:r w:rsidR="00203ADC">
        <w:rPr>
          <w:rStyle w:val="Emphasis"/>
          <w:rFonts w:asciiTheme="minorHAnsi" w:hAnsiTheme="minorHAnsi" w:cstheme="minorHAnsi"/>
          <w:i w:val="0"/>
          <w:iCs w:val="0"/>
          <w:color w:val="0070C0"/>
          <w:sz w:val="22"/>
          <w:szCs w:val="22"/>
        </w:rPr>
        <w:t xml:space="preserve">will </w:t>
      </w:r>
      <w:r w:rsidRPr="00FD62DF">
        <w:rPr>
          <w:rStyle w:val="Emphasis"/>
          <w:rFonts w:asciiTheme="minorHAnsi" w:hAnsiTheme="minorHAnsi" w:cstheme="minorHAnsi"/>
          <w:i w:val="0"/>
          <w:iCs w:val="0"/>
          <w:color w:val="0070C0"/>
          <w:sz w:val="22"/>
          <w:szCs w:val="22"/>
        </w:rPr>
        <w:t xml:space="preserve">have higher </w:t>
      </w:r>
      <w:r w:rsidR="00203ADC">
        <w:rPr>
          <w:rStyle w:val="Emphasis"/>
          <w:rFonts w:asciiTheme="minorHAnsi" w:hAnsiTheme="minorHAnsi" w:cstheme="minorHAnsi"/>
          <w:i w:val="0"/>
          <w:iCs w:val="0"/>
          <w:color w:val="0070C0"/>
          <w:sz w:val="22"/>
          <w:szCs w:val="22"/>
        </w:rPr>
        <w:t>probability</w:t>
      </w:r>
      <w:r w:rsidR="00203ADC"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of readmission </w:t>
      </w:r>
      <w:r w:rsidR="00203ADC">
        <w:rPr>
          <w:rStyle w:val="Emphasis"/>
          <w:rFonts w:asciiTheme="minorHAnsi" w:hAnsiTheme="minorHAnsi" w:cstheme="minorHAnsi"/>
          <w:i w:val="0"/>
          <w:iCs w:val="0"/>
          <w:color w:val="0070C0"/>
          <w:sz w:val="22"/>
          <w:szCs w:val="22"/>
        </w:rPr>
        <w:t xml:space="preserve">to an IPF </w:t>
      </w:r>
      <w:r w:rsidRPr="00FD62DF">
        <w:rPr>
          <w:rStyle w:val="Emphasis"/>
          <w:rFonts w:asciiTheme="minorHAnsi" w:hAnsiTheme="minorHAnsi" w:cstheme="minorHAnsi"/>
          <w:i w:val="0"/>
          <w:iCs w:val="0"/>
          <w:color w:val="0070C0"/>
          <w:sz w:val="22"/>
          <w:szCs w:val="22"/>
        </w:rPr>
        <w:t xml:space="preserve">compare to an average patient without </w:t>
      </w:r>
      <w:r w:rsidR="008036F6" w:rsidRPr="00FD62DF">
        <w:rPr>
          <w:rStyle w:val="Emphasis"/>
          <w:rFonts w:asciiTheme="minorHAnsi" w:hAnsiTheme="minorHAnsi" w:cstheme="minorHAnsi"/>
          <w:i w:val="0"/>
          <w:iCs w:val="0"/>
          <w:color w:val="0070C0"/>
          <w:sz w:val="22"/>
          <w:szCs w:val="22"/>
        </w:rPr>
        <w:t xml:space="preserve">the </w:t>
      </w:r>
      <w:r w:rsidRPr="00FD62DF">
        <w:rPr>
          <w:rStyle w:val="Emphasis"/>
          <w:rFonts w:asciiTheme="minorHAnsi" w:hAnsiTheme="minorHAnsi" w:cstheme="minorHAnsi"/>
          <w:i w:val="0"/>
          <w:iCs w:val="0"/>
          <w:color w:val="0070C0"/>
          <w:sz w:val="22"/>
          <w:szCs w:val="22"/>
        </w:rPr>
        <w:t>same diagnosis. There’s a 52.9</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w:t>
      </w:r>
      <w:r w:rsidR="00660F5F">
        <w:rPr>
          <w:rStyle w:val="Emphasis"/>
          <w:rFonts w:asciiTheme="minorHAnsi" w:hAnsiTheme="minorHAnsi" w:cstheme="minorHAnsi"/>
          <w:i w:val="0"/>
          <w:iCs w:val="0"/>
          <w:color w:val="0070C0"/>
          <w:sz w:val="22"/>
          <w:szCs w:val="22"/>
        </w:rPr>
        <w:t>chance</w:t>
      </w:r>
      <w:r w:rsidR="00660F5F"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that a patient with schizophrenia will have a higher </w:t>
      </w:r>
      <w:r w:rsidR="00660F5F">
        <w:rPr>
          <w:rStyle w:val="Emphasis"/>
          <w:rFonts w:asciiTheme="minorHAnsi" w:hAnsiTheme="minorHAnsi" w:cstheme="minorHAnsi"/>
          <w:i w:val="0"/>
          <w:iCs w:val="0"/>
          <w:color w:val="0070C0"/>
          <w:sz w:val="22"/>
          <w:szCs w:val="22"/>
        </w:rPr>
        <w:t xml:space="preserve">probability of being </w:t>
      </w:r>
      <w:r w:rsidRPr="00FD62DF">
        <w:rPr>
          <w:rStyle w:val="Emphasis"/>
          <w:rFonts w:asciiTheme="minorHAnsi" w:hAnsiTheme="minorHAnsi" w:cstheme="minorHAnsi"/>
          <w:i w:val="0"/>
          <w:iCs w:val="0"/>
          <w:color w:val="0070C0"/>
          <w:sz w:val="22"/>
          <w:szCs w:val="22"/>
        </w:rPr>
        <w:t>readmi</w:t>
      </w:r>
      <w:r w:rsidR="00660F5F">
        <w:rPr>
          <w:rStyle w:val="Emphasis"/>
          <w:rFonts w:asciiTheme="minorHAnsi" w:hAnsiTheme="minorHAnsi" w:cstheme="minorHAnsi"/>
          <w:i w:val="0"/>
          <w:iCs w:val="0"/>
          <w:color w:val="0070C0"/>
          <w:sz w:val="22"/>
          <w:szCs w:val="22"/>
        </w:rPr>
        <w:t xml:space="preserve">tted to an IPF </w:t>
      </w:r>
      <w:r w:rsidR="00625921">
        <w:rPr>
          <w:rStyle w:val="Emphasis"/>
          <w:rFonts w:asciiTheme="minorHAnsi" w:hAnsiTheme="minorHAnsi" w:cstheme="minorHAnsi"/>
          <w:i w:val="0"/>
          <w:iCs w:val="0"/>
          <w:color w:val="0070C0"/>
          <w:sz w:val="22"/>
          <w:szCs w:val="22"/>
        </w:rPr>
        <w:t>than</w:t>
      </w:r>
      <w:r w:rsidR="00625921"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a patient </w:t>
      </w:r>
      <w:r w:rsidR="00625921">
        <w:rPr>
          <w:rStyle w:val="Emphasis"/>
          <w:rFonts w:asciiTheme="minorHAnsi" w:hAnsiTheme="minorHAnsi" w:cstheme="minorHAnsi"/>
          <w:i w:val="0"/>
          <w:iCs w:val="0"/>
          <w:color w:val="0070C0"/>
          <w:sz w:val="22"/>
          <w:szCs w:val="22"/>
        </w:rPr>
        <w:t>without</w:t>
      </w:r>
      <w:r w:rsidRPr="00FD62DF">
        <w:rPr>
          <w:rStyle w:val="Emphasis"/>
          <w:rFonts w:asciiTheme="minorHAnsi" w:hAnsiTheme="minorHAnsi" w:cstheme="minorHAnsi"/>
          <w:i w:val="0"/>
          <w:iCs w:val="0"/>
          <w:color w:val="0070C0"/>
          <w:sz w:val="22"/>
          <w:szCs w:val="22"/>
        </w:rPr>
        <w:t xml:space="preserve"> schizophrenia.</w:t>
      </w:r>
      <w:r w:rsidR="00660F5F">
        <w:rPr>
          <w:rStyle w:val="Emphasis"/>
          <w:rFonts w:asciiTheme="minorHAnsi" w:hAnsiTheme="minorHAnsi" w:cstheme="minorHAnsi"/>
          <w:i w:val="0"/>
          <w:iCs w:val="0"/>
          <w:color w:val="0070C0"/>
          <w:sz w:val="22"/>
          <w:szCs w:val="22"/>
        </w:rPr>
        <w:t xml:space="preserve"> </w:t>
      </w:r>
    </w:p>
    <w:p w14:paraId="704629E2" w14:textId="79802686" w:rsidR="006D69B0" w:rsidRPr="007D17AA" w:rsidRDefault="006D69B0" w:rsidP="006D69B0">
      <w:pPr>
        <w:pStyle w:val="NormalWeb"/>
        <w:numPr>
          <w:ilvl w:val="0"/>
          <w:numId w:val="10"/>
        </w:numPr>
        <w:spacing w:before="0" w:beforeAutospacing="0" w:after="0" w:afterAutospacing="0"/>
        <w:rPr>
          <w:rStyle w:val="Emphasis"/>
          <w:rFonts w:asciiTheme="minorHAnsi" w:hAnsiTheme="minorHAnsi" w:cstheme="minorHAnsi"/>
          <w:i w:val="0"/>
          <w:iCs w:val="0"/>
          <w:color w:val="0070C0"/>
          <w:sz w:val="22"/>
          <w:szCs w:val="22"/>
        </w:rPr>
      </w:pPr>
      <w:r w:rsidRPr="007D17AA">
        <w:rPr>
          <w:rStyle w:val="Emphasis"/>
          <w:rFonts w:asciiTheme="minorHAnsi" w:hAnsiTheme="minorHAnsi" w:cstheme="minorHAnsi"/>
          <w:i w:val="0"/>
          <w:iCs w:val="0"/>
          <w:color w:val="0070C0"/>
          <w:sz w:val="22"/>
          <w:szCs w:val="22"/>
        </w:rPr>
        <w:t xml:space="preserve">There is a difference of </w:t>
      </w:r>
      <w:r>
        <w:rPr>
          <w:rStyle w:val="Emphasis"/>
          <w:rFonts w:asciiTheme="minorHAnsi" w:hAnsiTheme="minorHAnsi" w:cstheme="minorHAnsi"/>
          <w:i w:val="0"/>
          <w:iCs w:val="0"/>
          <w:color w:val="0070C0"/>
          <w:sz w:val="22"/>
          <w:szCs w:val="22"/>
        </w:rPr>
        <w:t>3</w:t>
      </w:r>
      <w:r w:rsidRPr="007D17AA">
        <w:rPr>
          <w:rStyle w:val="Emphasis"/>
          <w:rFonts w:asciiTheme="minorHAnsi" w:hAnsiTheme="minorHAnsi" w:cstheme="minorHAnsi"/>
          <w:i w:val="0"/>
          <w:iCs w:val="0"/>
          <w:color w:val="0070C0"/>
          <w:sz w:val="22"/>
          <w:szCs w:val="22"/>
        </w:rPr>
        <w:t>.</w:t>
      </w:r>
      <w:r>
        <w:rPr>
          <w:rStyle w:val="Emphasis"/>
          <w:rFonts w:asciiTheme="minorHAnsi" w:hAnsiTheme="minorHAnsi" w:cstheme="minorHAnsi"/>
          <w:i w:val="0"/>
          <w:iCs w:val="0"/>
          <w:color w:val="0070C0"/>
          <w:sz w:val="22"/>
          <w:szCs w:val="22"/>
        </w:rPr>
        <w:t>9</w:t>
      </w:r>
      <w:r w:rsidRPr="007D17AA">
        <w:rPr>
          <w:rStyle w:val="Emphasis"/>
          <w:rFonts w:asciiTheme="minorHAnsi" w:hAnsiTheme="minorHAnsi" w:cstheme="minorHAnsi"/>
          <w:i w:val="0"/>
          <w:iCs w:val="0"/>
          <w:color w:val="0070C0"/>
          <w:sz w:val="22"/>
          <w:szCs w:val="22"/>
        </w:rPr>
        <w:t xml:space="preserve"> percent between the mean IPF Readmission rate among beneficiaries </w:t>
      </w:r>
      <w:r w:rsidR="00625921">
        <w:rPr>
          <w:rStyle w:val="Emphasis"/>
          <w:rFonts w:asciiTheme="minorHAnsi" w:hAnsiTheme="minorHAnsi" w:cstheme="minorHAnsi"/>
          <w:i w:val="0"/>
          <w:iCs w:val="0"/>
          <w:color w:val="0070C0"/>
          <w:sz w:val="22"/>
          <w:szCs w:val="22"/>
        </w:rPr>
        <w:t xml:space="preserve">with the </w:t>
      </w:r>
      <w:r w:rsidRPr="007D17AA">
        <w:rPr>
          <w:rStyle w:val="Emphasis"/>
          <w:rFonts w:asciiTheme="minorHAnsi" w:hAnsiTheme="minorHAnsi" w:cstheme="minorHAnsi"/>
          <w:i w:val="0"/>
          <w:iCs w:val="0"/>
          <w:color w:val="0070C0"/>
          <w:sz w:val="22"/>
          <w:szCs w:val="22"/>
        </w:rPr>
        <w:t xml:space="preserve">dual </w:t>
      </w:r>
      <w:r w:rsidR="00625921">
        <w:rPr>
          <w:rStyle w:val="Emphasis"/>
          <w:rFonts w:asciiTheme="minorHAnsi" w:hAnsiTheme="minorHAnsi" w:cstheme="minorHAnsi"/>
          <w:i w:val="0"/>
          <w:iCs w:val="0"/>
          <w:color w:val="0070C0"/>
          <w:sz w:val="22"/>
          <w:szCs w:val="22"/>
        </w:rPr>
        <w:t>Medicare-Medicaid-and Medicare-only (non-dual) status</w:t>
      </w:r>
      <w:r w:rsidRPr="007D17AA">
        <w:rPr>
          <w:rStyle w:val="Emphasis"/>
          <w:rFonts w:asciiTheme="minorHAnsi" w:hAnsiTheme="minorHAnsi" w:cstheme="minorHAnsi"/>
          <w:i w:val="0"/>
          <w:iCs w:val="0"/>
          <w:color w:val="0070C0"/>
          <w:sz w:val="22"/>
          <w:szCs w:val="22"/>
        </w:rPr>
        <w:t>. A total of 5</w:t>
      </w:r>
      <w:r>
        <w:rPr>
          <w:rStyle w:val="Emphasis"/>
          <w:rFonts w:asciiTheme="minorHAnsi" w:hAnsiTheme="minorHAnsi" w:cstheme="minorHAnsi"/>
          <w:i w:val="0"/>
          <w:iCs w:val="0"/>
          <w:color w:val="0070C0"/>
          <w:sz w:val="22"/>
          <w:szCs w:val="22"/>
        </w:rPr>
        <w:t>3</w:t>
      </w:r>
      <w:r w:rsidRPr="007D17AA">
        <w:rPr>
          <w:rStyle w:val="Emphasis"/>
          <w:rFonts w:asciiTheme="minorHAnsi" w:hAnsiTheme="minorHAnsi" w:cstheme="minorHAnsi"/>
          <w:i w:val="0"/>
          <w:iCs w:val="0"/>
          <w:color w:val="0070C0"/>
          <w:sz w:val="22"/>
          <w:szCs w:val="22"/>
        </w:rPr>
        <w:t>.</w:t>
      </w:r>
      <w:r>
        <w:rPr>
          <w:rStyle w:val="Emphasis"/>
          <w:rFonts w:asciiTheme="minorHAnsi" w:hAnsiTheme="minorHAnsi" w:cstheme="minorHAnsi"/>
          <w:i w:val="0"/>
          <w:iCs w:val="0"/>
          <w:color w:val="0070C0"/>
          <w:sz w:val="22"/>
          <w:szCs w:val="22"/>
        </w:rPr>
        <w:t>9</w:t>
      </w:r>
      <w:r w:rsidRPr="007D17AA">
        <w:rPr>
          <w:rStyle w:val="Emphasis"/>
          <w:rFonts w:asciiTheme="minorHAnsi" w:hAnsiTheme="minorHAnsi" w:cstheme="minorHAnsi"/>
          <w:i w:val="0"/>
          <w:iCs w:val="0"/>
          <w:color w:val="0070C0"/>
          <w:sz w:val="22"/>
          <w:szCs w:val="22"/>
        </w:rPr>
        <w:t xml:space="preserve"> percent of beneficiaries </w:t>
      </w:r>
      <w:r w:rsidR="00625921">
        <w:rPr>
          <w:rStyle w:val="Emphasis"/>
          <w:rFonts w:asciiTheme="minorHAnsi" w:hAnsiTheme="minorHAnsi" w:cstheme="minorHAnsi"/>
          <w:i w:val="0"/>
          <w:iCs w:val="0"/>
          <w:color w:val="0070C0"/>
          <w:sz w:val="22"/>
          <w:szCs w:val="22"/>
        </w:rPr>
        <w:t xml:space="preserve">with </w:t>
      </w:r>
      <w:r w:rsidR="00625921" w:rsidRPr="007D17AA">
        <w:rPr>
          <w:rStyle w:val="Emphasis"/>
          <w:rFonts w:asciiTheme="minorHAnsi" w:hAnsiTheme="minorHAnsi" w:cstheme="minorHAnsi"/>
          <w:i w:val="0"/>
          <w:iCs w:val="0"/>
          <w:color w:val="0070C0"/>
          <w:sz w:val="22"/>
          <w:szCs w:val="22"/>
        </w:rPr>
        <w:t xml:space="preserve">dual </w:t>
      </w:r>
      <w:r w:rsidR="00625921">
        <w:rPr>
          <w:rStyle w:val="Emphasis"/>
          <w:rFonts w:asciiTheme="minorHAnsi" w:hAnsiTheme="minorHAnsi" w:cstheme="minorHAnsi"/>
          <w:i w:val="0"/>
          <w:iCs w:val="0"/>
          <w:color w:val="0070C0"/>
          <w:sz w:val="22"/>
          <w:szCs w:val="22"/>
        </w:rPr>
        <w:t xml:space="preserve">Medicare-Medicaid </w:t>
      </w:r>
      <w:r w:rsidR="00625921" w:rsidRPr="007D17AA">
        <w:rPr>
          <w:rStyle w:val="Emphasis"/>
          <w:rFonts w:asciiTheme="minorHAnsi" w:hAnsiTheme="minorHAnsi" w:cstheme="minorHAnsi"/>
          <w:i w:val="0"/>
          <w:iCs w:val="0"/>
          <w:color w:val="0070C0"/>
          <w:sz w:val="22"/>
          <w:szCs w:val="22"/>
        </w:rPr>
        <w:t xml:space="preserve">status </w:t>
      </w:r>
      <w:r w:rsidRPr="007D17AA">
        <w:rPr>
          <w:rStyle w:val="Emphasis"/>
          <w:rFonts w:asciiTheme="minorHAnsi" w:hAnsiTheme="minorHAnsi" w:cstheme="minorHAnsi"/>
          <w:i w:val="0"/>
          <w:iCs w:val="0"/>
          <w:color w:val="0070C0"/>
          <w:sz w:val="22"/>
          <w:szCs w:val="22"/>
        </w:rPr>
        <w:t xml:space="preserve">will </w:t>
      </w:r>
      <w:r w:rsidR="00625921">
        <w:rPr>
          <w:rStyle w:val="Emphasis"/>
          <w:rFonts w:asciiTheme="minorHAnsi" w:hAnsiTheme="minorHAnsi" w:cstheme="minorHAnsi"/>
          <w:i w:val="0"/>
          <w:iCs w:val="0"/>
          <w:color w:val="0070C0"/>
          <w:sz w:val="22"/>
          <w:szCs w:val="22"/>
        </w:rPr>
        <w:t xml:space="preserve">higher </w:t>
      </w:r>
      <w:r w:rsidR="00ED38C2">
        <w:rPr>
          <w:rStyle w:val="Emphasis"/>
          <w:rFonts w:asciiTheme="minorHAnsi" w:hAnsiTheme="minorHAnsi" w:cstheme="minorHAnsi"/>
          <w:i w:val="0"/>
          <w:iCs w:val="0"/>
          <w:color w:val="0070C0"/>
          <w:sz w:val="22"/>
          <w:szCs w:val="22"/>
        </w:rPr>
        <w:t xml:space="preserve">probability </w:t>
      </w:r>
      <w:r w:rsidR="00625921">
        <w:rPr>
          <w:rStyle w:val="Emphasis"/>
          <w:rFonts w:asciiTheme="minorHAnsi" w:hAnsiTheme="minorHAnsi" w:cstheme="minorHAnsi"/>
          <w:i w:val="0"/>
          <w:iCs w:val="0"/>
          <w:color w:val="0070C0"/>
          <w:sz w:val="22"/>
          <w:szCs w:val="22"/>
        </w:rPr>
        <w:t>of</w:t>
      </w:r>
      <w:r w:rsidRPr="007D17AA">
        <w:rPr>
          <w:rStyle w:val="Emphasis"/>
          <w:rFonts w:asciiTheme="minorHAnsi" w:hAnsiTheme="minorHAnsi" w:cstheme="minorHAnsi"/>
          <w:i w:val="0"/>
          <w:iCs w:val="0"/>
          <w:color w:val="0070C0"/>
          <w:sz w:val="22"/>
          <w:szCs w:val="22"/>
        </w:rPr>
        <w:t xml:space="preserve"> </w:t>
      </w:r>
      <w:r w:rsidR="00ED38C2">
        <w:rPr>
          <w:rStyle w:val="Emphasis"/>
          <w:rFonts w:asciiTheme="minorHAnsi" w:hAnsiTheme="minorHAnsi" w:cstheme="minorHAnsi"/>
          <w:i w:val="0"/>
          <w:iCs w:val="0"/>
          <w:color w:val="0070C0"/>
          <w:sz w:val="22"/>
          <w:szCs w:val="22"/>
        </w:rPr>
        <w:t xml:space="preserve">being readmitted to an IPF </w:t>
      </w:r>
      <w:r w:rsidR="00625921">
        <w:rPr>
          <w:rStyle w:val="Emphasis"/>
          <w:rFonts w:asciiTheme="minorHAnsi" w:hAnsiTheme="minorHAnsi" w:cstheme="minorHAnsi"/>
          <w:i w:val="0"/>
          <w:iCs w:val="0"/>
          <w:color w:val="0070C0"/>
          <w:sz w:val="22"/>
          <w:szCs w:val="22"/>
        </w:rPr>
        <w:t>than an average</w:t>
      </w:r>
      <w:r w:rsidRPr="007D17AA">
        <w:rPr>
          <w:rStyle w:val="Emphasis"/>
          <w:rFonts w:asciiTheme="minorHAnsi" w:hAnsiTheme="minorHAnsi" w:cstheme="minorHAnsi"/>
          <w:i w:val="0"/>
          <w:iCs w:val="0"/>
          <w:color w:val="0070C0"/>
          <w:sz w:val="22"/>
          <w:szCs w:val="22"/>
        </w:rPr>
        <w:t xml:space="preserve"> </w:t>
      </w:r>
      <w:r w:rsidR="00625921">
        <w:rPr>
          <w:rStyle w:val="Emphasis"/>
          <w:rFonts w:asciiTheme="minorHAnsi" w:hAnsiTheme="minorHAnsi" w:cstheme="minorHAnsi"/>
          <w:i w:val="0"/>
          <w:iCs w:val="0"/>
          <w:color w:val="0070C0"/>
          <w:sz w:val="22"/>
          <w:szCs w:val="22"/>
        </w:rPr>
        <w:t>Medicare-only (non-dual) beneficiary</w:t>
      </w:r>
      <w:r w:rsidRPr="007D17AA">
        <w:rPr>
          <w:rStyle w:val="Emphasis"/>
          <w:rFonts w:asciiTheme="minorHAnsi" w:hAnsiTheme="minorHAnsi" w:cstheme="minorHAnsi"/>
          <w:i w:val="0"/>
          <w:iCs w:val="0"/>
          <w:color w:val="0070C0"/>
          <w:sz w:val="22"/>
          <w:szCs w:val="22"/>
        </w:rPr>
        <w:t>. There’s a 5</w:t>
      </w:r>
      <w:r>
        <w:rPr>
          <w:rStyle w:val="Emphasis"/>
          <w:rFonts w:asciiTheme="minorHAnsi" w:hAnsiTheme="minorHAnsi" w:cstheme="minorHAnsi"/>
          <w:i w:val="0"/>
          <w:iCs w:val="0"/>
          <w:color w:val="0070C0"/>
          <w:sz w:val="22"/>
          <w:szCs w:val="22"/>
        </w:rPr>
        <w:t>2</w:t>
      </w:r>
      <w:r w:rsidRPr="007D17AA">
        <w:rPr>
          <w:rStyle w:val="Emphasis"/>
          <w:rFonts w:asciiTheme="minorHAnsi" w:hAnsiTheme="minorHAnsi" w:cstheme="minorHAnsi"/>
          <w:i w:val="0"/>
          <w:iCs w:val="0"/>
          <w:color w:val="0070C0"/>
          <w:sz w:val="22"/>
          <w:szCs w:val="22"/>
        </w:rPr>
        <w:t xml:space="preserve">.7 percent </w:t>
      </w:r>
      <w:r w:rsidR="00660F5F">
        <w:rPr>
          <w:rStyle w:val="Emphasis"/>
          <w:rFonts w:asciiTheme="minorHAnsi" w:hAnsiTheme="minorHAnsi" w:cstheme="minorHAnsi"/>
          <w:i w:val="0"/>
          <w:iCs w:val="0"/>
          <w:color w:val="0070C0"/>
          <w:sz w:val="22"/>
          <w:szCs w:val="22"/>
        </w:rPr>
        <w:t>chance</w:t>
      </w:r>
      <w:r w:rsidR="00660F5F" w:rsidRPr="007D17AA">
        <w:rPr>
          <w:rStyle w:val="Emphasis"/>
          <w:rFonts w:asciiTheme="minorHAnsi" w:hAnsiTheme="minorHAnsi" w:cstheme="minorHAnsi"/>
          <w:i w:val="0"/>
          <w:iCs w:val="0"/>
          <w:color w:val="0070C0"/>
          <w:sz w:val="22"/>
          <w:szCs w:val="22"/>
        </w:rPr>
        <w:t xml:space="preserve"> </w:t>
      </w:r>
      <w:r w:rsidRPr="007D17AA">
        <w:rPr>
          <w:rStyle w:val="Emphasis"/>
          <w:rFonts w:asciiTheme="minorHAnsi" w:hAnsiTheme="minorHAnsi" w:cstheme="minorHAnsi"/>
          <w:i w:val="0"/>
          <w:iCs w:val="0"/>
          <w:color w:val="0070C0"/>
          <w:sz w:val="22"/>
          <w:szCs w:val="22"/>
        </w:rPr>
        <w:t xml:space="preserve">that a patient with dual Medicare-Medicaid status will have higher </w:t>
      </w:r>
      <w:r w:rsidR="00660F5F">
        <w:rPr>
          <w:rStyle w:val="Emphasis"/>
          <w:rFonts w:asciiTheme="minorHAnsi" w:hAnsiTheme="minorHAnsi" w:cstheme="minorHAnsi"/>
          <w:i w:val="0"/>
          <w:iCs w:val="0"/>
          <w:color w:val="0070C0"/>
          <w:sz w:val="22"/>
          <w:szCs w:val="22"/>
        </w:rPr>
        <w:t>probability</w:t>
      </w:r>
      <w:r w:rsidR="00660F5F" w:rsidRPr="007D17AA">
        <w:rPr>
          <w:rStyle w:val="Emphasis"/>
          <w:rFonts w:asciiTheme="minorHAnsi" w:hAnsiTheme="minorHAnsi" w:cstheme="minorHAnsi"/>
          <w:i w:val="0"/>
          <w:iCs w:val="0"/>
          <w:color w:val="0070C0"/>
          <w:sz w:val="22"/>
          <w:szCs w:val="22"/>
        </w:rPr>
        <w:t xml:space="preserve"> </w:t>
      </w:r>
      <w:r w:rsidRPr="007D17AA">
        <w:rPr>
          <w:rStyle w:val="Emphasis"/>
          <w:rFonts w:asciiTheme="minorHAnsi" w:hAnsiTheme="minorHAnsi" w:cstheme="minorHAnsi"/>
          <w:i w:val="0"/>
          <w:iCs w:val="0"/>
          <w:color w:val="0070C0"/>
          <w:sz w:val="22"/>
          <w:szCs w:val="22"/>
        </w:rPr>
        <w:t xml:space="preserve">of being readmitted </w:t>
      </w:r>
      <w:r w:rsidR="00B742A4">
        <w:rPr>
          <w:rStyle w:val="Emphasis"/>
          <w:rFonts w:asciiTheme="minorHAnsi" w:hAnsiTheme="minorHAnsi" w:cstheme="minorHAnsi"/>
          <w:i w:val="0"/>
          <w:iCs w:val="0"/>
          <w:color w:val="0070C0"/>
          <w:sz w:val="22"/>
          <w:szCs w:val="22"/>
        </w:rPr>
        <w:t xml:space="preserve">to an IPF </w:t>
      </w:r>
      <w:r w:rsidRPr="007D17AA">
        <w:rPr>
          <w:rStyle w:val="Emphasis"/>
          <w:rFonts w:asciiTheme="minorHAnsi" w:hAnsiTheme="minorHAnsi" w:cstheme="minorHAnsi"/>
          <w:i w:val="0"/>
          <w:iCs w:val="0"/>
          <w:color w:val="0070C0"/>
          <w:sz w:val="22"/>
          <w:szCs w:val="22"/>
        </w:rPr>
        <w:t xml:space="preserve">relative to a non-dual patient.  </w:t>
      </w:r>
    </w:p>
    <w:p w14:paraId="34DEC169" w14:textId="08A2F4F1" w:rsidR="0094523A" w:rsidRPr="00FD62DF" w:rsidRDefault="0094523A" w:rsidP="0094523A">
      <w:pPr>
        <w:pStyle w:val="NormalWeb"/>
        <w:numPr>
          <w:ilvl w:val="0"/>
          <w:numId w:val="10"/>
        </w:numPr>
        <w:spacing w:before="0" w:beforeAutospacing="0" w:after="0" w:afterAutospacing="0"/>
        <w:rPr>
          <w:rStyle w:val="Emphasis"/>
          <w:rFonts w:asciiTheme="minorHAnsi" w:hAnsiTheme="minorHAnsi" w:cstheme="minorHAnsi"/>
          <w:i w:val="0"/>
          <w:iCs w:val="0"/>
          <w:color w:val="0070C0"/>
          <w:sz w:val="22"/>
          <w:szCs w:val="22"/>
        </w:rPr>
      </w:pPr>
      <w:r w:rsidRPr="00FD62DF">
        <w:rPr>
          <w:rStyle w:val="Emphasis"/>
          <w:rFonts w:asciiTheme="minorHAnsi" w:hAnsiTheme="minorHAnsi" w:cstheme="minorHAnsi"/>
          <w:i w:val="0"/>
          <w:iCs w:val="0"/>
          <w:color w:val="0070C0"/>
          <w:sz w:val="22"/>
          <w:szCs w:val="22"/>
        </w:rPr>
        <w:t xml:space="preserve">The difference in the IPF </w:t>
      </w:r>
      <w:r w:rsidR="008036F6" w:rsidRPr="00FD62DF">
        <w:rPr>
          <w:rStyle w:val="Emphasis"/>
          <w:rFonts w:asciiTheme="minorHAnsi" w:hAnsiTheme="minorHAnsi" w:cstheme="minorHAnsi"/>
          <w:i w:val="0"/>
          <w:iCs w:val="0"/>
          <w:color w:val="0070C0"/>
          <w:sz w:val="22"/>
          <w:szCs w:val="22"/>
        </w:rPr>
        <w:t>R</w:t>
      </w:r>
      <w:r w:rsidRPr="00FD62DF">
        <w:rPr>
          <w:rStyle w:val="Emphasis"/>
          <w:rFonts w:asciiTheme="minorHAnsi" w:hAnsiTheme="minorHAnsi" w:cstheme="minorHAnsi"/>
          <w:i w:val="0"/>
          <w:iCs w:val="0"/>
          <w:color w:val="0070C0"/>
          <w:sz w:val="22"/>
          <w:szCs w:val="22"/>
        </w:rPr>
        <w:t xml:space="preserve">eadmission rates between </w:t>
      </w:r>
      <w:r w:rsidR="008036F6" w:rsidRPr="00FD62DF">
        <w:rPr>
          <w:rStyle w:val="Emphasis"/>
          <w:rFonts w:asciiTheme="minorHAnsi" w:hAnsiTheme="minorHAnsi" w:cstheme="minorHAnsi"/>
          <w:i w:val="0"/>
          <w:iCs w:val="0"/>
          <w:color w:val="0070C0"/>
          <w:sz w:val="22"/>
          <w:szCs w:val="22"/>
        </w:rPr>
        <w:t>B</w:t>
      </w:r>
      <w:r w:rsidRPr="00FD62DF">
        <w:rPr>
          <w:rStyle w:val="Emphasis"/>
          <w:rFonts w:asciiTheme="minorHAnsi" w:hAnsiTheme="minorHAnsi" w:cstheme="minorHAnsi"/>
          <w:i w:val="0"/>
          <w:iCs w:val="0"/>
          <w:color w:val="0070C0"/>
          <w:sz w:val="22"/>
          <w:szCs w:val="22"/>
        </w:rPr>
        <w:t>lack- and non-</w:t>
      </w:r>
      <w:r w:rsidR="008036F6" w:rsidRPr="00FD62DF">
        <w:rPr>
          <w:rStyle w:val="Emphasis"/>
          <w:rFonts w:asciiTheme="minorHAnsi" w:hAnsiTheme="minorHAnsi" w:cstheme="minorHAnsi"/>
          <w:i w:val="0"/>
          <w:iCs w:val="0"/>
          <w:color w:val="0070C0"/>
          <w:sz w:val="22"/>
          <w:szCs w:val="22"/>
        </w:rPr>
        <w:t>B</w:t>
      </w:r>
      <w:r w:rsidRPr="00FD62DF">
        <w:rPr>
          <w:rStyle w:val="Emphasis"/>
          <w:rFonts w:asciiTheme="minorHAnsi" w:hAnsiTheme="minorHAnsi" w:cstheme="minorHAnsi"/>
          <w:i w:val="0"/>
          <w:iCs w:val="0"/>
          <w:color w:val="0070C0"/>
          <w:sz w:val="22"/>
          <w:szCs w:val="22"/>
        </w:rPr>
        <w:t xml:space="preserve">lack and </w:t>
      </w:r>
      <w:r w:rsidR="008036F6" w:rsidRPr="00FD62DF">
        <w:rPr>
          <w:rStyle w:val="Emphasis"/>
          <w:rFonts w:asciiTheme="minorHAnsi" w:hAnsiTheme="minorHAnsi" w:cstheme="minorHAnsi"/>
          <w:i w:val="0"/>
          <w:iCs w:val="0"/>
          <w:color w:val="0070C0"/>
          <w:sz w:val="22"/>
          <w:szCs w:val="22"/>
        </w:rPr>
        <w:t xml:space="preserve">White and </w:t>
      </w:r>
      <w:r w:rsidRPr="00FD62DF">
        <w:rPr>
          <w:rStyle w:val="Emphasis"/>
          <w:rFonts w:asciiTheme="minorHAnsi" w:hAnsiTheme="minorHAnsi" w:cstheme="minorHAnsi"/>
          <w:i w:val="0"/>
          <w:iCs w:val="0"/>
          <w:color w:val="0070C0"/>
          <w:sz w:val="22"/>
          <w:szCs w:val="22"/>
        </w:rPr>
        <w:t>non-</w:t>
      </w:r>
      <w:r w:rsidR="008036F6" w:rsidRPr="00FD62DF">
        <w:rPr>
          <w:rStyle w:val="Emphasis"/>
          <w:rFonts w:asciiTheme="minorHAnsi" w:hAnsiTheme="minorHAnsi" w:cstheme="minorHAnsi"/>
          <w:i w:val="0"/>
          <w:iCs w:val="0"/>
          <w:color w:val="0070C0"/>
          <w:sz w:val="22"/>
          <w:szCs w:val="22"/>
        </w:rPr>
        <w:t>W</w:t>
      </w:r>
      <w:r w:rsidRPr="00FD62DF">
        <w:rPr>
          <w:rStyle w:val="Emphasis"/>
          <w:rFonts w:asciiTheme="minorHAnsi" w:hAnsiTheme="minorHAnsi" w:cstheme="minorHAnsi"/>
          <w:i w:val="0"/>
          <w:iCs w:val="0"/>
          <w:color w:val="0070C0"/>
          <w:sz w:val="22"/>
          <w:szCs w:val="22"/>
        </w:rPr>
        <w:t>hite beneficiaries is 3.1</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and 2.9</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respectively. A total of 53.1</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of Black beneficiaries and 52.9</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of non-</w:t>
      </w:r>
      <w:r w:rsidR="008036F6" w:rsidRPr="00FD62DF">
        <w:rPr>
          <w:rStyle w:val="Emphasis"/>
          <w:rFonts w:asciiTheme="minorHAnsi" w:hAnsiTheme="minorHAnsi" w:cstheme="minorHAnsi"/>
          <w:i w:val="0"/>
          <w:iCs w:val="0"/>
          <w:color w:val="0070C0"/>
          <w:sz w:val="22"/>
          <w:szCs w:val="22"/>
        </w:rPr>
        <w:t>W</w:t>
      </w:r>
      <w:r w:rsidRPr="00FD62DF">
        <w:rPr>
          <w:rStyle w:val="Emphasis"/>
          <w:rFonts w:asciiTheme="minorHAnsi" w:hAnsiTheme="minorHAnsi" w:cstheme="minorHAnsi"/>
          <w:i w:val="0"/>
          <w:iCs w:val="0"/>
          <w:color w:val="0070C0"/>
          <w:sz w:val="22"/>
          <w:szCs w:val="22"/>
        </w:rPr>
        <w:t xml:space="preserve">hite beneficiaries </w:t>
      </w:r>
      <w:r w:rsidR="00ED38C2">
        <w:rPr>
          <w:rStyle w:val="Emphasis"/>
          <w:rFonts w:asciiTheme="minorHAnsi" w:hAnsiTheme="minorHAnsi" w:cstheme="minorHAnsi"/>
          <w:i w:val="0"/>
          <w:iCs w:val="0"/>
          <w:color w:val="0070C0"/>
          <w:sz w:val="22"/>
          <w:szCs w:val="22"/>
        </w:rPr>
        <w:t xml:space="preserve">will </w:t>
      </w:r>
      <w:r w:rsidRPr="00FD62DF">
        <w:rPr>
          <w:rStyle w:val="Emphasis"/>
          <w:rFonts w:asciiTheme="minorHAnsi" w:hAnsiTheme="minorHAnsi" w:cstheme="minorHAnsi"/>
          <w:i w:val="0"/>
          <w:iCs w:val="0"/>
          <w:color w:val="0070C0"/>
          <w:sz w:val="22"/>
          <w:szCs w:val="22"/>
        </w:rPr>
        <w:t xml:space="preserve">have higher </w:t>
      </w:r>
      <w:r w:rsidR="00ED38C2">
        <w:rPr>
          <w:rStyle w:val="Emphasis"/>
          <w:rFonts w:asciiTheme="minorHAnsi" w:hAnsiTheme="minorHAnsi" w:cstheme="minorHAnsi"/>
          <w:i w:val="0"/>
          <w:iCs w:val="0"/>
          <w:color w:val="0070C0"/>
          <w:sz w:val="22"/>
          <w:szCs w:val="22"/>
        </w:rPr>
        <w:t>probability</w:t>
      </w:r>
      <w:r w:rsidR="00ED38C2"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of readmission </w:t>
      </w:r>
      <w:r w:rsidR="00ED38C2">
        <w:rPr>
          <w:rStyle w:val="Emphasis"/>
          <w:rFonts w:asciiTheme="minorHAnsi" w:hAnsiTheme="minorHAnsi" w:cstheme="minorHAnsi"/>
          <w:i w:val="0"/>
          <w:iCs w:val="0"/>
          <w:color w:val="0070C0"/>
          <w:sz w:val="22"/>
          <w:szCs w:val="22"/>
        </w:rPr>
        <w:t xml:space="preserve">to an IPF </w:t>
      </w:r>
      <w:r w:rsidRPr="00FD62DF">
        <w:rPr>
          <w:rStyle w:val="Emphasis"/>
          <w:rFonts w:asciiTheme="minorHAnsi" w:hAnsiTheme="minorHAnsi" w:cstheme="minorHAnsi"/>
          <w:i w:val="0"/>
          <w:iCs w:val="0"/>
          <w:color w:val="0070C0"/>
          <w:sz w:val="22"/>
          <w:szCs w:val="22"/>
        </w:rPr>
        <w:t xml:space="preserve">relative to the </w:t>
      </w:r>
      <w:r w:rsidR="008036F6" w:rsidRPr="00FD62DF">
        <w:rPr>
          <w:rStyle w:val="Emphasis"/>
          <w:rFonts w:asciiTheme="minorHAnsi" w:hAnsiTheme="minorHAnsi" w:cstheme="minorHAnsi"/>
          <w:i w:val="0"/>
          <w:iCs w:val="0"/>
          <w:color w:val="0070C0"/>
          <w:sz w:val="22"/>
          <w:szCs w:val="22"/>
        </w:rPr>
        <w:t>W</w:t>
      </w:r>
      <w:r w:rsidRPr="00FD62DF">
        <w:rPr>
          <w:rStyle w:val="Emphasis"/>
          <w:rFonts w:asciiTheme="minorHAnsi" w:hAnsiTheme="minorHAnsi" w:cstheme="minorHAnsi"/>
          <w:i w:val="0"/>
          <w:iCs w:val="0"/>
          <w:color w:val="0070C0"/>
          <w:sz w:val="22"/>
          <w:szCs w:val="22"/>
        </w:rPr>
        <w:t>hite patients. There is a52</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w:t>
      </w:r>
      <w:r w:rsidR="00660F5F">
        <w:rPr>
          <w:rStyle w:val="Emphasis"/>
          <w:rFonts w:asciiTheme="minorHAnsi" w:hAnsiTheme="minorHAnsi" w:cstheme="minorHAnsi"/>
          <w:i w:val="0"/>
          <w:iCs w:val="0"/>
          <w:color w:val="0070C0"/>
          <w:sz w:val="22"/>
          <w:szCs w:val="22"/>
        </w:rPr>
        <w:t>chance</w:t>
      </w:r>
      <w:r w:rsidR="00660F5F"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that </w:t>
      </w:r>
      <w:r w:rsidR="00ED38C2">
        <w:rPr>
          <w:rStyle w:val="Emphasis"/>
          <w:rFonts w:asciiTheme="minorHAnsi" w:hAnsiTheme="minorHAnsi" w:cstheme="minorHAnsi"/>
          <w:i w:val="0"/>
          <w:iCs w:val="0"/>
          <w:color w:val="0070C0"/>
          <w:sz w:val="22"/>
          <w:szCs w:val="22"/>
        </w:rPr>
        <w:t xml:space="preserve">either </w:t>
      </w:r>
      <w:r w:rsidRPr="00FD62DF">
        <w:rPr>
          <w:rStyle w:val="Emphasis"/>
          <w:rFonts w:asciiTheme="minorHAnsi" w:hAnsiTheme="minorHAnsi" w:cstheme="minorHAnsi"/>
          <w:i w:val="0"/>
          <w:iCs w:val="0"/>
          <w:color w:val="0070C0"/>
          <w:sz w:val="22"/>
          <w:szCs w:val="22"/>
        </w:rPr>
        <w:t xml:space="preserve">a </w:t>
      </w:r>
      <w:r w:rsidR="008036F6" w:rsidRPr="00FD62DF">
        <w:rPr>
          <w:rStyle w:val="Emphasis"/>
          <w:rFonts w:asciiTheme="minorHAnsi" w:hAnsiTheme="minorHAnsi" w:cstheme="minorHAnsi"/>
          <w:i w:val="0"/>
          <w:iCs w:val="0"/>
          <w:color w:val="0070C0"/>
          <w:sz w:val="22"/>
          <w:szCs w:val="22"/>
        </w:rPr>
        <w:t>B</w:t>
      </w:r>
      <w:r w:rsidRPr="00FD62DF">
        <w:rPr>
          <w:rStyle w:val="Emphasis"/>
          <w:rFonts w:asciiTheme="minorHAnsi" w:hAnsiTheme="minorHAnsi" w:cstheme="minorHAnsi"/>
          <w:i w:val="0"/>
          <w:iCs w:val="0"/>
          <w:color w:val="0070C0"/>
          <w:sz w:val="22"/>
          <w:szCs w:val="22"/>
        </w:rPr>
        <w:t>lack or non-</w:t>
      </w:r>
      <w:r w:rsidR="008036F6" w:rsidRPr="00FD62DF">
        <w:rPr>
          <w:rStyle w:val="Emphasis"/>
          <w:rFonts w:asciiTheme="minorHAnsi" w:hAnsiTheme="minorHAnsi" w:cstheme="minorHAnsi"/>
          <w:i w:val="0"/>
          <w:iCs w:val="0"/>
          <w:color w:val="0070C0"/>
          <w:sz w:val="22"/>
          <w:szCs w:val="22"/>
        </w:rPr>
        <w:t>W</w:t>
      </w:r>
      <w:r w:rsidRPr="00FD62DF">
        <w:rPr>
          <w:rStyle w:val="Emphasis"/>
          <w:rFonts w:asciiTheme="minorHAnsi" w:hAnsiTheme="minorHAnsi" w:cstheme="minorHAnsi"/>
          <w:i w:val="0"/>
          <w:iCs w:val="0"/>
          <w:color w:val="0070C0"/>
          <w:sz w:val="22"/>
          <w:szCs w:val="22"/>
        </w:rPr>
        <w:t xml:space="preserve">hite patient will have higher </w:t>
      </w:r>
      <w:r w:rsidR="00660F5F">
        <w:rPr>
          <w:rStyle w:val="Emphasis"/>
          <w:rFonts w:asciiTheme="minorHAnsi" w:hAnsiTheme="minorHAnsi" w:cstheme="minorHAnsi"/>
          <w:i w:val="0"/>
          <w:iCs w:val="0"/>
          <w:color w:val="0070C0"/>
          <w:sz w:val="22"/>
          <w:szCs w:val="22"/>
        </w:rPr>
        <w:t>probability</w:t>
      </w:r>
      <w:r w:rsidR="00660F5F"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of readmission </w:t>
      </w:r>
      <w:r w:rsidR="00B742A4">
        <w:rPr>
          <w:rStyle w:val="Emphasis"/>
          <w:rFonts w:asciiTheme="minorHAnsi" w:hAnsiTheme="minorHAnsi" w:cstheme="minorHAnsi"/>
          <w:i w:val="0"/>
          <w:iCs w:val="0"/>
          <w:color w:val="0070C0"/>
          <w:sz w:val="22"/>
          <w:szCs w:val="22"/>
        </w:rPr>
        <w:t xml:space="preserve">to an IPF </w:t>
      </w:r>
      <w:r w:rsidRPr="00FD62DF">
        <w:rPr>
          <w:rStyle w:val="Emphasis"/>
          <w:rFonts w:asciiTheme="minorHAnsi" w:hAnsiTheme="minorHAnsi" w:cstheme="minorHAnsi"/>
          <w:i w:val="0"/>
          <w:iCs w:val="0"/>
          <w:color w:val="0070C0"/>
          <w:sz w:val="22"/>
          <w:szCs w:val="22"/>
        </w:rPr>
        <w:t xml:space="preserve">relative to </w:t>
      </w:r>
      <w:r w:rsidR="00B742A4">
        <w:rPr>
          <w:rStyle w:val="Emphasis"/>
          <w:rFonts w:asciiTheme="minorHAnsi" w:hAnsiTheme="minorHAnsi" w:cstheme="minorHAnsi"/>
          <w:i w:val="0"/>
          <w:iCs w:val="0"/>
          <w:color w:val="0070C0"/>
          <w:sz w:val="22"/>
          <w:szCs w:val="22"/>
        </w:rPr>
        <w:t>an average</w:t>
      </w:r>
      <w:r w:rsidR="00B742A4" w:rsidRPr="00FD62DF">
        <w:rPr>
          <w:rStyle w:val="Emphasis"/>
          <w:rFonts w:asciiTheme="minorHAnsi" w:hAnsiTheme="minorHAnsi" w:cstheme="minorHAnsi"/>
          <w:i w:val="0"/>
          <w:iCs w:val="0"/>
          <w:color w:val="0070C0"/>
          <w:sz w:val="22"/>
          <w:szCs w:val="22"/>
        </w:rPr>
        <w:t xml:space="preserve"> </w:t>
      </w:r>
      <w:r w:rsidR="008036F6" w:rsidRPr="00FD62DF">
        <w:rPr>
          <w:rStyle w:val="Emphasis"/>
          <w:rFonts w:asciiTheme="minorHAnsi" w:hAnsiTheme="minorHAnsi" w:cstheme="minorHAnsi"/>
          <w:i w:val="0"/>
          <w:iCs w:val="0"/>
          <w:color w:val="0070C0"/>
          <w:sz w:val="22"/>
          <w:szCs w:val="22"/>
        </w:rPr>
        <w:t>W</w:t>
      </w:r>
      <w:r w:rsidRPr="00FD62DF">
        <w:rPr>
          <w:rStyle w:val="Emphasis"/>
          <w:rFonts w:asciiTheme="minorHAnsi" w:hAnsiTheme="minorHAnsi" w:cstheme="minorHAnsi"/>
          <w:i w:val="0"/>
          <w:iCs w:val="0"/>
          <w:color w:val="0070C0"/>
          <w:sz w:val="22"/>
          <w:szCs w:val="22"/>
        </w:rPr>
        <w:t>hite patient</w:t>
      </w:r>
      <w:r w:rsidR="00B742A4">
        <w:rPr>
          <w:rStyle w:val="Emphasis"/>
          <w:rFonts w:asciiTheme="minorHAnsi" w:hAnsiTheme="minorHAnsi" w:cstheme="minorHAnsi"/>
          <w:i w:val="0"/>
          <w:iCs w:val="0"/>
          <w:color w:val="0070C0"/>
          <w:sz w:val="22"/>
          <w:szCs w:val="22"/>
        </w:rPr>
        <w:t>.</w:t>
      </w:r>
    </w:p>
    <w:p w14:paraId="60AEB72E" w14:textId="5C80C3BD" w:rsidR="0094523A" w:rsidRPr="00FD62DF" w:rsidRDefault="0094523A" w:rsidP="0094523A">
      <w:pPr>
        <w:pStyle w:val="NormalWeb"/>
        <w:numPr>
          <w:ilvl w:val="0"/>
          <w:numId w:val="10"/>
        </w:numPr>
        <w:spacing w:before="0" w:beforeAutospacing="0" w:after="0" w:afterAutospacing="0"/>
        <w:rPr>
          <w:rStyle w:val="Emphasis"/>
          <w:rFonts w:asciiTheme="minorHAnsi" w:hAnsiTheme="minorHAnsi" w:cstheme="minorHAnsi"/>
          <w:i w:val="0"/>
          <w:iCs w:val="0"/>
          <w:color w:val="0070C0"/>
          <w:sz w:val="22"/>
          <w:szCs w:val="22"/>
        </w:rPr>
      </w:pPr>
      <w:r w:rsidRPr="00FD62DF">
        <w:rPr>
          <w:rStyle w:val="Emphasis"/>
          <w:rFonts w:asciiTheme="minorHAnsi" w:hAnsiTheme="minorHAnsi" w:cstheme="minorHAnsi"/>
          <w:i w:val="0"/>
          <w:iCs w:val="0"/>
          <w:color w:val="0070C0"/>
          <w:sz w:val="22"/>
          <w:szCs w:val="22"/>
        </w:rPr>
        <w:t>There is 2.6</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w:t>
      </w:r>
      <w:r w:rsidR="00ED38C2">
        <w:rPr>
          <w:rStyle w:val="Emphasis"/>
          <w:rFonts w:asciiTheme="minorHAnsi" w:hAnsiTheme="minorHAnsi" w:cstheme="minorHAnsi"/>
          <w:i w:val="0"/>
          <w:iCs w:val="0"/>
          <w:color w:val="0070C0"/>
          <w:sz w:val="22"/>
          <w:szCs w:val="22"/>
        </w:rPr>
        <w:t xml:space="preserve">difference in </w:t>
      </w:r>
      <w:r w:rsidRPr="00FD62DF">
        <w:rPr>
          <w:rStyle w:val="Emphasis"/>
          <w:rFonts w:asciiTheme="minorHAnsi" w:hAnsiTheme="minorHAnsi" w:cstheme="minorHAnsi"/>
          <w:i w:val="0"/>
          <w:iCs w:val="0"/>
          <w:color w:val="0070C0"/>
          <w:sz w:val="22"/>
          <w:szCs w:val="22"/>
        </w:rPr>
        <w:t xml:space="preserve">the mean IPF </w:t>
      </w:r>
      <w:r w:rsidR="00ED38C2">
        <w:rPr>
          <w:rStyle w:val="Emphasis"/>
          <w:rFonts w:asciiTheme="minorHAnsi" w:hAnsiTheme="minorHAnsi" w:cstheme="minorHAnsi"/>
          <w:i w:val="0"/>
          <w:iCs w:val="0"/>
          <w:color w:val="0070C0"/>
          <w:sz w:val="22"/>
          <w:szCs w:val="22"/>
        </w:rPr>
        <w:t>r</w:t>
      </w:r>
      <w:r w:rsidRPr="00FD62DF">
        <w:rPr>
          <w:rStyle w:val="Emphasis"/>
          <w:rFonts w:asciiTheme="minorHAnsi" w:hAnsiTheme="minorHAnsi" w:cstheme="minorHAnsi"/>
          <w:i w:val="0"/>
          <w:iCs w:val="0"/>
          <w:color w:val="0070C0"/>
          <w:sz w:val="22"/>
          <w:szCs w:val="22"/>
        </w:rPr>
        <w:t xml:space="preserve">eadmission rates for beneficiaries with long </w:t>
      </w:r>
      <w:r w:rsidR="008036F6" w:rsidRPr="00FD62DF">
        <w:rPr>
          <w:rStyle w:val="Emphasis"/>
          <w:rFonts w:asciiTheme="minorHAnsi" w:hAnsiTheme="minorHAnsi" w:cstheme="minorHAnsi"/>
          <w:i w:val="0"/>
          <w:iCs w:val="0"/>
          <w:color w:val="0070C0"/>
          <w:sz w:val="22"/>
          <w:szCs w:val="22"/>
        </w:rPr>
        <w:t>LOS</w:t>
      </w:r>
      <w:r w:rsidRPr="00FD62DF">
        <w:rPr>
          <w:rStyle w:val="Emphasis"/>
          <w:rFonts w:asciiTheme="minorHAnsi" w:hAnsiTheme="minorHAnsi" w:cstheme="minorHAnsi"/>
          <w:i w:val="0"/>
          <w:iCs w:val="0"/>
          <w:color w:val="0070C0"/>
          <w:sz w:val="22"/>
          <w:szCs w:val="22"/>
        </w:rPr>
        <w:t xml:space="preserve"> (4th quartile) v</w:t>
      </w:r>
      <w:r w:rsidR="008036F6" w:rsidRPr="00FD62DF">
        <w:rPr>
          <w:rStyle w:val="Emphasis"/>
          <w:rFonts w:asciiTheme="minorHAnsi" w:hAnsiTheme="minorHAnsi" w:cstheme="minorHAnsi"/>
          <w:i w:val="0"/>
          <w:iCs w:val="0"/>
          <w:color w:val="0070C0"/>
          <w:sz w:val="22"/>
          <w:szCs w:val="22"/>
        </w:rPr>
        <w:t>ersus</w:t>
      </w:r>
      <w:r w:rsidRPr="00FD62DF">
        <w:rPr>
          <w:rStyle w:val="Emphasis"/>
          <w:rFonts w:asciiTheme="minorHAnsi" w:hAnsiTheme="minorHAnsi" w:cstheme="minorHAnsi"/>
          <w:i w:val="0"/>
          <w:iCs w:val="0"/>
          <w:color w:val="0070C0"/>
          <w:sz w:val="22"/>
          <w:szCs w:val="22"/>
        </w:rPr>
        <w:t xml:space="preserve"> short LOS (1st quartile). A total of 52.6</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of beneficiaries with long LOS will have higher </w:t>
      </w:r>
      <w:r w:rsidR="00ED38C2">
        <w:rPr>
          <w:rStyle w:val="Emphasis"/>
          <w:rFonts w:asciiTheme="minorHAnsi" w:hAnsiTheme="minorHAnsi" w:cstheme="minorHAnsi"/>
          <w:i w:val="0"/>
          <w:iCs w:val="0"/>
          <w:color w:val="0070C0"/>
          <w:sz w:val="22"/>
          <w:szCs w:val="22"/>
        </w:rPr>
        <w:t>probability</w:t>
      </w:r>
      <w:r w:rsidR="00ED38C2"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of readmission relative to the patients with short LOS. There is a 51.9</w:t>
      </w:r>
      <w:r w:rsidR="008036F6" w:rsidRPr="00FD62DF">
        <w:rPr>
          <w:rStyle w:val="Emphasis"/>
          <w:rFonts w:asciiTheme="minorHAnsi" w:hAnsiTheme="minorHAnsi" w:cstheme="minorHAnsi"/>
          <w:i w:val="0"/>
          <w:iCs w:val="0"/>
          <w:color w:val="0070C0"/>
          <w:sz w:val="22"/>
          <w:szCs w:val="22"/>
        </w:rPr>
        <w:t xml:space="preserve"> percent</w:t>
      </w:r>
      <w:r w:rsidRPr="00FD62DF">
        <w:rPr>
          <w:rStyle w:val="Emphasis"/>
          <w:rFonts w:asciiTheme="minorHAnsi" w:hAnsiTheme="minorHAnsi" w:cstheme="minorHAnsi"/>
          <w:i w:val="0"/>
          <w:iCs w:val="0"/>
          <w:color w:val="0070C0"/>
          <w:sz w:val="22"/>
          <w:szCs w:val="22"/>
        </w:rPr>
        <w:t xml:space="preserve"> </w:t>
      </w:r>
      <w:r w:rsidR="00660F5F">
        <w:rPr>
          <w:rStyle w:val="Emphasis"/>
          <w:rFonts w:asciiTheme="minorHAnsi" w:hAnsiTheme="minorHAnsi" w:cstheme="minorHAnsi"/>
          <w:i w:val="0"/>
          <w:iCs w:val="0"/>
          <w:color w:val="0070C0"/>
          <w:sz w:val="22"/>
          <w:szCs w:val="22"/>
        </w:rPr>
        <w:t>chance</w:t>
      </w:r>
      <w:r w:rsidR="00660F5F"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 xml:space="preserve">that a patient with longer LOS will have higher </w:t>
      </w:r>
      <w:r w:rsidR="00660F5F">
        <w:rPr>
          <w:rStyle w:val="Emphasis"/>
          <w:rFonts w:asciiTheme="minorHAnsi" w:hAnsiTheme="minorHAnsi" w:cstheme="minorHAnsi"/>
          <w:i w:val="0"/>
          <w:iCs w:val="0"/>
          <w:color w:val="0070C0"/>
          <w:sz w:val="22"/>
          <w:szCs w:val="22"/>
        </w:rPr>
        <w:t>probability</w:t>
      </w:r>
      <w:r w:rsidR="00660F5F" w:rsidRPr="00FD62DF">
        <w:rPr>
          <w:rStyle w:val="Emphasis"/>
          <w:rFonts w:asciiTheme="minorHAnsi" w:hAnsiTheme="minorHAnsi" w:cstheme="minorHAnsi"/>
          <w:i w:val="0"/>
          <w:iCs w:val="0"/>
          <w:color w:val="0070C0"/>
          <w:sz w:val="22"/>
          <w:szCs w:val="22"/>
        </w:rPr>
        <w:t xml:space="preserve"> </w:t>
      </w:r>
      <w:r w:rsidRPr="00FD62DF">
        <w:rPr>
          <w:rStyle w:val="Emphasis"/>
          <w:rFonts w:asciiTheme="minorHAnsi" w:hAnsiTheme="minorHAnsi" w:cstheme="minorHAnsi"/>
          <w:i w:val="0"/>
          <w:iCs w:val="0"/>
          <w:color w:val="0070C0"/>
          <w:sz w:val="22"/>
          <w:szCs w:val="22"/>
        </w:rPr>
        <w:t>of readmission</w:t>
      </w:r>
      <w:r w:rsidR="00660F5F">
        <w:rPr>
          <w:rStyle w:val="Emphasis"/>
          <w:rFonts w:asciiTheme="minorHAnsi" w:hAnsiTheme="minorHAnsi" w:cstheme="minorHAnsi"/>
          <w:i w:val="0"/>
          <w:iCs w:val="0"/>
          <w:color w:val="0070C0"/>
          <w:sz w:val="22"/>
          <w:szCs w:val="22"/>
        </w:rPr>
        <w:t xml:space="preserve"> compare to a beneficiary with a short LOS</w:t>
      </w:r>
      <w:r w:rsidRPr="00FD62DF">
        <w:rPr>
          <w:rStyle w:val="Emphasis"/>
          <w:rFonts w:asciiTheme="minorHAnsi" w:hAnsiTheme="minorHAnsi" w:cstheme="minorHAnsi"/>
          <w:i w:val="0"/>
          <w:iCs w:val="0"/>
          <w:color w:val="0070C0"/>
          <w:sz w:val="22"/>
          <w:szCs w:val="22"/>
        </w:rPr>
        <w:t xml:space="preserve">.    </w:t>
      </w:r>
    </w:p>
    <w:p w14:paraId="4E114C44" w14:textId="5AADB07E" w:rsidR="003E68B7" w:rsidRPr="00FD62DF" w:rsidRDefault="003E68B7" w:rsidP="00760F39">
      <w:pPr>
        <w:pStyle w:val="NormalWeb"/>
        <w:spacing w:before="0" w:beforeAutospacing="0" w:after="120" w:afterAutospacing="0"/>
        <w:rPr>
          <w:rStyle w:val="Emphasis"/>
          <w:rFonts w:asciiTheme="minorHAnsi" w:hAnsiTheme="minorHAnsi" w:cstheme="minorHAnsi"/>
          <w:i w:val="0"/>
          <w:iCs w:val="0"/>
          <w:color w:val="0070C0"/>
          <w:sz w:val="22"/>
          <w:szCs w:val="22"/>
        </w:rPr>
      </w:pPr>
      <w:r w:rsidRPr="00FD62DF">
        <w:rPr>
          <w:rStyle w:val="Emphasis"/>
          <w:rFonts w:asciiTheme="minorHAnsi" w:hAnsiTheme="minorHAnsi" w:cstheme="minorHAnsi"/>
          <w:i w:val="0"/>
          <w:iCs w:val="0"/>
          <w:color w:val="0070C0"/>
          <w:sz w:val="22"/>
          <w:szCs w:val="22"/>
          <w:shd w:val="clear" w:color="auto" w:fill="FFFFFF"/>
        </w:rPr>
        <w:t xml:space="preserve">We did not observe meaningful differences in </w:t>
      </w:r>
      <w:r w:rsidR="00BE0891" w:rsidRPr="00FD62DF">
        <w:rPr>
          <w:rStyle w:val="Emphasis"/>
          <w:rFonts w:asciiTheme="minorHAnsi" w:hAnsiTheme="minorHAnsi" w:cstheme="minorHAnsi"/>
          <w:i w:val="0"/>
          <w:iCs w:val="0"/>
          <w:color w:val="0070C0"/>
          <w:sz w:val="22"/>
          <w:szCs w:val="22"/>
          <w:shd w:val="clear" w:color="auto" w:fill="FFFFFF"/>
        </w:rPr>
        <w:t xml:space="preserve">readmission </w:t>
      </w:r>
      <w:r w:rsidRPr="00FD62DF">
        <w:rPr>
          <w:rStyle w:val="Emphasis"/>
          <w:rFonts w:asciiTheme="minorHAnsi" w:hAnsiTheme="minorHAnsi" w:cstheme="minorHAnsi"/>
          <w:i w:val="0"/>
          <w:iCs w:val="0"/>
          <w:color w:val="0070C0"/>
          <w:sz w:val="22"/>
          <w:szCs w:val="22"/>
          <w:shd w:val="clear" w:color="auto" w:fill="FFFFFF"/>
        </w:rPr>
        <w:t xml:space="preserve">rates by AHRQ SES status or SUD diagnosis. </w:t>
      </w:r>
    </w:p>
    <w:p w14:paraId="5C3BAB0C" w14:textId="77777777" w:rsidR="00086FAC" w:rsidRPr="00A25024" w:rsidRDefault="00086FAC" w:rsidP="00086FAC">
      <w:pPr>
        <w:autoSpaceDE w:val="0"/>
        <w:autoSpaceDN w:val="0"/>
        <w:adjustRightInd w:val="0"/>
        <w:spacing w:after="0" w:line="240" w:lineRule="auto"/>
        <w:rPr>
          <w:rFonts w:cstheme="minorHAnsi"/>
          <w:bCs/>
        </w:rPr>
      </w:pPr>
      <w:r>
        <w:rPr>
          <w:rFonts w:cstheme="minorHAnsi"/>
          <w:bCs/>
        </w:rPr>
        <w:t>_________________________</w:t>
      </w:r>
    </w:p>
    <w:p w14:paraId="781DC904" w14:textId="77777777" w:rsidR="00086FAC" w:rsidRPr="00A25024" w:rsidRDefault="00086FAC" w:rsidP="00086FAC">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Pr="00A25024">
        <w:rPr>
          <w:rFonts w:cstheme="minorHAnsi"/>
          <w:b/>
          <w:bCs/>
        </w:rPr>
        <w:t xml:space="preserve"> EXCLUSIONS ANALYSIS</w:t>
      </w:r>
    </w:p>
    <w:p w14:paraId="29B5A09B" w14:textId="2730E756" w:rsidR="00086FAC" w:rsidRPr="00A25024" w:rsidRDefault="00086FAC" w:rsidP="00086FAC">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Pr="00A25024">
        <w:rPr>
          <w:rFonts w:cstheme="minorHAnsi"/>
          <w:b/>
          <w:bCs/>
        </w:rPr>
        <w:t xml:space="preserve">no exclusions </w:t>
      </w:r>
      <w:r w:rsidRPr="00A25024">
        <w:rPr>
          <w:rFonts w:eastAsia="MS Gothic" w:cstheme="minorHAnsi"/>
          <w:b/>
          <w:bCs/>
          <w:color w:val="0000FF"/>
        </w:rPr>
        <w:t>—</w:t>
      </w:r>
      <w:r w:rsidRPr="00A25024">
        <w:rPr>
          <w:rFonts w:cstheme="minorHAnsi"/>
          <w:b/>
          <w:bCs/>
          <w:i/>
        </w:rPr>
        <w:t xml:space="preserve"> </w:t>
      </w:r>
      <w:r w:rsidRPr="00A25024">
        <w:rPr>
          <w:rFonts w:cstheme="minorHAnsi"/>
          <w:b/>
          <w:bCs/>
          <w:i/>
          <w:highlight w:val="green"/>
        </w:rPr>
        <w:t xml:space="preserve">skip to </w:t>
      </w:r>
      <w:r>
        <w:rPr>
          <w:rFonts w:cstheme="minorHAnsi"/>
          <w:b/>
          <w:bCs/>
          <w:i/>
          <w:highlight w:val="green"/>
        </w:rPr>
        <w:t xml:space="preserve">section </w:t>
      </w:r>
      <w:hyperlink w:anchor="section2b4" w:history="1">
        <w:r w:rsidRPr="00BE592D">
          <w:rPr>
            <w:rStyle w:val="Hyperlink"/>
            <w:rFonts w:cstheme="minorHAnsi"/>
            <w:i/>
            <w:highlight w:val="green"/>
          </w:rPr>
          <w:t>2b4</w:t>
        </w:r>
      </w:hyperlink>
    </w:p>
    <w:p w14:paraId="59129DA6" w14:textId="77777777" w:rsidR="00086FAC" w:rsidRDefault="00086FAC" w:rsidP="00086FAC">
      <w:pPr>
        <w:autoSpaceDE w:val="0"/>
        <w:autoSpaceDN w:val="0"/>
        <w:adjustRightInd w:val="0"/>
        <w:spacing w:after="0" w:line="240" w:lineRule="auto"/>
        <w:rPr>
          <w:rFonts w:cstheme="minorHAnsi"/>
          <w:bCs/>
        </w:rPr>
      </w:pPr>
      <w:r>
        <w:rPr>
          <w:rFonts w:cstheme="minorHAnsi"/>
          <w:b/>
          <w:bCs/>
        </w:rPr>
        <w:t>2b2.</w:t>
      </w:r>
      <w:r w:rsidRPr="00A25024">
        <w:rPr>
          <w:rFonts w:cstheme="minorHAnsi"/>
          <w:b/>
          <w:bCs/>
        </w:rPr>
        <w:t>1. Describe the method of testing exclusions and what it tests</w:t>
      </w:r>
      <w:r w:rsidRPr="00A25024">
        <w:rPr>
          <w:rFonts w:cstheme="minorHAnsi"/>
          <w:bCs/>
        </w:rPr>
        <w:t xml:space="preserve"> (</w:t>
      </w:r>
      <w:r w:rsidRPr="00A25024">
        <w:rPr>
          <w:rFonts w:cstheme="minorHAnsi"/>
          <w:bCs/>
          <w:i/>
        </w:rPr>
        <w:t>describe the steps―do not just name a method; what was tested, e.g.,</w:t>
      </w:r>
      <w:r>
        <w:rPr>
          <w:rFonts w:cstheme="minorHAnsi"/>
          <w:bCs/>
          <w:i/>
        </w:rPr>
        <w:t xml:space="preserve"> whether exclusions affect overall performance scores; what statistical analysis was used</w:t>
      </w:r>
      <w:r w:rsidRPr="00A25024">
        <w:rPr>
          <w:rFonts w:cstheme="minorHAnsi"/>
          <w:bCs/>
        </w:rPr>
        <w:t>)</w:t>
      </w:r>
    </w:p>
    <w:p w14:paraId="3A36D99F" w14:textId="77777777" w:rsidR="00086FAC" w:rsidRPr="006B225A" w:rsidRDefault="00086FAC" w:rsidP="00086FAC">
      <w:pPr>
        <w:autoSpaceDE w:val="0"/>
        <w:autoSpaceDN w:val="0"/>
        <w:adjustRightInd w:val="0"/>
        <w:spacing w:after="120" w:line="240" w:lineRule="auto"/>
        <w:rPr>
          <w:color w:val="0070C0"/>
        </w:rPr>
      </w:pPr>
      <w:r>
        <w:rPr>
          <w:color w:val="0070C0"/>
        </w:rPr>
        <w:t>T</w:t>
      </w:r>
      <w:r w:rsidRPr="00BE18F3">
        <w:rPr>
          <w:color w:val="0070C0"/>
        </w:rPr>
        <w:t xml:space="preserve">he goal of this measure is to assess </w:t>
      </w:r>
      <w:r>
        <w:rPr>
          <w:color w:val="0070C0"/>
        </w:rPr>
        <w:t xml:space="preserve">all psychiatric admissions treated by </w:t>
      </w:r>
      <w:r w:rsidRPr="00BE18F3">
        <w:rPr>
          <w:color w:val="0070C0"/>
        </w:rPr>
        <w:t>IPFs rather than focusing on the outcomes of patients with a</w:t>
      </w:r>
      <w:r>
        <w:rPr>
          <w:color w:val="0070C0"/>
        </w:rPr>
        <w:t xml:space="preserve"> specific psychiatric condition</w:t>
      </w:r>
      <w:r w:rsidRPr="00BE18F3">
        <w:rPr>
          <w:color w:val="0070C0"/>
        </w:rPr>
        <w:t xml:space="preserve">. </w:t>
      </w:r>
      <w:r>
        <w:rPr>
          <w:color w:val="0070C0"/>
        </w:rPr>
        <w:t xml:space="preserve">Hence, exclusions were considered only for known limitations with claims data. We analyzed descriptive statistics for the frequency of exclusions. </w:t>
      </w:r>
    </w:p>
    <w:p w14:paraId="65478D50" w14:textId="77777777" w:rsidR="00086FAC" w:rsidRDefault="00086FAC" w:rsidP="00086FAC">
      <w:pPr>
        <w:autoSpaceDE w:val="0"/>
        <w:autoSpaceDN w:val="0"/>
        <w:adjustRightInd w:val="0"/>
        <w:spacing w:after="0" w:line="240" w:lineRule="auto"/>
        <w:rPr>
          <w:rFonts w:cstheme="minorHAnsi"/>
          <w:bCs/>
        </w:rPr>
      </w:pPr>
      <w:r>
        <w:rPr>
          <w:rFonts w:cstheme="minorHAnsi"/>
          <w:b/>
          <w:bCs/>
        </w:rPr>
        <w:t>2b2.</w:t>
      </w:r>
      <w:r w:rsidRPr="00A25024">
        <w:rPr>
          <w:rFonts w:cstheme="minorHAnsi"/>
          <w:b/>
          <w:bCs/>
        </w:rPr>
        <w:t>2. What were the statistical results from testing exclusions</w:t>
      </w:r>
      <w:r w:rsidRPr="00A25024">
        <w:rPr>
          <w:rFonts w:cstheme="minorHAnsi"/>
          <w:bCs/>
        </w:rPr>
        <w:t>? (</w:t>
      </w:r>
      <w:r w:rsidRPr="00A25024">
        <w:rPr>
          <w:rFonts w:cstheme="minorHAnsi"/>
          <w:bCs/>
          <w:i/>
        </w:rPr>
        <w:t>include overall number and percentage of individuals excluded, frequency distribution of exclusions across measured entities, and impact on performance measure scores</w:t>
      </w:r>
      <w:r w:rsidRPr="00A25024">
        <w:rPr>
          <w:rFonts w:cstheme="minorHAnsi"/>
          <w:bCs/>
        </w:rPr>
        <w:t>)</w:t>
      </w:r>
    </w:p>
    <w:p w14:paraId="05052D21" w14:textId="30187D7A" w:rsidR="00086FAC" w:rsidRPr="00DC3138" w:rsidRDefault="00086FAC" w:rsidP="000C0983">
      <w:pPr>
        <w:pStyle w:val="Caption"/>
      </w:pPr>
      <w:bookmarkStart w:id="24" w:name="_Hlk40353422"/>
      <w:r w:rsidRPr="00DC3138">
        <w:lastRenderedPageBreak/>
        <w:t xml:space="preserve">Table </w:t>
      </w:r>
      <w:r w:rsidR="00803C22">
        <w:t>2</w:t>
      </w:r>
      <w:r w:rsidR="0078380D">
        <w:t>b2.2</w:t>
      </w:r>
      <w:r w:rsidRPr="00DC3138">
        <w:t>. Selection of the measure population</w:t>
      </w:r>
    </w:p>
    <w:tbl>
      <w:tblPr>
        <w:tblStyle w:val="MathUBaseTable"/>
        <w:tblW w:w="9354" w:type="dxa"/>
        <w:tblLayout w:type="fixed"/>
        <w:tblLook w:val="04A0" w:firstRow="1" w:lastRow="0" w:firstColumn="1" w:lastColumn="0" w:noHBand="0" w:noVBand="1"/>
      </w:tblPr>
      <w:tblGrid>
        <w:gridCol w:w="6834"/>
        <w:gridCol w:w="1329"/>
        <w:gridCol w:w="1191"/>
      </w:tblGrid>
      <w:tr w:rsidR="00086FAC" w:rsidRPr="00DB5C50" w14:paraId="74445531" w14:textId="77777777" w:rsidTr="007B64E7">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6834" w:type="dxa"/>
            <w:noWrap/>
            <w:hideMark/>
          </w:tcPr>
          <w:p w14:paraId="32A0F027" w14:textId="77777777" w:rsidR="00086FAC" w:rsidRPr="00DB5C50" w:rsidRDefault="00086FAC" w:rsidP="007B64E7">
            <w:pPr>
              <w:pStyle w:val="TableHeaderLeft"/>
              <w:rPr>
                <w:b w:val="0"/>
              </w:rPr>
            </w:pPr>
            <w:bookmarkStart w:id="25" w:name="_Hlk40353403"/>
            <w:bookmarkEnd w:id="24"/>
            <w:r w:rsidRPr="00DB5C50">
              <w:t>Exclusion Steps</w:t>
            </w:r>
          </w:p>
        </w:tc>
        <w:tc>
          <w:tcPr>
            <w:tcW w:w="1329" w:type="dxa"/>
            <w:noWrap/>
            <w:hideMark/>
          </w:tcPr>
          <w:p w14:paraId="6329E59A" w14:textId="77777777" w:rsidR="00086FAC" w:rsidRPr="00DB5C50" w:rsidRDefault="00086FAC" w:rsidP="007B64E7">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Total</w:t>
            </w:r>
          </w:p>
        </w:tc>
        <w:tc>
          <w:tcPr>
            <w:tcW w:w="1191" w:type="dxa"/>
          </w:tcPr>
          <w:p w14:paraId="595A3231" w14:textId="77777777" w:rsidR="00086FAC" w:rsidRPr="00DB5C50" w:rsidRDefault="00086FAC" w:rsidP="007B64E7">
            <w:pPr>
              <w:pStyle w:val="TableHeaderCenter"/>
              <w:cnfStyle w:val="100000000000" w:firstRow="1" w:lastRow="0" w:firstColumn="0" w:lastColumn="0" w:oddVBand="0" w:evenVBand="0" w:oddHBand="0" w:evenHBand="0" w:firstRowFirstColumn="0" w:firstRowLastColumn="0" w:lastRowFirstColumn="0" w:lastRowLastColumn="0"/>
              <w:rPr>
                <w:b w:val="0"/>
              </w:rPr>
            </w:pPr>
            <w:r w:rsidRPr="00DB5C50">
              <w:t>%</w:t>
            </w:r>
          </w:p>
        </w:tc>
      </w:tr>
      <w:tr w:rsidR="00A97A7E" w:rsidRPr="00DB5C50" w14:paraId="797CA1B9" w14:textId="77777777" w:rsidTr="007B64E7">
        <w:trPr>
          <w:trHeight w:val="120"/>
        </w:trPr>
        <w:tc>
          <w:tcPr>
            <w:cnfStyle w:val="001000000000" w:firstRow="0" w:lastRow="0" w:firstColumn="1" w:lastColumn="0" w:oddVBand="0" w:evenVBand="0" w:oddHBand="0" w:evenHBand="0" w:firstRowFirstColumn="0" w:firstRowLastColumn="0" w:lastRowFirstColumn="0" w:lastRowLastColumn="0"/>
            <w:tcW w:w="6834" w:type="dxa"/>
            <w:noWrap/>
            <w:hideMark/>
          </w:tcPr>
          <w:p w14:paraId="7C853F5E" w14:textId="633FBBD7" w:rsidR="00A97A7E" w:rsidRPr="00DB5C50" w:rsidRDefault="00A97A7E" w:rsidP="007B64E7">
            <w:pPr>
              <w:pStyle w:val="TableTextLeft"/>
            </w:pPr>
            <w:r w:rsidRPr="00DB5C50">
              <w:t>Adult IPF admissions with admission and discharge between July 1, 2017</w:t>
            </w:r>
            <w:r w:rsidR="008036F6" w:rsidRPr="00DB5C50">
              <w:t>,</w:t>
            </w:r>
            <w:r w:rsidRPr="00DB5C50">
              <w:t xml:space="preserve"> and June 30, </w:t>
            </w:r>
            <w:r w:rsidR="008036F6" w:rsidRPr="00DB5C50">
              <w:t>2</w:t>
            </w:r>
            <w:r w:rsidRPr="00DB5C50">
              <w:t xml:space="preserve">019, discharged alive with a psychiatric principal discharge diagnosis, and enrolled in FFS Part A and B in the 12 months prior to admission, the month of admission, and at least 1-month </w:t>
            </w:r>
            <w:r w:rsidR="00BE0891" w:rsidRPr="00DB5C50">
              <w:t>post discharge</w:t>
            </w:r>
          </w:p>
        </w:tc>
        <w:tc>
          <w:tcPr>
            <w:tcW w:w="1329" w:type="dxa"/>
            <w:noWrap/>
            <w:hideMark/>
          </w:tcPr>
          <w:p w14:paraId="1EDD020B" w14:textId="3776D0BD"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596,495</w:t>
            </w:r>
          </w:p>
        </w:tc>
        <w:tc>
          <w:tcPr>
            <w:tcW w:w="1191" w:type="dxa"/>
          </w:tcPr>
          <w:p w14:paraId="1FA43471" w14:textId="07F23DA2"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100%</w:t>
            </w:r>
          </w:p>
        </w:tc>
      </w:tr>
      <w:tr w:rsidR="00A97A7E" w:rsidRPr="00DB5C50" w14:paraId="79D640BF" w14:textId="77777777" w:rsidTr="007B64E7">
        <w:trPr>
          <w:trHeight w:val="120"/>
        </w:trPr>
        <w:tc>
          <w:tcPr>
            <w:cnfStyle w:val="001000000000" w:firstRow="0" w:lastRow="0" w:firstColumn="1" w:lastColumn="0" w:oddVBand="0" w:evenVBand="0" w:oddHBand="0" w:evenHBand="0" w:firstRowFirstColumn="0" w:firstRowLastColumn="0" w:lastRowFirstColumn="0" w:lastRowLastColumn="0"/>
            <w:tcW w:w="6834" w:type="dxa"/>
            <w:noWrap/>
            <w:hideMark/>
          </w:tcPr>
          <w:p w14:paraId="3D552BC5" w14:textId="77777777" w:rsidR="00A97A7E" w:rsidRPr="00DB5C50" w:rsidRDefault="00A97A7E" w:rsidP="007B64E7">
            <w:pPr>
              <w:pStyle w:val="TableTextLeft"/>
            </w:pPr>
            <w:r w:rsidRPr="00DB5C50">
              <w:t>Excluded for transfers and interrupted stays</w:t>
            </w:r>
          </w:p>
        </w:tc>
        <w:tc>
          <w:tcPr>
            <w:tcW w:w="1329" w:type="dxa"/>
            <w:noWrap/>
            <w:hideMark/>
          </w:tcPr>
          <w:p w14:paraId="077CFE42" w14:textId="73333622"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41,336</w:t>
            </w:r>
          </w:p>
        </w:tc>
        <w:tc>
          <w:tcPr>
            <w:tcW w:w="1191" w:type="dxa"/>
          </w:tcPr>
          <w:p w14:paraId="6132EDB6" w14:textId="0EB09EBB"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6.93%</w:t>
            </w:r>
          </w:p>
        </w:tc>
      </w:tr>
      <w:tr w:rsidR="00A97A7E" w:rsidRPr="00DB5C50" w14:paraId="6827B3DF" w14:textId="77777777" w:rsidTr="007B64E7">
        <w:trPr>
          <w:trHeight w:val="120"/>
        </w:trPr>
        <w:tc>
          <w:tcPr>
            <w:cnfStyle w:val="001000000000" w:firstRow="0" w:lastRow="0" w:firstColumn="1" w:lastColumn="0" w:oddVBand="0" w:evenVBand="0" w:oddHBand="0" w:evenHBand="0" w:firstRowFirstColumn="0" w:firstRowLastColumn="0" w:lastRowFirstColumn="0" w:lastRowLastColumn="0"/>
            <w:tcW w:w="6834" w:type="dxa"/>
            <w:noWrap/>
          </w:tcPr>
          <w:p w14:paraId="2B7ED33A" w14:textId="4196F229" w:rsidR="00A97A7E" w:rsidRPr="00DB5C50" w:rsidRDefault="00A97A7E" w:rsidP="007B64E7">
            <w:pPr>
              <w:pStyle w:val="TableTextLeft"/>
            </w:pPr>
            <w:r w:rsidRPr="00DB5C50">
              <w:t xml:space="preserve">Excluded for discharged </w:t>
            </w:r>
            <w:r w:rsidR="00742A88" w:rsidRPr="00DB5C50">
              <w:t>against medical advice</w:t>
            </w:r>
          </w:p>
        </w:tc>
        <w:tc>
          <w:tcPr>
            <w:tcW w:w="1329" w:type="dxa"/>
            <w:noWrap/>
          </w:tcPr>
          <w:p w14:paraId="3B7A2B04" w14:textId="28C62076"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8,418</w:t>
            </w:r>
          </w:p>
        </w:tc>
        <w:tc>
          <w:tcPr>
            <w:tcW w:w="1191" w:type="dxa"/>
          </w:tcPr>
          <w:p w14:paraId="58D11537" w14:textId="53D80F01"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1.41%</w:t>
            </w:r>
          </w:p>
        </w:tc>
      </w:tr>
      <w:tr w:rsidR="00A97A7E" w:rsidRPr="00DB5C50" w14:paraId="21E729CB" w14:textId="77777777" w:rsidTr="007B64E7">
        <w:trPr>
          <w:trHeight w:val="120"/>
        </w:trPr>
        <w:tc>
          <w:tcPr>
            <w:cnfStyle w:val="001000000000" w:firstRow="0" w:lastRow="0" w:firstColumn="1" w:lastColumn="0" w:oddVBand="0" w:evenVBand="0" w:oddHBand="0" w:evenHBand="0" w:firstRowFirstColumn="0" w:firstRowLastColumn="0" w:lastRowFirstColumn="0" w:lastRowLastColumn="0"/>
            <w:tcW w:w="6834" w:type="dxa"/>
            <w:noWrap/>
            <w:hideMark/>
          </w:tcPr>
          <w:p w14:paraId="562C6A7F" w14:textId="77777777" w:rsidR="00A97A7E" w:rsidRPr="00DB5C50" w:rsidRDefault="00A97A7E" w:rsidP="007B64E7">
            <w:pPr>
              <w:pStyle w:val="TableTextLeft"/>
            </w:pPr>
            <w:r w:rsidRPr="00DB5C50">
              <w:t>Final cohort (index admissions)</w:t>
            </w:r>
          </w:p>
        </w:tc>
        <w:tc>
          <w:tcPr>
            <w:tcW w:w="1329" w:type="dxa"/>
            <w:noWrap/>
            <w:hideMark/>
          </w:tcPr>
          <w:p w14:paraId="00FE66FA" w14:textId="22C485C9"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547,196</w:t>
            </w:r>
          </w:p>
        </w:tc>
        <w:tc>
          <w:tcPr>
            <w:tcW w:w="1191" w:type="dxa"/>
          </w:tcPr>
          <w:p w14:paraId="3AC13A52" w14:textId="684D437D" w:rsidR="00A97A7E" w:rsidRPr="00DB5C50" w:rsidRDefault="00A97A7E" w:rsidP="007B64E7">
            <w:pPr>
              <w:pStyle w:val="TableTextCentered"/>
              <w:cnfStyle w:val="000000000000" w:firstRow="0" w:lastRow="0" w:firstColumn="0" w:lastColumn="0" w:oddVBand="0" w:evenVBand="0" w:oddHBand="0" w:evenHBand="0" w:firstRowFirstColumn="0" w:firstRowLastColumn="0" w:lastRowFirstColumn="0" w:lastRowLastColumn="0"/>
              <w:rPr>
                <w:color w:val="00B050"/>
              </w:rPr>
            </w:pPr>
            <w:r w:rsidRPr="00DB5C50">
              <w:t>91.74%</w:t>
            </w:r>
          </w:p>
        </w:tc>
      </w:tr>
    </w:tbl>
    <w:bookmarkEnd w:id="25"/>
    <w:p w14:paraId="4156F6C6" w14:textId="71B6AE42" w:rsidR="00086FAC" w:rsidRPr="007D17AA" w:rsidRDefault="00086FAC" w:rsidP="00086FAC">
      <w:pPr>
        <w:autoSpaceDE w:val="0"/>
        <w:autoSpaceDN w:val="0"/>
        <w:adjustRightInd w:val="0"/>
        <w:spacing w:after="0" w:line="240" w:lineRule="auto"/>
        <w:contextualSpacing/>
        <w:rPr>
          <w:rFonts w:cstheme="minorHAnsi"/>
          <w:bCs/>
          <w:color w:val="0070C0"/>
          <w:sz w:val="18"/>
          <w:szCs w:val="18"/>
        </w:rPr>
      </w:pPr>
      <w:r w:rsidRPr="007D17AA">
        <w:rPr>
          <w:rFonts w:cstheme="minorHAnsi"/>
          <w:bCs/>
          <w:color w:val="0070C0"/>
          <w:sz w:val="18"/>
          <w:szCs w:val="18"/>
        </w:rPr>
        <w:t xml:space="preserve">Note: percentages may not sum to </w:t>
      </w:r>
      <w:r w:rsidR="00C8499F" w:rsidRPr="007D17AA">
        <w:rPr>
          <w:rFonts w:cstheme="minorHAnsi"/>
          <w:bCs/>
          <w:color w:val="0070C0"/>
          <w:sz w:val="18"/>
          <w:szCs w:val="18"/>
        </w:rPr>
        <w:t xml:space="preserve">100 </w:t>
      </w:r>
      <w:proofErr w:type="gramStart"/>
      <w:r w:rsidRPr="007D17AA">
        <w:rPr>
          <w:rFonts w:cstheme="minorHAnsi"/>
          <w:bCs/>
          <w:color w:val="0070C0"/>
          <w:sz w:val="18"/>
          <w:szCs w:val="18"/>
        </w:rPr>
        <w:t>due</w:t>
      </w:r>
      <w:proofErr w:type="gramEnd"/>
      <w:r w:rsidRPr="007D17AA">
        <w:rPr>
          <w:rFonts w:cstheme="minorHAnsi"/>
          <w:bCs/>
          <w:color w:val="0070C0"/>
          <w:sz w:val="18"/>
          <w:szCs w:val="18"/>
        </w:rPr>
        <w:t xml:space="preserve"> to rounding. </w:t>
      </w:r>
    </w:p>
    <w:p w14:paraId="4045D8FB" w14:textId="77777777" w:rsidR="00086FAC" w:rsidRPr="009D3882" w:rsidRDefault="00086FAC" w:rsidP="00086FAC">
      <w:pPr>
        <w:autoSpaceDE w:val="0"/>
        <w:autoSpaceDN w:val="0"/>
        <w:adjustRightInd w:val="0"/>
        <w:spacing w:after="0" w:line="240" w:lineRule="auto"/>
        <w:rPr>
          <w:rFonts w:cstheme="minorHAnsi"/>
          <w:bCs/>
          <w:sz w:val="12"/>
        </w:rPr>
      </w:pPr>
    </w:p>
    <w:p w14:paraId="52A1E0DC" w14:textId="445A70D2" w:rsidR="00086FAC" w:rsidRDefault="00086FAC" w:rsidP="00086FAC">
      <w:pPr>
        <w:autoSpaceDE w:val="0"/>
        <w:autoSpaceDN w:val="0"/>
        <w:adjustRightInd w:val="0"/>
        <w:spacing w:after="0" w:line="240" w:lineRule="auto"/>
        <w:rPr>
          <w:rFonts w:cstheme="minorHAnsi"/>
          <w:bCs/>
        </w:rPr>
      </w:pPr>
      <w:r>
        <w:rPr>
          <w:rFonts w:cstheme="minorHAnsi"/>
          <w:b/>
          <w:bCs/>
        </w:rPr>
        <w:t>2b2.</w:t>
      </w:r>
      <w:r w:rsidRPr="00A25024">
        <w:rPr>
          <w:rFonts w:cstheme="minorHAnsi"/>
          <w:b/>
          <w:bCs/>
        </w:rPr>
        <w:t>3. What is your interpretation of the results in terms of demonstrating that exclusions are needed to prevent unfair distortion of performance results?</w:t>
      </w:r>
      <w:r w:rsidRPr="00A25024">
        <w:rPr>
          <w:rFonts w:cstheme="minorHAnsi"/>
          <w:bCs/>
        </w:rPr>
        <w:t xml:space="preserve"> (</w:t>
      </w:r>
      <w:r w:rsidRPr="00A25024">
        <w:rPr>
          <w:rFonts w:cstheme="minorHAnsi"/>
          <w:bCs/>
          <w:i/>
        </w:rPr>
        <w:t>i.e., the value outweighs the burden of increased data collection and analysis.</w:t>
      </w:r>
      <w:r w:rsidR="00150B13">
        <w:rPr>
          <w:rFonts w:cstheme="minorHAnsi"/>
          <w:bCs/>
          <w:i/>
        </w:rPr>
        <w:t xml:space="preserve"> </w:t>
      </w:r>
      <w:r w:rsidRPr="00A25024">
        <w:rPr>
          <w:rFonts w:cstheme="minorHAnsi"/>
          <w:bCs/>
          <w:i/>
          <w:u w:val="single"/>
        </w:rPr>
        <w:t>Note</w:t>
      </w:r>
      <w:r w:rsidRPr="00A25024">
        <w:rPr>
          <w:rFonts w:cstheme="minorHAnsi"/>
          <w:bCs/>
          <w:i/>
        </w:rPr>
        <w:t xml:space="preserve">: </w:t>
      </w:r>
      <w:r w:rsidRPr="00A25024">
        <w:rPr>
          <w:rFonts w:cstheme="minorHAnsi"/>
          <w:b/>
          <w:bCs/>
          <w:i/>
        </w:rPr>
        <w:t>If patient preference is an exclusion</w:t>
      </w:r>
      <w:r w:rsidRPr="00A25024">
        <w:rPr>
          <w:rFonts w:cstheme="minorHAnsi"/>
          <w:bCs/>
          <w:i/>
        </w:rPr>
        <w:t>, the measure must be specified so that the effect on the performance score is transparent, e.g., scores with and without exclusion</w:t>
      </w:r>
      <w:r w:rsidRPr="00A25024">
        <w:rPr>
          <w:rFonts w:cstheme="minorHAnsi"/>
          <w:bCs/>
        </w:rPr>
        <w:t>)</w:t>
      </w:r>
    </w:p>
    <w:p w14:paraId="273C434C" w14:textId="33CBDA10" w:rsidR="00086FAC" w:rsidRPr="007D17AA" w:rsidRDefault="00086FAC" w:rsidP="00086FAC">
      <w:pPr>
        <w:spacing w:line="240" w:lineRule="auto"/>
        <w:ind w:left="270"/>
        <w:contextualSpacing/>
        <w:rPr>
          <w:color w:val="0070C0"/>
        </w:rPr>
      </w:pPr>
      <w:r w:rsidRPr="007D17AA">
        <w:rPr>
          <w:color w:val="0070C0"/>
        </w:rPr>
        <w:t xml:space="preserve">Index admissions were excluded if </w:t>
      </w:r>
      <w:r w:rsidR="006F54AF" w:rsidRPr="007D17AA">
        <w:rPr>
          <w:color w:val="0070C0"/>
        </w:rPr>
        <w:t xml:space="preserve">patients were </w:t>
      </w:r>
      <w:r w:rsidRPr="007D17AA">
        <w:rPr>
          <w:color w:val="0070C0"/>
        </w:rPr>
        <w:t>discharged against medical advice, had unreliable data, were transferred to another IPF or acute care facility, or were readmitted within &lt;3 days.</w:t>
      </w:r>
    </w:p>
    <w:p w14:paraId="4DEE7940" w14:textId="038B6B09" w:rsidR="00086FAC" w:rsidRPr="007D17AA" w:rsidRDefault="00086FAC" w:rsidP="00086FAC">
      <w:pPr>
        <w:numPr>
          <w:ilvl w:val="0"/>
          <w:numId w:val="5"/>
        </w:numPr>
        <w:spacing w:line="240" w:lineRule="auto"/>
        <w:ind w:left="270"/>
        <w:contextualSpacing/>
        <w:rPr>
          <w:color w:val="0070C0"/>
        </w:rPr>
      </w:pPr>
      <w:r w:rsidRPr="007D17AA">
        <w:rPr>
          <w:color w:val="0070C0"/>
          <w:u w:val="single"/>
        </w:rPr>
        <w:t>Unreliable data</w:t>
      </w:r>
      <w:r w:rsidRPr="007D17AA">
        <w:rPr>
          <w:color w:val="0070C0"/>
        </w:rPr>
        <w:t xml:space="preserve">. Patients with unreliable demographic </w:t>
      </w:r>
      <w:r w:rsidR="006F54AF" w:rsidRPr="007D17AA">
        <w:rPr>
          <w:color w:val="0070C0"/>
        </w:rPr>
        <w:t xml:space="preserve">or vital status </w:t>
      </w:r>
      <w:r w:rsidRPr="007D17AA">
        <w:rPr>
          <w:color w:val="0070C0"/>
        </w:rPr>
        <w:t xml:space="preserve">(beneficiaries with the date of death prior to the start of the performance period, age greater than 115, and/or missing sex indicator) were not included in the measure because we cannot be sure that those patients meet the measure’s eligibility criteria. </w:t>
      </w:r>
    </w:p>
    <w:p w14:paraId="50AE6065" w14:textId="29799C7C" w:rsidR="00086FAC" w:rsidRPr="007D17AA" w:rsidRDefault="00086FAC" w:rsidP="00086FAC">
      <w:pPr>
        <w:numPr>
          <w:ilvl w:val="0"/>
          <w:numId w:val="5"/>
        </w:numPr>
        <w:spacing w:before="240" w:after="120" w:line="240" w:lineRule="auto"/>
        <w:ind w:left="270"/>
        <w:rPr>
          <w:color w:val="0070C0"/>
        </w:rPr>
      </w:pPr>
      <w:r w:rsidRPr="007D17AA">
        <w:rPr>
          <w:color w:val="0070C0"/>
          <w:u w:val="single"/>
        </w:rPr>
        <w:t>Discharged against medical advice</w:t>
      </w:r>
      <w:r w:rsidRPr="007D17AA">
        <w:rPr>
          <w:color w:val="0070C0"/>
        </w:rPr>
        <w:t xml:space="preserve">. Given that providers have a responsibility to discourage patients with mental illness and potentially impaired decision-making capabilities from leaving </w:t>
      </w:r>
      <w:r w:rsidR="006F54AF" w:rsidRPr="007D17AA">
        <w:rPr>
          <w:color w:val="0070C0"/>
        </w:rPr>
        <w:t>against medical advice</w:t>
      </w:r>
      <w:r w:rsidRPr="007D17AA">
        <w:rPr>
          <w:color w:val="0070C0"/>
        </w:rPr>
        <w:t xml:space="preserve"> and readmission rates for patients who left </w:t>
      </w:r>
      <w:r w:rsidR="006F54AF" w:rsidRPr="007D17AA">
        <w:rPr>
          <w:color w:val="0070C0"/>
        </w:rPr>
        <w:t>against medical advice</w:t>
      </w:r>
      <w:r w:rsidRPr="007D17AA">
        <w:rPr>
          <w:color w:val="0070C0"/>
        </w:rPr>
        <w:t xml:space="preserve"> were higher than those who did not (</w:t>
      </w:r>
      <w:r w:rsidR="00B13BDB" w:rsidRPr="007D17AA">
        <w:rPr>
          <w:color w:val="0070C0"/>
        </w:rPr>
        <w:t>25</w:t>
      </w:r>
      <w:r w:rsidRPr="007D17AA">
        <w:rPr>
          <w:color w:val="0070C0"/>
        </w:rPr>
        <w:t>.</w:t>
      </w:r>
      <w:r w:rsidR="00B13BDB" w:rsidRPr="007D17AA">
        <w:rPr>
          <w:color w:val="0070C0"/>
        </w:rPr>
        <w:t>9</w:t>
      </w:r>
      <w:r w:rsidR="006F54AF" w:rsidRPr="007D17AA">
        <w:rPr>
          <w:color w:val="0070C0"/>
        </w:rPr>
        <w:t xml:space="preserve"> percent</w:t>
      </w:r>
      <w:r w:rsidRPr="007D17AA">
        <w:rPr>
          <w:color w:val="0070C0"/>
        </w:rPr>
        <w:t xml:space="preserve"> versus 20.</w:t>
      </w:r>
      <w:r w:rsidR="00B13BDB" w:rsidRPr="007D17AA">
        <w:rPr>
          <w:color w:val="0070C0"/>
        </w:rPr>
        <w:t>1</w:t>
      </w:r>
      <w:r w:rsidR="006F54AF" w:rsidRPr="007D17AA">
        <w:rPr>
          <w:color w:val="0070C0"/>
        </w:rPr>
        <w:t xml:space="preserve"> percent</w:t>
      </w:r>
      <w:r w:rsidRPr="007D17AA">
        <w:rPr>
          <w:color w:val="0070C0"/>
        </w:rPr>
        <w:t>), measure developers were concerned about potentially excluding a particularly vulnerable sub-population of patients from the measure cohort. During the measure development process</w:t>
      </w:r>
      <w:r w:rsidR="006F54AF" w:rsidRPr="007D17AA">
        <w:rPr>
          <w:color w:val="0070C0"/>
        </w:rPr>
        <w:t>,</w:t>
      </w:r>
      <w:r w:rsidRPr="007D17AA">
        <w:rPr>
          <w:color w:val="0070C0"/>
        </w:rPr>
        <w:t xml:space="preserve"> the workgroup agreed that if admissions resulting in </w:t>
      </w:r>
      <w:r w:rsidR="006F54AF" w:rsidRPr="007D17AA">
        <w:rPr>
          <w:color w:val="0070C0"/>
        </w:rPr>
        <w:t>discharges against medical advice</w:t>
      </w:r>
      <w:r w:rsidRPr="007D17AA">
        <w:rPr>
          <w:color w:val="0070C0"/>
        </w:rPr>
        <w:t xml:space="preserve"> were to be included in the cohort, the measure would need to be risk</w:t>
      </w:r>
      <w:r w:rsidR="001931B8" w:rsidRPr="007D17AA">
        <w:rPr>
          <w:color w:val="0070C0"/>
        </w:rPr>
        <w:t>-</w:t>
      </w:r>
      <w:r w:rsidRPr="007D17AA">
        <w:rPr>
          <w:color w:val="0070C0"/>
        </w:rPr>
        <w:t xml:space="preserve">adjusted for patients who were admitted involuntarily given that these patients leave </w:t>
      </w:r>
      <w:r w:rsidR="006F54AF" w:rsidRPr="007D17AA">
        <w:rPr>
          <w:color w:val="0070C0"/>
        </w:rPr>
        <w:t>against medical advice</w:t>
      </w:r>
      <w:r w:rsidRPr="007D17AA">
        <w:rPr>
          <w:color w:val="0070C0"/>
        </w:rPr>
        <w:t xml:space="preserve"> more frequently and are not evenly distributed across facilities. However, information on involuntary admissions is inadequately captured in claims data.</w:t>
      </w:r>
      <w:r w:rsidRPr="007D17AA">
        <w:rPr>
          <w:rStyle w:val="EndnoteReference"/>
          <w:color w:val="0070C0"/>
        </w:rPr>
        <w:endnoteReference w:id="37"/>
      </w:r>
      <w:r w:rsidRPr="007D17AA">
        <w:rPr>
          <w:color w:val="0070C0"/>
        </w:rPr>
        <w:t xml:space="preserve"> Therefore, index admissions where the patient leaves </w:t>
      </w:r>
      <w:r w:rsidR="006F54AF" w:rsidRPr="007D17AA">
        <w:rPr>
          <w:color w:val="0070C0"/>
        </w:rPr>
        <w:t>against medical advice</w:t>
      </w:r>
      <w:r w:rsidRPr="007D17AA">
        <w:rPr>
          <w:color w:val="0070C0"/>
        </w:rPr>
        <w:t xml:space="preserve"> were excluded from this version of the measure to ensure that results are unbiased </w:t>
      </w:r>
      <w:proofErr w:type="gramStart"/>
      <w:r w:rsidRPr="007D17AA">
        <w:rPr>
          <w:color w:val="0070C0"/>
        </w:rPr>
        <w:t>with regard to</w:t>
      </w:r>
      <w:proofErr w:type="gramEnd"/>
      <w:r w:rsidRPr="007D17AA">
        <w:rPr>
          <w:color w:val="0070C0"/>
        </w:rPr>
        <w:t xml:space="preserve"> </w:t>
      </w:r>
      <w:r w:rsidR="006F54AF" w:rsidRPr="007D17AA">
        <w:rPr>
          <w:color w:val="0070C0"/>
        </w:rPr>
        <w:t>against medical advice</w:t>
      </w:r>
      <w:r w:rsidRPr="007D17AA">
        <w:rPr>
          <w:color w:val="0070C0"/>
        </w:rPr>
        <w:t xml:space="preserve"> discharges. This exclusion is consistent with the other CMS readmission measures.</w:t>
      </w:r>
    </w:p>
    <w:p w14:paraId="4CB4DBDB" w14:textId="5A9FBB52" w:rsidR="00086FAC" w:rsidRPr="007D17AA" w:rsidRDefault="00086FAC" w:rsidP="00086FAC">
      <w:pPr>
        <w:spacing w:after="120" w:line="240" w:lineRule="auto"/>
        <w:ind w:left="270"/>
        <w:rPr>
          <w:color w:val="0070C0"/>
          <w:u w:val="single"/>
        </w:rPr>
      </w:pPr>
      <w:r w:rsidRPr="007D17AA">
        <w:rPr>
          <w:color w:val="0070C0"/>
          <w:u w:val="single"/>
        </w:rPr>
        <w:t>Transfers and interrupted stays</w:t>
      </w:r>
      <w:r w:rsidRPr="007D17AA">
        <w:rPr>
          <w:color w:val="0070C0"/>
        </w:rPr>
        <w:t xml:space="preserve">. While it would be ideal for the measure to include information on readmissions that occur on Days 0, 1, and 2 </w:t>
      </w:r>
      <w:r w:rsidR="00BE0891" w:rsidRPr="007D17AA">
        <w:rPr>
          <w:color w:val="0070C0"/>
        </w:rPr>
        <w:t>post discharge</w:t>
      </w:r>
      <w:r w:rsidRPr="007D17AA">
        <w:rPr>
          <w:color w:val="0070C0"/>
        </w:rPr>
        <w:t>, these data cannot always be reliably distinguished from transfers and interrupted stays in the claims data. Transfers are defined as a</w:t>
      </w:r>
      <w:r w:rsidRPr="007D17AA">
        <w:rPr>
          <w:rFonts w:cs="Times New Roman"/>
          <w:color w:val="0070C0"/>
          <w:szCs w:val="24"/>
        </w:rPr>
        <w:t xml:space="preserve"> discharge from an IPF (Hospital A) and an admission to another hospital (Hospital B) on the same or next day (Day 0 or Day 1) </w:t>
      </w:r>
      <w:r w:rsidRPr="007D17AA">
        <w:rPr>
          <w:rFonts w:cs="Times New Roman"/>
          <w:color w:val="0070C0"/>
          <w:szCs w:val="24"/>
          <w:u w:val="single"/>
        </w:rPr>
        <w:t>or</w:t>
      </w:r>
      <w:r w:rsidRPr="007D17AA">
        <w:rPr>
          <w:rFonts w:cs="Times New Roman"/>
          <w:color w:val="0070C0"/>
          <w:szCs w:val="24"/>
        </w:rPr>
        <w:t xml:space="preserve"> a discharge from an IPF (Hospital A) that occurs after admission to another hospital (Hospital B). In these scenarios, the admission to Hospital A </w:t>
      </w:r>
      <w:r w:rsidR="00946A05" w:rsidRPr="007D17AA">
        <w:rPr>
          <w:rFonts w:cs="Times New Roman"/>
          <w:color w:val="0070C0"/>
          <w:szCs w:val="24"/>
        </w:rPr>
        <w:t xml:space="preserve">is </w:t>
      </w:r>
      <w:r w:rsidRPr="007D17AA">
        <w:rPr>
          <w:rFonts w:cs="Times New Roman"/>
          <w:color w:val="0070C0"/>
          <w:szCs w:val="24"/>
        </w:rPr>
        <w:t xml:space="preserve">excluded from the measure cohort, and the admission to Hospital B that met all other eligibility criteria </w:t>
      </w:r>
      <w:r w:rsidR="00946A05" w:rsidRPr="007D17AA">
        <w:rPr>
          <w:rFonts w:cs="Times New Roman"/>
          <w:color w:val="0070C0"/>
          <w:szCs w:val="24"/>
        </w:rPr>
        <w:t>is</w:t>
      </w:r>
      <w:r w:rsidRPr="007D17AA">
        <w:rPr>
          <w:rFonts w:cs="Times New Roman"/>
          <w:color w:val="0070C0"/>
          <w:szCs w:val="24"/>
        </w:rPr>
        <w:t xml:space="preserve"> included as the index admission in the measure cohort. </w:t>
      </w:r>
    </w:p>
    <w:p w14:paraId="5163403E" w14:textId="06835CCB" w:rsidR="00086FAC" w:rsidRPr="007D17AA" w:rsidRDefault="00086FAC" w:rsidP="00086FAC">
      <w:pPr>
        <w:spacing w:after="0" w:line="240" w:lineRule="auto"/>
        <w:ind w:left="270"/>
        <w:rPr>
          <w:b/>
          <w:color w:val="0070C0"/>
        </w:rPr>
      </w:pPr>
      <w:r w:rsidRPr="007D17AA">
        <w:rPr>
          <w:rFonts w:cs="Times New Roman"/>
          <w:color w:val="0070C0"/>
          <w:szCs w:val="24"/>
        </w:rPr>
        <w:t xml:space="preserve">An interrupted stay </w:t>
      </w:r>
      <w:r w:rsidR="00181B2E" w:rsidRPr="007D17AA">
        <w:rPr>
          <w:rFonts w:cs="Times New Roman"/>
          <w:color w:val="0070C0"/>
          <w:szCs w:val="24"/>
        </w:rPr>
        <w:t>(</w:t>
      </w:r>
      <w:r w:rsidRPr="007D17AA">
        <w:rPr>
          <w:rFonts w:cs="Times New Roman"/>
          <w:color w:val="0070C0"/>
          <w:szCs w:val="24"/>
        </w:rPr>
        <w:t>as defined by CMS reimbursement policy</w:t>
      </w:r>
      <w:r w:rsidR="00181B2E" w:rsidRPr="007D17AA">
        <w:rPr>
          <w:rFonts w:cs="Times New Roman"/>
          <w:color w:val="0070C0"/>
          <w:szCs w:val="24"/>
        </w:rPr>
        <w:t>)</w:t>
      </w:r>
      <w:r w:rsidRPr="007D17AA">
        <w:rPr>
          <w:rFonts w:cs="Times New Roman"/>
          <w:color w:val="0070C0"/>
          <w:szCs w:val="24"/>
        </w:rPr>
        <w:t xml:space="preserve"> is a readmission to any IPF before midnight on the third consecutive day following discharge from an IPF. The interrupted</w:t>
      </w:r>
      <w:r w:rsidR="00497A54" w:rsidRPr="007D17AA">
        <w:rPr>
          <w:rFonts w:cs="Times New Roman"/>
          <w:color w:val="0070C0"/>
          <w:szCs w:val="24"/>
        </w:rPr>
        <w:t>-</w:t>
      </w:r>
      <w:r w:rsidRPr="007D17AA">
        <w:rPr>
          <w:rFonts w:cs="Times New Roman"/>
          <w:color w:val="0070C0"/>
          <w:szCs w:val="24"/>
        </w:rPr>
        <w:t xml:space="preserve">stay billing procedure requires one claim if a patient is readmitted to the same IPF within </w:t>
      </w:r>
      <w:r w:rsidR="0025346F" w:rsidRPr="007D17AA">
        <w:rPr>
          <w:rFonts w:cs="Times New Roman"/>
          <w:color w:val="0070C0"/>
          <w:szCs w:val="24"/>
        </w:rPr>
        <w:t>three</w:t>
      </w:r>
      <w:r w:rsidRPr="007D17AA">
        <w:rPr>
          <w:rFonts w:cs="Times New Roman"/>
          <w:color w:val="0070C0"/>
          <w:szCs w:val="24"/>
        </w:rPr>
        <w:t xml:space="preserve"> days (Day 0, 1, 2), and two claims if the patient is readmitted to a different IPF or an acute care facility during this time frame. As a result of this billing policy, very few readmissions to the same IPF appear in the claims data on Days 0, 1, or 2 and therefore cannot be captured reliably. Admissions with a second </w:t>
      </w:r>
      <w:r w:rsidRPr="007D17AA">
        <w:rPr>
          <w:rFonts w:cs="Times New Roman"/>
          <w:color w:val="0070C0"/>
          <w:szCs w:val="24"/>
        </w:rPr>
        <w:lastRenderedPageBreak/>
        <w:t xml:space="preserve">admission on Days 0 and 1 </w:t>
      </w:r>
      <w:r w:rsidR="00BE0891" w:rsidRPr="007D17AA">
        <w:rPr>
          <w:rFonts w:cs="Times New Roman"/>
          <w:color w:val="0070C0"/>
          <w:szCs w:val="24"/>
        </w:rPr>
        <w:t>post discharge</w:t>
      </w:r>
      <w:r w:rsidRPr="007D17AA">
        <w:rPr>
          <w:rFonts w:cs="Times New Roman"/>
          <w:color w:val="0070C0"/>
          <w:szCs w:val="24"/>
        </w:rPr>
        <w:t xml:space="preserve"> are already excluded from the measure cohort as transfers. As a result, the interrupted</w:t>
      </w:r>
      <w:r w:rsidR="00497A54" w:rsidRPr="007D17AA">
        <w:rPr>
          <w:rFonts w:cs="Times New Roman"/>
          <w:color w:val="0070C0"/>
          <w:szCs w:val="24"/>
        </w:rPr>
        <w:t>-</w:t>
      </w:r>
      <w:r w:rsidRPr="007D17AA">
        <w:rPr>
          <w:rFonts w:cs="Times New Roman"/>
          <w:color w:val="0070C0"/>
          <w:szCs w:val="24"/>
        </w:rPr>
        <w:t xml:space="preserve">stay policy has implications only for index admissions with readmissions that occur on Day 2 </w:t>
      </w:r>
      <w:r w:rsidR="00BE0891" w:rsidRPr="007D17AA">
        <w:rPr>
          <w:rFonts w:cs="Times New Roman"/>
          <w:color w:val="0070C0"/>
          <w:szCs w:val="24"/>
        </w:rPr>
        <w:t>post discharge</w:t>
      </w:r>
      <w:r w:rsidRPr="007D17AA">
        <w:rPr>
          <w:rFonts w:cs="Times New Roman"/>
          <w:color w:val="0070C0"/>
          <w:szCs w:val="24"/>
        </w:rPr>
        <w:t xml:space="preserve">. </w:t>
      </w:r>
      <w:r w:rsidR="004D3F57" w:rsidRPr="007D17AA">
        <w:rPr>
          <w:rFonts w:cs="Times New Roman"/>
          <w:color w:val="0070C0"/>
          <w:szCs w:val="24"/>
        </w:rPr>
        <w:t>Including</w:t>
      </w:r>
      <w:r w:rsidRPr="007D17AA">
        <w:rPr>
          <w:rFonts w:cs="Times New Roman"/>
          <w:color w:val="0070C0"/>
          <w:szCs w:val="24"/>
        </w:rPr>
        <w:t xml:space="preserve"> index admissions with readmissions on Day 2 in the measure cohort could create bias because readmissions to different IPFs or acute care hospitals are visible in claims data, while readmissions to the same IPF are not. The </w:t>
      </w:r>
      <w:r w:rsidR="004D3F57" w:rsidRPr="007D17AA">
        <w:rPr>
          <w:rFonts w:cs="Times New Roman"/>
          <w:color w:val="0070C0"/>
          <w:szCs w:val="24"/>
        </w:rPr>
        <w:t xml:space="preserve">location where a patient is </w:t>
      </w:r>
      <w:r w:rsidRPr="007D17AA">
        <w:rPr>
          <w:rFonts w:cs="Times New Roman"/>
          <w:color w:val="0070C0"/>
          <w:szCs w:val="24"/>
        </w:rPr>
        <w:t>readmi</w:t>
      </w:r>
      <w:r w:rsidR="004D3F57" w:rsidRPr="007D17AA">
        <w:rPr>
          <w:rFonts w:cs="Times New Roman"/>
          <w:color w:val="0070C0"/>
          <w:szCs w:val="24"/>
        </w:rPr>
        <w:t>tted</w:t>
      </w:r>
      <w:r w:rsidRPr="007D17AA">
        <w:rPr>
          <w:rFonts w:cs="Times New Roman"/>
          <w:color w:val="0070C0"/>
          <w:szCs w:val="24"/>
        </w:rPr>
        <w:t xml:space="preserve"> could be related to the availability of local resources or other parameters related to IPF performance. Therefore, all index admissions with a readmission on Day 2 were excluded from the measure cohort, and readmissions on Days 0 to 2 were not considered to calculate readmission rates. Like transfers, subsequent admissions to different IPFs on Day 2 that meet all other eligibility criteria were included as an index admission in the measure cohort. </w:t>
      </w:r>
    </w:p>
    <w:p w14:paraId="67A462A3" w14:textId="77777777" w:rsidR="00086FAC" w:rsidRPr="007D17AA" w:rsidRDefault="00086FAC" w:rsidP="00086FAC">
      <w:pPr>
        <w:pStyle w:val="ListParagraph"/>
        <w:spacing w:line="240" w:lineRule="auto"/>
        <w:ind w:left="270"/>
        <w:rPr>
          <w:rFonts w:cs="Times New Roman"/>
          <w:color w:val="0070C0"/>
          <w:szCs w:val="24"/>
        </w:rPr>
      </w:pPr>
      <w:r w:rsidRPr="007D17AA">
        <w:rPr>
          <w:rFonts w:cs="Times New Roman"/>
          <w:color w:val="0070C0"/>
          <w:szCs w:val="24"/>
        </w:rPr>
        <w:t xml:space="preserve"> </w:t>
      </w:r>
    </w:p>
    <w:p w14:paraId="2868F86F" w14:textId="7B532918" w:rsidR="00086FAC" w:rsidRPr="007D17AA" w:rsidRDefault="00086FAC" w:rsidP="00086FAC">
      <w:pPr>
        <w:pStyle w:val="ListParagraph"/>
        <w:spacing w:line="240" w:lineRule="auto"/>
        <w:ind w:left="270"/>
        <w:rPr>
          <w:color w:val="0070C0"/>
        </w:rPr>
      </w:pPr>
      <w:r w:rsidRPr="007D17AA">
        <w:rPr>
          <w:rFonts w:cs="Times New Roman"/>
          <w:color w:val="0070C0"/>
          <w:szCs w:val="24"/>
        </w:rPr>
        <w:t xml:space="preserve">Figure </w:t>
      </w:r>
      <w:r w:rsidR="00803C22" w:rsidRPr="007D17AA">
        <w:rPr>
          <w:rFonts w:cs="Times New Roman"/>
          <w:color w:val="0070C0"/>
          <w:szCs w:val="24"/>
        </w:rPr>
        <w:t>2</w:t>
      </w:r>
      <w:r w:rsidR="004D3F57" w:rsidRPr="007D17AA">
        <w:rPr>
          <w:rFonts w:cs="Times New Roman"/>
          <w:color w:val="0070C0"/>
          <w:szCs w:val="24"/>
        </w:rPr>
        <w:t>b2.3</w:t>
      </w:r>
      <w:r w:rsidR="00803C22" w:rsidRPr="007D17AA">
        <w:rPr>
          <w:rFonts w:cs="Times New Roman"/>
          <w:color w:val="0070C0"/>
          <w:szCs w:val="24"/>
        </w:rPr>
        <w:t xml:space="preserve"> </w:t>
      </w:r>
      <w:r w:rsidRPr="007D17AA">
        <w:rPr>
          <w:rFonts w:cs="Times New Roman"/>
          <w:color w:val="0070C0"/>
          <w:szCs w:val="24"/>
        </w:rPr>
        <w:t xml:space="preserve">illustrates </w:t>
      </w:r>
      <w:r w:rsidR="004D3F57" w:rsidRPr="007D17AA">
        <w:rPr>
          <w:rFonts w:cs="Times New Roman"/>
          <w:color w:val="0070C0"/>
          <w:szCs w:val="24"/>
        </w:rPr>
        <w:t xml:space="preserve">the </w:t>
      </w:r>
      <w:r w:rsidRPr="007D17AA">
        <w:rPr>
          <w:rFonts w:cs="Times New Roman"/>
          <w:color w:val="0070C0"/>
          <w:szCs w:val="24"/>
        </w:rPr>
        <w:t xml:space="preserve">distribution of eligible readmissions by </w:t>
      </w:r>
      <w:r w:rsidR="00BE0891" w:rsidRPr="007D17AA">
        <w:rPr>
          <w:rFonts w:cs="Times New Roman"/>
          <w:color w:val="0070C0"/>
          <w:szCs w:val="24"/>
        </w:rPr>
        <w:t>post discharge</w:t>
      </w:r>
      <w:r w:rsidRPr="007D17AA">
        <w:rPr>
          <w:rFonts w:cs="Times New Roman"/>
          <w:color w:val="0070C0"/>
          <w:szCs w:val="24"/>
        </w:rPr>
        <w:t xml:space="preserve"> day by an admitting IPF type.</w:t>
      </w:r>
    </w:p>
    <w:p w14:paraId="1397A4C2" w14:textId="59C2CF4D" w:rsidR="00086FAC" w:rsidRPr="00DC3138" w:rsidRDefault="00086FAC" w:rsidP="000C0983">
      <w:pPr>
        <w:pStyle w:val="Caption"/>
      </w:pPr>
      <w:bookmarkStart w:id="26" w:name="_Hlk40353432"/>
      <w:r w:rsidRPr="00792D35">
        <w:t xml:space="preserve">Figure </w:t>
      </w:r>
      <w:r w:rsidR="00803C22">
        <w:t>2</w:t>
      </w:r>
      <w:r w:rsidR="0078380D">
        <w:t>b2.3</w:t>
      </w:r>
      <w:r w:rsidRPr="00792D35">
        <w:t xml:space="preserve">. Distribution of readmissions by </w:t>
      </w:r>
      <w:r w:rsidR="00BE0891" w:rsidRPr="00792D35">
        <w:t>post discharge</w:t>
      </w:r>
      <w:r w:rsidRPr="00792D35">
        <w:t xml:space="preserve"> day by admitting IPF type </w:t>
      </w:r>
    </w:p>
    <w:bookmarkEnd w:id="26"/>
    <w:p w14:paraId="5D472841" w14:textId="3C8B50E6" w:rsidR="00086FAC" w:rsidRPr="00C97B8E" w:rsidRDefault="00086FAC" w:rsidP="003930C5">
      <w:pPr>
        <w:keepNext/>
        <w:ind w:left="270"/>
        <w:jc w:val="center"/>
        <w:rPr>
          <w:color w:val="0070C0"/>
        </w:rPr>
      </w:pPr>
      <w:r>
        <w:rPr>
          <w:rFonts w:ascii="Arial" w:hAnsi="Arial" w:cs="Arial"/>
          <w:noProof/>
          <w:color w:val="000000"/>
          <w:sz w:val="20"/>
          <w:szCs w:val="20"/>
        </w:rPr>
        <w:drawing>
          <wp:inline distT="0" distB="0" distL="0" distR="0" wp14:anchorId="138702AD" wp14:editId="75E73334">
            <wp:extent cx="4137459" cy="2751551"/>
            <wp:effectExtent l="0" t="0" r="0" b="0"/>
            <wp:docPr id="4" name="Picture 4" descr="This bar chart shows the distribution of readmissions by post discharge day by admitting IPF type. The vertical axis shows daily readmission rate as a percentage, with markers at 0, 5, 10, and 15 percent. The horizonal axis shows readmission day, with markers for whole numbers 0 through 30. Each individual bar is broken up by readmission type: acute care hospital, other IPF, or same IPF. The chart shows that the daily readmission rate is highest on the day of discharge, more than 15 percent, and that most of this is readmissions to acute care hospitals. The daily readmission rate is less than 5 percent per day from the day after discharge through 30 days after discharge, generally decreasing every day once a patient is a week post disch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he SGPlot Procedure"/>
                    <pic:cNvPicPr>
                      <a:picLocks noChangeAspect="1" noChangeArrowheads="1"/>
                    </pic:cNvPicPr>
                  </pic:nvPicPr>
                  <pic:blipFill rotWithShape="1">
                    <a:blip r:embed="rId12">
                      <a:extLst>
                        <a:ext uri="{28A0092B-C50C-407E-A947-70E740481C1C}">
                          <a14:useLocalDpi xmlns:a14="http://schemas.microsoft.com/office/drawing/2010/main" val="0"/>
                        </a:ext>
                      </a:extLst>
                    </a:blip>
                    <a:srcRect l="1192" t="12538" r="1235" b="1954"/>
                    <a:stretch/>
                  </pic:blipFill>
                  <pic:spPr bwMode="auto">
                    <a:xfrm>
                      <a:off x="0" y="0"/>
                      <a:ext cx="4178984" cy="2779167"/>
                    </a:xfrm>
                    <a:prstGeom prst="rect">
                      <a:avLst/>
                    </a:prstGeom>
                    <a:noFill/>
                    <a:ln>
                      <a:noFill/>
                    </a:ln>
                    <a:extLst>
                      <a:ext uri="{53640926-AAD7-44D8-BBD7-CCE9431645EC}">
                        <a14:shadowObscured xmlns:a14="http://schemas.microsoft.com/office/drawing/2010/main"/>
                      </a:ext>
                    </a:extLst>
                  </pic:spPr>
                </pic:pic>
              </a:graphicData>
            </a:graphic>
          </wp:inline>
        </w:drawing>
      </w:r>
    </w:p>
    <w:p w14:paraId="0DE021C7" w14:textId="34D38E0B" w:rsidR="00086FAC" w:rsidRPr="007D17AA" w:rsidRDefault="00086FAC" w:rsidP="00C8499F">
      <w:pPr>
        <w:spacing w:after="0" w:line="240" w:lineRule="auto"/>
        <w:rPr>
          <w:rFonts w:cs="Calibri"/>
          <w:color w:val="0070C0"/>
        </w:rPr>
      </w:pPr>
      <w:r w:rsidRPr="007D17AA">
        <w:rPr>
          <w:rFonts w:cs="Times New Roman"/>
          <w:color w:val="0070C0"/>
          <w:szCs w:val="24"/>
        </w:rPr>
        <w:t xml:space="preserve">Notes: </w:t>
      </w:r>
      <w:r w:rsidRPr="007D17AA">
        <w:rPr>
          <w:color w:val="0070C0"/>
        </w:rPr>
        <w:t xml:space="preserve">There were a total of </w:t>
      </w:r>
      <w:r w:rsidR="00654C30" w:rsidRPr="007D17AA">
        <w:rPr>
          <w:color w:val="0070C0"/>
        </w:rPr>
        <w:t>109,975</w:t>
      </w:r>
      <w:r w:rsidRPr="007D17AA">
        <w:rPr>
          <w:color w:val="0070C0"/>
        </w:rPr>
        <w:t xml:space="preserve"> readmissions after </w:t>
      </w:r>
      <w:r w:rsidRPr="007D17AA">
        <w:rPr>
          <w:rFonts w:cs="Calibri"/>
          <w:color w:val="0070C0"/>
        </w:rPr>
        <w:t>547,196 index admissions</w:t>
      </w:r>
      <w:r w:rsidRPr="007D17AA">
        <w:rPr>
          <w:color w:val="0070C0"/>
        </w:rPr>
        <w:t xml:space="preserve"> during the </w:t>
      </w:r>
      <w:r w:rsidRPr="007D17AA">
        <w:rPr>
          <w:rFonts w:cs="Calibri"/>
          <w:color w:val="0070C0"/>
        </w:rPr>
        <w:t>measure performance period (July 1, 2017 – June 30, 2019). Admissions with a second admission on Days 0-2</w:t>
      </w:r>
      <w:r w:rsidR="00C8499F" w:rsidRPr="007D17AA">
        <w:rPr>
          <w:rFonts w:cs="Calibri"/>
          <w:color w:val="0070C0"/>
        </w:rPr>
        <w:t>, admissions with transfers and interrupted stays and admissions with a discharged against medical advice</w:t>
      </w:r>
      <w:r w:rsidRPr="007D17AA">
        <w:rPr>
          <w:rFonts w:cs="Calibri"/>
          <w:color w:val="0070C0"/>
        </w:rPr>
        <w:t xml:space="preserve"> were excluded from measure cohort</w:t>
      </w:r>
      <w:r w:rsidR="00803C22" w:rsidRPr="007D17AA">
        <w:rPr>
          <w:rFonts w:cs="Calibri"/>
          <w:color w:val="0070C0"/>
        </w:rPr>
        <w:t>.</w:t>
      </w:r>
    </w:p>
    <w:p w14:paraId="6A7C92CD" w14:textId="77777777" w:rsidR="00086FAC" w:rsidRPr="00A25024" w:rsidRDefault="00086FAC" w:rsidP="00086FAC">
      <w:pPr>
        <w:autoSpaceDE w:val="0"/>
        <w:autoSpaceDN w:val="0"/>
        <w:adjustRightInd w:val="0"/>
        <w:spacing w:after="0" w:line="240" w:lineRule="auto"/>
        <w:rPr>
          <w:rFonts w:cstheme="minorHAnsi"/>
          <w:bCs/>
        </w:rPr>
      </w:pPr>
      <w:r>
        <w:rPr>
          <w:rFonts w:cstheme="minorHAnsi"/>
          <w:bCs/>
        </w:rPr>
        <w:t>____________________________</w:t>
      </w:r>
    </w:p>
    <w:p w14:paraId="4818B590" w14:textId="77777777" w:rsidR="00086FAC" w:rsidRPr="0086464B" w:rsidRDefault="00086FAC" w:rsidP="00086FAC">
      <w:pPr>
        <w:autoSpaceDE w:val="0"/>
        <w:autoSpaceDN w:val="0"/>
        <w:adjustRightInd w:val="0"/>
        <w:spacing w:after="0" w:line="240" w:lineRule="auto"/>
        <w:rPr>
          <w:rFonts w:cstheme="minorHAnsi"/>
          <w:b/>
          <w:bCs/>
          <w:i/>
        </w:rPr>
      </w:pPr>
      <w:bookmarkStart w:id="27" w:name="section2b4"/>
      <w:bookmarkEnd w:id="27"/>
      <w:r w:rsidRPr="00A25024">
        <w:rPr>
          <w:rFonts w:cstheme="minorHAnsi"/>
          <w:b/>
          <w:bCs/>
        </w:rPr>
        <w:t>2b</w:t>
      </w:r>
      <w:r>
        <w:rPr>
          <w:rFonts w:cstheme="minorHAnsi"/>
          <w:b/>
          <w:bCs/>
        </w:rPr>
        <w:t>3</w:t>
      </w:r>
      <w:r w:rsidRPr="00A25024">
        <w:rPr>
          <w:rFonts w:cstheme="minorHAnsi"/>
          <w:b/>
          <w:bCs/>
        </w:rPr>
        <w:t>. RISK ADJUSTMENT/STRATIFICATION FOR OUTCOME OR RESOURCE USE MEASURES</w:t>
      </w:r>
      <w:r w:rsidRPr="00A25024">
        <w:rPr>
          <w:rFonts w:cstheme="minorHAnsi"/>
          <w:bCs/>
        </w:rPr>
        <w:br/>
      </w:r>
      <w:r w:rsidRPr="0086464B">
        <w:rPr>
          <w:rFonts w:cstheme="minorHAnsi"/>
          <w:b/>
          <w:bCs/>
          <w:i/>
          <w:highlight w:val="green"/>
        </w:rPr>
        <w:t>If not an intermediate or health outcome</w:t>
      </w:r>
      <w:r>
        <w:rPr>
          <w:rFonts w:cstheme="minorHAnsi"/>
          <w:b/>
          <w:bCs/>
          <w:i/>
          <w:highlight w:val="green"/>
        </w:rPr>
        <w:t>,</w:t>
      </w:r>
      <w:r w:rsidRPr="0086464B">
        <w:rPr>
          <w:rFonts w:cstheme="minorHAnsi"/>
          <w:b/>
          <w:bCs/>
          <w:i/>
          <w:highlight w:val="green"/>
        </w:rPr>
        <w:t xml:space="preserve"> </w:t>
      </w:r>
      <w:r>
        <w:rPr>
          <w:rFonts w:cstheme="minorHAnsi"/>
          <w:b/>
          <w:bCs/>
          <w:i/>
          <w:highlight w:val="green"/>
        </w:rPr>
        <w:t xml:space="preserve">or PRO-PM, </w:t>
      </w:r>
      <w:r w:rsidRPr="0086464B">
        <w:rPr>
          <w:rFonts w:cstheme="minorHAnsi"/>
          <w:b/>
          <w:bCs/>
          <w:i/>
          <w:highlight w:val="green"/>
        </w:rPr>
        <w:t xml:space="preserve">or resource use measure, </w:t>
      </w:r>
      <w:r w:rsidRPr="00BE592D">
        <w:rPr>
          <w:rFonts w:cstheme="minorHAnsi"/>
          <w:b/>
          <w:bCs/>
          <w:i/>
          <w:highlight w:val="green"/>
        </w:rPr>
        <w:t xml:space="preserve">skip to section </w:t>
      </w:r>
      <w:hyperlink w:anchor="section2b5" w:history="1">
        <w:r w:rsidRPr="00BE592D">
          <w:rPr>
            <w:rStyle w:val="Hyperlink"/>
            <w:rFonts w:cstheme="minorHAnsi"/>
            <w:i/>
            <w:highlight w:val="green"/>
          </w:rPr>
          <w:t>2b5</w:t>
        </w:r>
      </w:hyperlink>
      <w:r w:rsidRPr="00BE592D">
        <w:rPr>
          <w:rFonts w:cstheme="minorHAnsi"/>
          <w:b/>
          <w:bCs/>
          <w:i/>
          <w:highlight w:val="green"/>
        </w:rPr>
        <w:t>.</w:t>
      </w:r>
    </w:p>
    <w:p w14:paraId="76FA2F26" w14:textId="77777777" w:rsidR="00086FAC" w:rsidRDefault="00086FAC" w:rsidP="00086FAC">
      <w:pPr>
        <w:autoSpaceDE w:val="0"/>
        <w:autoSpaceDN w:val="0"/>
        <w:adjustRightInd w:val="0"/>
        <w:spacing w:after="0" w:line="240" w:lineRule="auto"/>
        <w:rPr>
          <w:rFonts w:cstheme="minorHAnsi"/>
          <w:b/>
          <w:bCs/>
        </w:rPr>
      </w:pPr>
    </w:p>
    <w:p w14:paraId="76EFBCD6" w14:textId="77777777" w:rsidR="00086FAC" w:rsidRDefault="00086FAC" w:rsidP="00086FAC">
      <w:pPr>
        <w:autoSpaceDE w:val="0"/>
        <w:autoSpaceDN w:val="0"/>
        <w:adjustRightInd w:val="0"/>
        <w:spacing w:after="0" w:line="240" w:lineRule="auto"/>
        <w:rPr>
          <w:rFonts w:cstheme="minorHAnsi"/>
          <w:b/>
          <w:bCs/>
        </w:rPr>
      </w:pPr>
      <w:r w:rsidRPr="005232D6">
        <w:rPr>
          <w:rFonts w:cstheme="minorHAnsi"/>
          <w:b/>
          <w:bCs/>
        </w:rPr>
        <w:t>2b</w:t>
      </w:r>
      <w:r>
        <w:rPr>
          <w:rFonts w:cstheme="minorHAnsi"/>
          <w:b/>
          <w:bCs/>
        </w:rPr>
        <w:t>3</w:t>
      </w:r>
      <w:r w:rsidRPr="005232D6">
        <w:rPr>
          <w:rFonts w:cstheme="minorHAnsi"/>
          <w:b/>
          <w:bCs/>
        </w:rPr>
        <w:t>.1. What method of controlling for differences in case mix is used?</w:t>
      </w:r>
    </w:p>
    <w:p w14:paraId="662C5DA5" w14:textId="7D0AB6EE" w:rsidR="00086FAC" w:rsidRPr="005232D6" w:rsidRDefault="00A92E82" w:rsidP="00086FAC">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eastAsia="MS Mincho" w:cstheme="minorHAnsi"/>
          <w:b/>
          <w:bCs/>
          <w:color w:val="0000FF"/>
        </w:rPr>
        <w:t xml:space="preserve"> </w:t>
      </w:r>
      <w:r w:rsidR="00086FAC" w:rsidRPr="005232D6">
        <w:rPr>
          <w:rFonts w:cstheme="minorHAnsi"/>
          <w:b/>
          <w:bCs/>
        </w:rPr>
        <w:t>No risk adjustment or stratification</w:t>
      </w:r>
    </w:p>
    <w:p w14:paraId="4F115F2D" w14:textId="579A6143" w:rsidR="00086FAC" w:rsidRPr="005232D6" w:rsidRDefault="00A92E82" w:rsidP="00086FAC">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086FAC">
            <w:rPr>
              <w:rFonts w:ascii="MS Gothic" w:eastAsia="MS Gothic" w:hAnsi="MS Gothic" w:cstheme="minorHAnsi" w:hint="eastAsia"/>
              <w:bCs/>
              <w:color w:val="0000FF"/>
            </w:rPr>
            <w:t>☒</w:t>
          </w:r>
        </w:sdtContent>
      </w:sdt>
      <w:r w:rsidR="00086FAC">
        <w:rPr>
          <w:rFonts w:cstheme="minorHAnsi"/>
          <w:bCs/>
          <w:color w:val="0000FF"/>
        </w:rPr>
        <w:t xml:space="preserve"> </w:t>
      </w:r>
      <w:r w:rsidR="00086FAC" w:rsidRPr="005232D6">
        <w:rPr>
          <w:rFonts w:cstheme="minorHAnsi"/>
          <w:b/>
          <w:bCs/>
        </w:rPr>
        <w:t xml:space="preserve">Statistical risk model </w:t>
      </w:r>
      <w:r w:rsidR="00086FAC" w:rsidRPr="00050A3E">
        <w:rPr>
          <w:rFonts w:cstheme="minorHAnsi"/>
          <w:b/>
          <w:bCs/>
        </w:rPr>
        <w:t xml:space="preserve">with </w:t>
      </w:r>
      <w:sdt>
        <w:sdtPr>
          <w:rPr>
            <w:rStyle w:val="Style4"/>
            <w:u w:val="none"/>
          </w:rPr>
          <w:id w:val="309760327"/>
          <w:text/>
        </w:sdtPr>
        <w:sdtEndPr>
          <w:rPr>
            <w:rStyle w:val="DefaultParagraphFont"/>
            <w:rFonts w:asciiTheme="minorHAnsi" w:hAnsiTheme="minorHAnsi" w:cstheme="minorHAnsi"/>
            <w:b w:val="0"/>
            <w:bCs/>
            <w:color w:val="auto"/>
          </w:rPr>
        </w:sdtEndPr>
        <w:sdtContent>
          <w:r w:rsidR="007A37F5">
            <w:rPr>
              <w:rStyle w:val="Style4"/>
              <w:u w:val="none"/>
            </w:rPr>
            <w:t>49</w:t>
          </w:r>
        </w:sdtContent>
      </w:sdt>
      <w:r w:rsidR="00086FAC" w:rsidRPr="006F22A5">
        <w:rPr>
          <w:rStyle w:val="Style4"/>
          <w:u w:val="none"/>
        </w:rPr>
        <w:t xml:space="preserve"> </w:t>
      </w:r>
      <w:r w:rsidR="00086FAC" w:rsidRPr="005232D6">
        <w:rPr>
          <w:rFonts w:cstheme="minorHAnsi"/>
          <w:b/>
          <w:bCs/>
        </w:rPr>
        <w:t>risk factors</w:t>
      </w:r>
    </w:p>
    <w:p w14:paraId="687D3230" w14:textId="7152A481" w:rsidR="00086FAC" w:rsidRPr="005232D6" w:rsidRDefault="00A92E82" w:rsidP="00086FAC">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eastAsia="MS Mincho" w:cstheme="minorHAnsi"/>
          <w:b/>
          <w:bCs/>
          <w:color w:val="0000FF"/>
        </w:rPr>
        <w:t xml:space="preserve"> </w:t>
      </w:r>
      <w:r w:rsidR="00086FAC" w:rsidRPr="005232D6">
        <w:rPr>
          <w:rFonts w:cstheme="minorHAnsi"/>
          <w:b/>
          <w:bCs/>
        </w:rPr>
        <w:t xml:space="preserve">Stratification </w:t>
      </w:r>
      <w:r w:rsidR="00086FAC"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086FAC" w:rsidRPr="00050A3E">
            <w:rPr>
              <w:rStyle w:val="PlaceholderText"/>
            </w:rPr>
            <w:t>Click here to enter number of categories</w:t>
          </w:r>
        </w:sdtContent>
      </w:sdt>
      <w:r w:rsidR="00086FAC" w:rsidRPr="00050A3E">
        <w:rPr>
          <w:rStyle w:val="Style4"/>
          <w:u w:val="none"/>
        </w:rPr>
        <w:t xml:space="preserve"> </w:t>
      </w:r>
      <w:r w:rsidR="00086FAC" w:rsidRPr="00050A3E">
        <w:rPr>
          <w:rFonts w:cstheme="minorHAnsi"/>
          <w:b/>
          <w:bCs/>
        </w:rPr>
        <w:t>r</w:t>
      </w:r>
      <w:r w:rsidR="00086FAC">
        <w:rPr>
          <w:rFonts w:cstheme="minorHAnsi"/>
          <w:b/>
          <w:bCs/>
        </w:rPr>
        <w:t xml:space="preserve">isk </w:t>
      </w:r>
      <w:r w:rsidR="00086FAC" w:rsidRPr="005232D6">
        <w:rPr>
          <w:rFonts w:cstheme="minorHAnsi"/>
          <w:b/>
          <w:bCs/>
        </w:rPr>
        <w:t>categories</w:t>
      </w:r>
    </w:p>
    <w:p w14:paraId="25FB4A69" w14:textId="28BF18CA" w:rsidR="00086FAC" w:rsidRPr="005232D6" w:rsidRDefault="00A92E82" w:rsidP="00086FAC">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086FAC" w:rsidRPr="006574D2">
            <w:rPr>
              <w:rFonts w:ascii="MS Gothic" w:eastAsia="MS Gothic" w:cstheme="minorHAnsi" w:hint="eastAsia"/>
              <w:bCs/>
              <w:color w:val="0000FF"/>
            </w:rPr>
            <w:t>☐</w:t>
          </w:r>
        </w:sdtContent>
      </w:sdt>
      <w:r w:rsidR="00086FAC">
        <w:rPr>
          <w:rFonts w:eastAsia="MS Mincho" w:cstheme="minorHAnsi"/>
          <w:b/>
          <w:bCs/>
          <w:color w:val="0000FF"/>
        </w:rPr>
        <w:t xml:space="preserve"> </w:t>
      </w:r>
      <w:r w:rsidR="00086FAC"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086FAC">
            <w:rPr>
              <w:rStyle w:val="PlaceholderText"/>
            </w:rPr>
            <w:t>Click here to enter description</w:t>
          </w:r>
        </w:sdtContent>
      </w:sdt>
    </w:p>
    <w:p w14:paraId="346251FF" w14:textId="77777777" w:rsidR="00086FAC" w:rsidRDefault="00086FAC" w:rsidP="00086FAC">
      <w:pPr>
        <w:autoSpaceDE w:val="0"/>
        <w:autoSpaceDN w:val="0"/>
        <w:adjustRightInd w:val="0"/>
        <w:spacing w:after="0" w:line="240" w:lineRule="auto"/>
        <w:rPr>
          <w:rFonts w:cstheme="minorHAnsi"/>
          <w:b/>
          <w:bCs/>
        </w:rPr>
      </w:pPr>
    </w:p>
    <w:p w14:paraId="3AF071CA" w14:textId="764059B9" w:rsidR="00086FAC" w:rsidRDefault="00086FAC" w:rsidP="00086FAC">
      <w:pPr>
        <w:autoSpaceDE w:val="0"/>
        <w:autoSpaceDN w:val="0"/>
        <w:adjustRightInd w:val="0"/>
        <w:spacing w:after="0" w:line="240" w:lineRule="auto"/>
        <w:rPr>
          <w:rFonts w:ascii="Calibri" w:eastAsia="MS Mincho" w:hAnsi="Calibri" w:cs="Calibri"/>
          <w:b/>
          <w:bCs/>
        </w:rPr>
      </w:pPr>
      <w:bookmarkStart w:id="28" w:name="_Hlk52983383"/>
      <w:r w:rsidRPr="00450C58">
        <w:rPr>
          <w:rFonts w:cstheme="minorHAnsi"/>
          <w:b/>
          <w:bCs/>
        </w:rPr>
        <w:t>2b</w:t>
      </w:r>
      <w:r>
        <w:rPr>
          <w:rFonts w:cstheme="minorHAnsi"/>
          <w:b/>
          <w:bCs/>
        </w:rPr>
        <w:t>3</w:t>
      </w:r>
      <w:r w:rsidRPr="00450C58">
        <w:rPr>
          <w:rFonts w:cstheme="minorHAnsi"/>
          <w:b/>
          <w:bCs/>
        </w:rPr>
        <w:t xml:space="preserve">.1.1 </w:t>
      </w:r>
      <w:bookmarkStart w:id="29" w:name="_Hlk55849265"/>
      <w:bookmarkEnd w:id="28"/>
      <w:r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bookmarkEnd w:id="29"/>
    </w:p>
    <w:p w14:paraId="3A7F942D" w14:textId="77777777" w:rsidR="00F02974" w:rsidRDefault="00F02974" w:rsidP="00086FAC">
      <w:pPr>
        <w:autoSpaceDE w:val="0"/>
        <w:autoSpaceDN w:val="0"/>
        <w:adjustRightInd w:val="0"/>
        <w:spacing w:after="0" w:line="240" w:lineRule="auto"/>
      </w:pPr>
    </w:p>
    <w:p w14:paraId="25800944" w14:textId="46127364" w:rsidR="008F202C" w:rsidRDefault="008F202C" w:rsidP="008F202C">
      <w:pPr>
        <w:autoSpaceDE w:val="0"/>
        <w:autoSpaceDN w:val="0"/>
        <w:adjustRightInd w:val="0"/>
        <w:spacing w:after="0" w:line="240" w:lineRule="auto"/>
        <w:rPr>
          <w:color w:val="0070C0"/>
        </w:rPr>
      </w:pPr>
      <w:r w:rsidRPr="007D17AA">
        <w:rPr>
          <w:color w:val="0070C0"/>
        </w:rPr>
        <w:t xml:space="preserve">A total of </w:t>
      </w:r>
      <w:r w:rsidR="006A7CFE">
        <w:rPr>
          <w:color w:val="0070C0"/>
        </w:rPr>
        <w:t>66</w:t>
      </w:r>
      <w:r w:rsidRPr="007D17AA">
        <w:rPr>
          <w:color w:val="0070C0"/>
        </w:rPr>
        <w:t xml:space="preserve"> candidate variables </w:t>
      </w:r>
      <w:r w:rsidR="009321C6" w:rsidRPr="009321C6">
        <w:rPr>
          <w:color w:val="2E74B5" w:themeColor="accent5" w:themeShade="BF"/>
        </w:rPr>
        <w:t xml:space="preserve">(excluding individual categories for categorical variables) </w:t>
      </w:r>
      <w:r w:rsidRPr="007D17AA">
        <w:rPr>
          <w:color w:val="0070C0"/>
        </w:rPr>
        <w:t>including 1</w:t>
      </w:r>
      <w:r w:rsidR="006A7CFE">
        <w:rPr>
          <w:color w:val="0070C0"/>
        </w:rPr>
        <w:t>3</w:t>
      </w:r>
      <w:r w:rsidRPr="007D17AA">
        <w:rPr>
          <w:color w:val="0070C0"/>
        </w:rPr>
        <w:t xml:space="preserve"> SD</w:t>
      </w:r>
      <w:r w:rsidR="000C284B" w:rsidRPr="007D17AA">
        <w:rPr>
          <w:color w:val="0070C0"/>
        </w:rPr>
        <w:t>H</w:t>
      </w:r>
      <w:r w:rsidRPr="007D17AA">
        <w:rPr>
          <w:color w:val="0070C0"/>
        </w:rPr>
        <w:t xml:space="preserve"> variables were considered for risk-adjustment. The final IPF readmission measure includes </w:t>
      </w:r>
      <w:r w:rsidR="007A37F5">
        <w:rPr>
          <w:color w:val="0070C0"/>
        </w:rPr>
        <w:t>49</w:t>
      </w:r>
      <w:r w:rsidRPr="007D17AA">
        <w:rPr>
          <w:color w:val="0070C0"/>
        </w:rPr>
        <w:t xml:space="preserve"> risk factors</w:t>
      </w:r>
      <w:r w:rsidR="00C8499F" w:rsidRPr="007D17AA">
        <w:rPr>
          <w:color w:val="0070C0"/>
        </w:rPr>
        <w:t xml:space="preserve"> (see Appendix A for the list of selected risk-factors)</w:t>
      </w:r>
      <w:r w:rsidRPr="007D17AA">
        <w:rPr>
          <w:color w:val="0070C0"/>
        </w:rPr>
        <w:t>. The specification of the risk factors</w:t>
      </w:r>
      <w:r w:rsidR="004D3F57" w:rsidRPr="007D17AA">
        <w:rPr>
          <w:color w:val="0070C0"/>
        </w:rPr>
        <w:t xml:space="preserve"> and</w:t>
      </w:r>
      <w:r w:rsidRPr="007D17AA">
        <w:rPr>
          <w:color w:val="0070C0"/>
        </w:rPr>
        <w:t xml:space="preserve"> statistical methodology are described below. Odds ratios of the selected risk-adjustment variables, along with the corresponding confidence intervals and p-values</w:t>
      </w:r>
      <w:r w:rsidR="004D3F57" w:rsidRPr="007D17AA">
        <w:rPr>
          <w:color w:val="0070C0"/>
        </w:rPr>
        <w:t>,</w:t>
      </w:r>
      <w:r w:rsidRPr="007D17AA">
        <w:rPr>
          <w:color w:val="0070C0"/>
        </w:rPr>
        <w:t xml:space="preserve"> are provided in </w:t>
      </w:r>
      <w:r w:rsidR="006E543B" w:rsidRPr="007D17AA">
        <w:rPr>
          <w:color w:val="0070C0"/>
        </w:rPr>
        <w:t>Table 2b3.4b.b</w:t>
      </w:r>
      <w:r w:rsidRPr="007D17AA">
        <w:rPr>
          <w:color w:val="0070C0"/>
        </w:rPr>
        <w:t>. ICD-10 codes for the clinical risk</w:t>
      </w:r>
      <w:r w:rsidR="00E63100" w:rsidRPr="007D17AA">
        <w:rPr>
          <w:color w:val="0070C0"/>
        </w:rPr>
        <w:t xml:space="preserve"> </w:t>
      </w:r>
      <w:r w:rsidRPr="007D17AA">
        <w:rPr>
          <w:color w:val="0070C0"/>
        </w:rPr>
        <w:t>factors are provided in a separate document.</w:t>
      </w:r>
    </w:p>
    <w:p w14:paraId="720FA36A" w14:textId="77777777" w:rsidR="00945B58" w:rsidRPr="007D17AA" w:rsidRDefault="00945B58" w:rsidP="008F202C">
      <w:pPr>
        <w:autoSpaceDE w:val="0"/>
        <w:autoSpaceDN w:val="0"/>
        <w:adjustRightInd w:val="0"/>
        <w:spacing w:after="0" w:line="240" w:lineRule="auto"/>
        <w:rPr>
          <w:color w:val="0070C0"/>
        </w:rPr>
      </w:pPr>
    </w:p>
    <w:p w14:paraId="3BF04BDF" w14:textId="14FF2B9C" w:rsidR="008F202C" w:rsidRPr="007D17AA" w:rsidRDefault="008F202C" w:rsidP="008F202C">
      <w:pPr>
        <w:pStyle w:val="Default"/>
        <w:rPr>
          <w:color w:val="0070C0"/>
          <w:sz w:val="22"/>
          <w:szCs w:val="22"/>
        </w:rPr>
      </w:pPr>
      <w:bookmarkStart w:id="30" w:name="_Hlk58337302"/>
      <w:r w:rsidRPr="007D17AA">
        <w:rPr>
          <w:color w:val="0070C0"/>
          <w:sz w:val="22"/>
          <w:szCs w:val="22"/>
        </w:rPr>
        <w:t xml:space="preserve">To calculate RSRRs for each IPF, we employed a hierarchical logistic regression approach that included hospital </w:t>
      </w:r>
      <w:r w:rsidR="00C8499F" w:rsidRPr="007D17AA">
        <w:rPr>
          <w:color w:val="0070C0"/>
          <w:sz w:val="22"/>
          <w:szCs w:val="22"/>
        </w:rPr>
        <w:t xml:space="preserve">intercept </w:t>
      </w:r>
      <w:r w:rsidRPr="007D17AA">
        <w:rPr>
          <w:color w:val="0070C0"/>
          <w:sz w:val="22"/>
          <w:szCs w:val="22"/>
        </w:rPr>
        <w:t xml:space="preserve">as a random effect in addition to the patient-level risk factors (GLIMMIX procedure in SAS). In the most general form, the expected probability of an IPF readmission for a given patient is calculated as: </w:t>
      </w:r>
    </w:p>
    <w:p w14:paraId="0C9B7F82" w14:textId="77777777" w:rsidR="008F202C" w:rsidRPr="007D17AA" w:rsidRDefault="008F202C" w:rsidP="008F202C">
      <w:pPr>
        <w:pStyle w:val="Default"/>
        <w:rPr>
          <w:color w:val="0070C0"/>
          <w:sz w:val="22"/>
          <w:szCs w:val="22"/>
        </w:rPr>
      </w:pPr>
    </w:p>
    <w:p w14:paraId="44775B5E" w14:textId="24203505" w:rsidR="008F202C" w:rsidRPr="007D17AA" w:rsidRDefault="00A92E82" w:rsidP="008F202C">
      <w:pPr>
        <w:pStyle w:val="Default"/>
        <w:rPr>
          <w:color w:val="0070C0"/>
          <w:sz w:val="22"/>
          <w:szCs w:val="22"/>
        </w:rPr>
      </w:pPr>
      <m:oMathPara>
        <m:oMath>
          <m:acc>
            <m:accPr>
              <m:ctrlPr>
                <w:rPr>
                  <w:rFonts w:ascii="Cambria Math" w:hAnsi="Cambria Math"/>
                  <w:i/>
                  <w:color w:val="0070C0"/>
                  <w:sz w:val="22"/>
                  <w:szCs w:val="22"/>
                </w:rPr>
              </m:ctrlPr>
            </m:accPr>
            <m:e>
              <m:r>
                <w:rPr>
                  <w:rFonts w:ascii="Cambria Math" w:hAnsi="Cambria Math"/>
                  <w:color w:val="0070C0"/>
                  <w:sz w:val="22"/>
                  <w:szCs w:val="22"/>
                </w:rPr>
                <m:t>P</m:t>
              </m:r>
            </m:e>
          </m:acc>
          <m:d>
            <m:dPr>
              <m:ctrlPr>
                <w:rPr>
                  <w:rFonts w:ascii="Cambria Math" w:hAnsi="Cambria Math"/>
                  <w:i/>
                  <w:color w:val="0070C0"/>
                  <w:sz w:val="22"/>
                  <w:szCs w:val="22"/>
                </w:rPr>
              </m:ctrlPr>
            </m:dPr>
            <m:e>
              <m:sSub>
                <m:sSubPr>
                  <m:ctrlPr>
                    <w:rPr>
                      <w:rFonts w:ascii="Cambria Math" w:hAnsi="Cambria Math"/>
                      <w:i/>
                      <w:color w:val="0070C0"/>
                      <w:sz w:val="22"/>
                      <w:szCs w:val="22"/>
                    </w:rPr>
                  </m:ctrlPr>
                </m:sSubPr>
                <m:e>
                  <m:r>
                    <w:rPr>
                      <w:rFonts w:ascii="Cambria Math" w:hAnsi="Cambria Math"/>
                      <w:color w:val="0070C0"/>
                      <w:sz w:val="22"/>
                      <w:szCs w:val="22"/>
                    </w:rPr>
                    <m:t>Y</m:t>
                  </m:r>
                </m:e>
                <m:sub>
                  <m:r>
                    <w:rPr>
                      <w:rFonts w:ascii="Cambria Math" w:hAnsi="Cambria Math"/>
                      <w:color w:val="0070C0"/>
                      <w:sz w:val="22"/>
                      <w:szCs w:val="22"/>
                    </w:rPr>
                    <m:t>ij</m:t>
                  </m:r>
                </m:sub>
              </m:sSub>
              <m:r>
                <w:rPr>
                  <w:rFonts w:ascii="Cambria Math" w:hAnsi="Cambria Math"/>
                  <w:color w:val="0070C0"/>
                  <w:sz w:val="22"/>
                  <w:szCs w:val="22"/>
                </w:rPr>
                <m:t>=1|</m:t>
              </m:r>
              <m:sSub>
                <m:sSubPr>
                  <m:ctrlPr>
                    <w:rPr>
                      <w:rFonts w:ascii="Cambria Math" w:hAnsi="Cambria Math"/>
                      <w:i/>
                      <w:color w:val="0070C0"/>
                      <w:sz w:val="22"/>
                      <w:szCs w:val="22"/>
                    </w:rPr>
                  </m:ctrlPr>
                </m:sSubPr>
                <m:e>
                  <m:r>
                    <w:rPr>
                      <w:rFonts w:ascii="Cambria Math" w:hAnsi="Cambria Math"/>
                      <w:color w:val="0070C0"/>
                      <w:sz w:val="22"/>
                      <w:szCs w:val="22"/>
                    </w:rPr>
                    <m:t>Z</m:t>
                  </m:r>
                </m:e>
                <m:sub>
                  <m:r>
                    <m:rPr>
                      <m:sty m:val="p"/>
                    </m:rPr>
                    <w:rPr>
                      <w:rFonts w:ascii="Cambria Math" w:hAnsi="Cambria Math"/>
                      <w:color w:val="0070C0"/>
                      <w:sz w:val="22"/>
                      <w:szCs w:val="22"/>
                    </w:rPr>
                    <m:t>1</m:t>
                  </m:r>
                  <m:r>
                    <w:rPr>
                      <w:rFonts w:ascii="Cambria Math" w:hAnsi="Cambria Math"/>
                      <w:color w:val="0070C0"/>
                      <w:sz w:val="22"/>
                      <w:szCs w:val="22"/>
                    </w:rPr>
                    <m:t>ij</m:t>
                  </m:r>
                </m:sub>
              </m:sSub>
            </m:e>
          </m:d>
          <m:r>
            <w:rPr>
              <w:rFonts w:ascii="Cambria Math" w:hAnsi="Cambria Math"/>
              <w:color w:val="0070C0"/>
              <w:sz w:val="22"/>
              <w:szCs w:val="22"/>
            </w:rPr>
            <m:t>=</m:t>
          </m:r>
          <m:f>
            <m:fPr>
              <m:ctrlPr>
                <w:rPr>
                  <w:rFonts w:ascii="Cambria Math" w:hAnsi="Cambria Math"/>
                  <w:i/>
                  <w:color w:val="0070C0"/>
                  <w:sz w:val="22"/>
                  <w:szCs w:val="22"/>
                </w:rPr>
              </m:ctrlPr>
            </m:fPr>
            <m:num>
              <m:r>
                <w:rPr>
                  <w:rFonts w:ascii="Cambria Math" w:hAnsi="Cambria Math"/>
                  <w:color w:val="0070C0"/>
                  <w:sz w:val="22"/>
                  <w:szCs w:val="22"/>
                </w:rPr>
                <m:t>1</m:t>
              </m:r>
            </m:num>
            <m:den>
              <m:r>
                <w:rPr>
                  <w:rFonts w:ascii="Cambria Math" w:hAnsi="Cambria Math"/>
                  <w:color w:val="0070C0"/>
                  <w:sz w:val="22"/>
                  <w:szCs w:val="22"/>
                </w:rPr>
                <m:t>1+</m:t>
              </m:r>
              <m:sSup>
                <m:sSupPr>
                  <m:ctrlPr>
                    <w:rPr>
                      <w:rFonts w:ascii="Cambria Math" w:hAnsi="Cambria Math"/>
                      <w:i/>
                      <w:color w:val="0070C0"/>
                      <w:sz w:val="22"/>
                      <w:szCs w:val="22"/>
                    </w:rPr>
                  </m:ctrlPr>
                </m:sSupPr>
                <m:e>
                  <m:r>
                    <w:rPr>
                      <w:rFonts w:ascii="Cambria Math" w:hAnsi="Cambria Math"/>
                      <w:color w:val="0070C0"/>
                      <w:sz w:val="22"/>
                      <w:szCs w:val="22"/>
                    </w:rPr>
                    <m:t>e</m:t>
                  </m:r>
                </m:e>
                <m:sup>
                  <m:r>
                    <w:rPr>
                      <w:rFonts w:ascii="Cambria Math" w:hAnsi="Cambria Math"/>
                      <w:color w:val="0070C0"/>
                      <w:sz w:val="22"/>
                      <w:szCs w:val="22"/>
                    </w:rPr>
                    <m:t>-(</m:t>
                  </m:r>
                  <m:sSub>
                    <m:sSubPr>
                      <m:ctrlPr>
                        <w:rPr>
                          <w:rFonts w:ascii="Cambria Math" w:hAnsi="Cambria Math"/>
                          <w:i/>
                          <w:color w:val="0070C0"/>
                          <w:sz w:val="22"/>
                          <w:szCs w:val="22"/>
                        </w:rPr>
                      </m:ctrlPr>
                    </m:sSubPr>
                    <m:e>
                      <m:r>
                        <w:rPr>
                          <w:rFonts w:ascii="Cambria Math" w:hAnsi="Cambria Math"/>
                          <w:color w:val="0070C0"/>
                          <w:sz w:val="22"/>
                          <w:szCs w:val="22"/>
                        </w:rPr>
                        <m:t>α</m:t>
                      </m:r>
                    </m:e>
                    <m:sub>
                      <m:r>
                        <w:rPr>
                          <w:rFonts w:ascii="Cambria Math" w:hAnsi="Cambria Math"/>
                          <w:color w:val="0070C0"/>
                          <w:sz w:val="22"/>
                          <w:szCs w:val="22"/>
                        </w:rPr>
                        <m:t>j</m:t>
                      </m:r>
                    </m:sub>
                  </m:sSub>
                  <m:r>
                    <w:rPr>
                      <w:rFonts w:ascii="Cambria Math" w:hAnsi="Cambria Math"/>
                      <w:color w:val="0070C0"/>
                      <w:sz w:val="22"/>
                      <w:szCs w:val="22"/>
                    </w:rPr>
                    <m:t>+</m:t>
                  </m:r>
                  <m:sSub>
                    <m:sSubPr>
                      <m:ctrlPr>
                        <w:rPr>
                          <w:rFonts w:ascii="Cambria Math" w:hAnsi="Cambria Math"/>
                          <w:i/>
                          <w:color w:val="0070C0"/>
                          <w:sz w:val="22"/>
                          <w:szCs w:val="22"/>
                        </w:rPr>
                      </m:ctrlPr>
                    </m:sSubPr>
                    <m:e>
                      <m:sSub>
                        <m:sSubPr>
                          <m:ctrlPr>
                            <w:rPr>
                              <w:rFonts w:ascii="Cambria Math" w:hAnsi="Cambria Math"/>
                              <w:i/>
                              <w:color w:val="0070C0"/>
                              <w:sz w:val="22"/>
                              <w:szCs w:val="22"/>
                            </w:rPr>
                          </m:ctrlPr>
                        </m:sSubPr>
                        <m:e>
                          <m:r>
                            <w:rPr>
                              <w:rFonts w:ascii="Cambria Math" w:hAnsi="Cambria Math"/>
                              <w:color w:val="0070C0"/>
                              <w:sz w:val="22"/>
                              <w:szCs w:val="22"/>
                            </w:rPr>
                            <m:t>β</m:t>
                          </m:r>
                        </m:e>
                        <m:sub>
                          <m:r>
                            <w:rPr>
                              <w:rFonts w:ascii="Cambria Math" w:hAnsi="Cambria Math"/>
                              <w:color w:val="0070C0"/>
                              <w:sz w:val="22"/>
                              <w:szCs w:val="22"/>
                            </w:rPr>
                            <m:t>1</m:t>
                          </m:r>
                        </m:sub>
                      </m:sSub>
                      <m:r>
                        <w:rPr>
                          <w:rFonts w:ascii="Cambria Math" w:hAnsi="Cambria Math"/>
                          <w:color w:val="0070C0"/>
                          <w:sz w:val="22"/>
                          <w:szCs w:val="22"/>
                        </w:rPr>
                        <m:t>Z</m:t>
                      </m:r>
                    </m:e>
                    <m:sub>
                      <m:r>
                        <w:rPr>
                          <w:rFonts w:ascii="Cambria Math" w:hAnsi="Cambria Math"/>
                          <w:color w:val="0070C0"/>
                          <w:sz w:val="22"/>
                          <w:szCs w:val="22"/>
                        </w:rPr>
                        <m:t>1ij</m:t>
                      </m:r>
                    </m:sub>
                  </m:sSub>
                  <m:r>
                    <w:rPr>
                      <w:rFonts w:ascii="Cambria Math" w:hAnsi="Cambria Math"/>
                      <w:color w:val="0070C0"/>
                      <w:sz w:val="22"/>
                      <w:szCs w:val="22"/>
                    </w:rPr>
                    <m:t>)</m:t>
                  </m:r>
                </m:sup>
              </m:sSup>
            </m:den>
          </m:f>
        </m:oMath>
      </m:oMathPara>
    </w:p>
    <w:p w14:paraId="31F90761" w14:textId="77777777" w:rsidR="008F202C" w:rsidRPr="007D17AA" w:rsidRDefault="008F202C" w:rsidP="008F202C">
      <w:pPr>
        <w:pStyle w:val="Default"/>
        <w:rPr>
          <w:color w:val="0070C0"/>
          <w:sz w:val="22"/>
          <w:szCs w:val="22"/>
        </w:rPr>
      </w:pPr>
      <w:bookmarkStart w:id="31" w:name="_Hlk58337873"/>
      <w:r w:rsidRPr="007D17AA">
        <w:rPr>
          <w:color w:val="0070C0"/>
          <w:sz w:val="22"/>
          <w:szCs w:val="22"/>
        </w:rPr>
        <w:t xml:space="preserve">Where: </w:t>
      </w:r>
    </w:p>
    <w:p w14:paraId="399CF319" w14:textId="56083C4F" w:rsidR="008F202C" w:rsidRPr="007D17AA" w:rsidRDefault="00A92E82" w:rsidP="008F202C">
      <w:pPr>
        <w:pStyle w:val="Default"/>
        <w:numPr>
          <w:ilvl w:val="1"/>
          <w:numId w:val="4"/>
        </w:numPr>
        <w:rPr>
          <w:color w:val="0070C0"/>
          <w:sz w:val="22"/>
          <w:szCs w:val="22"/>
        </w:rPr>
      </w:pPr>
      <m:oMath>
        <m:acc>
          <m:accPr>
            <m:ctrlPr>
              <w:rPr>
                <w:rFonts w:ascii="Cambria Math" w:hAnsi="Cambria Math"/>
                <w:i/>
                <w:color w:val="0070C0"/>
                <w:sz w:val="22"/>
                <w:szCs w:val="22"/>
              </w:rPr>
            </m:ctrlPr>
          </m:accPr>
          <m:e>
            <m:r>
              <w:rPr>
                <w:rFonts w:ascii="Cambria Math" w:hAnsi="Cambria Math"/>
                <w:color w:val="0070C0"/>
                <w:sz w:val="22"/>
                <w:szCs w:val="22"/>
              </w:rPr>
              <m:t>P</m:t>
            </m:r>
          </m:e>
        </m:acc>
      </m:oMath>
      <w:r w:rsidR="008F202C" w:rsidRPr="007D17AA">
        <w:rPr>
          <w:color w:val="0070C0"/>
          <w:sz w:val="22"/>
          <w:szCs w:val="22"/>
        </w:rPr>
        <w:t xml:space="preserve"> is predicted probability of an outcome (IPF readmission) for patient </w:t>
      </w:r>
      <m:oMath>
        <m:sSub>
          <m:sSubPr>
            <m:ctrlPr>
              <w:rPr>
                <w:rFonts w:ascii="Cambria Math" w:hAnsi="Cambria Math"/>
                <w:i/>
                <w:color w:val="0070C0"/>
                <w:sz w:val="22"/>
                <w:szCs w:val="22"/>
              </w:rPr>
            </m:ctrlPr>
          </m:sSubPr>
          <m:e>
            <m:r>
              <w:rPr>
                <w:rFonts w:ascii="Cambria Math" w:hAnsi="Cambria Math"/>
                <w:color w:val="0070C0"/>
                <w:sz w:val="22"/>
                <w:szCs w:val="22"/>
              </w:rPr>
              <m:t>Y</m:t>
            </m:r>
          </m:e>
          <m:sub>
            <m:r>
              <w:rPr>
                <w:rFonts w:ascii="Cambria Math" w:hAnsi="Cambria Math"/>
                <w:color w:val="0070C0"/>
                <w:sz w:val="22"/>
                <w:szCs w:val="22"/>
              </w:rPr>
              <m:t>ij</m:t>
            </m:r>
          </m:sub>
        </m:sSub>
        <m:r>
          <w:rPr>
            <w:rFonts w:ascii="Cambria Math" w:hAnsi="Cambria Math"/>
            <w:color w:val="0070C0"/>
            <w:sz w:val="22"/>
            <w:szCs w:val="22"/>
          </w:rPr>
          <m:t xml:space="preserve"> </m:t>
        </m:r>
      </m:oMath>
      <w:r w:rsidR="008F202C" w:rsidRPr="007D17AA">
        <w:rPr>
          <w:color w:val="0070C0"/>
          <w:sz w:val="22"/>
          <w:szCs w:val="22"/>
        </w:rPr>
        <w:t>given a risk</w:t>
      </w:r>
      <w:r w:rsidR="00E63100" w:rsidRPr="007D17AA">
        <w:rPr>
          <w:color w:val="0070C0"/>
          <w:sz w:val="22"/>
          <w:szCs w:val="22"/>
        </w:rPr>
        <w:t xml:space="preserve"> </w:t>
      </w:r>
      <w:r w:rsidR="008F202C" w:rsidRPr="007D17AA">
        <w:rPr>
          <w:color w:val="0070C0"/>
          <w:sz w:val="22"/>
          <w:szCs w:val="22"/>
        </w:rPr>
        <w:t xml:space="preserve">factor </w:t>
      </w:r>
      <m:oMath>
        <m:sSub>
          <m:sSubPr>
            <m:ctrlPr>
              <w:rPr>
                <w:rFonts w:ascii="Cambria Math" w:hAnsi="Cambria Math"/>
                <w:i/>
                <w:color w:val="0070C0"/>
                <w:sz w:val="22"/>
                <w:szCs w:val="22"/>
              </w:rPr>
            </m:ctrlPr>
          </m:sSubPr>
          <m:e>
            <m:r>
              <w:rPr>
                <w:rFonts w:ascii="Cambria Math" w:hAnsi="Cambria Math"/>
                <w:color w:val="0070C0"/>
                <w:sz w:val="22"/>
                <w:szCs w:val="22"/>
              </w:rPr>
              <m:t>Z</m:t>
            </m:r>
          </m:e>
          <m:sub>
            <m:r>
              <w:rPr>
                <w:rFonts w:ascii="Cambria Math" w:hAnsi="Cambria Math"/>
                <w:color w:val="0070C0"/>
                <w:sz w:val="22"/>
                <w:szCs w:val="22"/>
              </w:rPr>
              <m:t>1ij</m:t>
            </m:r>
          </m:sub>
        </m:sSub>
      </m:oMath>
      <w:r w:rsidR="00107E7F" w:rsidRPr="007D17AA">
        <w:rPr>
          <w:rFonts w:eastAsiaTheme="minorEastAsia"/>
          <w:color w:val="0070C0"/>
          <w:sz w:val="22"/>
          <w:szCs w:val="22"/>
        </w:rPr>
        <w:t xml:space="preserve"> </w:t>
      </w:r>
      <w:r w:rsidR="00107E7F" w:rsidRPr="007D17AA">
        <w:rPr>
          <w:color w:val="0070C0"/>
          <w:sz w:val="22"/>
          <w:szCs w:val="22"/>
        </w:rPr>
        <w:t xml:space="preserve">1 for a patient </w:t>
      </w:r>
      <w:proofErr w:type="spellStart"/>
      <w:r w:rsidR="00107E7F" w:rsidRPr="007D17AA">
        <w:rPr>
          <w:i/>
          <w:iCs/>
          <w:color w:val="0070C0"/>
          <w:sz w:val="22"/>
          <w:szCs w:val="22"/>
        </w:rPr>
        <w:t>i</w:t>
      </w:r>
      <w:proofErr w:type="spellEnd"/>
      <w:r w:rsidR="00107E7F" w:rsidRPr="007D17AA">
        <w:rPr>
          <w:i/>
          <w:iCs/>
          <w:color w:val="0070C0"/>
          <w:sz w:val="22"/>
          <w:szCs w:val="22"/>
        </w:rPr>
        <w:t xml:space="preserve"> </w:t>
      </w:r>
      <w:r w:rsidR="00107E7F" w:rsidRPr="007D17AA">
        <w:rPr>
          <w:color w:val="0070C0"/>
          <w:sz w:val="22"/>
          <w:szCs w:val="22"/>
        </w:rPr>
        <w:t xml:space="preserve">in a facility </w:t>
      </w:r>
      <w:r w:rsidR="00107E7F" w:rsidRPr="007D17AA">
        <w:rPr>
          <w:i/>
          <w:iCs/>
          <w:color w:val="0070C0"/>
          <w:sz w:val="22"/>
          <w:szCs w:val="22"/>
        </w:rPr>
        <w:t>j</w:t>
      </w:r>
    </w:p>
    <w:p w14:paraId="5526DE46" w14:textId="77777777" w:rsidR="008F202C" w:rsidRPr="007D17AA" w:rsidRDefault="00A92E82" w:rsidP="008F202C">
      <w:pPr>
        <w:pStyle w:val="Default"/>
        <w:numPr>
          <w:ilvl w:val="1"/>
          <w:numId w:val="4"/>
        </w:numPr>
        <w:rPr>
          <w:color w:val="0070C0"/>
          <w:sz w:val="22"/>
          <w:szCs w:val="22"/>
        </w:rPr>
      </w:pPr>
      <m:oMath>
        <m:sSub>
          <m:sSubPr>
            <m:ctrlPr>
              <w:rPr>
                <w:rFonts w:ascii="Cambria Math" w:hAnsi="Cambria Math"/>
                <w:i/>
                <w:color w:val="0070C0"/>
                <w:sz w:val="22"/>
                <w:szCs w:val="22"/>
              </w:rPr>
            </m:ctrlPr>
          </m:sSubPr>
          <m:e>
            <m:r>
              <w:rPr>
                <w:rFonts w:ascii="Cambria Math" w:hAnsi="Cambria Math"/>
                <w:color w:val="0070C0"/>
                <w:sz w:val="22"/>
                <w:szCs w:val="22"/>
              </w:rPr>
              <m:t>α</m:t>
            </m:r>
          </m:e>
          <m:sub>
            <m:r>
              <w:rPr>
                <w:rFonts w:ascii="Cambria Math" w:hAnsi="Cambria Math"/>
                <w:color w:val="0070C0"/>
                <w:sz w:val="22"/>
                <w:szCs w:val="22"/>
              </w:rPr>
              <m:t>j</m:t>
            </m:r>
          </m:sub>
        </m:sSub>
      </m:oMath>
      <w:r w:rsidR="008F202C" w:rsidRPr="007D17AA">
        <w:rPr>
          <w:color w:val="0070C0"/>
          <w:sz w:val="22"/>
          <w:szCs w:val="22"/>
        </w:rPr>
        <w:t xml:space="preserve"> is a hospital-specific intercept </w:t>
      </w:r>
    </w:p>
    <w:p w14:paraId="4F29F540" w14:textId="58234972" w:rsidR="008F202C" w:rsidRPr="007D17AA" w:rsidRDefault="00A92E82" w:rsidP="008F202C">
      <w:pPr>
        <w:pStyle w:val="Default"/>
        <w:numPr>
          <w:ilvl w:val="1"/>
          <w:numId w:val="4"/>
        </w:numPr>
        <w:rPr>
          <w:color w:val="0070C0"/>
          <w:sz w:val="22"/>
          <w:szCs w:val="22"/>
        </w:rPr>
      </w:pPr>
      <m:oMath>
        <m:sSub>
          <m:sSubPr>
            <m:ctrlPr>
              <w:rPr>
                <w:rFonts w:ascii="Cambria Math" w:hAnsi="Cambria Math"/>
                <w:i/>
                <w:color w:val="0070C0"/>
                <w:sz w:val="22"/>
                <w:szCs w:val="22"/>
              </w:rPr>
            </m:ctrlPr>
          </m:sSubPr>
          <m:e>
            <m:r>
              <w:rPr>
                <w:rFonts w:ascii="Cambria Math" w:hAnsi="Cambria Math"/>
                <w:color w:val="0070C0"/>
                <w:sz w:val="22"/>
                <w:szCs w:val="22"/>
              </w:rPr>
              <m:t>β</m:t>
            </m:r>
          </m:e>
          <m:sub>
            <m:r>
              <w:rPr>
                <w:rFonts w:ascii="Cambria Math" w:hAnsi="Cambria Math"/>
                <w:color w:val="0070C0"/>
                <w:sz w:val="22"/>
                <w:szCs w:val="22"/>
              </w:rPr>
              <m:t>1</m:t>
            </m:r>
          </m:sub>
        </m:sSub>
      </m:oMath>
      <w:r w:rsidR="008F202C" w:rsidRPr="007D17AA">
        <w:rPr>
          <w:color w:val="0070C0"/>
          <w:sz w:val="22"/>
          <w:szCs w:val="22"/>
        </w:rPr>
        <w:t xml:space="preserve"> is a coefficient for risk factor </w:t>
      </w:r>
      <m:oMath>
        <m:sSub>
          <m:sSubPr>
            <m:ctrlPr>
              <w:rPr>
                <w:rFonts w:ascii="Cambria Math" w:hAnsi="Cambria Math"/>
                <w:i/>
                <w:color w:val="0070C0"/>
                <w:sz w:val="22"/>
                <w:szCs w:val="22"/>
              </w:rPr>
            </m:ctrlPr>
          </m:sSubPr>
          <m:e>
            <m:r>
              <w:rPr>
                <w:rFonts w:ascii="Cambria Math" w:hAnsi="Cambria Math"/>
                <w:color w:val="0070C0"/>
                <w:sz w:val="22"/>
                <w:szCs w:val="22"/>
              </w:rPr>
              <m:t>Z</m:t>
            </m:r>
          </m:e>
          <m:sub>
            <m:r>
              <w:rPr>
                <w:rFonts w:ascii="Cambria Math" w:hAnsi="Cambria Math"/>
                <w:color w:val="0070C0"/>
                <w:sz w:val="22"/>
                <w:szCs w:val="22"/>
              </w:rPr>
              <m:t>i</m:t>
            </m:r>
          </m:sub>
        </m:sSub>
      </m:oMath>
      <w:r w:rsidR="008F202C" w:rsidRPr="007D17AA">
        <w:rPr>
          <w:color w:val="0070C0"/>
          <w:sz w:val="22"/>
          <w:szCs w:val="22"/>
          <w:vertAlign w:val="subscript"/>
        </w:rPr>
        <w:t xml:space="preserve"> </w:t>
      </w:r>
    </w:p>
    <w:p w14:paraId="17B27F94" w14:textId="0D377432" w:rsidR="008F202C" w:rsidRPr="007D17AA" w:rsidRDefault="008F202C" w:rsidP="008F202C">
      <w:pPr>
        <w:pStyle w:val="Default"/>
        <w:numPr>
          <w:ilvl w:val="1"/>
          <w:numId w:val="4"/>
        </w:numPr>
        <w:rPr>
          <w:color w:val="0070C0"/>
          <w:sz w:val="22"/>
          <w:szCs w:val="22"/>
        </w:rPr>
      </w:pPr>
      <w:r w:rsidRPr="007D17AA">
        <w:rPr>
          <w:i/>
          <w:iCs/>
          <w:color w:val="0070C0"/>
          <w:sz w:val="22"/>
          <w:szCs w:val="22"/>
        </w:rPr>
        <w:t>Z</w:t>
      </w:r>
      <w:r w:rsidRPr="007D17AA">
        <w:rPr>
          <w:color w:val="0070C0"/>
          <w:sz w:val="22"/>
          <w:szCs w:val="22"/>
          <w:vertAlign w:val="subscript"/>
        </w:rPr>
        <w:t>1i</w:t>
      </w:r>
      <w:r w:rsidR="00D65FFE" w:rsidRPr="007D17AA">
        <w:rPr>
          <w:color w:val="0070C0"/>
          <w:sz w:val="22"/>
          <w:szCs w:val="22"/>
          <w:vertAlign w:val="subscript"/>
        </w:rPr>
        <w:t>j</w:t>
      </w:r>
      <w:r w:rsidRPr="007D17AA">
        <w:rPr>
          <w:color w:val="0070C0"/>
          <w:sz w:val="22"/>
          <w:szCs w:val="22"/>
        </w:rPr>
        <w:t xml:space="preserve"> is a value of a risk factor 1 for a patient </w:t>
      </w:r>
      <w:proofErr w:type="spellStart"/>
      <w:r w:rsidRPr="007D17AA">
        <w:rPr>
          <w:i/>
          <w:iCs/>
          <w:color w:val="0070C0"/>
          <w:sz w:val="22"/>
          <w:szCs w:val="22"/>
        </w:rPr>
        <w:t>i</w:t>
      </w:r>
      <w:proofErr w:type="spellEnd"/>
      <w:r w:rsidRPr="007D17AA">
        <w:rPr>
          <w:i/>
          <w:iCs/>
          <w:color w:val="0070C0"/>
          <w:sz w:val="22"/>
          <w:szCs w:val="22"/>
        </w:rPr>
        <w:t xml:space="preserve"> </w:t>
      </w:r>
      <w:r w:rsidR="005944DA" w:rsidRPr="007D17AA">
        <w:rPr>
          <w:color w:val="0070C0"/>
          <w:sz w:val="22"/>
          <w:szCs w:val="22"/>
        </w:rPr>
        <w:t xml:space="preserve">in a facility </w:t>
      </w:r>
      <w:r w:rsidR="005944DA" w:rsidRPr="007D17AA">
        <w:rPr>
          <w:i/>
          <w:iCs/>
          <w:color w:val="0070C0"/>
          <w:sz w:val="22"/>
          <w:szCs w:val="22"/>
        </w:rPr>
        <w:t>j</w:t>
      </w:r>
      <w:r w:rsidR="00107E7F" w:rsidRPr="007D17AA">
        <w:rPr>
          <w:i/>
          <w:iCs/>
          <w:color w:val="0070C0"/>
          <w:sz w:val="22"/>
          <w:szCs w:val="22"/>
        </w:rPr>
        <w:t>.</w:t>
      </w:r>
    </w:p>
    <w:bookmarkEnd w:id="30"/>
    <w:bookmarkEnd w:id="31"/>
    <w:p w14:paraId="35D516C0" w14:textId="77777777" w:rsidR="008F202C" w:rsidRPr="007D17AA" w:rsidRDefault="008F202C" w:rsidP="008F202C">
      <w:pPr>
        <w:pStyle w:val="Default"/>
        <w:rPr>
          <w:color w:val="0070C0"/>
          <w:sz w:val="22"/>
          <w:szCs w:val="22"/>
        </w:rPr>
      </w:pPr>
    </w:p>
    <w:p w14:paraId="4AD69040" w14:textId="28556A86" w:rsidR="008F202C" w:rsidRPr="007D17AA" w:rsidRDefault="00B61AEA" w:rsidP="008F202C">
      <w:pPr>
        <w:pStyle w:val="Default"/>
        <w:rPr>
          <w:color w:val="0070C0"/>
          <w:sz w:val="22"/>
          <w:szCs w:val="22"/>
        </w:rPr>
      </w:pPr>
      <w:r w:rsidRPr="007D17AA">
        <w:rPr>
          <w:color w:val="0070C0"/>
          <w:sz w:val="22"/>
          <w:szCs w:val="22"/>
        </w:rPr>
        <w:t>We estimated t</w:t>
      </w:r>
      <w:r w:rsidR="008F202C" w:rsidRPr="007D17AA">
        <w:rPr>
          <w:color w:val="0070C0"/>
          <w:sz w:val="22"/>
          <w:szCs w:val="22"/>
        </w:rPr>
        <w:t>he predicted number (</w:t>
      </w:r>
      <m:oMath>
        <m:acc>
          <m:accPr>
            <m:ctrlPr>
              <w:rPr>
                <w:rFonts w:ascii="Cambria Math" w:hAnsi="Cambria Math"/>
                <w:i/>
                <w:color w:val="0070C0"/>
                <w:sz w:val="22"/>
                <w:szCs w:val="22"/>
              </w:rPr>
            </m:ctrlPr>
          </m:accPr>
          <m:e>
            <m:r>
              <w:rPr>
                <w:rFonts w:ascii="Cambria Math" w:hAnsi="Cambria Math"/>
                <w:color w:val="0070C0"/>
                <w:sz w:val="22"/>
                <w:szCs w:val="22"/>
              </w:rPr>
              <m:t>P</m:t>
            </m:r>
          </m:e>
        </m:acc>
      </m:oMath>
      <w:r w:rsidR="008F202C" w:rsidRPr="007D17AA">
        <w:rPr>
          <w:color w:val="0070C0"/>
          <w:sz w:val="22"/>
          <w:szCs w:val="22"/>
        </w:rPr>
        <w:t xml:space="preserve">) of </w:t>
      </w:r>
      <w:r w:rsidR="00822407" w:rsidRPr="007D17AA">
        <w:rPr>
          <w:color w:val="0070C0"/>
          <w:sz w:val="22"/>
          <w:szCs w:val="22"/>
        </w:rPr>
        <w:t xml:space="preserve">IPF </w:t>
      </w:r>
      <w:r w:rsidR="008F202C" w:rsidRPr="007D17AA">
        <w:rPr>
          <w:color w:val="0070C0"/>
          <w:sz w:val="22"/>
          <w:szCs w:val="22"/>
        </w:rPr>
        <w:t>readmissions using the sum of the estimated probabilities of an IPF readmission for each index admission at that IPF based on the hospital-specific intercept and all other risk factors. The expected (</w:t>
      </w:r>
      <m:oMath>
        <m:acc>
          <m:accPr>
            <m:ctrlPr>
              <w:rPr>
                <w:rFonts w:ascii="Cambria Math" w:hAnsi="Cambria Math"/>
                <w:i/>
                <w:color w:val="0070C0"/>
                <w:sz w:val="22"/>
                <w:szCs w:val="22"/>
              </w:rPr>
            </m:ctrlPr>
          </m:accPr>
          <m:e>
            <m:r>
              <w:rPr>
                <w:rFonts w:ascii="Cambria Math" w:hAnsi="Cambria Math"/>
                <w:color w:val="0070C0"/>
                <w:sz w:val="22"/>
                <w:szCs w:val="22"/>
              </w:rPr>
              <m:t>E</m:t>
            </m:r>
          </m:e>
        </m:acc>
      </m:oMath>
      <w:r w:rsidR="008F202C" w:rsidRPr="007D17AA">
        <w:rPr>
          <w:color w:val="0070C0"/>
          <w:sz w:val="22"/>
          <w:szCs w:val="22"/>
        </w:rPr>
        <w:t>) number of readmissions for each IPF was then calculated using the same sum of readmission probabilities for each index admission calculated from the average hospital effect and all other risk facto</w:t>
      </w:r>
      <w:proofErr w:type="spellStart"/>
      <w:r w:rsidR="008F202C" w:rsidRPr="007D17AA">
        <w:rPr>
          <w:color w:val="0070C0"/>
          <w:sz w:val="22"/>
          <w:szCs w:val="22"/>
        </w:rPr>
        <w:t>rs</w:t>
      </w:r>
      <w:proofErr w:type="spellEnd"/>
      <w:r w:rsidR="008F202C" w:rsidRPr="007D17AA">
        <w:rPr>
          <w:color w:val="0070C0"/>
          <w:sz w:val="22"/>
          <w:szCs w:val="22"/>
        </w:rPr>
        <w:t xml:space="preserve">. Conceptually, expected readmission is the average of the predicted probabilities under the assumption that the IPF-specific effect is zero. The ratio of the predicted over the expected readmissions (standardized readmission ratio or SRR) indicates IPFs’ performance relative to the national average. To produce the RSRR, the SRR is multiplied by the overall observed readmission rate for all index admissions in the measure cohort: </w:t>
      </w:r>
    </w:p>
    <w:p w14:paraId="2468D28D" w14:textId="77777777" w:rsidR="008F202C" w:rsidRPr="007D17AA" w:rsidRDefault="00A92E82" w:rsidP="008F202C">
      <w:pPr>
        <w:pStyle w:val="Default"/>
        <w:rPr>
          <w:color w:val="0070C0"/>
          <w:sz w:val="22"/>
          <w:szCs w:val="22"/>
        </w:rPr>
      </w:pPr>
      <m:oMathPara>
        <m:oMath>
          <m:sSub>
            <m:sSubPr>
              <m:ctrlPr>
                <w:rPr>
                  <w:rFonts w:ascii="Cambria Math" w:hAnsi="Cambria Math"/>
                  <w:i/>
                  <w:color w:val="0070C0"/>
                  <w:sz w:val="22"/>
                  <w:szCs w:val="22"/>
                </w:rPr>
              </m:ctrlPr>
            </m:sSubPr>
            <m:e>
              <m:r>
                <w:rPr>
                  <w:rFonts w:ascii="Cambria Math" w:hAnsi="Cambria Math"/>
                  <w:color w:val="0070C0"/>
                  <w:sz w:val="22"/>
                  <w:szCs w:val="22"/>
                </w:rPr>
                <m:t>RSRR</m:t>
              </m:r>
            </m:e>
            <m:sub>
              <m:r>
                <w:rPr>
                  <w:rFonts w:ascii="Cambria Math" w:hAnsi="Cambria Math"/>
                  <w:color w:val="0070C0"/>
                  <w:sz w:val="22"/>
                  <w:szCs w:val="22"/>
                </w:rPr>
                <m:t>j</m:t>
              </m:r>
            </m:sub>
          </m:sSub>
          <m:r>
            <w:rPr>
              <w:rFonts w:ascii="Cambria Math" w:hAnsi="Cambria Math"/>
              <w:color w:val="0070C0"/>
              <w:sz w:val="22"/>
              <w:szCs w:val="22"/>
            </w:rPr>
            <m:t>=</m:t>
          </m:r>
          <m:f>
            <m:fPr>
              <m:ctrlPr>
                <w:rPr>
                  <w:rFonts w:ascii="Cambria Math" w:hAnsi="Cambria Math"/>
                  <w:i/>
                  <w:color w:val="0070C0"/>
                  <w:sz w:val="22"/>
                  <w:szCs w:val="22"/>
                </w:rPr>
              </m:ctrlPr>
            </m:fPr>
            <m:num>
              <m:acc>
                <m:accPr>
                  <m:ctrlPr>
                    <w:rPr>
                      <w:rFonts w:ascii="Cambria Math" w:hAnsi="Cambria Math"/>
                      <w:i/>
                      <w:color w:val="0070C0"/>
                      <w:sz w:val="22"/>
                      <w:szCs w:val="22"/>
                    </w:rPr>
                  </m:ctrlPr>
                </m:accPr>
                <m:e>
                  <m:sSub>
                    <m:sSubPr>
                      <m:ctrlPr>
                        <w:rPr>
                          <w:rFonts w:ascii="Cambria Math" w:hAnsi="Cambria Math"/>
                          <w:i/>
                          <w:color w:val="0070C0"/>
                          <w:sz w:val="22"/>
                          <w:szCs w:val="22"/>
                        </w:rPr>
                      </m:ctrlPr>
                    </m:sSubPr>
                    <m:e>
                      <m:r>
                        <w:rPr>
                          <w:rFonts w:ascii="Cambria Math" w:hAnsi="Cambria Math"/>
                          <w:color w:val="0070C0"/>
                          <w:sz w:val="22"/>
                          <w:szCs w:val="22"/>
                        </w:rPr>
                        <m:t>P</m:t>
                      </m:r>
                    </m:e>
                    <m:sub>
                      <m:r>
                        <w:rPr>
                          <w:rFonts w:ascii="Cambria Math" w:hAnsi="Cambria Math"/>
                          <w:color w:val="0070C0"/>
                          <w:sz w:val="22"/>
                          <w:szCs w:val="22"/>
                        </w:rPr>
                        <m:t>j</m:t>
                      </m:r>
                    </m:sub>
                  </m:sSub>
                </m:e>
              </m:acc>
            </m:num>
            <m:den>
              <m:acc>
                <m:accPr>
                  <m:ctrlPr>
                    <w:rPr>
                      <w:rFonts w:ascii="Cambria Math" w:hAnsi="Cambria Math"/>
                      <w:i/>
                      <w:color w:val="0070C0"/>
                      <w:sz w:val="22"/>
                      <w:szCs w:val="22"/>
                    </w:rPr>
                  </m:ctrlPr>
                </m:accPr>
                <m:e>
                  <m:sSub>
                    <m:sSubPr>
                      <m:ctrlPr>
                        <w:rPr>
                          <w:rFonts w:ascii="Cambria Math" w:hAnsi="Cambria Math"/>
                          <w:i/>
                          <w:color w:val="0070C0"/>
                          <w:sz w:val="22"/>
                          <w:szCs w:val="22"/>
                        </w:rPr>
                      </m:ctrlPr>
                    </m:sSubPr>
                    <m:e>
                      <m:r>
                        <w:rPr>
                          <w:rFonts w:ascii="Cambria Math" w:hAnsi="Cambria Math"/>
                          <w:color w:val="0070C0"/>
                          <w:sz w:val="22"/>
                          <w:szCs w:val="22"/>
                        </w:rPr>
                        <m:t>E</m:t>
                      </m:r>
                    </m:e>
                    <m:sub>
                      <m:r>
                        <w:rPr>
                          <w:rFonts w:ascii="Cambria Math" w:hAnsi="Cambria Math"/>
                          <w:color w:val="0070C0"/>
                          <w:sz w:val="22"/>
                          <w:szCs w:val="22"/>
                        </w:rPr>
                        <m:t>j</m:t>
                      </m:r>
                    </m:sub>
                  </m:sSub>
                </m:e>
              </m:acc>
            </m:den>
          </m:f>
          <m:r>
            <w:rPr>
              <w:rFonts w:ascii="Cambria Math" w:hAnsi="Cambria Math"/>
              <w:color w:val="0070C0"/>
              <w:sz w:val="22"/>
              <w:szCs w:val="22"/>
            </w:rPr>
            <m:t>*Average readmission rate in the measure cohort</m:t>
          </m:r>
        </m:oMath>
      </m:oMathPara>
    </w:p>
    <w:p w14:paraId="0F4893A8" w14:textId="6E555345" w:rsidR="00EF52F4" w:rsidRDefault="00EF52F4" w:rsidP="00EF52F4">
      <w:pPr>
        <w:pStyle w:val="Default"/>
        <w:rPr>
          <w:sz w:val="22"/>
          <w:szCs w:val="22"/>
        </w:rPr>
      </w:pPr>
    </w:p>
    <w:p w14:paraId="7FF41F59" w14:textId="77777777" w:rsidR="00086FAC" w:rsidRDefault="00086FAC" w:rsidP="00086FAC">
      <w:pPr>
        <w:rPr>
          <w:rFonts w:cs="Calibri"/>
          <w:bCs/>
        </w:rPr>
      </w:pPr>
      <w:bookmarkStart w:id="32" w:name="_Hlk28084950"/>
      <w:r>
        <w:rPr>
          <w:rFonts w:cs="Calibri"/>
          <w:b/>
          <w:bCs/>
        </w:rPr>
        <w:t xml:space="preserve">2b3.2. If an outcome or resource use component measure is </w:t>
      </w:r>
      <w:r>
        <w:rPr>
          <w:rFonts w:cs="Calibri"/>
          <w:b/>
          <w:bCs/>
          <w:u w:val="single"/>
        </w:rPr>
        <w:t>not risk adjusted or stratified</w:t>
      </w:r>
      <w:r>
        <w:rPr>
          <w:rFonts w:cs="Calibri"/>
          <w:b/>
          <w:bCs/>
        </w:rPr>
        <w:t xml:space="preserve">, provide </w:t>
      </w:r>
      <w:r>
        <w:rPr>
          <w:rFonts w:cs="Calibri"/>
          <w:b/>
          <w:bCs/>
          <w:u w:val="single"/>
        </w:rPr>
        <w:t>rationale and analyses</w:t>
      </w:r>
      <w:r>
        <w:rPr>
          <w:rFonts w:cs="Calibri"/>
          <w:b/>
          <w:bCs/>
        </w:rPr>
        <w:t xml:space="preserve"> to demonstrate that controlling for differences in patient characteristics (case mix) is not needed to achieve fair comparisons across measured entities</w:t>
      </w:r>
      <w:r>
        <w:rPr>
          <w:rFonts w:cs="Calibri"/>
          <w:bCs/>
        </w:rPr>
        <w:t xml:space="preserve">. </w:t>
      </w:r>
      <w:bookmarkEnd w:id="32"/>
    </w:p>
    <w:p w14:paraId="536397BC" w14:textId="1AB4A351" w:rsidR="00086FAC" w:rsidRPr="007D17AA" w:rsidRDefault="00086FAC" w:rsidP="00086FAC">
      <w:pPr>
        <w:rPr>
          <w:rFonts w:cs="Calibri"/>
          <w:bCs/>
          <w:color w:val="0070C0"/>
        </w:rPr>
      </w:pPr>
      <w:r w:rsidRPr="007D17AA">
        <w:rPr>
          <w:rFonts w:cstheme="minorHAnsi"/>
          <w:bCs/>
          <w:color w:val="0070C0"/>
        </w:rPr>
        <w:t>Not applicable, the measure is risk</w:t>
      </w:r>
      <w:r w:rsidR="00F02974" w:rsidRPr="007D17AA">
        <w:rPr>
          <w:rFonts w:cstheme="minorHAnsi"/>
          <w:bCs/>
          <w:color w:val="0070C0"/>
        </w:rPr>
        <w:t>-</w:t>
      </w:r>
      <w:r w:rsidRPr="007D17AA">
        <w:rPr>
          <w:rFonts w:cstheme="minorHAnsi"/>
          <w:bCs/>
          <w:color w:val="0070C0"/>
        </w:rPr>
        <w:t>adjusted.</w:t>
      </w:r>
    </w:p>
    <w:p w14:paraId="2EC0F19F" w14:textId="5D53159B" w:rsidR="00086FAC" w:rsidRDefault="00086FAC" w:rsidP="00086FAC">
      <w:pPr>
        <w:rPr>
          <w:rFonts w:cstheme="minorHAnsi"/>
          <w:bCs/>
        </w:rPr>
      </w:pPr>
      <w:r>
        <w:rPr>
          <w:rFonts w:cstheme="minorHAnsi"/>
          <w:b/>
          <w:bCs/>
        </w:rPr>
        <w:t>2b3.3a. 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Pr>
          <w:rFonts w:cstheme="minorHAnsi"/>
          <w:b/>
          <w:bCs/>
        </w:rPr>
        <w:t xml:space="preserve">patient </w:t>
      </w:r>
      <w:r w:rsidRPr="00A25024">
        <w:rPr>
          <w:rFonts w:cstheme="minorHAnsi"/>
          <w:b/>
          <w:bCs/>
        </w:rPr>
        <w:t xml:space="preserve">factors </w:t>
      </w:r>
      <w:r>
        <w:rPr>
          <w:rFonts w:cstheme="minorHAnsi"/>
          <w:b/>
          <w:bCs/>
        </w:rPr>
        <w:t xml:space="preserve">(clinical factors or social risk factors) </w:t>
      </w:r>
      <w:r w:rsidRPr="00A25024">
        <w:rPr>
          <w:rFonts w:cstheme="minorHAnsi"/>
          <w:b/>
          <w:bCs/>
        </w:rPr>
        <w:t>used in the statistical risk model or for stratification by risk</w:t>
      </w:r>
      <w:r>
        <w:rPr>
          <w:rFonts w:cstheme="minorHAnsi"/>
          <w:b/>
          <w:bCs/>
        </w:rPr>
        <w:t xml:space="preserve"> </w:t>
      </w:r>
      <w:r w:rsidRPr="00A25024">
        <w:rPr>
          <w:rFonts w:cstheme="minorHAnsi"/>
          <w:bCs/>
        </w:rPr>
        <w:t>(</w:t>
      </w:r>
      <w:r w:rsidRPr="00A25024">
        <w:rPr>
          <w:rFonts w:cstheme="minorHAnsi"/>
          <w:bCs/>
          <w:i/>
        </w:rPr>
        <w:t xml:space="preserve">e.g., potential factors identified in </w:t>
      </w:r>
      <w:r>
        <w:rPr>
          <w:rFonts w:cstheme="minorHAnsi"/>
          <w:bCs/>
          <w:i/>
        </w:rPr>
        <w:t xml:space="preserve">the </w:t>
      </w:r>
      <w:r w:rsidRPr="00A25024">
        <w:rPr>
          <w:rFonts w:cstheme="minorHAnsi"/>
          <w:bCs/>
          <w:i/>
        </w:rPr>
        <w:t>literature and/or expert panel; regression analysis; statistical significance of p&lt;0.10; correlation of x or higher</w:t>
      </w:r>
      <w:r>
        <w:rPr>
          <w:rFonts w:cstheme="minorHAnsi"/>
          <w:bCs/>
          <w:i/>
        </w:rPr>
        <w:t>; patient factors should be present at the start of care</w:t>
      </w:r>
      <w:r w:rsidRPr="00A25024">
        <w:rPr>
          <w:rFonts w:cstheme="minorHAnsi"/>
          <w:bCs/>
        </w:rPr>
        <w:t>)</w:t>
      </w:r>
      <w:r w:rsidR="00150B13">
        <w:rPr>
          <w:rFonts w:cstheme="minorHAnsi"/>
          <w:bCs/>
        </w:rPr>
        <w:t xml:space="preserve"> </w:t>
      </w:r>
      <w:r w:rsidRPr="00AF2D68">
        <w:rPr>
          <w:rFonts w:cstheme="minorHAnsi"/>
          <w:b/>
          <w:bCs/>
        </w:rPr>
        <w:t>Also discuss any “ordering” of risk factor inclusion</w:t>
      </w:r>
      <w:r>
        <w:rPr>
          <w:rFonts w:cstheme="minorHAnsi"/>
          <w:bCs/>
        </w:rPr>
        <w:t>; for example, are social risk factors added after all clinical factors?</w:t>
      </w:r>
    </w:p>
    <w:p w14:paraId="3F9DD230" w14:textId="66A06242" w:rsidR="006767EC" w:rsidRPr="007D17AA" w:rsidRDefault="006767EC" w:rsidP="003930C5">
      <w:pPr>
        <w:spacing w:after="0" w:line="240" w:lineRule="auto"/>
        <w:rPr>
          <w:bCs/>
          <w:color w:val="0070C0"/>
          <w:szCs w:val="24"/>
        </w:rPr>
      </w:pPr>
      <w:r w:rsidRPr="007D17AA">
        <w:rPr>
          <w:color w:val="0070C0"/>
        </w:rPr>
        <w:lastRenderedPageBreak/>
        <w:t xml:space="preserve">To identify candidate clinical and </w:t>
      </w:r>
      <w:r w:rsidR="000C284B" w:rsidRPr="007D17AA">
        <w:rPr>
          <w:color w:val="0070C0"/>
        </w:rPr>
        <w:t>SDH variables</w:t>
      </w:r>
      <w:r w:rsidRPr="007D17AA">
        <w:rPr>
          <w:color w:val="0070C0"/>
        </w:rPr>
        <w:t xml:space="preserve"> for risk-adjustment and risk-stratification, we reviewed existing literature on risk factors for readmission following psychiatric discharges</w:t>
      </w:r>
      <w:r w:rsidR="00822407" w:rsidRPr="007D17AA">
        <w:rPr>
          <w:color w:val="0070C0"/>
        </w:rPr>
        <w:t xml:space="preserve">, </w:t>
      </w:r>
      <w:r w:rsidRPr="007D17AA">
        <w:rPr>
          <w:color w:val="0070C0"/>
        </w:rPr>
        <w:t xml:space="preserve">reviewed risk variables used in other admission and readmission </w:t>
      </w:r>
      <w:proofErr w:type="gramStart"/>
      <w:r w:rsidRPr="007D17AA">
        <w:rPr>
          <w:color w:val="0070C0"/>
        </w:rPr>
        <w:t>measures</w:t>
      </w:r>
      <w:r w:rsidR="00822407" w:rsidRPr="007D17AA">
        <w:rPr>
          <w:color w:val="0070C0"/>
        </w:rPr>
        <w:t>,</w:t>
      </w:r>
      <w:r w:rsidRPr="007D17AA">
        <w:rPr>
          <w:color w:val="0070C0"/>
        </w:rPr>
        <w:t xml:space="preserve"> and</w:t>
      </w:r>
      <w:proofErr w:type="gramEnd"/>
      <w:r w:rsidRPr="007D17AA">
        <w:rPr>
          <w:color w:val="0070C0"/>
        </w:rPr>
        <w:t xml:space="preserve"> performed bootstrap selection for candidate risk variables. Figure 2</w:t>
      </w:r>
      <w:r w:rsidR="00F73649" w:rsidRPr="007D17AA">
        <w:rPr>
          <w:color w:val="0070C0"/>
        </w:rPr>
        <w:t>b</w:t>
      </w:r>
      <w:r w:rsidR="00822407" w:rsidRPr="007D17AA">
        <w:rPr>
          <w:color w:val="0070C0"/>
        </w:rPr>
        <w:t>3.3a</w:t>
      </w:r>
      <w:r w:rsidRPr="007D17AA">
        <w:rPr>
          <w:color w:val="0070C0"/>
        </w:rPr>
        <w:t xml:space="preserve"> is a simplified representation of the </w:t>
      </w:r>
      <w:r w:rsidR="00945B58">
        <w:rPr>
          <w:color w:val="0070C0"/>
        </w:rPr>
        <w:t xml:space="preserve">hypothesized </w:t>
      </w:r>
      <w:r w:rsidRPr="007D17AA">
        <w:rPr>
          <w:color w:val="0070C0"/>
        </w:rPr>
        <w:t xml:space="preserve">influence of health, </w:t>
      </w:r>
      <w:r w:rsidR="00332B45" w:rsidRPr="007D17AA">
        <w:rPr>
          <w:color w:val="0070C0"/>
        </w:rPr>
        <w:t>SDH</w:t>
      </w:r>
      <w:r w:rsidRPr="007D17AA">
        <w:rPr>
          <w:color w:val="0070C0"/>
        </w:rPr>
        <w:t xml:space="preserve"> and macro-level factors on the outcome of 30-day IPF readmission. For performance assessment, we only controlled for patient factors that were present prior to the start of care. The risk factors for health status at </w:t>
      </w:r>
      <w:r w:rsidR="00302D28" w:rsidRPr="007D17AA">
        <w:rPr>
          <w:color w:val="0070C0"/>
        </w:rPr>
        <w:t xml:space="preserve">IPF </w:t>
      </w:r>
      <w:r w:rsidRPr="007D17AA">
        <w:rPr>
          <w:color w:val="0070C0"/>
        </w:rPr>
        <w:t>admission included in the risk model are p</w:t>
      </w:r>
      <w:r w:rsidRPr="007D17AA">
        <w:rPr>
          <w:bCs/>
          <w:color w:val="0070C0"/>
          <w:szCs w:val="24"/>
        </w:rPr>
        <w:t xml:space="preserve">rincipal diagnosis of the IPF index admission, comorbidities, </w:t>
      </w:r>
      <w:r w:rsidRPr="007D17AA">
        <w:rPr>
          <w:color w:val="0070C0"/>
        </w:rPr>
        <w:t xml:space="preserve">demographics of age and gender, </w:t>
      </w:r>
      <w:r w:rsidRPr="007D17AA">
        <w:rPr>
          <w:bCs/>
          <w:color w:val="0070C0"/>
          <w:szCs w:val="24"/>
        </w:rPr>
        <w:t>and prior history of being discharged against medical advice, aggressive behavior, or suicidal ideation, suicide attempt or self-harm. As mentioned above, we used broad AHRQ CCS categories for the principal diagnoses in risk adjustment.</w:t>
      </w:r>
      <w:r w:rsidRPr="007D17AA">
        <w:rPr>
          <w:rStyle w:val="FootnoteReference"/>
          <w:bCs/>
          <w:color w:val="0070C0"/>
          <w:szCs w:val="24"/>
        </w:rPr>
        <w:footnoteReference w:id="4"/>
      </w:r>
      <w:r w:rsidRPr="007D17AA">
        <w:rPr>
          <w:bCs/>
          <w:color w:val="0070C0"/>
          <w:szCs w:val="24"/>
        </w:rPr>
        <w:t xml:space="preserve"> However, while we collapsed unique principal discharge diagnosis ICD-10-CM codes into broader categories, we </w:t>
      </w:r>
      <w:r w:rsidR="00945B58" w:rsidRPr="007D17AA">
        <w:rPr>
          <w:bCs/>
          <w:color w:val="0070C0"/>
          <w:szCs w:val="24"/>
        </w:rPr>
        <w:t xml:space="preserve">carefully </w:t>
      </w:r>
      <w:r w:rsidRPr="007D17AA">
        <w:rPr>
          <w:bCs/>
          <w:color w:val="0070C0"/>
          <w:szCs w:val="24"/>
        </w:rPr>
        <w:t xml:space="preserve">reviewed crosswalks to ensure optimal capture of differences in readmission rates. This resulted in </w:t>
      </w:r>
      <w:r w:rsidR="00302D28" w:rsidRPr="007D17AA">
        <w:rPr>
          <w:bCs/>
          <w:color w:val="0070C0"/>
          <w:szCs w:val="24"/>
        </w:rPr>
        <w:t xml:space="preserve">the </w:t>
      </w:r>
      <w:r w:rsidRPr="007D17AA">
        <w:rPr>
          <w:bCs/>
          <w:color w:val="0070C0"/>
          <w:szCs w:val="24"/>
        </w:rPr>
        <w:t xml:space="preserve">development of subcategories for schizophrenia/psychosis and bipolar/depressive disorders and </w:t>
      </w:r>
      <w:r w:rsidR="00302D28" w:rsidRPr="007D17AA">
        <w:rPr>
          <w:bCs/>
          <w:color w:val="0070C0"/>
          <w:szCs w:val="24"/>
        </w:rPr>
        <w:t xml:space="preserve">the </w:t>
      </w:r>
      <w:r w:rsidRPr="007D17AA">
        <w:rPr>
          <w:bCs/>
          <w:color w:val="0070C0"/>
          <w:szCs w:val="24"/>
        </w:rPr>
        <w:t>further collapsing of developmental/childhood disorders and other psychiatric disorders (Table 1</w:t>
      </w:r>
      <w:r w:rsidR="00132547" w:rsidRPr="007D17AA">
        <w:rPr>
          <w:bCs/>
          <w:color w:val="0070C0"/>
          <w:szCs w:val="24"/>
        </w:rPr>
        <w:t>.6</w:t>
      </w:r>
      <w:r w:rsidR="0082463F" w:rsidRPr="007D17AA">
        <w:rPr>
          <w:bCs/>
          <w:color w:val="0070C0"/>
          <w:szCs w:val="24"/>
        </w:rPr>
        <w:t>b</w:t>
      </w:r>
      <w:r w:rsidRPr="007D17AA">
        <w:rPr>
          <w:bCs/>
          <w:color w:val="0070C0"/>
          <w:szCs w:val="24"/>
        </w:rPr>
        <w:t>).</w:t>
      </w:r>
      <w:r w:rsidR="0082463F" w:rsidRPr="007D17AA">
        <w:rPr>
          <w:bCs/>
          <w:color w:val="0070C0"/>
          <w:szCs w:val="24"/>
        </w:rPr>
        <w:t xml:space="preserve"> </w:t>
      </w:r>
      <w:r w:rsidRPr="007D17AA">
        <w:rPr>
          <w:bCs/>
          <w:color w:val="0070C0"/>
          <w:szCs w:val="24"/>
        </w:rPr>
        <w:t xml:space="preserve"> </w:t>
      </w:r>
    </w:p>
    <w:p w14:paraId="2495447F" w14:textId="2E4E7955" w:rsidR="006767EC" w:rsidRPr="007D17AA" w:rsidRDefault="006767EC" w:rsidP="006767EC">
      <w:pPr>
        <w:spacing w:after="120" w:line="240" w:lineRule="auto"/>
        <w:rPr>
          <w:bCs/>
          <w:color w:val="0070C0"/>
          <w:szCs w:val="24"/>
        </w:rPr>
      </w:pPr>
      <w:r w:rsidRPr="007D17AA">
        <w:rPr>
          <w:bCs/>
          <w:color w:val="0070C0"/>
          <w:szCs w:val="24"/>
        </w:rPr>
        <w:t>For comorbidities, we used the CMS CC categories to form clusters on comorbidities, but reviewed crosswalks to optimize the predictive performance of each cluster in capturing ICD-10-CM codes with similar associations with readmissions. This resulted in modification of the ICD-10-CM to CC crosswalk, mostly in following assignments in the comparable CCS category or collapsing certain CC categories based on similar readmission rates.</w:t>
      </w:r>
      <w:r w:rsidRPr="007D17AA" w:rsidDel="00ED4F65">
        <w:rPr>
          <w:bCs/>
          <w:color w:val="0070C0"/>
          <w:szCs w:val="24"/>
        </w:rPr>
        <w:t xml:space="preserve"> </w:t>
      </w:r>
      <w:r w:rsidR="00302D28" w:rsidRPr="007D17AA">
        <w:rPr>
          <w:bCs/>
          <w:color w:val="0070C0"/>
          <w:szCs w:val="24"/>
        </w:rPr>
        <w:t>We obtained i</w:t>
      </w:r>
      <w:r w:rsidRPr="007D17AA">
        <w:rPr>
          <w:bCs/>
          <w:color w:val="0070C0"/>
          <w:szCs w:val="24"/>
        </w:rPr>
        <w:t>nformation on comorbidities from the secondary diagnosis of the index admission, after careful review and exclusion of conditions that may represent hospital-acquired complications rather than preexisting comorbidities, principal or secondary diagnoses of hospital admissions during the 12-month look-back period, or presence of at least two outpatient encounter claims with principal or secondary diagnoses of the same CC.</w:t>
      </w:r>
    </w:p>
    <w:p w14:paraId="0D717370" w14:textId="77777777" w:rsidR="006767EC" w:rsidRPr="007D17AA" w:rsidRDefault="006767EC" w:rsidP="006767EC">
      <w:pPr>
        <w:spacing w:after="120" w:line="240" w:lineRule="auto"/>
        <w:rPr>
          <w:bCs/>
          <w:color w:val="0070C0"/>
          <w:szCs w:val="24"/>
        </w:rPr>
      </w:pPr>
      <w:r w:rsidRPr="007D17AA">
        <w:rPr>
          <w:bCs/>
          <w:color w:val="0070C0"/>
          <w:szCs w:val="24"/>
        </w:rPr>
        <w:t>We also identified other variables in the literature that are relevant for the inpatient psychiatric population. These included history of discharge against medical advice, suicide attempts or self-harm, electroconvulsive therapy/transcranial magnetic stimulation (ECT/TMS), or aggression; admission source (as proxy for involuntary admission); and count of psychiatric comorbidities.</w:t>
      </w:r>
    </w:p>
    <w:p w14:paraId="5466451C" w14:textId="534F4B45" w:rsidR="006767EC" w:rsidRPr="007D17AA" w:rsidRDefault="006767EC" w:rsidP="006767EC">
      <w:pPr>
        <w:spacing w:after="120" w:line="240" w:lineRule="auto"/>
        <w:rPr>
          <w:color w:val="0070C0"/>
        </w:rPr>
      </w:pPr>
      <w:r w:rsidRPr="007D17AA">
        <w:rPr>
          <w:bCs/>
          <w:color w:val="0070C0"/>
          <w:szCs w:val="24"/>
        </w:rPr>
        <w:t>The key SD</w:t>
      </w:r>
      <w:r w:rsidR="00332B45" w:rsidRPr="007D17AA">
        <w:rPr>
          <w:bCs/>
          <w:color w:val="0070C0"/>
          <w:szCs w:val="24"/>
        </w:rPr>
        <w:t>H</w:t>
      </w:r>
      <w:r w:rsidRPr="007D17AA">
        <w:rPr>
          <w:bCs/>
          <w:color w:val="0070C0"/>
          <w:szCs w:val="24"/>
        </w:rPr>
        <w:t xml:space="preserve"> constructs that may affect the risk of readmission of psychiatric patients include</w:t>
      </w:r>
      <w:r w:rsidR="0082463F" w:rsidRPr="007D17AA">
        <w:rPr>
          <w:bCs/>
          <w:color w:val="0070C0"/>
          <w:szCs w:val="24"/>
        </w:rPr>
        <w:t xml:space="preserve"> risk</w:t>
      </w:r>
      <w:r w:rsidR="00E63100" w:rsidRPr="007D17AA">
        <w:rPr>
          <w:bCs/>
          <w:color w:val="0070C0"/>
          <w:szCs w:val="24"/>
        </w:rPr>
        <w:t xml:space="preserve"> </w:t>
      </w:r>
      <w:r w:rsidR="0082463F" w:rsidRPr="007D17AA">
        <w:rPr>
          <w:bCs/>
          <w:color w:val="0070C0"/>
          <w:szCs w:val="24"/>
        </w:rPr>
        <w:t xml:space="preserve">factors </w:t>
      </w:r>
      <w:r w:rsidR="001716C2" w:rsidRPr="007D17AA">
        <w:rPr>
          <w:bCs/>
          <w:color w:val="0070C0"/>
          <w:szCs w:val="24"/>
        </w:rPr>
        <w:t>such as</w:t>
      </w:r>
      <w:r w:rsidRPr="007D17AA">
        <w:rPr>
          <w:bCs/>
          <w:color w:val="0070C0"/>
          <w:szCs w:val="24"/>
        </w:rPr>
        <w:t xml:space="preserve"> income/poverty, disability, race/ethnicity and language barriers, access to care, education, housing stability, and social support.</w:t>
      </w:r>
      <w:r w:rsidRPr="007D17AA">
        <w:rPr>
          <w:color w:val="0070C0"/>
        </w:rPr>
        <w:t xml:space="preserve"> As </w:t>
      </w:r>
      <w:r w:rsidR="00302D28" w:rsidRPr="007D17AA">
        <w:rPr>
          <w:color w:val="0070C0"/>
        </w:rPr>
        <w:t xml:space="preserve">shown </w:t>
      </w:r>
      <w:r w:rsidRPr="007D17AA">
        <w:rPr>
          <w:color w:val="0070C0"/>
        </w:rPr>
        <w:t>in Figure 2</w:t>
      </w:r>
      <w:r w:rsidR="00F73649" w:rsidRPr="007D17AA">
        <w:rPr>
          <w:color w:val="0070C0"/>
        </w:rPr>
        <w:t>b</w:t>
      </w:r>
      <w:r w:rsidR="00302D28" w:rsidRPr="007D17AA">
        <w:rPr>
          <w:color w:val="0070C0"/>
        </w:rPr>
        <w:t>3.3a</w:t>
      </w:r>
      <w:r w:rsidRPr="007D17AA">
        <w:rPr>
          <w:color w:val="0070C0"/>
        </w:rPr>
        <w:t xml:space="preserve">, the impact of </w:t>
      </w:r>
      <w:r w:rsidR="00332B45" w:rsidRPr="007D17AA">
        <w:rPr>
          <w:color w:val="0070C0"/>
        </w:rPr>
        <w:t>SDH factors</w:t>
      </w:r>
      <w:r w:rsidRPr="007D17AA">
        <w:rPr>
          <w:color w:val="0070C0"/>
        </w:rPr>
        <w:t xml:space="preserve"> on readmission can be direct or indirect through their effect on health status, the facility selected to obtain care, and the quality of the specific treatment</w:t>
      </w:r>
      <w:bookmarkStart w:id="33" w:name="_GoBack"/>
      <w:bookmarkEnd w:id="33"/>
      <w:r w:rsidRPr="007D17AA">
        <w:rPr>
          <w:color w:val="0070C0"/>
        </w:rPr>
        <w:t xml:space="preserve">s and care received. Additionally, health status can influence </w:t>
      </w:r>
      <w:r w:rsidR="00332B45" w:rsidRPr="007D17AA">
        <w:rPr>
          <w:color w:val="0070C0"/>
        </w:rPr>
        <w:t>SDH factors</w:t>
      </w:r>
      <w:r w:rsidRPr="007D17AA">
        <w:rPr>
          <w:color w:val="0070C0"/>
        </w:rPr>
        <w:t>. The mechanisms for the effect of sociodemographic factors on health are complex, interrelated, and may result from a lifelong, cumulative effect of social status on health</w:t>
      </w:r>
      <w:r w:rsidR="001716C2" w:rsidRPr="007D17AA">
        <w:rPr>
          <w:color w:val="0070C0"/>
        </w:rPr>
        <w:t>.</w:t>
      </w:r>
      <w:r w:rsidR="001716C2" w:rsidRPr="007D17AA">
        <w:rPr>
          <w:rStyle w:val="EndnoteReference"/>
          <w:color w:val="0070C0"/>
        </w:rPr>
        <w:endnoteReference w:id="38"/>
      </w:r>
    </w:p>
    <w:p w14:paraId="72763090" w14:textId="06999234" w:rsidR="006767EC" w:rsidRPr="007D17AA" w:rsidRDefault="006767EC" w:rsidP="006767EC">
      <w:pPr>
        <w:spacing w:after="120" w:line="240" w:lineRule="auto"/>
        <w:rPr>
          <w:color w:val="0070C0"/>
          <w:szCs w:val="20"/>
        </w:rPr>
      </w:pPr>
      <w:r w:rsidRPr="007D17AA">
        <w:rPr>
          <w:color w:val="0070C0"/>
          <w:szCs w:val="20"/>
        </w:rPr>
        <w:t>External factors</w:t>
      </w:r>
      <w:r w:rsidR="0082463F" w:rsidRPr="007D17AA">
        <w:rPr>
          <w:color w:val="0070C0"/>
          <w:szCs w:val="20"/>
        </w:rPr>
        <w:t xml:space="preserve"> related to local health-care markets and IPF structure</w:t>
      </w:r>
      <w:r w:rsidRPr="007D17AA">
        <w:rPr>
          <w:color w:val="0070C0"/>
          <w:szCs w:val="20"/>
        </w:rPr>
        <w:t xml:space="preserve"> can also affect patient’s access to services prior to admission</w:t>
      </w:r>
      <w:r w:rsidR="0082463F" w:rsidRPr="007D17AA">
        <w:rPr>
          <w:color w:val="0070C0"/>
          <w:szCs w:val="20"/>
        </w:rPr>
        <w:t xml:space="preserve">. </w:t>
      </w:r>
      <w:r w:rsidR="005712D8" w:rsidRPr="007D17AA">
        <w:rPr>
          <w:color w:val="0070C0"/>
          <w:szCs w:val="20"/>
        </w:rPr>
        <w:t>Q</w:t>
      </w:r>
      <w:r w:rsidRPr="007D17AA">
        <w:rPr>
          <w:color w:val="0070C0"/>
          <w:szCs w:val="20"/>
        </w:rPr>
        <w:t>uality of IPF care can directly affect readmission related to services available after discharge. Risk models typically do not control for differences in such external factors.</w:t>
      </w:r>
    </w:p>
    <w:p w14:paraId="5D4C9B16" w14:textId="77777777" w:rsidR="00F50661" w:rsidRDefault="00F50661">
      <w:pPr>
        <w:spacing w:after="160" w:line="259" w:lineRule="auto"/>
        <w:rPr>
          <w:b/>
          <w:bCs/>
          <w:color w:val="0070C0"/>
          <w:szCs w:val="20"/>
        </w:rPr>
      </w:pPr>
      <w:r>
        <w:rPr>
          <w:b/>
          <w:bCs/>
          <w:color w:val="0070C0"/>
          <w:szCs w:val="20"/>
        </w:rPr>
        <w:br w:type="page"/>
      </w:r>
    </w:p>
    <w:p w14:paraId="61FEB0B5" w14:textId="319F1B67" w:rsidR="005712D8" w:rsidRDefault="005712D8" w:rsidP="006767EC">
      <w:pPr>
        <w:spacing w:after="120" w:line="240" w:lineRule="auto"/>
        <w:rPr>
          <w:b/>
          <w:bCs/>
          <w:color w:val="0070C0"/>
        </w:rPr>
      </w:pPr>
      <w:r w:rsidRPr="007D17AA">
        <w:rPr>
          <w:b/>
          <w:bCs/>
          <w:color w:val="0070C0"/>
          <w:szCs w:val="20"/>
        </w:rPr>
        <w:lastRenderedPageBreak/>
        <w:t>Figure 2</w:t>
      </w:r>
      <w:r w:rsidR="009800BD" w:rsidRPr="007D17AA">
        <w:rPr>
          <w:b/>
          <w:bCs/>
          <w:color w:val="0070C0"/>
          <w:szCs w:val="20"/>
        </w:rPr>
        <w:t>b</w:t>
      </w:r>
      <w:r w:rsidR="0078380D" w:rsidRPr="007D17AA">
        <w:rPr>
          <w:b/>
          <w:bCs/>
          <w:color w:val="0070C0"/>
          <w:szCs w:val="20"/>
        </w:rPr>
        <w:t>3.3a</w:t>
      </w:r>
      <w:r w:rsidRPr="007D17AA">
        <w:rPr>
          <w:b/>
          <w:bCs/>
          <w:color w:val="0070C0"/>
          <w:szCs w:val="20"/>
        </w:rPr>
        <w:t xml:space="preserve">. </w:t>
      </w:r>
      <w:r w:rsidRPr="007D17AA">
        <w:rPr>
          <w:b/>
          <w:bCs/>
          <w:color w:val="0070C0"/>
        </w:rPr>
        <w:t>Conceptual model for patient risk factors that affect readmission following hospitalization</w:t>
      </w:r>
    </w:p>
    <w:p w14:paraId="75BEDD44" w14:textId="573BD995" w:rsidR="0018123F" w:rsidRPr="007D17AA" w:rsidRDefault="0018123F" w:rsidP="006767EC">
      <w:pPr>
        <w:spacing w:after="120" w:line="240" w:lineRule="auto"/>
        <w:rPr>
          <w:b/>
          <w:bCs/>
          <w:color w:val="0070C0"/>
          <w:szCs w:val="20"/>
        </w:rPr>
      </w:pPr>
      <w:r w:rsidRPr="0018123F">
        <w:rPr>
          <w:noProof/>
        </w:rPr>
        <w:drawing>
          <wp:inline distT="0" distB="0" distL="0" distR="0" wp14:anchorId="546D12F5" wp14:editId="532C2C5F">
            <wp:extent cx="5943600" cy="4569460"/>
            <wp:effectExtent l="0" t="0" r="0" b="0"/>
            <wp:docPr id="6" name="Picture 6" descr="This logic model is a simplified representation of the hypothesized influence of health, SDH, and macro-level factors on the outcome of 30-day IPF readmission. These factors, listed in the first column of text boxes in the logic model, could be related to an IPF’s structure (e.g., finance, staffing, or expertise) or the quality of care at an IPF (e.g., treatment, planning/managing transition, tailoring care to patient’s SDS constraints, or addressing biases in care), all of which could be related to the outcome of readmission with in 30 days. Additionally, the factors in the first column of text boxes could be directly related to the outc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569460"/>
                    </a:xfrm>
                    <a:prstGeom prst="rect">
                      <a:avLst/>
                    </a:prstGeom>
                    <a:noFill/>
                    <a:ln>
                      <a:noFill/>
                    </a:ln>
                  </pic:spPr>
                </pic:pic>
              </a:graphicData>
            </a:graphic>
          </wp:inline>
        </w:drawing>
      </w:r>
    </w:p>
    <w:p w14:paraId="1B37E63A" w14:textId="62FDB2DB" w:rsidR="005712D8" w:rsidRPr="007D17AA" w:rsidRDefault="005712D8" w:rsidP="0081282E">
      <w:pPr>
        <w:spacing w:after="0" w:line="240" w:lineRule="auto"/>
        <w:rPr>
          <w:color w:val="0070C0"/>
          <w:sz w:val="18"/>
          <w:szCs w:val="18"/>
        </w:rPr>
      </w:pPr>
      <w:r w:rsidRPr="007D17AA">
        <w:rPr>
          <w:color w:val="0070C0"/>
          <w:sz w:val="18"/>
          <w:szCs w:val="18"/>
        </w:rPr>
        <w:t xml:space="preserve">Notes: See </w:t>
      </w:r>
      <w:r w:rsidR="006E543B" w:rsidRPr="007D17AA">
        <w:rPr>
          <w:color w:val="0070C0"/>
          <w:sz w:val="18"/>
          <w:szCs w:val="18"/>
        </w:rPr>
        <w:t>Table 1.8</w:t>
      </w:r>
      <w:r w:rsidRPr="007D17AA">
        <w:rPr>
          <w:color w:val="0070C0"/>
          <w:sz w:val="18"/>
          <w:szCs w:val="18"/>
        </w:rPr>
        <w:t xml:space="preserve"> for details on operationalization of the </w:t>
      </w:r>
      <w:r w:rsidR="00332B45" w:rsidRPr="007D17AA">
        <w:rPr>
          <w:color w:val="0070C0"/>
          <w:sz w:val="18"/>
          <w:szCs w:val="18"/>
        </w:rPr>
        <w:t>SDH</w:t>
      </w:r>
      <w:r w:rsidRPr="007D17AA">
        <w:rPr>
          <w:color w:val="0070C0"/>
          <w:sz w:val="18"/>
          <w:szCs w:val="18"/>
        </w:rPr>
        <w:t xml:space="preserve"> indicators.</w:t>
      </w:r>
    </w:p>
    <w:p w14:paraId="4A880727" w14:textId="168A5765" w:rsidR="005712D8" w:rsidRPr="007D17AA" w:rsidRDefault="005712D8" w:rsidP="005712D8">
      <w:pPr>
        <w:spacing w:line="240" w:lineRule="auto"/>
        <w:rPr>
          <w:color w:val="0070C0"/>
          <w:sz w:val="18"/>
          <w:szCs w:val="18"/>
        </w:rPr>
      </w:pPr>
      <w:r w:rsidRPr="007D17AA">
        <w:rPr>
          <w:color w:val="0070C0"/>
          <w:sz w:val="18"/>
          <w:szCs w:val="18"/>
        </w:rPr>
        <w:t>*Data not available to operationalize</w:t>
      </w:r>
      <w:r w:rsidR="00302D28" w:rsidRPr="007D17AA">
        <w:rPr>
          <w:color w:val="0070C0"/>
          <w:sz w:val="18"/>
          <w:szCs w:val="18"/>
        </w:rPr>
        <w:t>.</w:t>
      </w:r>
    </w:p>
    <w:p w14:paraId="57A394B3" w14:textId="133623EA" w:rsidR="006767EC" w:rsidRPr="007D17AA" w:rsidRDefault="006767EC" w:rsidP="00CB0681">
      <w:pPr>
        <w:spacing w:after="0" w:line="240" w:lineRule="auto"/>
        <w:rPr>
          <w:color w:val="0070C0"/>
        </w:rPr>
      </w:pPr>
    </w:p>
    <w:p w14:paraId="5B208E56" w14:textId="4C34EBB7" w:rsidR="006767EC" w:rsidRPr="007D17AA" w:rsidRDefault="006767EC" w:rsidP="00CB0681">
      <w:pPr>
        <w:spacing w:after="0" w:line="240" w:lineRule="auto"/>
        <w:rPr>
          <w:color w:val="0070C0"/>
        </w:rPr>
      </w:pPr>
      <w:r w:rsidRPr="007D17AA">
        <w:rPr>
          <w:color w:val="0070C0"/>
        </w:rPr>
        <w:t xml:space="preserve">Selection of </w:t>
      </w:r>
      <w:r w:rsidR="00BE47C7">
        <w:rPr>
          <w:color w:val="0070C0"/>
        </w:rPr>
        <w:t xml:space="preserve">the </w:t>
      </w:r>
      <w:r w:rsidRPr="007D17AA">
        <w:rPr>
          <w:color w:val="0070C0"/>
        </w:rPr>
        <w:t>risk</w:t>
      </w:r>
      <w:r w:rsidR="00E63100" w:rsidRPr="007D17AA">
        <w:rPr>
          <w:color w:val="0070C0"/>
        </w:rPr>
        <w:t xml:space="preserve"> </w:t>
      </w:r>
      <w:r w:rsidRPr="007D17AA">
        <w:rPr>
          <w:color w:val="0070C0"/>
        </w:rPr>
        <w:t>factors</w:t>
      </w:r>
    </w:p>
    <w:p w14:paraId="029D0ED9" w14:textId="6DEEB125" w:rsidR="00276439" w:rsidRPr="007D17AA" w:rsidRDefault="00C2759B" w:rsidP="00276439">
      <w:pPr>
        <w:spacing w:after="120" w:line="240" w:lineRule="auto"/>
        <w:rPr>
          <w:color w:val="0070C0"/>
        </w:rPr>
      </w:pPr>
      <w:r w:rsidRPr="007D17AA">
        <w:rPr>
          <w:color w:val="0070C0"/>
        </w:rPr>
        <w:t xml:space="preserve">We derived a parsimonious risk adjustment model </w:t>
      </w:r>
      <w:r w:rsidR="00142746" w:rsidRPr="007D17AA">
        <w:rPr>
          <w:color w:val="0070C0"/>
        </w:rPr>
        <w:t xml:space="preserve">by </w:t>
      </w:r>
      <w:r w:rsidRPr="007D17AA">
        <w:rPr>
          <w:color w:val="0070C0"/>
        </w:rPr>
        <w:t>using logistic regression with a stepwise backward elimination process, which was repeated in 1</w:t>
      </w:r>
      <w:r w:rsidR="00142746" w:rsidRPr="007D17AA">
        <w:rPr>
          <w:color w:val="0070C0"/>
        </w:rPr>
        <w:t>,</w:t>
      </w:r>
      <w:r w:rsidRPr="007D17AA">
        <w:rPr>
          <w:color w:val="0070C0"/>
        </w:rPr>
        <w:t>00</w:t>
      </w:r>
      <w:r w:rsidR="00142746" w:rsidRPr="007D17AA">
        <w:rPr>
          <w:color w:val="0070C0"/>
        </w:rPr>
        <w:t>0</w:t>
      </w:r>
      <w:r w:rsidRPr="007D17AA">
        <w:rPr>
          <w:color w:val="0070C0"/>
        </w:rPr>
        <w:t xml:space="preserve"> bootstrap samples from the entire population via random selection with replacement. This approach allows the use of the entire dataset for model development and a nearly unbiased estimate of predictive accuracy with relatively low variance compared with other validation approaches, such as data splitting and cross-validation.</w:t>
      </w:r>
      <w:r w:rsidR="008F202C" w:rsidRPr="007D17AA">
        <w:rPr>
          <w:rStyle w:val="EndnoteReference"/>
          <w:color w:val="0070C0"/>
        </w:rPr>
        <w:endnoteReference w:id="39"/>
      </w:r>
      <w:r w:rsidRPr="007D17AA">
        <w:rPr>
          <w:color w:val="0070C0"/>
        </w:rPr>
        <w:t xml:space="preserve"> </w:t>
      </w:r>
      <w:r w:rsidR="00E51A37" w:rsidRPr="007D17AA">
        <w:rPr>
          <w:color w:val="0070C0"/>
        </w:rPr>
        <w:t>We retained c</w:t>
      </w:r>
      <w:r w:rsidR="00BF6CB6" w:rsidRPr="007D17AA">
        <w:rPr>
          <w:color w:val="0070C0"/>
        </w:rPr>
        <w:t>andidate variables demonstrating a positive association with readmission at p-value &lt;0.15 in at least 70</w:t>
      </w:r>
      <w:r w:rsidR="00E51A37" w:rsidRPr="007D17AA">
        <w:rPr>
          <w:color w:val="0070C0"/>
        </w:rPr>
        <w:t xml:space="preserve"> percent</w:t>
      </w:r>
      <w:r w:rsidR="00BF6CB6" w:rsidRPr="007D17AA">
        <w:rPr>
          <w:color w:val="0070C0"/>
        </w:rPr>
        <w:t xml:space="preserve"> of samples. The p-value cut-off of 0.15 was chosen to approximately mimic variable selection based on the Akaike Information Criterion (AIC). To select a candidate risk</w:t>
      </w:r>
      <w:r w:rsidR="00E63100" w:rsidRPr="007D17AA">
        <w:rPr>
          <w:color w:val="0070C0"/>
        </w:rPr>
        <w:t xml:space="preserve"> </w:t>
      </w:r>
      <w:r w:rsidR="00BF6CB6" w:rsidRPr="007D17AA">
        <w:rPr>
          <w:color w:val="0070C0"/>
        </w:rPr>
        <w:t>factor based on AIC, its chi-squared (</w:t>
      </w:r>
      <w:r w:rsidR="00BF6CB6" w:rsidRPr="007D17AA">
        <w:rPr>
          <w:rFonts w:cstheme="minorHAnsi"/>
          <w:color w:val="0070C0"/>
        </w:rPr>
        <w:t>χ</w:t>
      </w:r>
      <w:r w:rsidR="00BF6CB6" w:rsidRPr="007D17AA">
        <w:rPr>
          <w:rFonts w:cstheme="minorHAnsi"/>
          <w:color w:val="0070C0"/>
          <w:vertAlign w:val="superscript"/>
        </w:rPr>
        <w:t>2</w:t>
      </w:r>
      <w:r w:rsidR="00BF6CB6" w:rsidRPr="007D17AA">
        <w:rPr>
          <w:color w:val="0070C0"/>
        </w:rPr>
        <w:t xml:space="preserve">) value </w:t>
      </w:r>
      <w:proofErr w:type="gramStart"/>
      <w:r w:rsidR="00BF6CB6" w:rsidRPr="007D17AA">
        <w:rPr>
          <w:color w:val="0070C0"/>
        </w:rPr>
        <w:t>has to</w:t>
      </w:r>
      <w:proofErr w:type="gramEnd"/>
      <w:r w:rsidR="00BF6CB6" w:rsidRPr="007D17AA">
        <w:rPr>
          <w:color w:val="0070C0"/>
        </w:rPr>
        <w:t xml:space="preserve"> exceed twice its df. When considering a predictor with 1 df, such as gender or diagnosis code, this implies </w:t>
      </w:r>
      <w:r w:rsidR="00BF6CB6" w:rsidRPr="007D17AA">
        <w:rPr>
          <w:rFonts w:cstheme="minorHAnsi"/>
          <w:color w:val="0070C0"/>
        </w:rPr>
        <w:t>χ</w:t>
      </w:r>
      <w:r w:rsidR="00BF6CB6" w:rsidRPr="007D17AA">
        <w:rPr>
          <w:rFonts w:cstheme="minorHAnsi"/>
          <w:color w:val="0070C0"/>
          <w:vertAlign w:val="superscript"/>
        </w:rPr>
        <w:t>2</w:t>
      </w:r>
      <w:r w:rsidR="00BF6CB6" w:rsidRPr="007D17AA">
        <w:rPr>
          <w:color w:val="0070C0"/>
        </w:rPr>
        <w:t xml:space="preserve"> &gt;2</w:t>
      </w:r>
      <w:r w:rsidR="002A62A6">
        <w:rPr>
          <w:color w:val="0070C0"/>
        </w:rPr>
        <w:t xml:space="preserve"> with</w:t>
      </w:r>
      <w:r w:rsidR="00BF6CB6" w:rsidRPr="007D17AA">
        <w:rPr>
          <w:color w:val="0070C0"/>
        </w:rPr>
        <w:t xml:space="preserve"> p &lt; 0.157</w:t>
      </w:r>
      <w:r w:rsidR="00351E57" w:rsidRPr="007D17AA">
        <w:rPr>
          <w:color w:val="0070C0"/>
        </w:rPr>
        <w:t>.</w:t>
      </w:r>
      <w:r w:rsidR="00351E57" w:rsidRPr="007D17AA">
        <w:rPr>
          <w:rStyle w:val="EndnoteReference"/>
          <w:color w:val="0070C0"/>
        </w:rPr>
        <w:endnoteReference w:id="40"/>
      </w:r>
      <w:r w:rsidR="003E703A" w:rsidRPr="007D17AA">
        <w:rPr>
          <w:color w:val="0070C0"/>
        </w:rPr>
        <w:t xml:space="preserve"> </w:t>
      </w:r>
      <w:r w:rsidR="006B3481" w:rsidRPr="007D17AA">
        <w:rPr>
          <w:color w:val="0070C0"/>
        </w:rPr>
        <w:t xml:space="preserve">In our testing, most </w:t>
      </w:r>
      <w:r w:rsidR="003E703A" w:rsidRPr="007D17AA">
        <w:rPr>
          <w:color w:val="0070C0"/>
        </w:rPr>
        <w:t xml:space="preserve">of the </w:t>
      </w:r>
      <w:r w:rsidR="000C284B" w:rsidRPr="007D17AA">
        <w:rPr>
          <w:color w:val="0070C0"/>
        </w:rPr>
        <w:t>SDH variables</w:t>
      </w:r>
      <w:r w:rsidR="006B3481" w:rsidRPr="007D17AA">
        <w:rPr>
          <w:color w:val="0070C0"/>
        </w:rPr>
        <w:t xml:space="preserve"> were not retained in the </w:t>
      </w:r>
      <w:r w:rsidR="00B41FC6" w:rsidRPr="007D17AA">
        <w:rPr>
          <w:color w:val="0070C0"/>
        </w:rPr>
        <w:t xml:space="preserve">final </w:t>
      </w:r>
      <w:r w:rsidR="006B3481" w:rsidRPr="007D17AA">
        <w:rPr>
          <w:color w:val="0070C0"/>
        </w:rPr>
        <w:t xml:space="preserve">model during bootstrap selection process. Therefore, </w:t>
      </w:r>
      <w:r w:rsidR="00E51A37" w:rsidRPr="007D17AA">
        <w:rPr>
          <w:color w:val="0070C0"/>
        </w:rPr>
        <w:t xml:space="preserve">we added </w:t>
      </w:r>
      <w:r w:rsidR="006B3481" w:rsidRPr="007D17AA">
        <w:rPr>
          <w:color w:val="0070C0"/>
        </w:rPr>
        <w:t xml:space="preserve">all candidate </w:t>
      </w:r>
      <w:r w:rsidR="000C284B" w:rsidRPr="007D17AA">
        <w:rPr>
          <w:color w:val="0070C0"/>
        </w:rPr>
        <w:t>SDH variables</w:t>
      </w:r>
      <w:r w:rsidRPr="007D17AA">
        <w:rPr>
          <w:color w:val="0070C0"/>
        </w:rPr>
        <w:t xml:space="preserve"> to the risk-adjustment model after selecting clinical risk</w:t>
      </w:r>
      <w:r w:rsidR="00E63100" w:rsidRPr="007D17AA">
        <w:rPr>
          <w:color w:val="0070C0"/>
        </w:rPr>
        <w:t xml:space="preserve"> </w:t>
      </w:r>
      <w:r w:rsidRPr="007D17AA">
        <w:rPr>
          <w:color w:val="0070C0"/>
        </w:rPr>
        <w:t>factors</w:t>
      </w:r>
      <w:r w:rsidR="006B3481" w:rsidRPr="007D17AA">
        <w:rPr>
          <w:color w:val="0070C0"/>
        </w:rPr>
        <w:t xml:space="preserve"> </w:t>
      </w:r>
      <w:r w:rsidR="00B52640" w:rsidRPr="007D17AA">
        <w:rPr>
          <w:color w:val="0070C0"/>
        </w:rPr>
        <w:t xml:space="preserve">to compare model discrimination for the model with clinical factors only and the model with clinical and </w:t>
      </w:r>
      <w:r w:rsidR="00332B45" w:rsidRPr="007D17AA">
        <w:rPr>
          <w:color w:val="0070C0"/>
        </w:rPr>
        <w:t>SDH factors</w:t>
      </w:r>
      <w:r w:rsidRPr="007D17AA">
        <w:rPr>
          <w:color w:val="0070C0"/>
        </w:rPr>
        <w:t xml:space="preserve">. </w:t>
      </w:r>
      <w:r w:rsidR="00276439" w:rsidRPr="007D17AA">
        <w:rPr>
          <w:color w:val="0070C0"/>
        </w:rPr>
        <w:t>We assessed the impact on the model performance compared to the clinical risk factor</w:t>
      </w:r>
      <w:r w:rsidR="00E51A37" w:rsidRPr="007D17AA">
        <w:rPr>
          <w:rFonts w:cs="Calibri"/>
          <w:color w:val="0070C0"/>
        </w:rPr>
        <w:t xml:space="preserve"> </w:t>
      </w:r>
      <w:r w:rsidR="00276439" w:rsidRPr="007D17AA">
        <w:rPr>
          <w:color w:val="0070C0"/>
        </w:rPr>
        <w:t xml:space="preserve">only model in terms </w:t>
      </w:r>
      <w:r w:rsidR="00276439" w:rsidRPr="007D17AA">
        <w:rPr>
          <w:color w:val="0070C0"/>
        </w:rPr>
        <w:lastRenderedPageBreak/>
        <w:t xml:space="preserve">of predictive ability, c-statistic, distribution of residuals, model chi square, and distributions of </w:t>
      </w:r>
      <w:r w:rsidR="00DA3494" w:rsidRPr="007D17AA">
        <w:rPr>
          <w:color w:val="0070C0"/>
        </w:rPr>
        <w:t>RSRRs</w:t>
      </w:r>
      <w:r w:rsidR="00276439" w:rsidRPr="007D17AA">
        <w:rPr>
          <w:color w:val="0070C0"/>
        </w:rPr>
        <w:t xml:space="preserve">. Considering the contribution of the </w:t>
      </w:r>
      <w:r w:rsidR="000C284B" w:rsidRPr="007D17AA">
        <w:rPr>
          <w:color w:val="0070C0"/>
        </w:rPr>
        <w:t>SDH variables</w:t>
      </w:r>
      <w:r w:rsidR="00276439" w:rsidRPr="007D17AA">
        <w:rPr>
          <w:color w:val="0070C0"/>
        </w:rPr>
        <w:t xml:space="preserve"> on risk model performance, we evaluated the </w:t>
      </w:r>
      <w:r w:rsidR="000C284B" w:rsidRPr="007D17AA">
        <w:rPr>
          <w:color w:val="0070C0"/>
        </w:rPr>
        <w:t>SDH variables</w:t>
      </w:r>
      <w:r w:rsidR="00276439" w:rsidRPr="007D17AA">
        <w:rPr>
          <w:color w:val="0070C0"/>
        </w:rPr>
        <w:t xml:space="preserve"> based on their feasibility for use in a national CMS measure. </w:t>
      </w:r>
    </w:p>
    <w:p w14:paraId="5E1C284C" w14:textId="18CC99C0" w:rsidR="00086FAC" w:rsidRDefault="00086FAC" w:rsidP="00086FAC">
      <w:pPr>
        <w:autoSpaceDE w:val="0"/>
        <w:autoSpaceDN w:val="0"/>
        <w:adjustRightInd w:val="0"/>
        <w:spacing w:after="0" w:line="240" w:lineRule="auto"/>
        <w:rPr>
          <w:rFonts w:cstheme="minorHAnsi"/>
          <w:b/>
          <w:bCs/>
        </w:rPr>
      </w:pPr>
      <w:r>
        <w:rPr>
          <w:rFonts w:cstheme="minorHAnsi"/>
          <w:b/>
          <w:bCs/>
        </w:rPr>
        <w:t>2b3.3b. How was the conceptual model of how social risk impacts this outcome developed?</w:t>
      </w:r>
      <w:r w:rsidR="00150B13">
        <w:rPr>
          <w:rFonts w:cstheme="minorHAnsi"/>
          <w:b/>
          <w:bCs/>
        </w:rPr>
        <w:t xml:space="preserve"> </w:t>
      </w:r>
      <w:r>
        <w:rPr>
          <w:rFonts w:cstheme="minorHAnsi"/>
          <w:b/>
          <w:bCs/>
        </w:rPr>
        <w:t>Please check all that apply:</w:t>
      </w:r>
    </w:p>
    <w:p w14:paraId="7942E5E4" w14:textId="11098914" w:rsidR="00086FAC" w:rsidRPr="005232D6" w:rsidRDefault="00A92E82" w:rsidP="00086FA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F1158D">
            <w:rPr>
              <w:rFonts w:ascii="MS Gothic" w:eastAsia="MS Gothic" w:hAnsi="MS Gothic" w:cstheme="minorHAnsi" w:hint="eastAsia"/>
              <w:bCs/>
              <w:color w:val="0000FF"/>
            </w:rPr>
            <w:t>☒</w:t>
          </w:r>
        </w:sdtContent>
      </w:sdt>
      <w:r w:rsidR="00086FAC">
        <w:rPr>
          <w:rFonts w:eastAsia="MS Mincho" w:cstheme="minorHAnsi"/>
          <w:b/>
          <w:bCs/>
          <w:color w:val="0000FF"/>
        </w:rPr>
        <w:t xml:space="preserve"> </w:t>
      </w:r>
      <w:r w:rsidR="00086FAC">
        <w:rPr>
          <w:rFonts w:cstheme="minorHAnsi"/>
          <w:b/>
          <w:bCs/>
        </w:rPr>
        <w:t>Published literature</w:t>
      </w:r>
    </w:p>
    <w:p w14:paraId="167A4674" w14:textId="05FF8101" w:rsidR="00086FAC" w:rsidRPr="005232D6" w:rsidRDefault="00A92E82" w:rsidP="00086FA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F1158D">
            <w:rPr>
              <w:rFonts w:ascii="MS Gothic" w:eastAsia="MS Gothic" w:hAnsi="MS Gothic" w:cstheme="minorHAnsi" w:hint="eastAsia"/>
              <w:bCs/>
              <w:color w:val="0000FF"/>
            </w:rPr>
            <w:t>☒</w:t>
          </w:r>
        </w:sdtContent>
      </w:sdt>
      <w:r w:rsidR="00086FAC">
        <w:rPr>
          <w:rFonts w:cstheme="minorHAnsi"/>
          <w:bCs/>
          <w:color w:val="0000FF"/>
        </w:rPr>
        <w:t xml:space="preserve"> </w:t>
      </w:r>
      <w:r w:rsidR="00086FAC">
        <w:rPr>
          <w:rFonts w:cstheme="minorHAnsi"/>
          <w:b/>
          <w:bCs/>
        </w:rPr>
        <w:t>Internal data analysis</w:t>
      </w:r>
    </w:p>
    <w:p w14:paraId="6BED95E6" w14:textId="6C824EF5" w:rsidR="00086FAC" w:rsidRPr="005232D6" w:rsidRDefault="00A92E82" w:rsidP="00086FAC">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B52640">
            <w:rPr>
              <w:rFonts w:ascii="MS Gothic" w:eastAsia="MS Gothic" w:hAnsi="MS Gothic" w:cstheme="minorHAnsi" w:hint="eastAsia"/>
              <w:bCs/>
              <w:color w:val="0000FF"/>
            </w:rPr>
            <w:t>☐</w:t>
          </w:r>
        </w:sdtContent>
      </w:sdt>
      <w:r w:rsidR="00086FAC">
        <w:rPr>
          <w:rFonts w:eastAsia="MS Mincho" w:cstheme="minorHAnsi"/>
          <w:b/>
          <w:bCs/>
          <w:color w:val="0000FF"/>
        </w:rPr>
        <w:t xml:space="preserve"> </w:t>
      </w:r>
      <w:r w:rsidR="00086FAC">
        <w:rPr>
          <w:rFonts w:cstheme="minorHAnsi"/>
          <w:b/>
          <w:bCs/>
        </w:rPr>
        <w:t>Other (please describe)</w:t>
      </w:r>
    </w:p>
    <w:p w14:paraId="149C7685" w14:textId="6443068D" w:rsidR="00086FAC" w:rsidRPr="007D17AA" w:rsidRDefault="00DA0B56" w:rsidP="00086FAC">
      <w:pPr>
        <w:autoSpaceDE w:val="0"/>
        <w:autoSpaceDN w:val="0"/>
        <w:adjustRightInd w:val="0"/>
        <w:spacing w:after="0" w:line="240" w:lineRule="auto"/>
        <w:rPr>
          <w:rFonts w:cstheme="minorHAnsi"/>
          <w:b/>
          <w:bCs/>
          <w:color w:val="0070C0"/>
        </w:rPr>
      </w:pPr>
      <w:r w:rsidRPr="007D17AA">
        <w:rPr>
          <w:color w:val="0070C0"/>
        </w:rPr>
        <w:t xml:space="preserve">To identify candidate </w:t>
      </w:r>
      <w:r w:rsidR="000C284B" w:rsidRPr="007D17AA">
        <w:rPr>
          <w:color w:val="0070C0"/>
        </w:rPr>
        <w:t>SDH variables</w:t>
      </w:r>
      <w:r w:rsidRPr="007D17AA">
        <w:rPr>
          <w:color w:val="0070C0"/>
        </w:rPr>
        <w:t xml:space="preserve"> for risk-adjustment and risk-stratification, we reviewed existing literature on social risk factors for readmission following psychiatric discharges and reviewed risk variables used in other admission and readmission measures.</w:t>
      </w:r>
    </w:p>
    <w:p w14:paraId="0BF0B34B" w14:textId="77777777" w:rsidR="00DA0B56" w:rsidRDefault="00DA0B56" w:rsidP="00086FAC">
      <w:pPr>
        <w:autoSpaceDE w:val="0"/>
        <w:autoSpaceDN w:val="0"/>
        <w:adjustRightInd w:val="0"/>
        <w:spacing w:after="0" w:line="240" w:lineRule="auto"/>
        <w:rPr>
          <w:rFonts w:cstheme="minorHAnsi"/>
          <w:b/>
          <w:bCs/>
        </w:rPr>
      </w:pPr>
    </w:p>
    <w:p w14:paraId="517B7766" w14:textId="32F7B5C6" w:rsidR="00086FAC" w:rsidRDefault="00086FAC" w:rsidP="00086FAC">
      <w:pPr>
        <w:spacing w:after="120" w:line="240" w:lineRule="auto"/>
        <w:rPr>
          <w:rFonts w:cs="Times New Roman"/>
          <w:color w:val="0070C0"/>
          <w:szCs w:val="24"/>
        </w:rPr>
      </w:pPr>
      <w:bookmarkStart w:id="34" w:name="_Hlk55836570"/>
      <w:r>
        <w:rPr>
          <w:rFonts w:cstheme="minorHAnsi"/>
          <w:b/>
          <w:bCs/>
        </w:rPr>
        <w:t xml:space="preserve">2b3.4a. </w:t>
      </w:r>
      <w:r w:rsidRPr="00A25024">
        <w:rPr>
          <w:rFonts w:cstheme="minorHAnsi"/>
          <w:b/>
          <w:bCs/>
        </w:rPr>
        <w:t>What were the statistical results of the analyses used to select risk factors?</w:t>
      </w:r>
      <w:bookmarkEnd w:id="34"/>
      <w:r>
        <w:rPr>
          <w:rFonts w:cstheme="minorHAnsi"/>
          <w:b/>
          <w:bCs/>
        </w:rPr>
        <w:br/>
      </w:r>
      <w:r w:rsidRPr="00526D53">
        <w:rPr>
          <w:rFonts w:cs="Times New Roman"/>
          <w:color w:val="0070C0"/>
          <w:szCs w:val="24"/>
        </w:rPr>
        <w:t>Th</w:t>
      </w:r>
      <w:r>
        <w:rPr>
          <w:rFonts w:cs="Times New Roman"/>
          <w:color w:val="0070C0"/>
          <w:szCs w:val="24"/>
        </w:rPr>
        <w:t xml:space="preserve">is section summarizes analyses involving the clinical risk factor model. The results of the </w:t>
      </w:r>
      <w:r w:rsidR="00B41FC6">
        <w:rPr>
          <w:rFonts w:cs="Times New Roman"/>
          <w:color w:val="0070C0"/>
          <w:szCs w:val="24"/>
        </w:rPr>
        <w:t>risk-adjustment model with social risk</w:t>
      </w:r>
      <w:r w:rsidR="00E51A37">
        <w:rPr>
          <w:rFonts w:cs="Times New Roman"/>
          <w:color w:val="0070C0"/>
          <w:szCs w:val="24"/>
        </w:rPr>
        <w:t xml:space="preserve"> </w:t>
      </w:r>
      <w:r w:rsidR="00B41FC6">
        <w:rPr>
          <w:rFonts w:cs="Times New Roman"/>
          <w:color w:val="0070C0"/>
          <w:szCs w:val="24"/>
        </w:rPr>
        <w:t>factors</w:t>
      </w:r>
      <w:r>
        <w:rPr>
          <w:rFonts w:cs="Times New Roman"/>
          <w:color w:val="0070C0"/>
          <w:szCs w:val="24"/>
        </w:rPr>
        <w:t xml:space="preserve"> are in </w:t>
      </w:r>
      <w:r w:rsidR="00E51A37">
        <w:rPr>
          <w:rFonts w:cs="Times New Roman"/>
          <w:color w:val="0070C0"/>
          <w:szCs w:val="24"/>
        </w:rPr>
        <w:t xml:space="preserve">section </w:t>
      </w:r>
      <w:r>
        <w:rPr>
          <w:rFonts w:cs="Times New Roman"/>
          <w:color w:val="0070C0"/>
          <w:szCs w:val="24"/>
        </w:rPr>
        <w:t>2b4.4b.</w:t>
      </w:r>
    </w:p>
    <w:p w14:paraId="551BED38" w14:textId="4F717D58" w:rsidR="00663FE2" w:rsidRPr="007D17AA" w:rsidRDefault="00AB6002" w:rsidP="007C7596">
      <w:pPr>
        <w:pStyle w:val="ListParagraph"/>
        <w:numPr>
          <w:ilvl w:val="0"/>
          <w:numId w:val="11"/>
        </w:numPr>
        <w:spacing w:before="240" w:after="0" w:line="240" w:lineRule="auto"/>
        <w:rPr>
          <w:color w:val="0070C0"/>
        </w:rPr>
      </w:pPr>
      <w:bookmarkStart w:id="35" w:name="_Ref435011762"/>
      <w:bookmarkStart w:id="36" w:name="_Toc435026115"/>
      <w:bookmarkStart w:id="37" w:name="_Toc435519427"/>
      <w:bookmarkStart w:id="38" w:name="_Toc435522116"/>
      <w:bookmarkStart w:id="39" w:name="_Toc435522223"/>
      <w:bookmarkStart w:id="40" w:name="_Toc435776612"/>
      <w:bookmarkStart w:id="41" w:name="_Toc436135225"/>
      <w:bookmarkStart w:id="42" w:name="_Toc436135598"/>
      <w:r w:rsidRPr="007D17AA">
        <w:rPr>
          <w:color w:val="0070C0"/>
        </w:rPr>
        <w:t xml:space="preserve">Appendix A </w:t>
      </w:r>
      <w:r w:rsidR="00086FAC" w:rsidRPr="007D17AA">
        <w:rPr>
          <w:color w:val="0070C0"/>
        </w:rPr>
        <w:t xml:space="preserve">lists the frequencies and readmission rates of all candidate </w:t>
      </w:r>
      <w:r w:rsidR="002A62A6">
        <w:rPr>
          <w:color w:val="0070C0"/>
        </w:rPr>
        <w:t xml:space="preserve">clinical </w:t>
      </w:r>
      <w:r w:rsidR="00086FAC" w:rsidRPr="007D17AA">
        <w:rPr>
          <w:color w:val="0070C0"/>
        </w:rPr>
        <w:t>risk variables</w:t>
      </w:r>
      <w:r w:rsidR="00E51A37" w:rsidRPr="007D17AA">
        <w:rPr>
          <w:color w:val="0070C0"/>
        </w:rPr>
        <w:t xml:space="preserve"> and </w:t>
      </w:r>
      <w:r w:rsidR="00A20ADD" w:rsidRPr="007D17AA">
        <w:rPr>
          <w:color w:val="0070C0"/>
        </w:rPr>
        <w:t xml:space="preserve">details the output of the selection process, including the number of times a variable was selected. </w:t>
      </w:r>
      <w:r w:rsidR="009227BC">
        <w:rPr>
          <w:color w:val="0070C0"/>
        </w:rPr>
        <w:t xml:space="preserve"> </w:t>
      </w:r>
    </w:p>
    <w:p w14:paraId="5714171A" w14:textId="1A151044" w:rsidR="00086FAC" w:rsidRPr="007D17AA" w:rsidRDefault="00086FAC" w:rsidP="003029AF">
      <w:pPr>
        <w:spacing w:before="240" w:after="120" w:line="240" w:lineRule="auto"/>
        <w:rPr>
          <w:color w:val="0070C0"/>
        </w:rPr>
      </w:pPr>
      <w:r w:rsidRPr="007D17AA">
        <w:rPr>
          <w:color w:val="0070C0"/>
        </w:rPr>
        <w:t xml:space="preserve">The final </w:t>
      </w:r>
      <w:r w:rsidR="00C6443B" w:rsidRPr="007D17AA">
        <w:rPr>
          <w:color w:val="0070C0"/>
        </w:rPr>
        <w:t xml:space="preserve">risk-adjustment </w:t>
      </w:r>
      <w:r w:rsidRPr="007D17AA">
        <w:rPr>
          <w:color w:val="0070C0"/>
        </w:rPr>
        <w:t xml:space="preserve">model is presented in </w:t>
      </w:r>
      <w:r w:rsidR="006E543B" w:rsidRPr="007D17AA">
        <w:rPr>
          <w:color w:val="0070C0"/>
        </w:rPr>
        <w:t>Table 2b3.4b.b</w:t>
      </w:r>
      <w:r w:rsidR="006E543B" w:rsidRPr="007D17AA" w:rsidDel="006E543B">
        <w:rPr>
          <w:color w:val="0070C0"/>
        </w:rPr>
        <w:t xml:space="preserve"> </w:t>
      </w:r>
      <w:r w:rsidRPr="007D17AA">
        <w:rPr>
          <w:color w:val="0070C0"/>
        </w:rPr>
        <w:t xml:space="preserve">in section 2b4.4b. </w:t>
      </w:r>
    </w:p>
    <w:p w14:paraId="38C7126B" w14:textId="68332A84" w:rsidR="00086FAC" w:rsidRDefault="00086FAC" w:rsidP="00086FAC">
      <w:pPr>
        <w:autoSpaceDE w:val="0"/>
        <w:autoSpaceDN w:val="0"/>
        <w:adjustRightInd w:val="0"/>
        <w:spacing w:after="0" w:line="240" w:lineRule="auto"/>
        <w:rPr>
          <w:rFonts w:cstheme="minorHAnsi"/>
          <w:b/>
          <w:bCs/>
        </w:rPr>
      </w:pPr>
      <w:bookmarkStart w:id="43" w:name="_Hlk55852613"/>
      <w:bookmarkStart w:id="44" w:name="_Hlk28084608"/>
      <w:bookmarkEnd w:id="35"/>
      <w:bookmarkEnd w:id="36"/>
      <w:bookmarkEnd w:id="37"/>
      <w:bookmarkEnd w:id="38"/>
      <w:bookmarkEnd w:id="39"/>
      <w:bookmarkEnd w:id="40"/>
      <w:bookmarkEnd w:id="41"/>
      <w:bookmarkEnd w:id="42"/>
      <w:r>
        <w:rPr>
          <w:rFonts w:cstheme="minorHAnsi"/>
          <w:b/>
          <w:bCs/>
        </w:rPr>
        <w:t>2b3.4b. Describe the analyses and interpretation resulting in the decision to select social risk factors</w:t>
      </w:r>
      <w:bookmarkEnd w:id="43"/>
      <w:r>
        <w:rPr>
          <w:rFonts w:cstheme="minorHAnsi"/>
          <w:b/>
          <w:bCs/>
        </w:rPr>
        <w:t xml:space="preserve"> </w:t>
      </w:r>
      <w:r w:rsidRPr="00AF2D68">
        <w:rPr>
          <w:rFonts w:cstheme="minorHAnsi"/>
          <w:bCs/>
          <w:i/>
        </w:rPr>
        <w:t>(e.g. prevalence of the factor across measured entities, empirical association with the outcome, contribution of unique variation in the outcome, assessment of between-unit effects and within-unit effects</w:t>
      </w:r>
      <w:r>
        <w:rPr>
          <w:rFonts w:cstheme="minorHAnsi"/>
          <w:bCs/>
          <w:i/>
        </w:rPr>
        <w:t>.)</w:t>
      </w:r>
      <w:r w:rsidR="00150B13">
        <w:rPr>
          <w:rFonts w:cstheme="minorHAnsi"/>
          <w:bCs/>
          <w:i/>
        </w:rPr>
        <w:t xml:space="preserve"> </w:t>
      </w:r>
      <w:r w:rsidRPr="00CE284E">
        <w:rPr>
          <w:rFonts w:cstheme="minorHAnsi"/>
          <w:b/>
          <w:bCs/>
        </w:rPr>
        <w:t>Also describe the impact of adjusting for social risk (or not) on providers at high or low extremes of risk.</w:t>
      </w:r>
    </w:p>
    <w:p w14:paraId="19EB0958" w14:textId="57C1F6F4" w:rsidR="00276439" w:rsidRPr="007D17AA" w:rsidRDefault="00276439" w:rsidP="00276439">
      <w:pPr>
        <w:spacing w:after="120" w:line="240" w:lineRule="auto"/>
        <w:rPr>
          <w:color w:val="0070C0"/>
        </w:rPr>
      </w:pPr>
      <w:r w:rsidRPr="007D17AA">
        <w:rPr>
          <w:color w:val="0070C0"/>
        </w:rPr>
        <w:t xml:space="preserve">To test the impact of </w:t>
      </w:r>
      <w:r w:rsidR="000C284B" w:rsidRPr="007D17AA">
        <w:rPr>
          <w:color w:val="0070C0"/>
        </w:rPr>
        <w:t>SDH risk factors</w:t>
      </w:r>
      <w:r w:rsidRPr="007D17AA">
        <w:rPr>
          <w:color w:val="0070C0"/>
        </w:rPr>
        <w:t xml:space="preserve"> on the outcome</w:t>
      </w:r>
      <w:r w:rsidR="008603AD" w:rsidRPr="007D17AA">
        <w:rPr>
          <w:color w:val="0070C0"/>
        </w:rPr>
        <w:t>,</w:t>
      </w:r>
      <w:r w:rsidRPr="007D17AA">
        <w:rPr>
          <w:color w:val="0070C0"/>
        </w:rPr>
        <w:t xml:space="preserve"> we examined the univariate associations of the </w:t>
      </w:r>
      <w:r w:rsidR="000C284B" w:rsidRPr="007D17AA">
        <w:rPr>
          <w:color w:val="0070C0"/>
        </w:rPr>
        <w:t>SDH risk factors</w:t>
      </w:r>
      <w:r w:rsidRPr="007D17AA">
        <w:rPr>
          <w:color w:val="0070C0"/>
        </w:rPr>
        <w:t xml:space="preserve"> with unplanned all-cause readmissions</w:t>
      </w:r>
      <w:r w:rsidR="00491289" w:rsidRPr="007D17AA">
        <w:rPr>
          <w:color w:val="0070C0"/>
        </w:rPr>
        <w:t xml:space="preserve"> adjusted and unadjusted for clinical risk</w:t>
      </w:r>
      <w:r w:rsidR="00E63100" w:rsidRPr="007D17AA">
        <w:rPr>
          <w:color w:val="0070C0"/>
        </w:rPr>
        <w:t xml:space="preserve"> </w:t>
      </w:r>
      <w:r w:rsidR="00491289" w:rsidRPr="007D17AA">
        <w:rPr>
          <w:color w:val="0070C0"/>
        </w:rPr>
        <w:t>factors (</w:t>
      </w:r>
      <w:r w:rsidR="006E543B" w:rsidRPr="007D17AA">
        <w:rPr>
          <w:color w:val="0070C0"/>
        </w:rPr>
        <w:t>Table 2b3.4b.a</w:t>
      </w:r>
      <w:r w:rsidR="00491289" w:rsidRPr="007D17AA">
        <w:rPr>
          <w:color w:val="0070C0"/>
        </w:rPr>
        <w:t>).</w:t>
      </w:r>
      <w:r w:rsidRPr="007D17AA">
        <w:rPr>
          <w:color w:val="0070C0"/>
        </w:rPr>
        <w:t xml:space="preserve"> When </w:t>
      </w:r>
      <w:r w:rsidR="00A47E01" w:rsidRPr="007D17AA">
        <w:rPr>
          <w:color w:val="0070C0"/>
        </w:rPr>
        <w:t xml:space="preserve">we added </w:t>
      </w:r>
      <w:r w:rsidRPr="007D17AA">
        <w:rPr>
          <w:color w:val="0070C0"/>
        </w:rPr>
        <w:t xml:space="preserve">each </w:t>
      </w:r>
      <w:r w:rsidR="00332B45" w:rsidRPr="007D17AA">
        <w:rPr>
          <w:color w:val="0070C0"/>
        </w:rPr>
        <w:t>SDH</w:t>
      </w:r>
      <w:r w:rsidRPr="007D17AA">
        <w:rPr>
          <w:color w:val="0070C0"/>
        </w:rPr>
        <w:t xml:space="preserve"> variable on its own to the risk model</w:t>
      </w:r>
      <w:r w:rsidR="003E09A9" w:rsidRPr="007D17AA">
        <w:rPr>
          <w:color w:val="0070C0"/>
        </w:rPr>
        <w:t xml:space="preserve"> </w:t>
      </w:r>
      <w:r w:rsidR="00491289" w:rsidRPr="007D17AA">
        <w:rPr>
          <w:color w:val="0070C0"/>
        </w:rPr>
        <w:t xml:space="preserve">adjusted by </w:t>
      </w:r>
      <w:r w:rsidRPr="007D17AA">
        <w:rPr>
          <w:color w:val="0070C0"/>
        </w:rPr>
        <w:t xml:space="preserve">the clinical risk factors, </w:t>
      </w:r>
      <w:r w:rsidR="00491289" w:rsidRPr="007D17AA">
        <w:rPr>
          <w:color w:val="0070C0"/>
        </w:rPr>
        <w:t xml:space="preserve">nearly all </w:t>
      </w:r>
      <w:r w:rsidR="000C284B" w:rsidRPr="007D17AA">
        <w:rPr>
          <w:color w:val="0070C0"/>
        </w:rPr>
        <w:t>SDH variables</w:t>
      </w:r>
      <w:r w:rsidRPr="007D17AA">
        <w:rPr>
          <w:color w:val="0070C0"/>
        </w:rPr>
        <w:t xml:space="preserve"> had much weaker associations with the outcome</w:t>
      </w:r>
      <w:r w:rsidR="00491289" w:rsidRPr="007D17AA">
        <w:rPr>
          <w:color w:val="0070C0"/>
        </w:rPr>
        <w:t xml:space="preserve"> (odds ratios closer to 1.0)</w:t>
      </w:r>
      <w:r w:rsidRPr="007D17AA">
        <w:rPr>
          <w:color w:val="0070C0"/>
        </w:rPr>
        <w:t xml:space="preserve">. These variables include Medicaid status (dual </w:t>
      </w:r>
      <w:r w:rsidR="00491289" w:rsidRPr="007D17AA">
        <w:rPr>
          <w:color w:val="0070C0"/>
        </w:rPr>
        <w:t xml:space="preserve">eligibility </w:t>
      </w:r>
      <w:r w:rsidRPr="007D17AA">
        <w:rPr>
          <w:color w:val="0070C0"/>
        </w:rPr>
        <w:t xml:space="preserve">status), </w:t>
      </w:r>
      <w:r w:rsidR="00A47E01" w:rsidRPr="007D17AA">
        <w:rPr>
          <w:color w:val="0070C0"/>
        </w:rPr>
        <w:t>p</w:t>
      </w:r>
      <w:r w:rsidR="004F461F" w:rsidRPr="007D17AA">
        <w:rPr>
          <w:color w:val="0070C0"/>
        </w:rPr>
        <w:t xml:space="preserve">ercent of residents </w:t>
      </w:r>
      <w:r w:rsidR="007835B8" w:rsidRPr="007D17AA">
        <w:rPr>
          <w:color w:val="0070C0"/>
        </w:rPr>
        <w:t>who do not speak English or speak limited English</w:t>
      </w:r>
      <w:r w:rsidR="004F461F" w:rsidRPr="007D17AA">
        <w:rPr>
          <w:color w:val="0070C0"/>
        </w:rPr>
        <w:t xml:space="preserve">, </w:t>
      </w:r>
      <w:r w:rsidR="008B150A" w:rsidRPr="007D17AA">
        <w:rPr>
          <w:color w:val="0070C0"/>
        </w:rPr>
        <w:t>USDA RUCA (proxy for the l</w:t>
      </w:r>
      <w:r w:rsidR="004F461F" w:rsidRPr="007D17AA">
        <w:rPr>
          <w:color w:val="0070C0"/>
        </w:rPr>
        <w:t>evel of urbanization</w:t>
      </w:r>
      <w:r w:rsidR="008B150A" w:rsidRPr="007D17AA">
        <w:rPr>
          <w:color w:val="0070C0"/>
        </w:rPr>
        <w:t>)</w:t>
      </w:r>
      <w:r w:rsidR="004F461F" w:rsidRPr="007D17AA">
        <w:rPr>
          <w:color w:val="0070C0"/>
        </w:rPr>
        <w:t xml:space="preserve"> and AHRQ Socio-Economic Status Index. </w:t>
      </w:r>
      <w:r w:rsidRPr="007D17AA">
        <w:rPr>
          <w:color w:val="0070C0"/>
        </w:rPr>
        <w:t xml:space="preserve">This is in line with our conceptual framework that </w:t>
      </w:r>
      <w:r w:rsidR="00332B45" w:rsidRPr="007D17AA">
        <w:rPr>
          <w:color w:val="0070C0"/>
        </w:rPr>
        <w:t>SDH</w:t>
      </w:r>
      <w:r w:rsidRPr="007D17AA">
        <w:rPr>
          <w:color w:val="0070C0"/>
        </w:rPr>
        <w:t xml:space="preserve"> and health are interrelated. Some of the effect</w:t>
      </w:r>
      <w:r w:rsidR="00A47E01" w:rsidRPr="007D17AA">
        <w:rPr>
          <w:color w:val="0070C0"/>
        </w:rPr>
        <w:t>s</w:t>
      </w:r>
      <w:r w:rsidRPr="007D17AA">
        <w:rPr>
          <w:color w:val="0070C0"/>
        </w:rPr>
        <w:t xml:space="preserve"> of </w:t>
      </w:r>
      <w:r w:rsidR="00332B45" w:rsidRPr="007D17AA">
        <w:rPr>
          <w:color w:val="0070C0"/>
        </w:rPr>
        <w:t>SDH</w:t>
      </w:r>
      <w:r w:rsidRPr="007D17AA">
        <w:rPr>
          <w:color w:val="0070C0"/>
        </w:rPr>
        <w:t xml:space="preserve"> on readmission outcomes are captured by health and clinical status.</w:t>
      </w:r>
    </w:p>
    <w:p w14:paraId="481A61C5" w14:textId="359CD72A" w:rsidR="00086FAC" w:rsidRDefault="00086FAC" w:rsidP="000C0983">
      <w:pPr>
        <w:pStyle w:val="Caption"/>
      </w:pPr>
      <w:r>
        <w:t xml:space="preserve">Table </w:t>
      </w:r>
      <w:r w:rsidR="009E0DC1">
        <w:t>2</w:t>
      </w:r>
      <w:r w:rsidR="0078380D">
        <w:t>b3.4b.a</w:t>
      </w:r>
      <w:r>
        <w:t xml:space="preserve">. Univariate associations with unplanned all-cause readmission for </w:t>
      </w:r>
      <w:r w:rsidR="000C284B">
        <w:t>SDH variables</w:t>
      </w:r>
    </w:p>
    <w:tbl>
      <w:tblPr>
        <w:tblStyle w:val="MathUBaseTable"/>
        <w:tblW w:w="9830" w:type="dxa"/>
        <w:tblLook w:val="04A0" w:firstRow="1" w:lastRow="0" w:firstColumn="1" w:lastColumn="0" w:noHBand="0" w:noVBand="1"/>
      </w:tblPr>
      <w:tblGrid>
        <w:gridCol w:w="3062"/>
        <w:gridCol w:w="1128"/>
        <w:gridCol w:w="1128"/>
        <w:gridCol w:w="1128"/>
        <w:gridCol w:w="1128"/>
        <w:gridCol w:w="1128"/>
        <w:gridCol w:w="1128"/>
      </w:tblGrid>
      <w:tr w:rsidR="00765B7A" w:rsidRPr="00C11578" w14:paraId="35A06AAA" w14:textId="77777777" w:rsidTr="005B6113">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3062" w:type="dxa"/>
            <w:vMerge w:val="restart"/>
            <w:hideMark/>
          </w:tcPr>
          <w:p w14:paraId="2447C658" w14:textId="3EFC8789" w:rsidR="00765B7A" w:rsidRPr="00791E41" w:rsidRDefault="000C284B" w:rsidP="00CD5A79">
            <w:pPr>
              <w:pStyle w:val="TableHeaderLeft"/>
              <w:rPr>
                <w:b w:val="0"/>
              </w:rPr>
            </w:pPr>
            <w:r>
              <w:t>SDH variables</w:t>
            </w:r>
          </w:p>
        </w:tc>
        <w:tc>
          <w:tcPr>
            <w:tcW w:w="3384" w:type="dxa"/>
            <w:gridSpan w:val="3"/>
            <w:tcBorders>
              <w:bottom w:val="single" w:sz="4" w:space="0" w:color="FFFFFF" w:themeColor="background1"/>
              <w:right w:val="single" w:sz="4" w:space="0" w:color="FFFFFF" w:themeColor="background1"/>
            </w:tcBorders>
            <w:noWrap/>
            <w:hideMark/>
          </w:tcPr>
          <w:p w14:paraId="7090DBA2" w14:textId="77777777"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Unadjusted</w:t>
            </w:r>
          </w:p>
        </w:tc>
        <w:tc>
          <w:tcPr>
            <w:tcW w:w="3384" w:type="dxa"/>
            <w:gridSpan w:val="3"/>
            <w:tcBorders>
              <w:left w:val="single" w:sz="4" w:space="0" w:color="FFFFFF" w:themeColor="background1"/>
              <w:bottom w:val="single" w:sz="4" w:space="0" w:color="FFFFFF" w:themeColor="background1"/>
            </w:tcBorders>
            <w:noWrap/>
            <w:hideMark/>
          </w:tcPr>
          <w:p w14:paraId="0046C280" w14:textId="10F24A9B"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 xml:space="preserve">Adjusted for clinical </w:t>
            </w:r>
            <w:r w:rsidR="00C0576C" w:rsidRPr="00791E41">
              <w:t>risk factors</w:t>
            </w:r>
          </w:p>
        </w:tc>
      </w:tr>
      <w:tr w:rsidR="00765B7A" w:rsidRPr="00C11578" w14:paraId="689DC8C7" w14:textId="77777777" w:rsidTr="005B6113">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3062" w:type="dxa"/>
            <w:vMerge/>
            <w:tcBorders>
              <w:bottom w:val="nil"/>
            </w:tcBorders>
            <w:hideMark/>
          </w:tcPr>
          <w:p w14:paraId="6628BE25" w14:textId="77777777" w:rsidR="00765B7A" w:rsidRPr="00791E41" w:rsidRDefault="00765B7A" w:rsidP="00CD5A79">
            <w:pPr>
              <w:pStyle w:val="TableTextLeft"/>
              <w:rPr>
                <w:b w:val="0"/>
              </w:rPr>
            </w:pPr>
          </w:p>
        </w:tc>
        <w:tc>
          <w:tcPr>
            <w:tcW w:w="1128" w:type="dxa"/>
            <w:tcBorders>
              <w:top w:val="single" w:sz="4" w:space="0" w:color="FFFFFF" w:themeColor="background1"/>
              <w:bottom w:val="nil"/>
            </w:tcBorders>
            <w:hideMark/>
          </w:tcPr>
          <w:p w14:paraId="4413771F" w14:textId="77777777"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Odds ratio</w:t>
            </w:r>
          </w:p>
        </w:tc>
        <w:tc>
          <w:tcPr>
            <w:tcW w:w="2256" w:type="dxa"/>
            <w:gridSpan w:val="2"/>
            <w:tcBorders>
              <w:top w:val="single" w:sz="4" w:space="0" w:color="FFFFFF" w:themeColor="background1"/>
              <w:bottom w:val="nil"/>
              <w:right w:val="single" w:sz="4" w:space="0" w:color="FFFFFF" w:themeColor="background1"/>
            </w:tcBorders>
            <w:hideMark/>
          </w:tcPr>
          <w:p w14:paraId="39CDA665" w14:textId="77777777"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95% C.I.</w:t>
            </w:r>
          </w:p>
        </w:tc>
        <w:tc>
          <w:tcPr>
            <w:tcW w:w="1128" w:type="dxa"/>
            <w:tcBorders>
              <w:top w:val="single" w:sz="4" w:space="0" w:color="FFFFFF" w:themeColor="background1"/>
              <w:left w:val="single" w:sz="4" w:space="0" w:color="FFFFFF" w:themeColor="background1"/>
              <w:bottom w:val="nil"/>
            </w:tcBorders>
            <w:hideMark/>
          </w:tcPr>
          <w:p w14:paraId="21754B22" w14:textId="77777777"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Odds ratio</w:t>
            </w:r>
          </w:p>
        </w:tc>
        <w:tc>
          <w:tcPr>
            <w:tcW w:w="2256" w:type="dxa"/>
            <w:gridSpan w:val="2"/>
            <w:tcBorders>
              <w:top w:val="single" w:sz="4" w:space="0" w:color="FFFFFF" w:themeColor="background1"/>
              <w:bottom w:val="nil"/>
            </w:tcBorders>
            <w:hideMark/>
          </w:tcPr>
          <w:p w14:paraId="2BD0140C" w14:textId="77777777" w:rsidR="00765B7A" w:rsidRPr="00791E41" w:rsidRDefault="00765B7A" w:rsidP="00CD5A79">
            <w:pPr>
              <w:pStyle w:val="TableHeaderCenter"/>
              <w:cnfStyle w:val="100000000000" w:firstRow="1" w:lastRow="0" w:firstColumn="0" w:lastColumn="0" w:oddVBand="0" w:evenVBand="0" w:oddHBand="0" w:evenHBand="0" w:firstRowFirstColumn="0" w:firstRowLastColumn="0" w:lastRowFirstColumn="0" w:lastRowLastColumn="0"/>
              <w:rPr>
                <w:b w:val="0"/>
              </w:rPr>
            </w:pPr>
            <w:r w:rsidRPr="00791E41">
              <w:t>95% C.I.</w:t>
            </w:r>
          </w:p>
        </w:tc>
      </w:tr>
      <w:tr w:rsidR="00765B7A" w:rsidRPr="00C11578" w14:paraId="2C199AAF" w14:textId="77777777" w:rsidTr="005B6113">
        <w:trPr>
          <w:trHeight w:val="120"/>
        </w:trPr>
        <w:tc>
          <w:tcPr>
            <w:cnfStyle w:val="001000000000" w:firstRow="0" w:lastRow="0" w:firstColumn="1" w:lastColumn="0" w:oddVBand="0" w:evenVBand="0" w:oddHBand="0" w:evenHBand="0" w:firstRowFirstColumn="0" w:firstRowLastColumn="0" w:lastRowFirstColumn="0" w:lastRowLastColumn="0"/>
            <w:tcW w:w="9830" w:type="dxa"/>
            <w:gridSpan w:val="7"/>
            <w:tcBorders>
              <w:top w:val="nil"/>
              <w:bottom w:val="nil"/>
            </w:tcBorders>
            <w:shd w:val="clear" w:color="auto" w:fill="0B2949"/>
            <w:hideMark/>
          </w:tcPr>
          <w:p w14:paraId="082C71E2" w14:textId="64A62AA9" w:rsidR="00765B7A" w:rsidRPr="00B02D47" w:rsidRDefault="0041588F" w:rsidP="00CD5A79">
            <w:pPr>
              <w:pStyle w:val="TableRowHead"/>
              <w:rPr>
                <w:rFonts w:cs="Arial"/>
              </w:rPr>
            </w:pPr>
            <w:r w:rsidRPr="00B02D47">
              <w:rPr>
                <w:rFonts w:cs="Arial"/>
              </w:rPr>
              <w:t>Patient-</w:t>
            </w:r>
            <w:r w:rsidR="00765B7A" w:rsidRPr="00B02D47">
              <w:rPr>
                <w:rFonts w:cs="Arial"/>
              </w:rPr>
              <w:t>level indicators</w:t>
            </w:r>
          </w:p>
        </w:tc>
      </w:tr>
      <w:tr w:rsidR="005D7EBA" w:rsidRPr="00C11578" w14:paraId="2AEFF4EC"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tcBorders>
              <w:top w:val="nil"/>
            </w:tcBorders>
            <w:hideMark/>
          </w:tcPr>
          <w:p w14:paraId="6D4FEC29" w14:textId="77777777" w:rsidR="005D7EBA" w:rsidRPr="00B02D47" w:rsidRDefault="005D7EBA" w:rsidP="00CD5A79">
            <w:pPr>
              <w:pStyle w:val="TableTextLeft"/>
              <w:rPr>
                <w:rFonts w:cs="Arial"/>
                <w:color w:val="000000"/>
              </w:rPr>
            </w:pPr>
            <w:r w:rsidRPr="00B02D47">
              <w:rPr>
                <w:rFonts w:cs="Arial"/>
                <w:color w:val="000000"/>
              </w:rPr>
              <w:t>Black (non-Hispanic) vs Other</w:t>
            </w:r>
          </w:p>
        </w:tc>
        <w:tc>
          <w:tcPr>
            <w:tcW w:w="1128" w:type="dxa"/>
            <w:tcBorders>
              <w:top w:val="nil"/>
            </w:tcBorders>
            <w:hideMark/>
          </w:tcPr>
          <w:p w14:paraId="2E23D0C4" w14:textId="6EEBBF2E"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1.155</w:t>
            </w:r>
          </w:p>
        </w:tc>
        <w:tc>
          <w:tcPr>
            <w:tcW w:w="1128" w:type="dxa"/>
            <w:tcBorders>
              <w:top w:val="nil"/>
            </w:tcBorders>
            <w:hideMark/>
          </w:tcPr>
          <w:p w14:paraId="2F0CAA06" w14:textId="090A5195"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1.114</w:t>
            </w:r>
          </w:p>
        </w:tc>
        <w:tc>
          <w:tcPr>
            <w:tcW w:w="1128" w:type="dxa"/>
            <w:tcBorders>
              <w:top w:val="nil"/>
            </w:tcBorders>
            <w:hideMark/>
          </w:tcPr>
          <w:p w14:paraId="13E37236" w14:textId="6BE8868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1.198</w:t>
            </w:r>
          </w:p>
        </w:tc>
        <w:tc>
          <w:tcPr>
            <w:tcW w:w="1128" w:type="dxa"/>
            <w:tcBorders>
              <w:top w:val="nil"/>
            </w:tcBorders>
            <w:hideMark/>
          </w:tcPr>
          <w:p w14:paraId="17A146C7" w14:textId="27D06585"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1.053</w:t>
            </w:r>
          </w:p>
        </w:tc>
        <w:tc>
          <w:tcPr>
            <w:tcW w:w="1128" w:type="dxa"/>
            <w:tcBorders>
              <w:top w:val="nil"/>
            </w:tcBorders>
            <w:hideMark/>
          </w:tcPr>
          <w:p w14:paraId="21250CDF" w14:textId="47555952"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1.013</w:t>
            </w:r>
          </w:p>
        </w:tc>
        <w:tc>
          <w:tcPr>
            <w:tcW w:w="1128" w:type="dxa"/>
            <w:tcBorders>
              <w:top w:val="nil"/>
            </w:tcBorders>
            <w:hideMark/>
          </w:tcPr>
          <w:p w14:paraId="256B92EB" w14:textId="30508358"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1.095</w:t>
            </w:r>
          </w:p>
        </w:tc>
      </w:tr>
      <w:tr w:rsidR="005D7EBA" w:rsidRPr="00C11578" w14:paraId="6458BEC5"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5293DA60" w14:textId="77777777" w:rsidR="005D7EBA" w:rsidRPr="00B02D47" w:rsidRDefault="005D7EBA" w:rsidP="00CD5A79">
            <w:pPr>
              <w:pStyle w:val="TableTextLeft"/>
              <w:rPr>
                <w:rFonts w:cs="Arial"/>
                <w:color w:val="000000"/>
              </w:rPr>
            </w:pPr>
            <w:r w:rsidRPr="00B02D47">
              <w:rPr>
                <w:rFonts w:cs="Arial"/>
                <w:color w:val="000000"/>
              </w:rPr>
              <w:t>Hispanic/Latino vs Other</w:t>
            </w:r>
          </w:p>
        </w:tc>
        <w:tc>
          <w:tcPr>
            <w:tcW w:w="1128" w:type="dxa"/>
            <w:hideMark/>
          </w:tcPr>
          <w:p w14:paraId="0D2D6A26" w14:textId="3FEF45F2"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1.23</w:t>
            </w:r>
            <w:r w:rsidR="004F461F" w:rsidRPr="00DE4D85">
              <w:t>0</w:t>
            </w:r>
          </w:p>
        </w:tc>
        <w:tc>
          <w:tcPr>
            <w:tcW w:w="1128" w:type="dxa"/>
            <w:hideMark/>
          </w:tcPr>
          <w:p w14:paraId="224DDC0B" w14:textId="5E66750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1.173</w:t>
            </w:r>
          </w:p>
        </w:tc>
        <w:tc>
          <w:tcPr>
            <w:tcW w:w="1128" w:type="dxa"/>
            <w:hideMark/>
          </w:tcPr>
          <w:p w14:paraId="1FFF5A3B" w14:textId="0BEAFE0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1.29</w:t>
            </w:r>
            <w:r w:rsidR="00BD7385" w:rsidRPr="00DE4D85">
              <w:t>0</w:t>
            </w:r>
          </w:p>
        </w:tc>
        <w:tc>
          <w:tcPr>
            <w:tcW w:w="1128" w:type="dxa"/>
            <w:hideMark/>
          </w:tcPr>
          <w:p w14:paraId="223540CF" w14:textId="430BF2BE"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1.009</w:t>
            </w:r>
          </w:p>
        </w:tc>
        <w:tc>
          <w:tcPr>
            <w:tcW w:w="1128" w:type="dxa"/>
            <w:hideMark/>
          </w:tcPr>
          <w:p w14:paraId="70040197" w14:textId="511F740F"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0.96</w:t>
            </w:r>
            <w:r w:rsidR="00BD7385" w:rsidRPr="00DE4D85">
              <w:t>0</w:t>
            </w:r>
          </w:p>
        </w:tc>
        <w:tc>
          <w:tcPr>
            <w:tcW w:w="1128" w:type="dxa"/>
            <w:hideMark/>
          </w:tcPr>
          <w:p w14:paraId="64BDE721" w14:textId="3EB43B6A"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1.06</w:t>
            </w:r>
            <w:r w:rsidR="00BD7385" w:rsidRPr="00DE4D85">
              <w:t>0</w:t>
            </w:r>
          </w:p>
        </w:tc>
      </w:tr>
      <w:tr w:rsidR="005D7EBA" w:rsidRPr="00C11578" w14:paraId="3646A645"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3B9B66FB" w14:textId="77777777" w:rsidR="005D7EBA" w:rsidRPr="00B02D47" w:rsidRDefault="005D7EBA" w:rsidP="00CD5A79">
            <w:pPr>
              <w:pStyle w:val="TableTextLeft"/>
              <w:rPr>
                <w:rFonts w:cs="Arial"/>
                <w:color w:val="000000"/>
              </w:rPr>
            </w:pPr>
            <w:r w:rsidRPr="00B02D47">
              <w:rPr>
                <w:rFonts w:cs="Arial"/>
                <w:color w:val="000000"/>
              </w:rPr>
              <w:t>White (non-Hispanic) vs Other</w:t>
            </w:r>
          </w:p>
        </w:tc>
        <w:tc>
          <w:tcPr>
            <w:tcW w:w="1128" w:type="dxa"/>
            <w:hideMark/>
          </w:tcPr>
          <w:p w14:paraId="53CA75BD" w14:textId="1346CC3C"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0.956</w:t>
            </w:r>
          </w:p>
        </w:tc>
        <w:tc>
          <w:tcPr>
            <w:tcW w:w="1128" w:type="dxa"/>
            <w:hideMark/>
          </w:tcPr>
          <w:p w14:paraId="1913A33D" w14:textId="1E15D4B1"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0.925</w:t>
            </w:r>
          </w:p>
        </w:tc>
        <w:tc>
          <w:tcPr>
            <w:tcW w:w="1128" w:type="dxa"/>
            <w:hideMark/>
          </w:tcPr>
          <w:p w14:paraId="216A0AE4" w14:textId="468D5B4C"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0.989</w:t>
            </w:r>
          </w:p>
        </w:tc>
        <w:tc>
          <w:tcPr>
            <w:tcW w:w="1128" w:type="dxa"/>
            <w:hideMark/>
          </w:tcPr>
          <w:p w14:paraId="7C309B5A" w14:textId="37F45A0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1.027</w:t>
            </w:r>
          </w:p>
        </w:tc>
        <w:tc>
          <w:tcPr>
            <w:tcW w:w="1128" w:type="dxa"/>
            <w:hideMark/>
          </w:tcPr>
          <w:p w14:paraId="6FC4B352" w14:textId="342DF20B"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0.992</w:t>
            </w:r>
          </w:p>
        </w:tc>
        <w:tc>
          <w:tcPr>
            <w:tcW w:w="1128" w:type="dxa"/>
            <w:hideMark/>
          </w:tcPr>
          <w:p w14:paraId="682032B8" w14:textId="61AB5860"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1.064</w:t>
            </w:r>
          </w:p>
        </w:tc>
      </w:tr>
      <w:tr w:rsidR="005D7EBA" w:rsidRPr="00C11578" w14:paraId="0203C89D"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tcBorders>
              <w:bottom w:val="nil"/>
            </w:tcBorders>
            <w:hideMark/>
          </w:tcPr>
          <w:p w14:paraId="4F656E58" w14:textId="5901647B" w:rsidR="005D7EBA" w:rsidRPr="00B02D47" w:rsidRDefault="002F1273" w:rsidP="00CD5A79">
            <w:pPr>
              <w:pStyle w:val="TableTextLeft"/>
              <w:rPr>
                <w:rFonts w:cs="Arial"/>
                <w:color w:val="000000"/>
              </w:rPr>
            </w:pPr>
            <w:r w:rsidRPr="00B02D47">
              <w:rPr>
                <w:rFonts w:cs="Arial"/>
                <w:color w:val="000000"/>
              </w:rPr>
              <w:t>Dual Medicare-Medicaid status</w:t>
            </w:r>
            <w:r w:rsidR="007F5C9C" w:rsidRPr="00B02D47">
              <w:rPr>
                <w:rFonts w:cs="Arial"/>
                <w:color w:val="000000"/>
              </w:rPr>
              <w:t xml:space="preserve"> </w:t>
            </w:r>
          </w:p>
        </w:tc>
        <w:tc>
          <w:tcPr>
            <w:tcW w:w="1128" w:type="dxa"/>
            <w:tcBorders>
              <w:bottom w:val="nil"/>
            </w:tcBorders>
            <w:hideMark/>
          </w:tcPr>
          <w:p w14:paraId="0147188A" w14:textId="58172BB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w:t>
            </w:r>
            <w:r w:rsidR="00E71F58" w:rsidRPr="00DE4D85">
              <w:t>784</w:t>
            </w:r>
          </w:p>
        </w:tc>
        <w:tc>
          <w:tcPr>
            <w:tcW w:w="1128" w:type="dxa"/>
            <w:tcBorders>
              <w:bottom w:val="nil"/>
            </w:tcBorders>
            <w:hideMark/>
          </w:tcPr>
          <w:p w14:paraId="1F850F32" w14:textId="0BF4ED7D"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w:t>
            </w:r>
            <w:r w:rsidR="00E71F58" w:rsidRPr="00DE4D85">
              <w:t>774</w:t>
            </w:r>
          </w:p>
        </w:tc>
        <w:tc>
          <w:tcPr>
            <w:tcW w:w="1128" w:type="dxa"/>
            <w:tcBorders>
              <w:bottom w:val="nil"/>
            </w:tcBorders>
            <w:hideMark/>
          </w:tcPr>
          <w:p w14:paraId="4EA4B952" w14:textId="4E479E5D"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w:t>
            </w:r>
            <w:r w:rsidR="00E71F58" w:rsidRPr="00DE4D85">
              <w:t>795</w:t>
            </w:r>
          </w:p>
        </w:tc>
        <w:tc>
          <w:tcPr>
            <w:tcW w:w="1128" w:type="dxa"/>
            <w:tcBorders>
              <w:bottom w:val="nil"/>
            </w:tcBorders>
            <w:hideMark/>
          </w:tcPr>
          <w:p w14:paraId="2066610F" w14:textId="40964A2B"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w:t>
            </w:r>
            <w:r w:rsidR="00E71F58" w:rsidRPr="00DE4D85">
              <w:t>980</w:t>
            </w:r>
          </w:p>
        </w:tc>
        <w:tc>
          <w:tcPr>
            <w:tcW w:w="1128" w:type="dxa"/>
            <w:tcBorders>
              <w:bottom w:val="nil"/>
            </w:tcBorders>
            <w:hideMark/>
          </w:tcPr>
          <w:p w14:paraId="12A64B94" w14:textId="312B30D1"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w:t>
            </w:r>
            <w:r w:rsidR="00E71F58" w:rsidRPr="00DE4D85">
              <w:t>966</w:t>
            </w:r>
          </w:p>
        </w:tc>
        <w:tc>
          <w:tcPr>
            <w:tcW w:w="1128" w:type="dxa"/>
            <w:tcBorders>
              <w:bottom w:val="nil"/>
            </w:tcBorders>
            <w:hideMark/>
          </w:tcPr>
          <w:p w14:paraId="10AE190D" w14:textId="34BAA148"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w:t>
            </w:r>
            <w:r w:rsidR="00E71F58" w:rsidRPr="00DE4D85">
              <w:t>95</w:t>
            </w:r>
          </w:p>
        </w:tc>
      </w:tr>
      <w:tr w:rsidR="00765B7A" w:rsidRPr="00C11578" w14:paraId="71403958" w14:textId="77777777" w:rsidTr="005B6113">
        <w:trPr>
          <w:trHeight w:val="120"/>
        </w:trPr>
        <w:tc>
          <w:tcPr>
            <w:cnfStyle w:val="001000000000" w:firstRow="0" w:lastRow="0" w:firstColumn="1" w:lastColumn="0" w:oddVBand="0" w:evenVBand="0" w:oddHBand="0" w:evenHBand="0" w:firstRowFirstColumn="0" w:firstRowLastColumn="0" w:lastRowFirstColumn="0" w:lastRowLastColumn="0"/>
            <w:tcW w:w="9830" w:type="dxa"/>
            <w:gridSpan w:val="7"/>
            <w:tcBorders>
              <w:top w:val="nil"/>
              <w:bottom w:val="nil"/>
            </w:tcBorders>
            <w:shd w:val="clear" w:color="auto" w:fill="0B2949"/>
            <w:hideMark/>
          </w:tcPr>
          <w:p w14:paraId="6633EE0C" w14:textId="77777777" w:rsidR="00765B7A" w:rsidRPr="00B02D47" w:rsidRDefault="00765B7A" w:rsidP="00CD5A79">
            <w:pPr>
              <w:pStyle w:val="TableRowHead"/>
              <w:rPr>
                <w:rFonts w:cs="Arial"/>
              </w:rPr>
            </w:pPr>
            <w:r w:rsidRPr="00B02D47">
              <w:rPr>
                <w:rFonts w:cs="Arial"/>
              </w:rPr>
              <w:t>Area-level indicators</w:t>
            </w:r>
          </w:p>
        </w:tc>
      </w:tr>
      <w:tr w:rsidR="005D7EBA" w:rsidRPr="00C11578" w14:paraId="3901978F"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tcBorders>
              <w:top w:val="nil"/>
            </w:tcBorders>
            <w:hideMark/>
          </w:tcPr>
          <w:p w14:paraId="47E4E6E5" w14:textId="77777777" w:rsidR="005D7EBA" w:rsidRPr="00B02D47" w:rsidRDefault="005D7EBA" w:rsidP="00CD5A79">
            <w:pPr>
              <w:pStyle w:val="TableTextLeft"/>
              <w:rPr>
                <w:rFonts w:cs="Arial"/>
                <w:color w:val="000000"/>
              </w:rPr>
            </w:pPr>
            <w:r w:rsidRPr="00B02D47">
              <w:rPr>
                <w:rFonts w:cs="Arial"/>
                <w:color w:val="000000"/>
              </w:rPr>
              <w:t>Acute Care Hospital Beds per 1,000 Residents (2012)</w:t>
            </w:r>
          </w:p>
        </w:tc>
        <w:tc>
          <w:tcPr>
            <w:tcW w:w="1128" w:type="dxa"/>
            <w:tcBorders>
              <w:top w:val="nil"/>
            </w:tcBorders>
            <w:hideMark/>
          </w:tcPr>
          <w:p w14:paraId="337AB7D5" w14:textId="749F19EB"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0.964</w:t>
            </w:r>
          </w:p>
        </w:tc>
        <w:tc>
          <w:tcPr>
            <w:tcW w:w="1128" w:type="dxa"/>
            <w:tcBorders>
              <w:top w:val="nil"/>
            </w:tcBorders>
            <w:hideMark/>
          </w:tcPr>
          <w:p w14:paraId="05EB3BA7" w14:textId="16B245D5"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0.956</w:t>
            </w:r>
          </w:p>
        </w:tc>
        <w:tc>
          <w:tcPr>
            <w:tcW w:w="1128" w:type="dxa"/>
            <w:tcBorders>
              <w:top w:val="nil"/>
            </w:tcBorders>
            <w:hideMark/>
          </w:tcPr>
          <w:p w14:paraId="2C5C1DE8" w14:textId="502DC0CA"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0.972</w:t>
            </w:r>
          </w:p>
        </w:tc>
        <w:tc>
          <w:tcPr>
            <w:tcW w:w="1128" w:type="dxa"/>
            <w:tcBorders>
              <w:top w:val="nil"/>
            </w:tcBorders>
            <w:hideMark/>
          </w:tcPr>
          <w:p w14:paraId="64F41583" w14:textId="2F8651F8"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1.06</w:t>
            </w:r>
            <w:r w:rsidR="000422F5" w:rsidRPr="00DE4D85">
              <w:t>0</w:t>
            </w:r>
          </w:p>
        </w:tc>
        <w:tc>
          <w:tcPr>
            <w:tcW w:w="1128" w:type="dxa"/>
            <w:tcBorders>
              <w:top w:val="nil"/>
            </w:tcBorders>
            <w:hideMark/>
          </w:tcPr>
          <w:p w14:paraId="02EA2054" w14:textId="5A16CA1D"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1.045</w:t>
            </w:r>
          </w:p>
        </w:tc>
        <w:tc>
          <w:tcPr>
            <w:tcW w:w="1128" w:type="dxa"/>
            <w:tcBorders>
              <w:top w:val="nil"/>
            </w:tcBorders>
            <w:hideMark/>
          </w:tcPr>
          <w:p w14:paraId="6AE6F2E8" w14:textId="375490B4"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1.075</w:t>
            </w:r>
          </w:p>
        </w:tc>
      </w:tr>
      <w:tr w:rsidR="005D7EBA" w:rsidRPr="00C11578" w14:paraId="452FD1AA"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0D201B4D" w14:textId="1F266F85" w:rsidR="005D7EBA" w:rsidRPr="00B02D47" w:rsidRDefault="005D7EBA" w:rsidP="00CD5A79">
            <w:pPr>
              <w:pStyle w:val="TableTextLeft"/>
              <w:rPr>
                <w:rFonts w:cs="Arial"/>
                <w:color w:val="000000"/>
              </w:rPr>
            </w:pPr>
            <w:r w:rsidRPr="00B02D47">
              <w:rPr>
                <w:rFonts w:cs="Arial"/>
                <w:color w:val="000000"/>
              </w:rPr>
              <w:lastRenderedPageBreak/>
              <w:t xml:space="preserve">AHRQ Socio-Economic Status </w:t>
            </w:r>
            <w:r w:rsidR="004F461F" w:rsidRPr="00B02D47">
              <w:rPr>
                <w:rFonts w:cs="Arial"/>
                <w:color w:val="000000"/>
              </w:rPr>
              <w:t xml:space="preserve">Index </w:t>
            </w:r>
            <w:r w:rsidRPr="00B02D47">
              <w:rPr>
                <w:rFonts w:cs="Arial"/>
                <w:color w:val="000000"/>
              </w:rPr>
              <w:t>(2017 American Community Survey: 5-Year Data: 2013-2017)</w:t>
            </w:r>
            <w:r w:rsidR="00C64305" w:rsidRPr="00B02D47">
              <w:rPr>
                <w:rFonts w:cs="Arial"/>
                <w:color w:val="000000"/>
              </w:rPr>
              <w:t>.</w:t>
            </w:r>
          </w:p>
        </w:tc>
        <w:tc>
          <w:tcPr>
            <w:tcW w:w="1128" w:type="dxa"/>
            <w:hideMark/>
          </w:tcPr>
          <w:p w14:paraId="23C3FDFD" w14:textId="42401EE2"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0.988</w:t>
            </w:r>
          </w:p>
        </w:tc>
        <w:tc>
          <w:tcPr>
            <w:tcW w:w="1128" w:type="dxa"/>
            <w:hideMark/>
          </w:tcPr>
          <w:p w14:paraId="30F3A269" w14:textId="30EDA79C"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0.986</w:t>
            </w:r>
          </w:p>
        </w:tc>
        <w:tc>
          <w:tcPr>
            <w:tcW w:w="1128" w:type="dxa"/>
            <w:hideMark/>
          </w:tcPr>
          <w:p w14:paraId="0DAA6546" w14:textId="2843C78B"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0.991</w:t>
            </w:r>
          </w:p>
        </w:tc>
        <w:tc>
          <w:tcPr>
            <w:tcW w:w="1128" w:type="dxa"/>
            <w:hideMark/>
          </w:tcPr>
          <w:p w14:paraId="5CFBDAB6" w14:textId="4B4AD7FE"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1.002</w:t>
            </w:r>
          </w:p>
        </w:tc>
        <w:tc>
          <w:tcPr>
            <w:tcW w:w="1128" w:type="dxa"/>
            <w:hideMark/>
          </w:tcPr>
          <w:p w14:paraId="45025F5E" w14:textId="114D0378"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0.999</w:t>
            </w:r>
          </w:p>
        </w:tc>
        <w:tc>
          <w:tcPr>
            <w:tcW w:w="1128" w:type="dxa"/>
            <w:hideMark/>
          </w:tcPr>
          <w:p w14:paraId="07117E88" w14:textId="528ABE0D" w:rsidR="005D7EBA" w:rsidRPr="00C11578" w:rsidRDefault="005D7EBA" w:rsidP="00F303BE">
            <w:pPr>
              <w:pStyle w:val="TableTextCentered"/>
              <w:cnfStyle w:val="000000000000" w:firstRow="0" w:lastRow="0" w:firstColumn="0" w:lastColumn="0" w:oddVBand="0" w:evenVBand="0" w:oddHBand="0" w:evenHBand="0" w:firstRowFirstColumn="0" w:firstRowLastColumn="0" w:lastRowFirstColumn="0" w:lastRowLastColumn="0"/>
            </w:pPr>
            <w:r w:rsidRPr="00DE4D85">
              <w:t>1.005</w:t>
            </w:r>
          </w:p>
        </w:tc>
      </w:tr>
      <w:tr w:rsidR="005D7EBA" w:rsidRPr="00C11578" w14:paraId="0AEB7FA6"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659CDA34" w14:textId="77777777" w:rsidR="005D7EBA" w:rsidRPr="00B02D47" w:rsidRDefault="005D7EBA" w:rsidP="00CD5A79">
            <w:pPr>
              <w:pStyle w:val="TableTextLeft"/>
              <w:rPr>
                <w:rFonts w:cs="Arial"/>
                <w:color w:val="000000"/>
              </w:rPr>
            </w:pPr>
            <w:r w:rsidRPr="00B02D47">
              <w:rPr>
                <w:rFonts w:cs="Arial"/>
                <w:color w:val="000000"/>
              </w:rPr>
              <w:t>FTE Hospital Employees per 1,000 Residents (2012)</w:t>
            </w:r>
          </w:p>
        </w:tc>
        <w:tc>
          <w:tcPr>
            <w:tcW w:w="1128" w:type="dxa"/>
            <w:hideMark/>
          </w:tcPr>
          <w:p w14:paraId="4D6BDE12"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0.991</w:t>
            </w:r>
          </w:p>
        </w:tc>
        <w:tc>
          <w:tcPr>
            <w:tcW w:w="1128" w:type="dxa"/>
            <w:hideMark/>
          </w:tcPr>
          <w:p w14:paraId="3E3348EF"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0.989</w:t>
            </w:r>
          </w:p>
        </w:tc>
        <w:tc>
          <w:tcPr>
            <w:tcW w:w="1128" w:type="dxa"/>
            <w:hideMark/>
          </w:tcPr>
          <w:p w14:paraId="5081BDFB"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0.992</w:t>
            </w:r>
          </w:p>
        </w:tc>
        <w:tc>
          <w:tcPr>
            <w:tcW w:w="1128" w:type="dxa"/>
            <w:hideMark/>
          </w:tcPr>
          <w:p w14:paraId="1C623920" w14:textId="2FA9E00D"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0.997</w:t>
            </w:r>
          </w:p>
        </w:tc>
        <w:tc>
          <w:tcPr>
            <w:tcW w:w="1128" w:type="dxa"/>
            <w:hideMark/>
          </w:tcPr>
          <w:p w14:paraId="7F364C86" w14:textId="230518B5"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0.994</w:t>
            </w:r>
          </w:p>
        </w:tc>
        <w:tc>
          <w:tcPr>
            <w:tcW w:w="1128" w:type="dxa"/>
            <w:hideMark/>
          </w:tcPr>
          <w:p w14:paraId="6122B0F5" w14:textId="2FF4265F"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w:t>
            </w:r>
            <w:r w:rsidR="004F461F" w:rsidRPr="00DE4D85">
              <w:t>.000</w:t>
            </w:r>
          </w:p>
        </w:tc>
      </w:tr>
      <w:tr w:rsidR="005D7EBA" w:rsidRPr="00C11578" w14:paraId="6E26AF80"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078CB237" w14:textId="77777777" w:rsidR="005D7EBA" w:rsidRPr="00B02D47" w:rsidRDefault="005D7EBA" w:rsidP="00CD5A79">
            <w:pPr>
              <w:pStyle w:val="TableTextLeft"/>
              <w:rPr>
                <w:rFonts w:cs="Arial"/>
                <w:color w:val="000000"/>
              </w:rPr>
            </w:pPr>
            <w:r w:rsidRPr="00B02D47">
              <w:rPr>
                <w:rFonts w:cs="Arial"/>
                <w:color w:val="000000"/>
              </w:rPr>
              <w:t>Hospital-based Registered Nurses per 1,000 Residents (2012)</w:t>
            </w:r>
          </w:p>
        </w:tc>
        <w:tc>
          <w:tcPr>
            <w:tcW w:w="1128" w:type="dxa"/>
            <w:hideMark/>
          </w:tcPr>
          <w:p w14:paraId="3B9D9038"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0.976</w:t>
            </w:r>
          </w:p>
        </w:tc>
        <w:tc>
          <w:tcPr>
            <w:tcW w:w="1128" w:type="dxa"/>
            <w:hideMark/>
          </w:tcPr>
          <w:p w14:paraId="26B27C94"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0.971</w:t>
            </w:r>
          </w:p>
        </w:tc>
        <w:tc>
          <w:tcPr>
            <w:tcW w:w="1128" w:type="dxa"/>
            <w:hideMark/>
          </w:tcPr>
          <w:p w14:paraId="2861F124"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0.982</w:t>
            </w:r>
          </w:p>
        </w:tc>
        <w:tc>
          <w:tcPr>
            <w:tcW w:w="1128" w:type="dxa"/>
            <w:hideMark/>
          </w:tcPr>
          <w:p w14:paraId="506CAE78" w14:textId="4F036398"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0.98</w:t>
            </w:r>
            <w:r w:rsidR="000422F5" w:rsidRPr="00DE4D85">
              <w:t>0</w:t>
            </w:r>
          </w:p>
        </w:tc>
        <w:tc>
          <w:tcPr>
            <w:tcW w:w="1128" w:type="dxa"/>
            <w:hideMark/>
          </w:tcPr>
          <w:p w14:paraId="746E1ADD" w14:textId="20C894AF"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0.968</w:t>
            </w:r>
          </w:p>
        </w:tc>
        <w:tc>
          <w:tcPr>
            <w:tcW w:w="1128" w:type="dxa"/>
            <w:hideMark/>
          </w:tcPr>
          <w:p w14:paraId="3F09985B" w14:textId="49FCAF7A"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0.991</w:t>
            </w:r>
          </w:p>
        </w:tc>
      </w:tr>
      <w:tr w:rsidR="005D7EBA" w:rsidRPr="00C11578" w14:paraId="370377F0"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5D27B689" w14:textId="5841FD2B" w:rsidR="005D7EBA" w:rsidRPr="00B02D47" w:rsidRDefault="00023FA6" w:rsidP="00CD5A79">
            <w:pPr>
              <w:pStyle w:val="TableTextLeft"/>
              <w:rPr>
                <w:rFonts w:cs="Arial"/>
                <w:color w:val="000000"/>
              </w:rPr>
            </w:pPr>
            <w:r w:rsidRPr="00B02D47">
              <w:rPr>
                <w:rFonts w:cs="Arial"/>
                <w:color w:val="000000"/>
              </w:rPr>
              <w:t xml:space="preserve">Non-designated health-professionals shortage area vs. designated health- professionals shortage area (2015) </w:t>
            </w:r>
          </w:p>
        </w:tc>
        <w:tc>
          <w:tcPr>
            <w:tcW w:w="1128" w:type="dxa"/>
            <w:hideMark/>
          </w:tcPr>
          <w:p w14:paraId="57929B7B" w14:textId="03756CF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0.900</w:t>
            </w:r>
          </w:p>
        </w:tc>
        <w:tc>
          <w:tcPr>
            <w:tcW w:w="1128" w:type="dxa"/>
            <w:hideMark/>
          </w:tcPr>
          <w:p w14:paraId="2E63A53C"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0.887</w:t>
            </w:r>
          </w:p>
        </w:tc>
        <w:tc>
          <w:tcPr>
            <w:tcW w:w="1128" w:type="dxa"/>
            <w:hideMark/>
          </w:tcPr>
          <w:p w14:paraId="3FC6C9AF"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0.913</w:t>
            </w:r>
          </w:p>
        </w:tc>
        <w:tc>
          <w:tcPr>
            <w:tcW w:w="1128" w:type="dxa"/>
            <w:hideMark/>
          </w:tcPr>
          <w:p w14:paraId="48342513" w14:textId="7DE4B41B"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1.001</w:t>
            </w:r>
          </w:p>
        </w:tc>
        <w:tc>
          <w:tcPr>
            <w:tcW w:w="1128" w:type="dxa"/>
            <w:hideMark/>
          </w:tcPr>
          <w:p w14:paraId="137F3654" w14:textId="49DE7960"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0.983</w:t>
            </w:r>
          </w:p>
        </w:tc>
        <w:tc>
          <w:tcPr>
            <w:tcW w:w="1128" w:type="dxa"/>
            <w:hideMark/>
          </w:tcPr>
          <w:p w14:paraId="1253E1A0" w14:textId="76E34498"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1.019</w:t>
            </w:r>
          </w:p>
        </w:tc>
      </w:tr>
      <w:tr w:rsidR="005D7EBA" w:rsidRPr="00C11578" w14:paraId="1290D77F"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1B1D109A" w14:textId="6C2D0637" w:rsidR="005D7EBA" w:rsidRPr="00B02D47" w:rsidRDefault="005D7EBA" w:rsidP="00CD5A79">
            <w:pPr>
              <w:pStyle w:val="TableTextLeft"/>
              <w:rPr>
                <w:rFonts w:cs="Arial"/>
                <w:color w:val="000000"/>
              </w:rPr>
            </w:pPr>
            <w:bookmarkStart w:id="45" w:name="_Hlk57726723"/>
            <w:r w:rsidRPr="00B02D47">
              <w:rPr>
                <w:rFonts w:cs="Arial"/>
                <w:color w:val="000000"/>
              </w:rPr>
              <w:t>Percent of residents speaking no- or limited English (2017 ACS: 5-Year Data: 2013-2017)</w:t>
            </w:r>
            <w:bookmarkEnd w:id="45"/>
          </w:p>
        </w:tc>
        <w:tc>
          <w:tcPr>
            <w:tcW w:w="1128" w:type="dxa"/>
            <w:hideMark/>
          </w:tcPr>
          <w:p w14:paraId="45129253"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2.088</w:t>
            </w:r>
          </w:p>
        </w:tc>
        <w:tc>
          <w:tcPr>
            <w:tcW w:w="1128" w:type="dxa"/>
            <w:hideMark/>
          </w:tcPr>
          <w:p w14:paraId="748464B3"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1.998</w:t>
            </w:r>
          </w:p>
        </w:tc>
        <w:tc>
          <w:tcPr>
            <w:tcW w:w="1128" w:type="dxa"/>
            <w:hideMark/>
          </w:tcPr>
          <w:p w14:paraId="16180C1C"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2.183</w:t>
            </w:r>
          </w:p>
        </w:tc>
        <w:tc>
          <w:tcPr>
            <w:tcW w:w="1128" w:type="dxa"/>
            <w:hideMark/>
          </w:tcPr>
          <w:p w14:paraId="339542FF" w14:textId="175B9596"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1.46</w:t>
            </w:r>
            <w:r w:rsidR="000422F5" w:rsidRPr="00DE4D85">
              <w:t>0</w:t>
            </w:r>
          </w:p>
        </w:tc>
        <w:tc>
          <w:tcPr>
            <w:tcW w:w="1128" w:type="dxa"/>
            <w:hideMark/>
          </w:tcPr>
          <w:p w14:paraId="00380CA7" w14:textId="21C3ED28"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1.376</w:t>
            </w:r>
          </w:p>
        </w:tc>
        <w:tc>
          <w:tcPr>
            <w:tcW w:w="1128" w:type="dxa"/>
            <w:hideMark/>
          </w:tcPr>
          <w:p w14:paraId="014A183F" w14:textId="746DDF0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1.548</w:t>
            </w:r>
          </w:p>
        </w:tc>
      </w:tr>
      <w:tr w:rsidR="005D7EBA" w:rsidRPr="00C11578" w14:paraId="6A96D0B1"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6FF15E2B" w14:textId="77777777" w:rsidR="005D7EBA" w:rsidRPr="00B02D47" w:rsidRDefault="005D7EBA" w:rsidP="00CD5A79">
            <w:pPr>
              <w:pStyle w:val="TableTextLeft"/>
              <w:rPr>
                <w:rFonts w:cs="Arial"/>
                <w:color w:val="000000"/>
              </w:rPr>
            </w:pPr>
            <w:r w:rsidRPr="00B02D47">
              <w:rPr>
                <w:rFonts w:cs="Arial"/>
                <w:color w:val="000000"/>
              </w:rPr>
              <w:t>Percent of Black residents (2017 ACS: 5-Year Data: 2013-2017)</w:t>
            </w:r>
          </w:p>
        </w:tc>
        <w:tc>
          <w:tcPr>
            <w:tcW w:w="1128" w:type="dxa"/>
            <w:hideMark/>
          </w:tcPr>
          <w:p w14:paraId="19B67B21"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1.434</w:t>
            </w:r>
          </w:p>
        </w:tc>
        <w:tc>
          <w:tcPr>
            <w:tcW w:w="1128" w:type="dxa"/>
            <w:hideMark/>
          </w:tcPr>
          <w:p w14:paraId="089E5CDC"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1.394</w:t>
            </w:r>
          </w:p>
        </w:tc>
        <w:tc>
          <w:tcPr>
            <w:tcW w:w="1128" w:type="dxa"/>
            <w:hideMark/>
          </w:tcPr>
          <w:p w14:paraId="3E5D1C6B"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1.475</w:t>
            </w:r>
          </w:p>
        </w:tc>
        <w:tc>
          <w:tcPr>
            <w:tcW w:w="1128" w:type="dxa"/>
            <w:hideMark/>
          </w:tcPr>
          <w:p w14:paraId="15180D11" w14:textId="52D7DC53"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1.171</w:t>
            </w:r>
          </w:p>
        </w:tc>
        <w:tc>
          <w:tcPr>
            <w:tcW w:w="1128" w:type="dxa"/>
            <w:hideMark/>
          </w:tcPr>
          <w:p w14:paraId="56B9F0A2" w14:textId="3E2C48A6"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1.128</w:t>
            </w:r>
          </w:p>
        </w:tc>
        <w:tc>
          <w:tcPr>
            <w:tcW w:w="1128" w:type="dxa"/>
            <w:hideMark/>
          </w:tcPr>
          <w:p w14:paraId="36515E2E" w14:textId="43EBE2BE"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1.215</w:t>
            </w:r>
          </w:p>
        </w:tc>
      </w:tr>
      <w:tr w:rsidR="005D7EBA" w:rsidRPr="00C11578" w14:paraId="17A298AE"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36D1092B" w14:textId="77777777" w:rsidR="005D7EBA" w:rsidRPr="00B02D47" w:rsidRDefault="005D7EBA" w:rsidP="00CD5A79">
            <w:pPr>
              <w:pStyle w:val="TableTextLeft"/>
              <w:rPr>
                <w:rFonts w:cs="Arial"/>
                <w:color w:val="000000"/>
              </w:rPr>
            </w:pPr>
            <w:r w:rsidRPr="00B02D47">
              <w:rPr>
                <w:rFonts w:cs="Arial"/>
                <w:color w:val="000000"/>
              </w:rPr>
              <w:t>Percent of Hispanic residents (2017 ACS: 5-Year Data: 2013-2017)</w:t>
            </w:r>
          </w:p>
        </w:tc>
        <w:tc>
          <w:tcPr>
            <w:tcW w:w="1128" w:type="dxa"/>
            <w:hideMark/>
          </w:tcPr>
          <w:p w14:paraId="0C597B8F"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0.999</w:t>
            </w:r>
          </w:p>
        </w:tc>
        <w:tc>
          <w:tcPr>
            <w:tcW w:w="1128" w:type="dxa"/>
            <w:hideMark/>
          </w:tcPr>
          <w:p w14:paraId="5FE5D49F" w14:textId="7777777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0.998</w:t>
            </w:r>
          </w:p>
        </w:tc>
        <w:tc>
          <w:tcPr>
            <w:tcW w:w="1128" w:type="dxa"/>
            <w:hideMark/>
          </w:tcPr>
          <w:p w14:paraId="0F1AB008" w14:textId="22E7411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1.000</w:t>
            </w:r>
          </w:p>
        </w:tc>
        <w:tc>
          <w:tcPr>
            <w:tcW w:w="1128" w:type="dxa"/>
            <w:hideMark/>
          </w:tcPr>
          <w:p w14:paraId="0DDFD556" w14:textId="4075AD87"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w:t>
            </w:r>
            <w:r w:rsidR="004F461F" w:rsidRPr="00DE4D85">
              <w:t>.000</w:t>
            </w:r>
          </w:p>
        </w:tc>
        <w:tc>
          <w:tcPr>
            <w:tcW w:w="1128" w:type="dxa"/>
            <w:hideMark/>
          </w:tcPr>
          <w:p w14:paraId="5F080115" w14:textId="793EE550"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0.999</w:t>
            </w:r>
          </w:p>
        </w:tc>
        <w:tc>
          <w:tcPr>
            <w:tcW w:w="1128" w:type="dxa"/>
            <w:hideMark/>
          </w:tcPr>
          <w:p w14:paraId="511E6F59" w14:textId="7CF014DC" w:rsidR="005D7EBA" w:rsidRPr="00C11578" w:rsidRDefault="005D7EBA"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1.001</w:t>
            </w:r>
          </w:p>
        </w:tc>
      </w:tr>
      <w:tr w:rsidR="009B5625" w:rsidRPr="00C11578" w14:paraId="285E0313"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53C7FB8A" w14:textId="0B1E4EAC" w:rsidR="009B5625" w:rsidRPr="00B02D47" w:rsidRDefault="008B150A" w:rsidP="00CD5A79">
            <w:pPr>
              <w:pStyle w:val="TableTextLeft"/>
              <w:rPr>
                <w:rFonts w:cs="Arial"/>
                <w:color w:val="000000"/>
              </w:rPr>
            </w:pPr>
            <w:r w:rsidRPr="00B02D47">
              <w:rPr>
                <w:rFonts w:cs="Arial"/>
                <w:color w:val="000000"/>
              </w:rPr>
              <w:t>USDA Rural-Urban Commuting Area</w:t>
            </w:r>
            <w:r w:rsidR="009B5625" w:rsidRPr="00B02D47">
              <w:rPr>
                <w:rFonts w:cs="Arial"/>
                <w:color w:val="000000"/>
              </w:rPr>
              <w:t>: Large Rural (2020) vs. Small town/rural</w:t>
            </w:r>
          </w:p>
        </w:tc>
        <w:tc>
          <w:tcPr>
            <w:tcW w:w="1128" w:type="dxa"/>
            <w:hideMark/>
          </w:tcPr>
          <w:p w14:paraId="3A09BD0B"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1.112</w:t>
            </w:r>
          </w:p>
        </w:tc>
        <w:tc>
          <w:tcPr>
            <w:tcW w:w="1128" w:type="dxa"/>
            <w:hideMark/>
          </w:tcPr>
          <w:p w14:paraId="22A615A8"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1.079</w:t>
            </w:r>
          </w:p>
        </w:tc>
        <w:tc>
          <w:tcPr>
            <w:tcW w:w="1128" w:type="dxa"/>
            <w:hideMark/>
          </w:tcPr>
          <w:p w14:paraId="58998C85"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1.147</w:t>
            </w:r>
          </w:p>
        </w:tc>
        <w:tc>
          <w:tcPr>
            <w:tcW w:w="1128" w:type="dxa"/>
            <w:hideMark/>
          </w:tcPr>
          <w:p w14:paraId="15B0B6E4" w14:textId="120EDB68"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1.043</w:t>
            </w:r>
          </w:p>
        </w:tc>
        <w:tc>
          <w:tcPr>
            <w:tcW w:w="1128" w:type="dxa"/>
            <w:hideMark/>
          </w:tcPr>
          <w:p w14:paraId="376503DF" w14:textId="34D0A804"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1.011</w:t>
            </w:r>
          </w:p>
        </w:tc>
        <w:tc>
          <w:tcPr>
            <w:tcW w:w="1128" w:type="dxa"/>
            <w:hideMark/>
          </w:tcPr>
          <w:p w14:paraId="395260F2" w14:textId="43CA70E1"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1.077</w:t>
            </w:r>
          </w:p>
        </w:tc>
      </w:tr>
      <w:tr w:rsidR="009B5625" w:rsidRPr="00C11578" w14:paraId="66655856"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39A8BD9B" w14:textId="24BCC59F" w:rsidR="009B5625" w:rsidRPr="00B02D47" w:rsidRDefault="008B150A" w:rsidP="00CD5A79">
            <w:pPr>
              <w:pStyle w:val="TableTextLeft"/>
              <w:rPr>
                <w:rFonts w:cs="Arial"/>
                <w:color w:val="000000"/>
              </w:rPr>
            </w:pPr>
            <w:r w:rsidRPr="00B02D47">
              <w:rPr>
                <w:rFonts w:cs="Arial"/>
                <w:color w:val="000000"/>
              </w:rPr>
              <w:t>USDA Rural-Urban Commuting Area</w:t>
            </w:r>
            <w:r w:rsidR="009B5625" w:rsidRPr="00B02D47">
              <w:rPr>
                <w:rFonts w:cs="Arial"/>
                <w:color w:val="000000"/>
              </w:rPr>
              <w:t>: Suburban (2020) vs. Small town/rural</w:t>
            </w:r>
          </w:p>
        </w:tc>
        <w:tc>
          <w:tcPr>
            <w:tcW w:w="1128" w:type="dxa"/>
            <w:hideMark/>
          </w:tcPr>
          <w:p w14:paraId="197EA4A6" w14:textId="2C753F2A"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1.11</w:t>
            </w:r>
            <w:r w:rsidR="004F461F">
              <w:t>0</w:t>
            </w:r>
          </w:p>
        </w:tc>
        <w:tc>
          <w:tcPr>
            <w:tcW w:w="1128" w:type="dxa"/>
            <w:hideMark/>
          </w:tcPr>
          <w:p w14:paraId="2A7F36C5"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1.073</w:t>
            </w:r>
          </w:p>
        </w:tc>
        <w:tc>
          <w:tcPr>
            <w:tcW w:w="1128" w:type="dxa"/>
            <w:hideMark/>
          </w:tcPr>
          <w:p w14:paraId="6D64DB76"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1.149</w:t>
            </w:r>
          </w:p>
        </w:tc>
        <w:tc>
          <w:tcPr>
            <w:tcW w:w="1128" w:type="dxa"/>
            <w:hideMark/>
          </w:tcPr>
          <w:p w14:paraId="51442B09" w14:textId="29050075"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1.08</w:t>
            </w:r>
            <w:r w:rsidR="004F461F" w:rsidRPr="00DE4D85">
              <w:t>0</w:t>
            </w:r>
          </w:p>
        </w:tc>
        <w:tc>
          <w:tcPr>
            <w:tcW w:w="1128" w:type="dxa"/>
            <w:hideMark/>
          </w:tcPr>
          <w:p w14:paraId="3F33EB23" w14:textId="208F3AF6"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1.042</w:t>
            </w:r>
          </w:p>
        </w:tc>
        <w:tc>
          <w:tcPr>
            <w:tcW w:w="1128" w:type="dxa"/>
            <w:hideMark/>
          </w:tcPr>
          <w:p w14:paraId="45D062A6" w14:textId="31D5AFE2"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1.12</w:t>
            </w:r>
          </w:p>
        </w:tc>
      </w:tr>
      <w:tr w:rsidR="009B5625" w:rsidRPr="00C11578" w14:paraId="651DF369"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58FAD9DF" w14:textId="18315E1D" w:rsidR="009B5625" w:rsidRPr="00B02D47" w:rsidRDefault="008B150A" w:rsidP="00CD5A79">
            <w:pPr>
              <w:pStyle w:val="TableTextLeft"/>
              <w:rPr>
                <w:rFonts w:cs="Arial"/>
                <w:color w:val="000000"/>
              </w:rPr>
            </w:pPr>
            <w:r w:rsidRPr="00B02D47">
              <w:rPr>
                <w:rFonts w:cs="Arial"/>
                <w:color w:val="000000"/>
              </w:rPr>
              <w:t>USDA Rural-Urban Commuting Area</w:t>
            </w:r>
            <w:r w:rsidR="009B5625" w:rsidRPr="00B02D47">
              <w:rPr>
                <w:rFonts w:cs="Arial"/>
                <w:color w:val="000000"/>
              </w:rPr>
              <w:t>: Urban Core (2020) vs. Small town/rural</w:t>
            </w:r>
          </w:p>
        </w:tc>
        <w:tc>
          <w:tcPr>
            <w:tcW w:w="1128" w:type="dxa"/>
            <w:hideMark/>
          </w:tcPr>
          <w:p w14:paraId="2A8518CE"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1.371</w:t>
            </w:r>
          </w:p>
        </w:tc>
        <w:tc>
          <w:tcPr>
            <w:tcW w:w="1128" w:type="dxa"/>
            <w:hideMark/>
          </w:tcPr>
          <w:p w14:paraId="4F1553AD"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1.337</w:t>
            </w:r>
          </w:p>
        </w:tc>
        <w:tc>
          <w:tcPr>
            <w:tcW w:w="1128" w:type="dxa"/>
            <w:hideMark/>
          </w:tcPr>
          <w:p w14:paraId="00380093"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1.406</w:t>
            </w:r>
          </w:p>
        </w:tc>
        <w:tc>
          <w:tcPr>
            <w:tcW w:w="1128" w:type="dxa"/>
            <w:hideMark/>
          </w:tcPr>
          <w:p w14:paraId="7F7AAA04" w14:textId="6DC933A3"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1.147</w:t>
            </w:r>
          </w:p>
        </w:tc>
        <w:tc>
          <w:tcPr>
            <w:tcW w:w="1128" w:type="dxa"/>
            <w:hideMark/>
          </w:tcPr>
          <w:p w14:paraId="1FD95883" w14:textId="5ACED971"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1.113</w:t>
            </w:r>
          </w:p>
        </w:tc>
        <w:tc>
          <w:tcPr>
            <w:tcW w:w="1128" w:type="dxa"/>
            <w:hideMark/>
          </w:tcPr>
          <w:p w14:paraId="70256198" w14:textId="4C78AD2D"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1.182</w:t>
            </w:r>
          </w:p>
        </w:tc>
      </w:tr>
      <w:tr w:rsidR="009B5625" w:rsidRPr="00C11578" w14:paraId="5CD2E83D"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490FF243" w14:textId="333E02A8" w:rsidR="009B5625" w:rsidRPr="00B02D47" w:rsidRDefault="009B5625" w:rsidP="00CD5A79">
            <w:pPr>
              <w:pStyle w:val="TableTextLeft"/>
              <w:rPr>
                <w:rFonts w:cs="Arial"/>
                <w:color w:val="000000"/>
              </w:rPr>
            </w:pPr>
            <w:bookmarkStart w:id="46" w:name="_Hlk57726718"/>
            <w:r w:rsidRPr="00B02D47">
              <w:rPr>
                <w:rFonts w:cs="Arial"/>
                <w:color w:val="000000"/>
              </w:rPr>
              <w:t>Percent of residents receiving supplemental social security income, public assistance, food stamps or any other source of income (2017 ACS: 5-Year Data: 2013-2017)</w:t>
            </w:r>
            <w:bookmarkEnd w:id="46"/>
          </w:p>
        </w:tc>
        <w:tc>
          <w:tcPr>
            <w:tcW w:w="1128" w:type="dxa"/>
            <w:hideMark/>
          </w:tcPr>
          <w:p w14:paraId="03CDDC7F"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1.005</w:t>
            </w:r>
          </w:p>
        </w:tc>
        <w:tc>
          <w:tcPr>
            <w:tcW w:w="1128" w:type="dxa"/>
            <w:hideMark/>
          </w:tcPr>
          <w:p w14:paraId="0B9093AF" w14:textId="77777777"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0.991</w:t>
            </w:r>
          </w:p>
        </w:tc>
        <w:tc>
          <w:tcPr>
            <w:tcW w:w="1128" w:type="dxa"/>
            <w:hideMark/>
          </w:tcPr>
          <w:p w14:paraId="447E661C" w14:textId="7D809DDE"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C11578">
              <w:t>1.019</w:t>
            </w:r>
          </w:p>
        </w:tc>
        <w:tc>
          <w:tcPr>
            <w:tcW w:w="1128" w:type="dxa"/>
            <w:hideMark/>
          </w:tcPr>
          <w:p w14:paraId="4020093A" w14:textId="4C986B1E"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1.006</w:t>
            </w:r>
          </w:p>
        </w:tc>
        <w:tc>
          <w:tcPr>
            <w:tcW w:w="1128" w:type="dxa"/>
            <w:hideMark/>
          </w:tcPr>
          <w:p w14:paraId="280ED3BC" w14:textId="4462C2DF"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w:t>
            </w:r>
            <w:r w:rsidR="004F461F" w:rsidRPr="00DE4D85">
              <w:t>0</w:t>
            </w:r>
          </w:p>
        </w:tc>
        <w:tc>
          <w:tcPr>
            <w:tcW w:w="1128" w:type="dxa"/>
            <w:hideMark/>
          </w:tcPr>
          <w:p w14:paraId="5BDD88B8" w14:textId="039E5A6C"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1.023</w:t>
            </w:r>
          </w:p>
        </w:tc>
      </w:tr>
      <w:tr w:rsidR="009B5625" w:rsidRPr="00C11578" w14:paraId="2AA93789" w14:textId="77777777" w:rsidTr="00CD5A79">
        <w:trPr>
          <w:trHeight w:val="120"/>
        </w:trPr>
        <w:tc>
          <w:tcPr>
            <w:cnfStyle w:val="001000000000" w:firstRow="0" w:lastRow="0" w:firstColumn="1" w:lastColumn="0" w:oddVBand="0" w:evenVBand="0" w:oddHBand="0" w:evenHBand="0" w:firstRowFirstColumn="0" w:firstRowLastColumn="0" w:lastRowFirstColumn="0" w:lastRowLastColumn="0"/>
            <w:tcW w:w="3062" w:type="dxa"/>
            <w:hideMark/>
          </w:tcPr>
          <w:p w14:paraId="22244D7F" w14:textId="7A4C7C5C" w:rsidR="009B5625" w:rsidRPr="00B02D47" w:rsidRDefault="00023FA6" w:rsidP="00CD5A79">
            <w:pPr>
              <w:pStyle w:val="TableTextLeft"/>
              <w:rPr>
                <w:rFonts w:cs="Arial"/>
                <w:color w:val="000000"/>
              </w:rPr>
            </w:pPr>
            <w:r w:rsidRPr="00B02D47">
              <w:rPr>
                <w:rFonts w:cs="Arial"/>
                <w:color w:val="000000"/>
              </w:rPr>
              <w:t>ASR-adjusted mortality among Medicare enrollees and Medicare enrollees without HMO coverage (per 1000 Medicare beneficiaries</w:t>
            </w:r>
          </w:p>
        </w:tc>
        <w:tc>
          <w:tcPr>
            <w:tcW w:w="1128" w:type="dxa"/>
            <w:hideMark/>
          </w:tcPr>
          <w:p w14:paraId="65BDB2BD" w14:textId="6CFF911C"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0.925</w:t>
            </w:r>
          </w:p>
        </w:tc>
        <w:tc>
          <w:tcPr>
            <w:tcW w:w="1128" w:type="dxa"/>
            <w:hideMark/>
          </w:tcPr>
          <w:p w14:paraId="397EDFF1" w14:textId="236EE200"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0.916</w:t>
            </w:r>
          </w:p>
        </w:tc>
        <w:tc>
          <w:tcPr>
            <w:tcW w:w="1128" w:type="dxa"/>
            <w:hideMark/>
          </w:tcPr>
          <w:p w14:paraId="5361EDE0" w14:textId="47A3CEFC"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0.935</w:t>
            </w:r>
          </w:p>
        </w:tc>
        <w:tc>
          <w:tcPr>
            <w:tcW w:w="1128" w:type="dxa"/>
            <w:hideMark/>
          </w:tcPr>
          <w:p w14:paraId="6EEF9598" w14:textId="0FF5B644"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0.997</w:t>
            </w:r>
          </w:p>
        </w:tc>
        <w:tc>
          <w:tcPr>
            <w:tcW w:w="1128" w:type="dxa"/>
            <w:hideMark/>
          </w:tcPr>
          <w:p w14:paraId="784AE5A5" w14:textId="777D2D30"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0.982</w:t>
            </w:r>
          </w:p>
        </w:tc>
        <w:tc>
          <w:tcPr>
            <w:tcW w:w="1128" w:type="dxa"/>
            <w:hideMark/>
          </w:tcPr>
          <w:p w14:paraId="6C58EDD7" w14:textId="2AA80EB2" w:rsidR="009B5625" w:rsidRPr="00C11578" w:rsidRDefault="009B5625" w:rsidP="00585CCD">
            <w:pPr>
              <w:pStyle w:val="TableTextCentered"/>
              <w:cnfStyle w:val="000000000000" w:firstRow="0" w:lastRow="0" w:firstColumn="0" w:lastColumn="0" w:oddVBand="0" w:evenVBand="0" w:oddHBand="0" w:evenHBand="0" w:firstRowFirstColumn="0" w:firstRowLastColumn="0" w:lastRowFirstColumn="0" w:lastRowLastColumn="0"/>
            </w:pPr>
            <w:r w:rsidRPr="00DE4D85">
              <w:t>1.012</w:t>
            </w:r>
          </w:p>
        </w:tc>
      </w:tr>
    </w:tbl>
    <w:p w14:paraId="11F4A738" w14:textId="6262EC98" w:rsidR="000530F7" w:rsidRPr="007D17AA" w:rsidRDefault="000530F7" w:rsidP="000530F7">
      <w:pPr>
        <w:pStyle w:val="TableSourceCaption"/>
        <w:tabs>
          <w:tab w:val="clear" w:pos="792"/>
          <w:tab w:val="left" w:pos="0"/>
          <w:tab w:val="left" w:pos="630"/>
        </w:tabs>
        <w:ind w:left="720" w:hanging="720"/>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4776D5C4" w14:textId="77777777" w:rsidR="00023FA6" w:rsidRPr="007D17AA" w:rsidRDefault="00491289" w:rsidP="00023FA6">
      <w:pPr>
        <w:tabs>
          <w:tab w:val="left" w:pos="720"/>
        </w:tabs>
        <w:spacing w:after="120" w:line="240" w:lineRule="auto"/>
        <w:ind w:left="720" w:hanging="720"/>
        <w:rPr>
          <w:color w:val="0070C0"/>
          <w:sz w:val="18"/>
          <w:szCs w:val="18"/>
        </w:rPr>
      </w:pPr>
      <w:r w:rsidRPr="007D17AA">
        <w:rPr>
          <w:color w:val="0070C0"/>
          <w:sz w:val="18"/>
          <w:szCs w:val="18"/>
        </w:rPr>
        <w:t>Note</w:t>
      </w:r>
      <w:r w:rsidR="000422F5" w:rsidRPr="007D17AA">
        <w:rPr>
          <w:color w:val="0070C0"/>
          <w:sz w:val="18"/>
          <w:szCs w:val="18"/>
        </w:rPr>
        <w:t>s</w:t>
      </w:r>
      <w:r w:rsidRPr="007D17AA">
        <w:rPr>
          <w:color w:val="0070C0"/>
          <w:sz w:val="18"/>
          <w:szCs w:val="18"/>
        </w:rPr>
        <w:t xml:space="preserve">: </w:t>
      </w:r>
      <w:r w:rsidR="000530F7" w:rsidRPr="007D17AA">
        <w:rPr>
          <w:color w:val="0070C0"/>
          <w:sz w:val="18"/>
          <w:szCs w:val="18"/>
        </w:rPr>
        <w:tab/>
      </w:r>
      <w:r w:rsidR="00B61AEA" w:rsidRPr="007D17AA">
        <w:rPr>
          <w:color w:val="0070C0"/>
          <w:sz w:val="18"/>
          <w:szCs w:val="18"/>
        </w:rPr>
        <w:t>We did not consider r</w:t>
      </w:r>
      <w:r w:rsidR="000422F5" w:rsidRPr="007D17AA">
        <w:rPr>
          <w:color w:val="0070C0"/>
          <w:sz w:val="18"/>
          <w:szCs w:val="18"/>
        </w:rPr>
        <w:t xml:space="preserve">ace </w:t>
      </w:r>
      <w:r w:rsidR="00B61AEA" w:rsidRPr="007D17AA">
        <w:rPr>
          <w:color w:val="0070C0"/>
          <w:sz w:val="18"/>
          <w:szCs w:val="18"/>
        </w:rPr>
        <w:t>as</w:t>
      </w:r>
      <w:r w:rsidRPr="007D17AA">
        <w:rPr>
          <w:color w:val="0070C0"/>
          <w:sz w:val="18"/>
          <w:szCs w:val="18"/>
        </w:rPr>
        <w:t xml:space="preserve"> a proxy for the beneficiaries’ socio-economic status and </w:t>
      </w:r>
      <w:r w:rsidR="00B61AEA" w:rsidRPr="007D17AA">
        <w:rPr>
          <w:color w:val="0070C0"/>
          <w:sz w:val="18"/>
          <w:szCs w:val="18"/>
        </w:rPr>
        <w:t xml:space="preserve">we </w:t>
      </w:r>
      <w:r w:rsidRPr="007D17AA">
        <w:rPr>
          <w:color w:val="0070C0"/>
          <w:sz w:val="18"/>
          <w:szCs w:val="18"/>
        </w:rPr>
        <w:t>tested for comparison purposes only</w:t>
      </w:r>
      <w:r w:rsidR="00C64305" w:rsidRPr="007D17AA">
        <w:rPr>
          <w:color w:val="0070C0"/>
          <w:sz w:val="18"/>
          <w:szCs w:val="18"/>
        </w:rPr>
        <w:t>. Higher values on the AHRQ SES Index represent higher SES levels.</w:t>
      </w:r>
      <w:r w:rsidR="00EF283C" w:rsidRPr="007D17AA">
        <w:rPr>
          <w:color w:val="0070C0"/>
          <w:sz w:val="18"/>
          <w:szCs w:val="18"/>
        </w:rPr>
        <w:t xml:space="preserve"> </w:t>
      </w:r>
      <w:r w:rsidR="008B150A" w:rsidRPr="007D17AA">
        <w:rPr>
          <w:color w:val="0070C0"/>
          <w:sz w:val="18"/>
          <w:szCs w:val="18"/>
        </w:rPr>
        <w:t xml:space="preserve">The </w:t>
      </w:r>
      <w:r w:rsidR="008B150A" w:rsidRPr="007D17AA">
        <w:rPr>
          <w:color w:val="0070C0"/>
          <w:sz w:val="18"/>
          <w:szCs w:val="18"/>
          <w:shd w:val="clear" w:color="auto" w:fill="FFFCF0"/>
        </w:rPr>
        <w:t xml:space="preserve">USDA </w:t>
      </w:r>
      <w:r w:rsidR="008B150A" w:rsidRPr="007D17AA">
        <w:rPr>
          <w:color w:val="0070C0"/>
          <w:sz w:val="18"/>
          <w:szCs w:val="18"/>
        </w:rPr>
        <w:t xml:space="preserve">RUCA classification scheme was </w:t>
      </w:r>
      <w:proofErr w:type="gramStart"/>
      <w:r w:rsidR="00EF283C" w:rsidRPr="007D17AA">
        <w:rPr>
          <w:color w:val="0070C0"/>
          <w:sz w:val="18"/>
          <w:szCs w:val="18"/>
        </w:rPr>
        <w:t>dummy-coded</w:t>
      </w:r>
      <w:proofErr w:type="gramEnd"/>
      <w:r w:rsidR="002B0FBC" w:rsidRPr="007D17AA">
        <w:rPr>
          <w:color w:val="0070C0"/>
          <w:sz w:val="18"/>
          <w:szCs w:val="18"/>
        </w:rPr>
        <w:t xml:space="preserve"> </w:t>
      </w:r>
      <w:r w:rsidR="008B150A" w:rsidRPr="007D17AA">
        <w:rPr>
          <w:color w:val="0070C0"/>
          <w:sz w:val="18"/>
          <w:szCs w:val="18"/>
        </w:rPr>
        <w:t xml:space="preserve">into </w:t>
      </w:r>
      <w:r w:rsidR="008B150A" w:rsidRPr="007D17AA">
        <w:rPr>
          <w:color w:val="0070C0"/>
          <w:sz w:val="18"/>
          <w:szCs w:val="18"/>
          <w:shd w:val="clear" w:color="auto" w:fill="FFFFFF"/>
        </w:rPr>
        <w:t>large urban</w:t>
      </w:r>
      <w:r w:rsidR="00DC0EBA" w:rsidRPr="007D17AA">
        <w:rPr>
          <w:color w:val="0070C0"/>
          <w:sz w:val="18"/>
          <w:szCs w:val="18"/>
          <w:shd w:val="clear" w:color="auto" w:fill="FFFFFF"/>
        </w:rPr>
        <w:t>,</w:t>
      </w:r>
      <w:r w:rsidR="002B0FBC" w:rsidRPr="007D17AA">
        <w:rPr>
          <w:color w:val="0070C0"/>
          <w:sz w:val="18"/>
          <w:szCs w:val="18"/>
          <w:shd w:val="clear" w:color="auto" w:fill="FFFFFF"/>
        </w:rPr>
        <w:t xml:space="preserve"> </w:t>
      </w:r>
      <w:r w:rsidR="008B150A" w:rsidRPr="007D17AA">
        <w:rPr>
          <w:color w:val="0070C0"/>
          <w:sz w:val="18"/>
          <w:szCs w:val="18"/>
          <w:shd w:val="clear" w:color="auto" w:fill="FFFFFF"/>
        </w:rPr>
        <w:t>suburban</w:t>
      </w:r>
      <w:r w:rsidR="00DC0EBA" w:rsidRPr="007D17AA">
        <w:rPr>
          <w:color w:val="0070C0"/>
          <w:sz w:val="18"/>
          <w:szCs w:val="18"/>
          <w:shd w:val="clear" w:color="auto" w:fill="FFFFFF"/>
        </w:rPr>
        <w:t>,</w:t>
      </w:r>
      <w:r w:rsidR="002B0FBC" w:rsidRPr="007D17AA">
        <w:rPr>
          <w:color w:val="0070C0"/>
          <w:sz w:val="18"/>
          <w:szCs w:val="18"/>
          <w:shd w:val="clear" w:color="auto" w:fill="FFFFFF"/>
        </w:rPr>
        <w:t xml:space="preserve"> </w:t>
      </w:r>
      <w:r w:rsidR="008B150A" w:rsidRPr="007D17AA">
        <w:rPr>
          <w:color w:val="0070C0"/>
          <w:sz w:val="18"/>
          <w:szCs w:val="18"/>
          <w:shd w:val="clear" w:color="auto" w:fill="FFFFFF"/>
        </w:rPr>
        <w:t>large rural</w:t>
      </w:r>
      <w:r w:rsidR="00A47E01" w:rsidRPr="007D17AA">
        <w:rPr>
          <w:color w:val="0070C0"/>
          <w:sz w:val="18"/>
          <w:szCs w:val="18"/>
          <w:shd w:val="clear" w:color="auto" w:fill="FFFFFF"/>
        </w:rPr>
        <w:t>,</w:t>
      </w:r>
      <w:r w:rsidR="008B150A" w:rsidRPr="007D17AA">
        <w:rPr>
          <w:color w:val="0070C0"/>
          <w:sz w:val="18"/>
          <w:szCs w:val="18"/>
          <w:shd w:val="clear" w:color="auto" w:fill="FFFFFF"/>
        </w:rPr>
        <w:t xml:space="preserve"> and small town/rural categories.</w:t>
      </w:r>
      <w:r w:rsidR="003930C5" w:rsidRPr="007D17AA">
        <w:rPr>
          <w:color w:val="0070C0"/>
          <w:sz w:val="18"/>
          <w:szCs w:val="18"/>
          <w:shd w:val="clear" w:color="auto" w:fill="FFFFFF"/>
        </w:rPr>
        <w:t xml:space="preserve"> </w:t>
      </w:r>
      <w:r w:rsidR="003930C5" w:rsidRPr="007D17AA">
        <w:rPr>
          <w:color w:val="0070C0"/>
          <w:sz w:val="18"/>
          <w:szCs w:val="18"/>
        </w:rPr>
        <w:t xml:space="preserve">Higher values on the AHRQ SES Index represent higher SES levels. </w:t>
      </w:r>
      <w:r w:rsidR="00023FA6" w:rsidRPr="007D17AA">
        <w:rPr>
          <w:color w:val="0070C0"/>
          <w:sz w:val="18"/>
          <w:szCs w:val="18"/>
        </w:rPr>
        <w:t xml:space="preserve">ASR=age-standardized rate  </w:t>
      </w:r>
    </w:p>
    <w:p w14:paraId="2535E0ED" w14:textId="34F3A00A" w:rsidR="00765B7A" w:rsidRPr="007D17AA" w:rsidRDefault="00765B7A" w:rsidP="000530F7">
      <w:pPr>
        <w:tabs>
          <w:tab w:val="left" w:pos="720"/>
        </w:tabs>
        <w:spacing w:after="120" w:line="240" w:lineRule="auto"/>
        <w:ind w:left="720" w:hanging="720"/>
        <w:rPr>
          <w:color w:val="0070C0"/>
          <w:sz w:val="18"/>
          <w:szCs w:val="18"/>
        </w:rPr>
      </w:pPr>
    </w:p>
    <w:p w14:paraId="3969BB6C" w14:textId="0E35A0C9" w:rsidR="00B42050" w:rsidRPr="007D17AA" w:rsidRDefault="00086FAC" w:rsidP="009227BC">
      <w:pPr>
        <w:spacing w:after="0" w:line="240" w:lineRule="auto"/>
        <w:rPr>
          <w:rFonts w:ascii="Calibri" w:eastAsia="Times New Roman" w:hAnsi="Calibri" w:cs="Calibri"/>
          <w:color w:val="0070C0"/>
          <w:sz w:val="18"/>
          <w:szCs w:val="18"/>
        </w:rPr>
      </w:pPr>
      <w:r w:rsidRPr="007D17AA">
        <w:rPr>
          <w:color w:val="0070C0"/>
        </w:rPr>
        <w:t>In the univariate analyses</w:t>
      </w:r>
      <w:r w:rsidR="00DC0EBA" w:rsidRPr="007D17AA">
        <w:rPr>
          <w:color w:val="0070C0"/>
        </w:rPr>
        <w:t xml:space="preserve">, 17 out of 18 </w:t>
      </w:r>
      <w:r w:rsidR="000C284B" w:rsidRPr="007D17AA">
        <w:rPr>
          <w:color w:val="0070C0"/>
        </w:rPr>
        <w:t>SDH risk factors</w:t>
      </w:r>
      <w:r w:rsidR="00DC0EBA" w:rsidRPr="007D17AA">
        <w:rPr>
          <w:color w:val="0070C0"/>
        </w:rPr>
        <w:t xml:space="preserve"> (including dummy-coded </w:t>
      </w:r>
      <w:r w:rsidR="00B02D47" w:rsidRPr="00B02D47">
        <w:rPr>
          <w:color w:val="0070C0"/>
        </w:rPr>
        <w:t>Rural-Urban Commuting Area</w:t>
      </w:r>
      <w:r w:rsidR="00B02D47" w:rsidRPr="007D17AA" w:rsidDel="00B02D47">
        <w:rPr>
          <w:color w:val="0070C0"/>
        </w:rPr>
        <w:t xml:space="preserve"> </w:t>
      </w:r>
      <w:r w:rsidR="00DC0EBA" w:rsidRPr="007D17AA">
        <w:rPr>
          <w:color w:val="0070C0"/>
        </w:rPr>
        <w:t>variable</w:t>
      </w:r>
      <w:r w:rsidR="00A47E01" w:rsidRPr="007D17AA">
        <w:rPr>
          <w:color w:val="0070C0"/>
        </w:rPr>
        <w:t>s</w:t>
      </w:r>
      <w:r w:rsidR="00DC0EBA" w:rsidRPr="007D17AA">
        <w:rPr>
          <w:color w:val="0070C0"/>
        </w:rPr>
        <w:t>) had statistically significant association with the outcome. After controlling by the clinical risk</w:t>
      </w:r>
      <w:r w:rsidR="00A47E01" w:rsidRPr="007D17AA">
        <w:rPr>
          <w:color w:val="0070C0"/>
        </w:rPr>
        <w:t xml:space="preserve"> </w:t>
      </w:r>
      <w:r w:rsidR="00DC0EBA" w:rsidRPr="007D17AA">
        <w:rPr>
          <w:color w:val="0070C0"/>
        </w:rPr>
        <w:t xml:space="preserve">factors, only 9 </w:t>
      </w:r>
      <w:r w:rsidR="00332B45" w:rsidRPr="007D17AA">
        <w:rPr>
          <w:color w:val="0070C0"/>
        </w:rPr>
        <w:t>SDH</w:t>
      </w:r>
      <w:r w:rsidR="00DC0EBA" w:rsidRPr="007D17AA">
        <w:rPr>
          <w:color w:val="0070C0"/>
        </w:rPr>
        <w:t xml:space="preserve"> risk-factors remained statistically significant. </w:t>
      </w:r>
      <w:r w:rsidR="00B42050" w:rsidRPr="007D17AA">
        <w:rPr>
          <w:color w:val="0070C0"/>
        </w:rPr>
        <w:t>At the patient-level, n</w:t>
      </w:r>
      <w:r w:rsidR="008D2D00" w:rsidRPr="007D17AA">
        <w:rPr>
          <w:color w:val="0070C0"/>
        </w:rPr>
        <w:t xml:space="preserve">on-dual patients have lower odds of being readmitted as compared to the patients with </w:t>
      </w:r>
      <w:r w:rsidR="002F1273" w:rsidRPr="007D17AA">
        <w:rPr>
          <w:color w:val="0070C0"/>
        </w:rPr>
        <w:t>dual Medicare-Medicaid status</w:t>
      </w:r>
      <w:r w:rsidR="008D2D00" w:rsidRPr="007D17AA">
        <w:rPr>
          <w:color w:val="0070C0"/>
        </w:rPr>
        <w:t xml:space="preserve"> (0.</w:t>
      </w:r>
      <w:r w:rsidR="00DC0EBA" w:rsidRPr="007D17AA">
        <w:rPr>
          <w:color w:val="0070C0"/>
        </w:rPr>
        <w:t>9</w:t>
      </w:r>
      <w:r w:rsidR="0035598E">
        <w:rPr>
          <w:color w:val="0070C0"/>
        </w:rPr>
        <w:t>80</w:t>
      </w:r>
      <w:r w:rsidR="00DC0EBA" w:rsidRPr="007D17AA">
        <w:rPr>
          <w:color w:val="0070C0"/>
        </w:rPr>
        <w:t xml:space="preserve"> </w:t>
      </w:r>
      <w:r w:rsidR="008D2D00" w:rsidRPr="007D17AA">
        <w:rPr>
          <w:color w:val="0070C0"/>
        </w:rPr>
        <w:t>[</w:t>
      </w:r>
      <w:r w:rsidR="00B42050" w:rsidRPr="007D17AA">
        <w:rPr>
          <w:color w:val="0070C0"/>
        </w:rPr>
        <w:t>95</w:t>
      </w:r>
      <w:r w:rsidR="00A47E01" w:rsidRPr="007D17AA">
        <w:rPr>
          <w:color w:val="0070C0"/>
        </w:rPr>
        <w:t xml:space="preserve"> percent</w:t>
      </w:r>
      <w:r w:rsidR="00B42050" w:rsidRPr="007D17AA">
        <w:rPr>
          <w:color w:val="0070C0"/>
        </w:rPr>
        <w:t xml:space="preserve"> </w:t>
      </w:r>
      <w:r w:rsidR="008D2D00" w:rsidRPr="007D17AA">
        <w:rPr>
          <w:color w:val="0070C0"/>
        </w:rPr>
        <w:t>CI: 0.</w:t>
      </w:r>
      <w:r w:rsidR="0035598E" w:rsidRPr="007D17AA">
        <w:rPr>
          <w:color w:val="0070C0"/>
        </w:rPr>
        <w:t>9</w:t>
      </w:r>
      <w:r w:rsidR="0035598E">
        <w:rPr>
          <w:color w:val="0070C0"/>
        </w:rPr>
        <w:t>66</w:t>
      </w:r>
      <w:r w:rsidR="008D2D00" w:rsidRPr="007D17AA">
        <w:rPr>
          <w:color w:val="0070C0"/>
        </w:rPr>
        <w:t>-0.</w:t>
      </w:r>
      <w:r w:rsidR="0035598E" w:rsidRPr="007D17AA">
        <w:rPr>
          <w:color w:val="0070C0"/>
        </w:rPr>
        <w:t>9</w:t>
      </w:r>
      <w:r w:rsidR="0035598E">
        <w:rPr>
          <w:color w:val="0070C0"/>
        </w:rPr>
        <w:t>95</w:t>
      </w:r>
      <w:r w:rsidR="008D2D00" w:rsidRPr="007D17AA">
        <w:rPr>
          <w:color w:val="0070C0"/>
        </w:rPr>
        <w:t>])</w:t>
      </w:r>
      <w:r w:rsidR="00B42050" w:rsidRPr="007D17AA">
        <w:rPr>
          <w:color w:val="0070C0"/>
        </w:rPr>
        <w:t>; Black (non-Hispanic) patients had higher odds of being readmitted (1.05</w:t>
      </w:r>
      <w:r w:rsidR="0035598E">
        <w:rPr>
          <w:color w:val="0070C0"/>
        </w:rPr>
        <w:t>3</w:t>
      </w:r>
      <w:r w:rsidR="00B42050" w:rsidRPr="007D17AA">
        <w:rPr>
          <w:color w:val="0070C0"/>
        </w:rPr>
        <w:t xml:space="preserve"> [95</w:t>
      </w:r>
      <w:r w:rsidR="00A47E01" w:rsidRPr="007D17AA">
        <w:rPr>
          <w:color w:val="0070C0"/>
        </w:rPr>
        <w:t xml:space="preserve"> percent</w:t>
      </w:r>
      <w:r w:rsidR="00B42050" w:rsidRPr="007D17AA">
        <w:rPr>
          <w:color w:val="0070C0"/>
        </w:rPr>
        <w:t xml:space="preserve"> CI: 1.013-1.095]) compare</w:t>
      </w:r>
      <w:r w:rsidR="00A47E01" w:rsidRPr="007D17AA">
        <w:rPr>
          <w:color w:val="0070C0"/>
        </w:rPr>
        <w:t>d</w:t>
      </w:r>
      <w:r w:rsidR="00B42050" w:rsidRPr="007D17AA">
        <w:rPr>
          <w:color w:val="0070C0"/>
        </w:rPr>
        <w:t xml:space="preserve"> to the rest of the patients. At the area-level, </w:t>
      </w:r>
      <w:r w:rsidR="00A411B9" w:rsidRPr="007D17AA">
        <w:rPr>
          <w:color w:val="0070C0"/>
        </w:rPr>
        <w:t>neighborhoods where more</w:t>
      </w:r>
      <w:r w:rsidR="00B42050" w:rsidRPr="007D17AA">
        <w:rPr>
          <w:color w:val="0070C0"/>
        </w:rPr>
        <w:t xml:space="preserve"> residents </w:t>
      </w:r>
      <w:r w:rsidR="007835B8" w:rsidRPr="007D17AA">
        <w:rPr>
          <w:color w:val="0070C0"/>
        </w:rPr>
        <w:t>do not speak English or speak limited English</w:t>
      </w:r>
      <w:r w:rsidR="00B42050" w:rsidRPr="007D17AA">
        <w:rPr>
          <w:color w:val="0070C0"/>
        </w:rPr>
        <w:t xml:space="preserve">, </w:t>
      </w:r>
      <w:r w:rsidR="00A411B9" w:rsidRPr="007D17AA">
        <w:rPr>
          <w:color w:val="0070C0"/>
        </w:rPr>
        <w:t xml:space="preserve">neighborhoods with </w:t>
      </w:r>
      <w:r w:rsidR="00B02D47">
        <w:rPr>
          <w:color w:val="0070C0"/>
        </w:rPr>
        <w:t>higher percentage of</w:t>
      </w:r>
      <w:r w:rsidR="00B02D47" w:rsidRPr="007D17AA">
        <w:rPr>
          <w:color w:val="0070C0"/>
        </w:rPr>
        <w:t xml:space="preserve"> </w:t>
      </w:r>
      <w:r w:rsidR="00B42050" w:rsidRPr="007D17AA">
        <w:rPr>
          <w:color w:val="0070C0"/>
        </w:rPr>
        <w:t>Black residents</w:t>
      </w:r>
      <w:r w:rsidR="00A47E01" w:rsidRPr="007D17AA">
        <w:rPr>
          <w:color w:val="0070C0"/>
        </w:rPr>
        <w:t>,</w:t>
      </w:r>
      <w:r w:rsidR="00A411B9" w:rsidRPr="007D17AA">
        <w:rPr>
          <w:color w:val="0070C0"/>
        </w:rPr>
        <w:t xml:space="preserve"> and more urban areas </w:t>
      </w:r>
      <w:r w:rsidR="00B42050" w:rsidRPr="007D17AA">
        <w:rPr>
          <w:color w:val="0070C0"/>
        </w:rPr>
        <w:t>had the strongest association with the IPF readmissions.</w:t>
      </w:r>
      <w:r w:rsidR="00B42050" w:rsidRPr="007D17AA">
        <w:rPr>
          <w:rFonts w:ascii="Calibri" w:eastAsia="Times New Roman" w:hAnsi="Calibri" w:cs="Calibri"/>
          <w:color w:val="0070C0"/>
          <w:sz w:val="18"/>
          <w:szCs w:val="18"/>
        </w:rPr>
        <w:t xml:space="preserve"> </w:t>
      </w:r>
    </w:p>
    <w:p w14:paraId="6B5B41C0" w14:textId="0A96E252" w:rsidR="00B42050" w:rsidRPr="007D17AA" w:rsidRDefault="00B42050" w:rsidP="009227BC">
      <w:pPr>
        <w:spacing w:after="0" w:line="240" w:lineRule="auto"/>
        <w:rPr>
          <w:rFonts w:ascii="Calibri" w:eastAsia="Times New Roman" w:hAnsi="Calibri" w:cs="Calibri"/>
          <w:color w:val="0070C0"/>
          <w:sz w:val="18"/>
          <w:szCs w:val="18"/>
        </w:rPr>
      </w:pPr>
    </w:p>
    <w:p w14:paraId="61847DD9" w14:textId="1F858D2E" w:rsidR="001C2708" w:rsidRPr="007D17AA" w:rsidRDefault="00276439" w:rsidP="009227BC">
      <w:pPr>
        <w:spacing w:after="120" w:line="240" w:lineRule="auto"/>
        <w:rPr>
          <w:color w:val="0070C0"/>
        </w:rPr>
      </w:pPr>
      <w:r w:rsidRPr="007D17AA">
        <w:rPr>
          <w:color w:val="0070C0"/>
        </w:rPr>
        <w:t xml:space="preserve">Finally, we compared the multivariate model </w:t>
      </w:r>
      <w:r w:rsidR="007835B8" w:rsidRPr="007D17AA">
        <w:rPr>
          <w:color w:val="0070C0"/>
        </w:rPr>
        <w:t>(</w:t>
      </w:r>
      <w:r w:rsidR="0017393C" w:rsidRPr="007D17AA">
        <w:rPr>
          <w:color w:val="0070C0"/>
        </w:rPr>
        <w:t xml:space="preserve">which included </w:t>
      </w:r>
      <w:r w:rsidR="00332B45" w:rsidRPr="007D17AA">
        <w:rPr>
          <w:color w:val="0070C0"/>
        </w:rPr>
        <w:t>SDH</w:t>
      </w:r>
      <w:r w:rsidR="0017393C" w:rsidRPr="007D17AA">
        <w:rPr>
          <w:color w:val="0070C0"/>
        </w:rPr>
        <w:t xml:space="preserve"> and clinical factors</w:t>
      </w:r>
      <w:r w:rsidR="007835B8" w:rsidRPr="007D17AA">
        <w:rPr>
          <w:color w:val="0070C0"/>
        </w:rPr>
        <w:t>)</w:t>
      </w:r>
      <w:r w:rsidR="0017393C" w:rsidRPr="007D17AA">
        <w:rPr>
          <w:color w:val="0070C0"/>
        </w:rPr>
        <w:t xml:space="preserve"> to the model with </w:t>
      </w:r>
      <w:r w:rsidRPr="007D17AA">
        <w:rPr>
          <w:color w:val="0070C0"/>
        </w:rPr>
        <w:t xml:space="preserve">only clinical risk factors </w:t>
      </w:r>
      <w:r w:rsidR="00A411B9" w:rsidRPr="007D17AA">
        <w:rPr>
          <w:color w:val="0070C0"/>
        </w:rPr>
        <w:t>(</w:t>
      </w:r>
      <w:r w:rsidR="006E543B" w:rsidRPr="007D17AA">
        <w:rPr>
          <w:color w:val="0070C0"/>
        </w:rPr>
        <w:t>Table 2b3.4b.b</w:t>
      </w:r>
      <w:r w:rsidR="00A411B9" w:rsidRPr="007D17AA">
        <w:rPr>
          <w:color w:val="0070C0"/>
        </w:rPr>
        <w:t>)</w:t>
      </w:r>
      <w:r w:rsidRPr="007D17AA">
        <w:rPr>
          <w:color w:val="0070C0"/>
        </w:rPr>
        <w:t xml:space="preserve">. </w:t>
      </w:r>
      <w:r w:rsidR="00E01C0D" w:rsidRPr="007D17AA">
        <w:rPr>
          <w:color w:val="0070C0"/>
        </w:rPr>
        <w:t>Controlling</w:t>
      </w:r>
      <w:r w:rsidR="007835B8" w:rsidRPr="007D17AA">
        <w:rPr>
          <w:color w:val="0070C0"/>
        </w:rPr>
        <w:t xml:space="preserve"> </w:t>
      </w:r>
      <w:r w:rsidR="0001172F" w:rsidRPr="007D17AA">
        <w:rPr>
          <w:color w:val="0070C0"/>
        </w:rPr>
        <w:t>for the clinical factors,</w:t>
      </w:r>
      <w:r w:rsidRPr="007D17AA">
        <w:rPr>
          <w:color w:val="0070C0"/>
        </w:rPr>
        <w:t xml:space="preserve"> Medicaid enrollment</w:t>
      </w:r>
      <w:r w:rsidR="0001172F" w:rsidRPr="007D17AA">
        <w:rPr>
          <w:color w:val="0070C0"/>
        </w:rPr>
        <w:t xml:space="preserve">, </w:t>
      </w:r>
      <w:r w:rsidR="0001172F" w:rsidRPr="007D17AA">
        <w:rPr>
          <w:color w:val="0070C0"/>
        </w:rPr>
        <w:lastRenderedPageBreak/>
        <w:t xml:space="preserve">patients’ </w:t>
      </w:r>
      <w:r w:rsidR="00075922" w:rsidRPr="007D17AA">
        <w:rPr>
          <w:color w:val="0070C0"/>
        </w:rPr>
        <w:t xml:space="preserve">race (at the </w:t>
      </w:r>
      <w:r w:rsidR="0041588F">
        <w:rPr>
          <w:color w:val="0070C0"/>
        </w:rPr>
        <w:t>individual</w:t>
      </w:r>
      <w:r w:rsidR="0041588F" w:rsidRPr="007D17AA">
        <w:rPr>
          <w:color w:val="0070C0"/>
        </w:rPr>
        <w:t xml:space="preserve"> </w:t>
      </w:r>
      <w:r w:rsidR="00075922" w:rsidRPr="007D17AA">
        <w:rPr>
          <w:color w:val="0070C0"/>
        </w:rPr>
        <w:t xml:space="preserve">level), neighborhoods with </w:t>
      </w:r>
      <w:r w:rsidR="0001172F" w:rsidRPr="007D17AA">
        <w:rPr>
          <w:color w:val="0070C0"/>
        </w:rPr>
        <w:t xml:space="preserve">higher </w:t>
      </w:r>
      <w:r w:rsidR="000671F1">
        <w:rPr>
          <w:color w:val="0070C0"/>
        </w:rPr>
        <w:t>percentages</w:t>
      </w:r>
      <w:r w:rsidR="000671F1" w:rsidRPr="007D17AA">
        <w:rPr>
          <w:color w:val="0070C0"/>
        </w:rPr>
        <w:t xml:space="preserve"> </w:t>
      </w:r>
      <w:r w:rsidR="0001172F" w:rsidRPr="007D17AA">
        <w:rPr>
          <w:color w:val="0070C0"/>
        </w:rPr>
        <w:t>of</w:t>
      </w:r>
      <w:r w:rsidR="00075922" w:rsidRPr="007D17AA">
        <w:rPr>
          <w:color w:val="0070C0"/>
        </w:rPr>
        <w:t xml:space="preserve"> </w:t>
      </w:r>
      <w:r w:rsidR="007835B8" w:rsidRPr="007D17AA">
        <w:rPr>
          <w:color w:val="0070C0"/>
        </w:rPr>
        <w:t>B</w:t>
      </w:r>
      <w:r w:rsidR="00075922" w:rsidRPr="007D17AA">
        <w:rPr>
          <w:color w:val="0070C0"/>
        </w:rPr>
        <w:t>la</w:t>
      </w:r>
      <w:r w:rsidR="002E10C8" w:rsidRPr="007D17AA">
        <w:rPr>
          <w:color w:val="0070C0"/>
        </w:rPr>
        <w:t>ck residents</w:t>
      </w:r>
      <w:r w:rsidR="0001172F" w:rsidRPr="007D17AA">
        <w:rPr>
          <w:color w:val="0070C0"/>
        </w:rPr>
        <w:t xml:space="preserve"> and residents who either do not speak English or speak limited English, more urban areas, and areas with higher patient-to-hospital bed ratios (at the area level)</w:t>
      </w:r>
      <w:r w:rsidR="00F11374" w:rsidRPr="007D17AA">
        <w:rPr>
          <w:color w:val="0070C0"/>
        </w:rPr>
        <w:t xml:space="preserve"> had statistically significant association with the outcome</w:t>
      </w:r>
      <w:r w:rsidR="0001172F" w:rsidRPr="007D17AA">
        <w:rPr>
          <w:color w:val="0070C0"/>
        </w:rPr>
        <w:t xml:space="preserve">. </w:t>
      </w:r>
      <w:r w:rsidR="001C2708" w:rsidRPr="007D17AA">
        <w:rPr>
          <w:color w:val="0070C0"/>
        </w:rPr>
        <w:t>T</w:t>
      </w:r>
      <w:r w:rsidR="0001172F" w:rsidRPr="007D17AA">
        <w:rPr>
          <w:color w:val="0070C0"/>
        </w:rPr>
        <w:t>he model</w:t>
      </w:r>
      <w:r w:rsidR="007835B8" w:rsidRPr="007D17AA">
        <w:rPr>
          <w:color w:val="0070C0"/>
        </w:rPr>
        <w:t>,</w:t>
      </w:r>
      <w:r w:rsidR="0001172F" w:rsidRPr="007D17AA">
        <w:rPr>
          <w:color w:val="0070C0"/>
        </w:rPr>
        <w:t xml:space="preserve"> w</w:t>
      </w:r>
      <w:r w:rsidR="001C2708" w:rsidRPr="007D17AA">
        <w:rPr>
          <w:color w:val="0070C0"/>
        </w:rPr>
        <w:t xml:space="preserve">hich included both </w:t>
      </w:r>
      <w:r w:rsidR="00332B45" w:rsidRPr="007D17AA">
        <w:rPr>
          <w:color w:val="0070C0"/>
        </w:rPr>
        <w:t>SDH</w:t>
      </w:r>
      <w:r w:rsidR="001C2708" w:rsidRPr="007D17AA">
        <w:rPr>
          <w:color w:val="0070C0"/>
        </w:rPr>
        <w:t xml:space="preserve"> and clinical factors and clinical factors only</w:t>
      </w:r>
      <w:r w:rsidR="007835B8" w:rsidRPr="007D17AA">
        <w:rPr>
          <w:color w:val="0070C0"/>
        </w:rPr>
        <w:t>,</w:t>
      </w:r>
      <w:r w:rsidR="001C2708" w:rsidRPr="007D17AA">
        <w:rPr>
          <w:color w:val="0070C0"/>
        </w:rPr>
        <w:t xml:space="preserve"> had similar predictive accuracy (C-statistics of 0.</w:t>
      </w:r>
      <w:r w:rsidR="00F11374" w:rsidRPr="007D17AA">
        <w:rPr>
          <w:color w:val="0070C0"/>
        </w:rPr>
        <w:t>65</w:t>
      </w:r>
      <w:r w:rsidR="001B3CF1" w:rsidRPr="007D17AA">
        <w:rPr>
          <w:color w:val="0070C0"/>
        </w:rPr>
        <w:t>9</w:t>
      </w:r>
      <w:r w:rsidR="001C2708" w:rsidRPr="007D17AA">
        <w:rPr>
          <w:color w:val="0070C0"/>
        </w:rPr>
        <w:t xml:space="preserve"> and 0.65</w:t>
      </w:r>
      <w:r w:rsidR="001B3CF1" w:rsidRPr="007D17AA">
        <w:rPr>
          <w:color w:val="0070C0"/>
        </w:rPr>
        <w:t>7</w:t>
      </w:r>
      <w:r w:rsidR="001C2708" w:rsidRPr="007D17AA">
        <w:rPr>
          <w:color w:val="0070C0"/>
        </w:rPr>
        <w:t xml:space="preserve"> respectively). As a sensitivity test, we also compared predictive accuracy of the model with </w:t>
      </w:r>
      <w:r w:rsidR="0010307D" w:rsidRPr="007D17AA">
        <w:rPr>
          <w:color w:val="0070C0"/>
        </w:rPr>
        <w:t xml:space="preserve">clinical factors and </w:t>
      </w:r>
      <w:r w:rsidR="001C2708" w:rsidRPr="007D17AA">
        <w:rPr>
          <w:color w:val="0070C0"/>
        </w:rPr>
        <w:t xml:space="preserve">all </w:t>
      </w:r>
      <w:r w:rsidR="000C284B" w:rsidRPr="007D17AA">
        <w:rPr>
          <w:color w:val="0070C0"/>
        </w:rPr>
        <w:t>SDH risk factors</w:t>
      </w:r>
      <w:r w:rsidR="0010307D" w:rsidRPr="007D17AA">
        <w:rPr>
          <w:color w:val="0070C0"/>
        </w:rPr>
        <w:t xml:space="preserve"> to the model with clinical factors and </w:t>
      </w:r>
      <w:r w:rsidR="002F1273" w:rsidRPr="007D17AA">
        <w:rPr>
          <w:color w:val="0070C0"/>
        </w:rPr>
        <w:t xml:space="preserve">dual Medicare-Medicaid status </w:t>
      </w:r>
      <w:r w:rsidR="0010307D" w:rsidRPr="007D17AA">
        <w:rPr>
          <w:color w:val="0070C0"/>
        </w:rPr>
        <w:t xml:space="preserve">as the only </w:t>
      </w:r>
      <w:r w:rsidR="00332B45" w:rsidRPr="007D17AA">
        <w:rPr>
          <w:color w:val="0070C0"/>
        </w:rPr>
        <w:t>SDH</w:t>
      </w:r>
      <w:r w:rsidR="0010307D" w:rsidRPr="007D17AA">
        <w:rPr>
          <w:color w:val="0070C0"/>
        </w:rPr>
        <w:t xml:space="preserve"> risk</w:t>
      </w:r>
      <w:r w:rsidR="007835B8" w:rsidRPr="007D17AA">
        <w:rPr>
          <w:color w:val="0070C0"/>
        </w:rPr>
        <w:t xml:space="preserve"> </w:t>
      </w:r>
      <w:r w:rsidR="0010307D" w:rsidRPr="007D17AA">
        <w:rPr>
          <w:color w:val="0070C0"/>
        </w:rPr>
        <w:t>factor. These two models had nearly identical predictive accuracy (0.</w:t>
      </w:r>
      <w:r w:rsidR="00F11374" w:rsidRPr="007D17AA">
        <w:rPr>
          <w:color w:val="0070C0"/>
        </w:rPr>
        <w:t>65</w:t>
      </w:r>
      <w:r w:rsidR="00563053" w:rsidRPr="007D17AA">
        <w:rPr>
          <w:color w:val="0070C0"/>
        </w:rPr>
        <w:t>9</w:t>
      </w:r>
      <w:r w:rsidR="0010307D" w:rsidRPr="007D17AA">
        <w:rPr>
          <w:color w:val="0070C0"/>
        </w:rPr>
        <w:t xml:space="preserve"> v</w:t>
      </w:r>
      <w:r w:rsidR="007835B8" w:rsidRPr="007D17AA">
        <w:rPr>
          <w:color w:val="0070C0"/>
        </w:rPr>
        <w:t>ersus</w:t>
      </w:r>
      <w:r w:rsidR="0010307D" w:rsidRPr="007D17AA">
        <w:rPr>
          <w:color w:val="0070C0"/>
        </w:rPr>
        <w:t xml:space="preserve"> 0.</w:t>
      </w:r>
      <w:r w:rsidR="00F11374" w:rsidRPr="007D17AA">
        <w:rPr>
          <w:color w:val="0070C0"/>
        </w:rPr>
        <w:t>65</w:t>
      </w:r>
      <w:r w:rsidR="00563053" w:rsidRPr="007D17AA">
        <w:rPr>
          <w:color w:val="0070C0"/>
        </w:rPr>
        <w:t>8</w:t>
      </w:r>
      <w:r w:rsidR="0010307D" w:rsidRPr="007D17AA">
        <w:rPr>
          <w:color w:val="0070C0"/>
        </w:rPr>
        <w:t>) which suggests that</w:t>
      </w:r>
      <w:r w:rsidR="007835B8" w:rsidRPr="007D17AA">
        <w:rPr>
          <w:color w:val="0070C0"/>
        </w:rPr>
        <w:t xml:space="preserve">, </w:t>
      </w:r>
      <w:r w:rsidR="003930C5" w:rsidRPr="007D17AA">
        <w:rPr>
          <w:color w:val="0070C0"/>
        </w:rPr>
        <w:t xml:space="preserve">as far as the </w:t>
      </w:r>
      <w:r w:rsidR="000C284B" w:rsidRPr="007D17AA">
        <w:rPr>
          <w:color w:val="0070C0"/>
        </w:rPr>
        <w:t>SDH variables</w:t>
      </w:r>
      <w:r w:rsidR="003930C5" w:rsidRPr="007D17AA">
        <w:rPr>
          <w:color w:val="0070C0"/>
        </w:rPr>
        <w:t xml:space="preserve"> are concerned, </w:t>
      </w:r>
      <w:r w:rsidR="002F1273" w:rsidRPr="007D17AA">
        <w:rPr>
          <w:color w:val="0070C0"/>
        </w:rPr>
        <w:t xml:space="preserve">dual Medicare-Medicaid status </w:t>
      </w:r>
      <w:r w:rsidR="00D275EB">
        <w:rPr>
          <w:color w:val="0070C0"/>
        </w:rPr>
        <w:t xml:space="preserve">may </w:t>
      </w:r>
      <w:r w:rsidR="0010307D" w:rsidRPr="007D17AA">
        <w:rPr>
          <w:color w:val="0070C0"/>
        </w:rPr>
        <w:t xml:space="preserve">drive most of the variation in the unplanned IPF readmissions.  </w:t>
      </w:r>
    </w:p>
    <w:p w14:paraId="05EC12BC" w14:textId="45068D25" w:rsidR="00DB280B" w:rsidRDefault="00086FAC">
      <w:pPr>
        <w:spacing w:after="120" w:line="240" w:lineRule="auto"/>
        <w:rPr>
          <w:b/>
          <w:bCs/>
          <w:color w:val="0070C0"/>
        </w:rPr>
      </w:pPr>
      <w:r w:rsidRPr="007D17AA">
        <w:rPr>
          <w:b/>
          <w:bCs/>
          <w:color w:val="0070C0"/>
        </w:rPr>
        <w:t xml:space="preserve"> </w:t>
      </w:r>
      <w:bookmarkStart w:id="47" w:name="_Hlk55836859"/>
      <w:r w:rsidRPr="007D17AA">
        <w:rPr>
          <w:b/>
          <w:bCs/>
          <w:color w:val="0070C0"/>
        </w:rPr>
        <w:t xml:space="preserve">Table </w:t>
      </w:r>
      <w:r w:rsidR="0078380D" w:rsidRPr="00173064">
        <w:rPr>
          <w:b/>
          <w:bCs/>
          <w:color w:val="0070C0"/>
        </w:rPr>
        <w:t>2b3.4b.b</w:t>
      </w:r>
      <w:r w:rsidR="009E0DC1" w:rsidRPr="00173064">
        <w:rPr>
          <w:b/>
          <w:bCs/>
          <w:color w:val="0070C0"/>
        </w:rPr>
        <w:t>.</w:t>
      </w:r>
      <w:r w:rsidRPr="007D17AA">
        <w:rPr>
          <w:b/>
          <w:bCs/>
          <w:color w:val="0070C0"/>
        </w:rPr>
        <w:t xml:space="preserve"> Risk adjustment model parameters (logistic regression)</w:t>
      </w:r>
    </w:p>
    <w:tbl>
      <w:tblPr>
        <w:tblStyle w:val="MathUBaseTable"/>
        <w:tblW w:w="9868" w:type="dxa"/>
        <w:tblLook w:val="04A0" w:firstRow="1" w:lastRow="0" w:firstColumn="1" w:lastColumn="0" w:noHBand="0" w:noVBand="1"/>
      </w:tblPr>
      <w:tblGrid>
        <w:gridCol w:w="3240"/>
        <w:gridCol w:w="961"/>
        <w:gridCol w:w="1080"/>
        <w:gridCol w:w="627"/>
        <w:gridCol w:w="631"/>
        <w:gridCol w:w="994"/>
        <w:gridCol w:w="1080"/>
        <w:gridCol w:w="627"/>
        <w:gridCol w:w="628"/>
      </w:tblGrid>
      <w:tr w:rsidR="00F11564" w:rsidRPr="00F11564" w14:paraId="17E608C7" w14:textId="77777777" w:rsidTr="00D21818">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3240" w:type="dxa"/>
            <w:vMerge w:val="restart"/>
            <w:hideMark/>
          </w:tcPr>
          <w:p w14:paraId="375C7CC7" w14:textId="77777777" w:rsidR="00F11564" w:rsidRPr="00F11564" w:rsidRDefault="00F11564" w:rsidP="006B3CE6">
            <w:pPr>
              <w:pStyle w:val="TableHeaderLeft"/>
              <w:rPr>
                <w:b w:val="0"/>
              </w:rPr>
            </w:pPr>
            <w:r w:rsidRPr="00F11564">
              <w:t>Risk Variable Name Description</w:t>
            </w:r>
          </w:p>
        </w:tc>
        <w:tc>
          <w:tcPr>
            <w:tcW w:w="3299" w:type="dxa"/>
            <w:gridSpan w:val="4"/>
            <w:tcBorders>
              <w:bottom w:val="single" w:sz="4" w:space="0" w:color="FFFFFF" w:themeColor="background1"/>
              <w:right w:val="single" w:sz="4" w:space="0" w:color="FFFFFF" w:themeColor="background1"/>
            </w:tcBorders>
            <w:hideMark/>
          </w:tcPr>
          <w:p w14:paraId="722BA001"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Model with Clinical and SDH risk factors</w:t>
            </w:r>
            <w:r w:rsidRPr="00F11564">
              <w:rPr>
                <w:color w:val="000000"/>
              </w:rPr>
              <w:t>    </w:t>
            </w:r>
          </w:p>
        </w:tc>
        <w:tc>
          <w:tcPr>
            <w:tcW w:w="3329" w:type="dxa"/>
            <w:gridSpan w:val="4"/>
            <w:tcBorders>
              <w:left w:val="single" w:sz="4" w:space="0" w:color="FFFFFF" w:themeColor="background1"/>
              <w:bottom w:val="single" w:sz="4" w:space="0" w:color="FFFFFF" w:themeColor="background1"/>
            </w:tcBorders>
            <w:hideMark/>
          </w:tcPr>
          <w:p w14:paraId="0EA62BAB"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Model with Clinical Risk Factors Only (final model)</w:t>
            </w:r>
          </w:p>
        </w:tc>
      </w:tr>
      <w:tr w:rsidR="00F11564" w:rsidRPr="00F11564" w14:paraId="4C5A65B6" w14:textId="77777777" w:rsidTr="00D21818">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3240" w:type="dxa"/>
            <w:vMerge/>
            <w:hideMark/>
          </w:tcPr>
          <w:p w14:paraId="6EEB82F9" w14:textId="77777777" w:rsidR="00F11564" w:rsidRPr="00F11564" w:rsidRDefault="00F11564" w:rsidP="006B3CE6">
            <w:pPr>
              <w:pStyle w:val="TableTextLeft"/>
              <w:rPr>
                <w:b w:val="0"/>
              </w:rPr>
            </w:pPr>
          </w:p>
        </w:tc>
        <w:tc>
          <w:tcPr>
            <w:tcW w:w="961" w:type="dxa"/>
            <w:tcBorders>
              <w:top w:val="single" w:sz="4" w:space="0" w:color="FFFFFF" w:themeColor="background1"/>
            </w:tcBorders>
            <w:hideMark/>
          </w:tcPr>
          <w:p w14:paraId="5C0C6BA3"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P-Value</w:t>
            </w:r>
          </w:p>
        </w:tc>
        <w:tc>
          <w:tcPr>
            <w:tcW w:w="1080" w:type="dxa"/>
            <w:tcBorders>
              <w:top w:val="single" w:sz="4" w:space="0" w:color="FFFFFF" w:themeColor="background1"/>
            </w:tcBorders>
            <w:hideMark/>
          </w:tcPr>
          <w:p w14:paraId="638A3CAE"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Odds Ratio</w:t>
            </w:r>
          </w:p>
        </w:tc>
        <w:tc>
          <w:tcPr>
            <w:tcW w:w="1258" w:type="dxa"/>
            <w:gridSpan w:val="2"/>
            <w:tcBorders>
              <w:top w:val="single" w:sz="4" w:space="0" w:color="FFFFFF" w:themeColor="background1"/>
              <w:right w:val="single" w:sz="4" w:space="0" w:color="FFFFFF" w:themeColor="background1"/>
            </w:tcBorders>
            <w:hideMark/>
          </w:tcPr>
          <w:p w14:paraId="4946D1B3"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95% CI</w:t>
            </w:r>
          </w:p>
        </w:tc>
        <w:tc>
          <w:tcPr>
            <w:tcW w:w="994" w:type="dxa"/>
            <w:tcBorders>
              <w:top w:val="single" w:sz="4" w:space="0" w:color="FFFFFF" w:themeColor="background1"/>
              <w:left w:val="single" w:sz="4" w:space="0" w:color="FFFFFF" w:themeColor="background1"/>
            </w:tcBorders>
            <w:hideMark/>
          </w:tcPr>
          <w:p w14:paraId="3CE7AED9"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P-Value</w:t>
            </w:r>
          </w:p>
        </w:tc>
        <w:tc>
          <w:tcPr>
            <w:tcW w:w="1080" w:type="dxa"/>
            <w:tcBorders>
              <w:top w:val="single" w:sz="4" w:space="0" w:color="FFFFFF" w:themeColor="background1"/>
            </w:tcBorders>
            <w:hideMark/>
          </w:tcPr>
          <w:p w14:paraId="1F2B871D"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Odds Ratio</w:t>
            </w:r>
          </w:p>
        </w:tc>
        <w:tc>
          <w:tcPr>
            <w:tcW w:w="1255" w:type="dxa"/>
            <w:gridSpan w:val="2"/>
            <w:tcBorders>
              <w:top w:val="single" w:sz="4" w:space="0" w:color="FFFFFF" w:themeColor="background1"/>
            </w:tcBorders>
            <w:hideMark/>
          </w:tcPr>
          <w:p w14:paraId="63EB1390" w14:textId="77777777" w:rsidR="00F11564" w:rsidRPr="00F11564" w:rsidRDefault="00F11564" w:rsidP="006B3CE6">
            <w:pPr>
              <w:pStyle w:val="TableHeaderCenter"/>
              <w:cnfStyle w:val="100000000000" w:firstRow="1" w:lastRow="0" w:firstColumn="0" w:lastColumn="0" w:oddVBand="0" w:evenVBand="0" w:oddHBand="0" w:evenHBand="0" w:firstRowFirstColumn="0" w:firstRowLastColumn="0" w:lastRowFirstColumn="0" w:lastRowLastColumn="0"/>
              <w:rPr>
                <w:b w:val="0"/>
              </w:rPr>
            </w:pPr>
            <w:r w:rsidRPr="00F11564">
              <w:t>95% CI</w:t>
            </w:r>
          </w:p>
        </w:tc>
      </w:tr>
      <w:tr w:rsidR="00F11564" w:rsidRPr="00F11564" w14:paraId="2F14D35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hideMark/>
          </w:tcPr>
          <w:p w14:paraId="42FCCE42" w14:textId="77777777" w:rsidR="00F11564" w:rsidRPr="00F11564" w:rsidRDefault="00F11564" w:rsidP="006B3CE6">
            <w:pPr>
              <w:pStyle w:val="TableTextLeft"/>
              <w:rPr>
                <w:color w:val="000000"/>
              </w:rPr>
            </w:pPr>
            <w:r w:rsidRPr="00F11564">
              <w:rPr>
                <w:color w:val="000000"/>
              </w:rPr>
              <w:t>Intercept</w:t>
            </w:r>
          </w:p>
        </w:tc>
        <w:tc>
          <w:tcPr>
            <w:tcW w:w="961" w:type="dxa"/>
            <w:tcBorders>
              <w:bottom w:val="nil"/>
            </w:tcBorders>
            <w:noWrap/>
            <w:hideMark/>
          </w:tcPr>
          <w:p w14:paraId="77819D5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bottom w:val="nil"/>
            </w:tcBorders>
            <w:noWrap/>
            <w:hideMark/>
          </w:tcPr>
          <w:p w14:paraId="427D9A2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0.065</w:t>
            </w:r>
          </w:p>
        </w:tc>
        <w:tc>
          <w:tcPr>
            <w:tcW w:w="627" w:type="dxa"/>
            <w:tcBorders>
              <w:bottom w:val="nil"/>
            </w:tcBorders>
            <w:noWrap/>
            <w:hideMark/>
          </w:tcPr>
          <w:p w14:paraId="6790712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0.054</w:t>
            </w:r>
          </w:p>
        </w:tc>
        <w:tc>
          <w:tcPr>
            <w:tcW w:w="631" w:type="dxa"/>
            <w:tcBorders>
              <w:bottom w:val="nil"/>
            </w:tcBorders>
            <w:noWrap/>
            <w:hideMark/>
          </w:tcPr>
          <w:p w14:paraId="2B52104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0.079</w:t>
            </w:r>
          </w:p>
        </w:tc>
        <w:tc>
          <w:tcPr>
            <w:tcW w:w="994" w:type="dxa"/>
            <w:tcBorders>
              <w:bottom w:val="nil"/>
            </w:tcBorders>
            <w:noWrap/>
            <w:hideMark/>
          </w:tcPr>
          <w:p w14:paraId="0648551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tcBorders>
              <w:bottom w:val="nil"/>
            </w:tcBorders>
            <w:noWrap/>
            <w:hideMark/>
          </w:tcPr>
          <w:p w14:paraId="1FF4CAD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0.077</w:t>
            </w:r>
          </w:p>
        </w:tc>
        <w:tc>
          <w:tcPr>
            <w:tcW w:w="627" w:type="dxa"/>
            <w:tcBorders>
              <w:bottom w:val="nil"/>
            </w:tcBorders>
            <w:noWrap/>
            <w:hideMark/>
          </w:tcPr>
          <w:p w14:paraId="0D1572A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0.073</w:t>
            </w:r>
          </w:p>
        </w:tc>
        <w:tc>
          <w:tcPr>
            <w:tcW w:w="628" w:type="dxa"/>
            <w:tcBorders>
              <w:bottom w:val="nil"/>
            </w:tcBorders>
            <w:noWrap/>
            <w:hideMark/>
          </w:tcPr>
          <w:p w14:paraId="0ADBD8B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0.080</w:t>
            </w:r>
          </w:p>
        </w:tc>
      </w:tr>
      <w:tr w:rsidR="00F11564" w:rsidRPr="00F11564" w14:paraId="16065C24" w14:textId="77777777" w:rsidTr="00D21818">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0B2949"/>
            <w:hideMark/>
          </w:tcPr>
          <w:p w14:paraId="4CFCB707" w14:textId="77777777" w:rsidR="00F11564" w:rsidRPr="00F11564" w:rsidRDefault="00F11564" w:rsidP="006B3CE6">
            <w:pPr>
              <w:pStyle w:val="TableRowHead"/>
            </w:pPr>
            <w:r w:rsidRPr="00F11564">
              <w:t>Demographic Factors</w:t>
            </w:r>
          </w:p>
        </w:tc>
      </w:tr>
      <w:tr w:rsidR="00F11564" w:rsidRPr="00F11564" w14:paraId="1BD9CB7A"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0D098754" w14:textId="77777777" w:rsidR="00F11564" w:rsidRPr="00F11564" w:rsidRDefault="00F11564" w:rsidP="006B3CE6">
            <w:pPr>
              <w:pStyle w:val="TableTextLeft"/>
              <w:rPr>
                <w:color w:val="000000"/>
              </w:rPr>
            </w:pPr>
            <w:r w:rsidRPr="00F11564">
              <w:rPr>
                <w:color w:val="000000"/>
              </w:rPr>
              <w:t>Gender: Male</w:t>
            </w:r>
          </w:p>
        </w:tc>
        <w:tc>
          <w:tcPr>
            <w:tcW w:w="961" w:type="dxa"/>
            <w:tcBorders>
              <w:top w:val="nil"/>
            </w:tcBorders>
            <w:noWrap/>
            <w:hideMark/>
          </w:tcPr>
          <w:p w14:paraId="4199687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tcBorders>
              <w:top w:val="nil"/>
            </w:tcBorders>
            <w:noWrap/>
            <w:hideMark/>
          </w:tcPr>
          <w:p w14:paraId="3549C45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1.187</w:t>
            </w:r>
          </w:p>
        </w:tc>
        <w:tc>
          <w:tcPr>
            <w:tcW w:w="627" w:type="dxa"/>
            <w:tcBorders>
              <w:top w:val="nil"/>
            </w:tcBorders>
            <w:noWrap/>
            <w:hideMark/>
          </w:tcPr>
          <w:p w14:paraId="69FD59E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1.169</w:t>
            </w:r>
          </w:p>
        </w:tc>
        <w:tc>
          <w:tcPr>
            <w:tcW w:w="631" w:type="dxa"/>
            <w:tcBorders>
              <w:top w:val="nil"/>
            </w:tcBorders>
            <w:noWrap/>
            <w:hideMark/>
          </w:tcPr>
          <w:p w14:paraId="376DC94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1.205</w:t>
            </w:r>
          </w:p>
        </w:tc>
        <w:tc>
          <w:tcPr>
            <w:tcW w:w="994" w:type="dxa"/>
            <w:tcBorders>
              <w:top w:val="nil"/>
            </w:tcBorders>
            <w:noWrap/>
            <w:hideMark/>
          </w:tcPr>
          <w:p w14:paraId="09CFA00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tcBorders>
              <w:top w:val="nil"/>
            </w:tcBorders>
            <w:noWrap/>
            <w:hideMark/>
          </w:tcPr>
          <w:p w14:paraId="7D3A1FD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1.192</w:t>
            </w:r>
          </w:p>
        </w:tc>
        <w:tc>
          <w:tcPr>
            <w:tcW w:w="627" w:type="dxa"/>
            <w:tcBorders>
              <w:top w:val="nil"/>
            </w:tcBorders>
            <w:noWrap/>
            <w:hideMark/>
          </w:tcPr>
          <w:p w14:paraId="39E3DD3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1.175</w:t>
            </w:r>
          </w:p>
        </w:tc>
        <w:tc>
          <w:tcPr>
            <w:tcW w:w="628" w:type="dxa"/>
            <w:tcBorders>
              <w:top w:val="nil"/>
            </w:tcBorders>
            <w:noWrap/>
            <w:hideMark/>
          </w:tcPr>
          <w:p w14:paraId="75AA285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1.210</w:t>
            </w:r>
          </w:p>
        </w:tc>
      </w:tr>
      <w:tr w:rsidR="00F11564" w:rsidRPr="00F11564" w14:paraId="79AB467B"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D5FBA33" w14:textId="77777777" w:rsidR="00F11564" w:rsidRPr="00F11564" w:rsidRDefault="00F11564" w:rsidP="006B3CE6">
            <w:pPr>
              <w:pStyle w:val="TableTextLeft"/>
              <w:rPr>
                <w:color w:val="000000"/>
              </w:rPr>
            </w:pPr>
            <w:r w:rsidRPr="00F11564">
              <w:rPr>
                <w:color w:val="000000"/>
              </w:rPr>
              <w:t>Age: 18-34</w:t>
            </w:r>
          </w:p>
        </w:tc>
        <w:tc>
          <w:tcPr>
            <w:tcW w:w="961" w:type="dxa"/>
            <w:noWrap/>
            <w:hideMark/>
          </w:tcPr>
          <w:p w14:paraId="2C76F6D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AE783E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1.333</w:t>
            </w:r>
          </w:p>
        </w:tc>
        <w:tc>
          <w:tcPr>
            <w:tcW w:w="627" w:type="dxa"/>
            <w:noWrap/>
            <w:hideMark/>
          </w:tcPr>
          <w:p w14:paraId="4EBCBFF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1.273</w:t>
            </w:r>
          </w:p>
        </w:tc>
        <w:tc>
          <w:tcPr>
            <w:tcW w:w="631" w:type="dxa"/>
            <w:noWrap/>
            <w:hideMark/>
          </w:tcPr>
          <w:p w14:paraId="3A1D284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1.397</w:t>
            </w:r>
          </w:p>
        </w:tc>
        <w:tc>
          <w:tcPr>
            <w:tcW w:w="994" w:type="dxa"/>
            <w:noWrap/>
            <w:hideMark/>
          </w:tcPr>
          <w:p w14:paraId="0B9F9C9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054804F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1.353</w:t>
            </w:r>
          </w:p>
        </w:tc>
        <w:tc>
          <w:tcPr>
            <w:tcW w:w="627" w:type="dxa"/>
            <w:noWrap/>
            <w:hideMark/>
          </w:tcPr>
          <w:p w14:paraId="36F20CC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1.293</w:t>
            </w:r>
          </w:p>
        </w:tc>
        <w:tc>
          <w:tcPr>
            <w:tcW w:w="628" w:type="dxa"/>
            <w:noWrap/>
            <w:hideMark/>
          </w:tcPr>
          <w:p w14:paraId="7EE0305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1.416</w:t>
            </w:r>
          </w:p>
        </w:tc>
      </w:tr>
      <w:tr w:rsidR="00F11564" w:rsidRPr="00F11564" w14:paraId="502F1348"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ABBC49C" w14:textId="77777777" w:rsidR="00F11564" w:rsidRPr="00F11564" w:rsidRDefault="00F11564" w:rsidP="006B3CE6">
            <w:pPr>
              <w:pStyle w:val="TableTextLeft"/>
              <w:rPr>
                <w:color w:val="000000"/>
              </w:rPr>
            </w:pPr>
            <w:r w:rsidRPr="00F11564">
              <w:rPr>
                <w:color w:val="000000"/>
              </w:rPr>
              <w:t>Age: 35-44</w:t>
            </w:r>
          </w:p>
        </w:tc>
        <w:tc>
          <w:tcPr>
            <w:tcW w:w="961" w:type="dxa"/>
            <w:noWrap/>
            <w:hideMark/>
          </w:tcPr>
          <w:p w14:paraId="50726C1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50AA6D6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1.216</w:t>
            </w:r>
          </w:p>
        </w:tc>
        <w:tc>
          <w:tcPr>
            <w:tcW w:w="627" w:type="dxa"/>
            <w:noWrap/>
            <w:hideMark/>
          </w:tcPr>
          <w:p w14:paraId="3533CC3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1.162</w:t>
            </w:r>
          </w:p>
        </w:tc>
        <w:tc>
          <w:tcPr>
            <w:tcW w:w="631" w:type="dxa"/>
            <w:noWrap/>
            <w:hideMark/>
          </w:tcPr>
          <w:p w14:paraId="1F2EB5A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1.272</w:t>
            </w:r>
          </w:p>
        </w:tc>
        <w:tc>
          <w:tcPr>
            <w:tcW w:w="994" w:type="dxa"/>
            <w:noWrap/>
            <w:hideMark/>
          </w:tcPr>
          <w:p w14:paraId="5DFC50D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33B61B4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1.225</w:t>
            </w:r>
          </w:p>
        </w:tc>
        <w:tc>
          <w:tcPr>
            <w:tcW w:w="627" w:type="dxa"/>
            <w:noWrap/>
            <w:hideMark/>
          </w:tcPr>
          <w:p w14:paraId="6C413E1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1.172</w:t>
            </w:r>
          </w:p>
        </w:tc>
        <w:tc>
          <w:tcPr>
            <w:tcW w:w="628" w:type="dxa"/>
            <w:noWrap/>
            <w:hideMark/>
          </w:tcPr>
          <w:p w14:paraId="1DF80D9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1.281</w:t>
            </w:r>
          </w:p>
        </w:tc>
      </w:tr>
      <w:tr w:rsidR="00F11564" w:rsidRPr="00F11564" w14:paraId="06227DC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903836E" w14:textId="77777777" w:rsidR="00F11564" w:rsidRPr="00F11564" w:rsidRDefault="00F11564" w:rsidP="006B3CE6">
            <w:pPr>
              <w:pStyle w:val="TableTextLeft"/>
              <w:rPr>
                <w:color w:val="000000"/>
              </w:rPr>
            </w:pPr>
            <w:r w:rsidRPr="00F11564">
              <w:rPr>
                <w:color w:val="000000"/>
              </w:rPr>
              <w:t>Age: 45-54</w:t>
            </w:r>
          </w:p>
        </w:tc>
        <w:tc>
          <w:tcPr>
            <w:tcW w:w="961" w:type="dxa"/>
            <w:noWrap/>
            <w:hideMark/>
          </w:tcPr>
          <w:p w14:paraId="56D5D75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4B42B2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1.147</w:t>
            </w:r>
          </w:p>
        </w:tc>
        <w:tc>
          <w:tcPr>
            <w:tcW w:w="627" w:type="dxa"/>
            <w:noWrap/>
            <w:hideMark/>
          </w:tcPr>
          <w:p w14:paraId="6EE7861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1.098</w:t>
            </w:r>
          </w:p>
        </w:tc>
        <w:tc>
          <w:tcPr>
            <w:tcW w:w="631" w:type="dxa"/>
            <w:noWrap/>
            <w:hideMark/>
          </w:tcPr>
          <w:p w14:paraId="4310699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1.198</w:t>
            </w:r>
          </w:p>
        </w:tc>
        <w:tc>
          <w:tcPr>
            <w:tcW w:w="994" w:type="dxa"/>
            <w:noWrap/>
            <w:hideMark/>
          </w:tcPr>
          <w:p w14:paraId="67B081A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796BBB4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1.157</w:t>
            </w:r>
          </w:p>
        </w:tc>
        <w:tc>
          <w:tcPr>
            <w:tcW w:w="627" w:type="dxa"/>
            <w:noWrap/>
            <w:hideMark/>
          </w:tcPr>
          <w:p w14:paraId="34FCDFD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1.108</w:t>
            </w:r>
          </w:p>
        </w:tc>
        <w:tc>
          <w:tcPr>
            <w:tcW w:w="628" w:type="dxa"/>
            <w:noWrap/>
            <w:hideMark/>
          </w:tcPr>
          <w:p w14:paraId="64254DB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1.208</w:t>
            </w:r>
          </w:p>
        </w:tc>
      </w:tr>
      <w:tr w:rsidR="00F11564" w:rsidRPr="00F11564" w14:paraId="1BEB647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74402C82" w14:textId="77777777" w:rsidR="00F11564" w:rsidRPr="00F11564" w:rsidRDefault="00F11564" w:rsidP="006B3CE6">
            <w:pPr>
              <w:pStyle w:val="TableTextLeft"/>
              <w:rPr>
                <w:color w:val="000000"/>
              </w:rPr>
            </w:pPr>
            <w:r w:rsidRPr="00F11564">
              <w:rPr>
                <w:color w:val="000000"/>
              </w:rPr>
              <w:t>Age: 55-64</w:t>
            </w:r>
          </w:p>
        </w:tc>
        <w:tc>
          <w:tcPr>
            <w:tcW w:w="961" w:type="dxa"/>
            <w:noWrap/>
            <w:hideMark/>
          </w:tcPr>
          <w:p w14:paraId="5CF862A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FEE4C9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1.091</w:t>
            </w:r>
          </w:p>
        </w:tc>
        <w:tc>
          <w:tcPr>
            <w:tcW w:w="627" w:type="dxa"/>
            <w:noWrap/>
            <w:hideMark/>
          </w:tcPr>
          <w:p w14:paraId="33FDB44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1.046</w:t>
            </w:r>
          </w:p>
        </w:tc>
        <w:tc>
          <w:tcPr>
            <w:tcW w:w="631" w:type="dxa"/>
            <w:noWrap/>
            <w:hideMark/>
          </w:tcPr>
          <w:p w14:paraId="26F98C5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1.138</w:t>
            </w:r>
          </w:p>
        </w:tc>
        <w:tc>
          <w:tcPr>
            <w:tcW w:w="994" w:type="dxa"/>
            <w:noWrap/>
            <w:hideMark/>
          </w:tcPr>
          <w:p w14:paraId="4E8AA8B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3876977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1.099</w:t>
            </w:r>
          </w:p>
        </w:tc>
        <w:tc>
          <w:tcPr>
            <w:tcW w:w="627" w:type="dxa"/>
            <w:noWrap/>
            <w:hideMark/>
          </w:tcPr>
          <w:p w14:paraId="389EAD0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1.054</w:t>
            </w:r>
          </w:p>
        </w:tc>
        <w:tc>
          <w:tcPr>
            <w:tcW w:w="628" w:type="dxa"/>
            <w:noWrap/>
            <w:hideMark/>
          </w:tcPr>
          <w:p w14:paraId="3A60500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1.145</w:t>
            </w:r>
          </w:p>
        </w:tc>
      </w:tr>
      <w:tr w:rsidR="00F11564" w:rsidRPr="00F11564" w14:paraId="21B71D0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079814C" w14:textId="77777777" w:rsidR="00F11564" w:rsidRPr="00F11564" w:rsidRDefault="00F11564" w:rsidP="006B3CE6">
            <w:pPr>
              <w:pStyle w:val="TableTextLeft"/>
              <w:rPr>
                <w:color w:val="000000"/>
              </w:rPr>
            </w:pPr>
            <w:r w:rsidRPr="00F11564">
              <w:rPr>
                <w:color w:val="000000"/>
              </w:rPr>
              <w:t>Age: 65-74</w:t>
            </w:r>
          </w:p>
        </w:tc>
        <w:tc>
          <w:tcPr>
            <w:tcW w:w="961" w:type="dxa"/>
            <w:noWrap/>
            <w:hideMark/>
          </w:tcPr>
          <w:p w14:paraId="4061FB3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0.548</w:t>
            </w:r>
          </w:p>
        </w:tc>
        <w:tc>
          <w:tcPr>
            <w:tcW w:w="1080" w:type="dxa"/>
            <w:noWrap/>
            <w:hideMark/>
          </w:tcPr>
          <w:p w14:paraId="09EED56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1.012</w:t>
            </w:r>
          </w:p>
        </w:tc>
        <w:tc>
          <w:tcPr>
            <w:tcW w:w="627" w:type="dxa"/>
            <w:noWrap/>
            <w:hideMark/>
          </w:tcPr>
          <w:p w14:paraId="2A7CBBC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0.973</w:t>
            </w:r>
          </w:p>
        </w:tc>
        <w:tc>
          <w:tcPr>
            <w:tcW w:w="631" w:type="dxa"/>
            <w:noWrap/>
            <w:hideMark/>
          </w:tcPr>
          <w:p w14:paraId="0E3BF34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1.053</w:t>
            </w:r>
          </w:p>
        </w:tc>
        <w:tc>
          <w:tcPr>
            <w:tcW w:w="994" w:type="dxa"/>
            <w:noWrap/>
            <w:hideMark/>
          </w:tcPr>
          <w:p w14:paraId="2CF15AB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0.539</w:t>
            </w:r>
          </w:p>
        </w:tc>
        <w:tc>
          <w:tcPr>
            <w:tcW w:w="1080" w:type="dxa"/>
            <w:noWrap/>
            <w:hideMark/>
          </w:tcPr>
          <w:p w14:paraId="4231E97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1.012</w:t>
            </w:r>
          </w:p>
        </w:tc>
        <w:tc>
          <w:tcPr>
            <w:tcW w:w="627" w:type="dxa"/>
            <w:noWrap/>
            <w:hideMark/>
          </w:tcPr>
          <w:p w14:paraId="0FD70D1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0.974</w:t>
            </w:r>
          </w:p>
        </w:tc>
        <w:tc>
          <w:tcPr>
            <w:tcW w:w="628" w:type="dxa"/>
            <w:noWrap/>
            <w:hideMark/>
          </w:tcPr>
          <w:p w14:paraId="481D28E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1.053</w:t>
            </w:r>
          </w:p>
        </w:tc>
      </w:tr>
      <w:tr w:rsidR="00F11564" w:rsidRPr="00F11564" w14:paraId="566AB7B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8E27496" w14:textId="77777777" w:rsidR="00F11564" w:rsidRPr="00F11564" w:rsidRDefault="00F11564" w:rsidP="006B3CE6">
            <w:pPr>
              <w:pStyle w:val="TableTextLeft"/>
              <w:rPr>
                <w:color w:val="000000"/>
              </w:rPr>
            </w:pPr>
            <w:r w:rsidRPr="00F11564">
              <w:rPr>
                <w:color w:val="000000"/>
              </w:rPr>
              <w:t>Age: 75-84</w:t>
            </w:r>
          </w:p>
        </w:tc>
        <w:tc>
          <w:tcPr>
            <w:tcW w:w="961" w:type="dxa"/>
            <w:noWrap/>
            <w:hideMark/>
          </w:tcPr>
          <w:p w14:paraId="729F517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0.165</w:t>
            </w:r>
          </w:p>
        </w:tc>
        <w:tc>
          <w:tcPr>
            <w:tcW w:w="1080" w:type="dxa"/>
            <w:noWrap/>
            <w:hideMark/>
          </w:tcPr>
          <w:p w14:paraId="650449A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1.028</w:t>
            </w:r>
          </w:p>
        </w:tc>
        <w:tc>
          <w:tcPr>
            <w:tcW w:w="627" w:type="dxa"/>
            <w:noWrap/>
            <w:hideMark/>
          </w:tcPr>
          <w:p w14:paraId="708B1B6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0.989</w:t>
            </w:r>
          </w:p>
        </w:tc>
        <w:tc>
          <w:tcPr>
            <w:tcW w:w="631" w:type="dxa"/>
            <w:noWrap/>
            <w:hideMark/>
          </w:tcPr>
          <w:p w14:paraId="23A843E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1.069</w:t>
            </w:r>
          </w:p>
        </w:tc>
        <w:tc>
          <w:tcPr>
            <w:tcW w:w="994" w:type="dxa"/>
            <w:noWrap/>
            <w:hideMark/>
          </w:tcPr>
          <w:p w14:paraId="094188A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0.225</w:t>
            </w:r>
          </w:p>
        </w:tc>
        <w:tc>
          <w:tcPr>
            <w:tcW w:w="1080" w:type="dxa"/>
            <w:noWrap/>
            <w:hideMark/>
          </w:tcPr>
          <w:p w14:paraId="3223333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1.024</w:t>
            </w:r>
          </w:p>
        </w:tc>
        <w:tc>
          <w:tcPr>
            <w:tcW w:w="627" w:type="dxa"/>
            <w:noWrap/>
            <w:hideMark/>
          </w:tcPr>
          <w:p w14:paraId="0B6FF3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0.985</w:t>
            </w:r>
          </w:p>
        </w:tc>
        <w:tc>
          <w:tcPr>
            <w:tcW w:w="628" w:type="dxa"/>
            <w:noWrap/>
            <w:hideMark/>
          </w:tcPr>
          <w:p w14:paraId="60DE979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1.065</w:t>
            </w:r>
          </w:p>
        </w:tc>
      </w:tr>
      <w:tr w:rsidR="00F11564" w:rsidRPr="00F11564" w14:paraId="12AB49AB"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hideMark/>
          </w:tcPr>
          <w:p w14:paraId="5716362D" w14:textId="77777777" w:rsidR="00F11564" w:rsidRPr="00F11564" w:rsidRDefault="00F11564" w:rsidP="006B3CE6">
            <w:pPr>
              <w:pStyle w:val="TableTextLeft"/>
              <w:rPr>
                <w:color w:val="000000"/>
              </w:rPr>
            </w:pPr>
            <w:r w:rsidRPr="00F11564">
              <w:rPr>
                <w:color w:val="000000"/>
              </w:rPr>
              <w:t>Age: 85+</w:t>
            </w:r>
          </w:p>
        </w:tc>
        <w:tc>
          <w:tcPr>
            <w:tcW w:w="3299" w:type="dxa"/>
            <w:gridSpan w:val="4"/>
            <w:tcBorders>
              <w:bottom w:val="nil"/>
            </w:tcBorders>
            <w:noWrap/>
            <w:hideMark/>
          </w:tcPr>
          <w:p w14:paraId="0A29489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c>
          <w:tcPr>
            <w:tcW w:w="3329" w:type="dxa"/>
            <w:gridSpan w:val="4"/>
            <w:tcBorders>
              <w:bottom w:val="nil"/>
            </w:tcBorders>
            <w:noWrap/>
            <w:hideMark/>
          </w:tcPr>
          <w:p w14:paraId="6CD3C14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r>
      <w:tr w:rsidR="00F11564" w:rsidRPr="00F11564" w14:paraId="3D58B088" w14:textId="77777777" w:rsidTr="00D21818">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0B2949"/>
            <w:hideMark/>
          </w:tcPr>
          <w:p w14:paraId="5035DC7E" w14:textId="77777777" w:rsidR="00F11564" w:rsidRPr="00F11564" w:rsidRDefault="00F11564" w:rsidP="006B3CE6">
            <w:pPr>
              <w:pStyle w:val="TableRowHead"/>
            </w:pPr>
            <w:r w:rsidRPr="00F11564">
              <w:t>Principal Discharge Diagnosis on Index Admission</w:t>
            </w:r>
          </w:p>
        </w:tc>
      </w:tr>
      <w:tr w:rsidR="00F11564" w:rsidRPr="00F11564" w14:paraId="2CD1485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0E791452" w14:textId="77777777" w:rsidR="00F11564" w:rsidRPr="00F11564" w:rsidRDefault="00F11564" w:rsidP="006B3CE6">
            <w:pPr>
              <w:pStyle w:val="TableTextLeft"/>
              <w:rPr>
                <w:color w:val="000000"/>
              </w:rPr>
            </w:pPr>
            <w:r w:rsidRPr="00F11564">
              <w:rPr>
                <w:color w:val="000000"/>
              </w:rPr>
              <w:t xml:space="preserve">CCS 650 Adjustment disorder </w:t>
            </w:r>
          </w:p>
        </w:tc>
        <w:tc>
          <w:tcPr>
            <w:tcW w:w="961" w:type="dxa"/>
            <w:tcBorders>
              <w:top w:val="nil"/>
            </w:tcBorders>
            <w:noWrap/>
            <w:hideMark/>
          </w:tcPr>
          <w:p w14:paraId="560D492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56BB71C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0.768</w:t>
            </w:r>
          </w:p>
        </w:tc>
        <w:tc>
          <w:tcPr>
            <w:tcW w:w="627" w:type="dxa"/>
            <w:tcBorders>
              <w:top w:val="nil"/>
            </w:tcBorders>
            <w:noWrap/>
            <w:hideMark/>
          </w:tcPr>
          <w:p w14:paraId="70096DC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0.710</w:t>
            </w:r>
          </w:p>
        </w:tc>
        <w:tc>
          <w:tcPr>
            <w:tcW w:w="631" w:type="dxa"/>
            <w:tcBorders>
              <w:top w:val="nil"/>
            </w:tcBorders>
            <w:noWrap/>
            <w:hideMark/>
          </w:tcPr>
          <w:p w14:paraId="34C5873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0.831</w:t>
            </w:r>
          </w:p>
        </w:tc>
        <w:tc>
          <w:tcPr>
            <w:tcW w:w="994" w:type="dxa"/>
            <w:tcBorders>
              <w:top w:val="nil"/>
            </w:tcBorders>
            <w:noWrap/>
            <w:hideMark/>
          </w:tcPr>
          <w:p w14:paraId="18E1490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tcBorders>
              <w:top w:val="nil"/>
            </w:tcBorders>
            <w:noWrap/>
            <w:hideMark/>
          </w:tcPr>
          <w:p w14:paraId="15BBA20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0.767</w:t>
            </w:r>
          </w:p>
        </w:tc>
        <w:tc>
          <w:tcPr>
            <w:tcW w:w="627" w:type="dxa"/>
            <w:tcBorders>
              <w:top w:val="nil"/>
            </w:tcBorders>
            <w:noWrap/>
            <w:hideMark/>
          </w:tcPr>
          <w:p w14:paraId="5A42E1F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0.710</w:t>
            </w:r>
          </w:p>
        </w:tc>
        <w:tc>
          <w:tcPr>
            <w:tcW w:w="628" w:type="dxa"/>
            <w:tcBorders>
              <w:top w:val="nil"/>
            </w:tcBorders>
            <w:noWrap/>
            <w:hideMark/>
          </w:tcPr>
          <w:p w14:paraId="52E4C11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0.829</w:t>
            </w:r>
          </w:p>
        </w:tc>
      </w:tr>
      <w:tr w:rsidR="00F11564" w:rsidRPr="00F11564" w14:paraId="24D69460"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73D0B3B3" w14:textId="77777777" w:rsidR="00F11564" w:rsidRPr="00F11564" w:rsidRDefault="00F11564" w:rsidP="006B3CE6">
            <w:pPr>
              <w:pStyle w:val="TableTextLeft"/>
              <w:rPr>
                <w:color w:val="000000"/>
              </w:rPr>
            </w:pPr>
            <w:r w:rsidRPr="00F11564">
              <w:rPr>
                <w:color w:val="000000"/>
              </w:rPr>
              <w:t>CCS 651 Anxiety</w:t>
            </w:r>
          </w:p>
        </w:tc>
        <w:tc>
          <w:tcPr>
            <w:tcW w:w="961" w:type="dxa"/>
            <w:noWrap/>
            <w:hideMark/>
          </w:tcPr>
          <w:p w14:paraId="288ADD8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26155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0.795</w:t>
            </w:r>
          </w:p>
        </w:tc>
        <w:tc>
          <w:tcPr>
            <w:tcW w:w="627" w:type="dxa"/>
            <w:noWrap/>
            <w:hideMark/>
          </w:tcPr>
          <w:p w14:paraId="1B19874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0.743</w:t>
            </w:r>
          </w:p>
        </w:tc>
        <w:tc>
          <w:tcPr>
            <w:tcW w:w="631" w:type="dxa"/>
            <w:noWrap/>
            <w:hideMark/>
          </w:tcPr>
          <w:p w14:paraId="3D66C9B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0.851</w:t>
            </w:r>
          </w:p>
        </w:tc>
        <w:tc>
          <w:tcPr>
            <w:tcW w:w="994" w:type="dxa"/>
            <w:noWrap/>
            <w:hideMark/>
          </w:tcPr>
          <w:p w14:paraId="2B554A0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02067CA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0.787</w:t>
            </w:r>
          </w:p>
        </w:tc>
        <w:tc>
          <w:tcPr>
            <w:tcW w:w="627" w:type="dxa"/>
            <w:noWrap/>
            <w:hideMark/>
          </w:tcPr>
          <w:p w14:paraId="4DE9321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0.736</w:t>
            </w:r>
          </w:p>
        </w:tc>
        <w:tc>
          <w:tcPr>
            <w:tcW w:w="628" w:type="dxa"/>
            <w:noWrap/>
            <w:hideMark/>
          </w:tcPr>
          <w:p w14:paraId="063470C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0.842</w:t>
            </w:r>
          </w:p>
        </w:tc>
      </w:tr>
      <w:tr w:rsidR="00F11564" w:rsidRPr="00F11564" w14:paraId="618C1D3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5706EECE" w14:textId="7E1FEA60" w:rsidR="00F11564" w:rsidRPr="00F11564" w:rsidRDefault="00F11564" w:rsidP="006B3CE6">
            <w:pPr>
              <w:pStyle w:val="TableTextLeft"/>
              <w:rPr>
                <w:color w:val="000000"/>
              </w:rPr>
            </w:pPr>
            <w:r w:rsidRPr="00F11564">
              <w:rPr>
                <w:color w:val="000000"/>
              </w:rPr>
              <w:t>CCS 652/654/655 ADD/developmental</w:t>
            </w:r>
            <w:r>
              <w:rPr>
                <w:color w:val="000000"/>
              </w:rPr>
              <w:t xml:space="preserve"> </w:t>
            </w:r>
            <w:r w:rsidRPr="00F11564">
              <w:rPr>
                <w:color w:val="000000"/>
              </w:rPr>
              <w:t>/childhood disorders</w:t>
            </w:r>
          </w:p>
        </w:tc>
        <w:tc>
          <w:tcPr>
            <w:tcW w:w="961" w:type="dxa"/>
            <w:noWrap/>
            <w:hideMark/>
          </w:tcPr>
          <w:p w14:paraId="40043D1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0.001</w:t>
            </w:r>
          </w:p>
        </w:tc>
        <w:tc>
          <w:tcPr>
            <w:tcW w:w="1080" w:type="dxa"/>
            <w:noWrap/>
            <w:hideMark/>
          </w:tcPr>
          <w:p w14:paraId="7DA75BA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0.774</w:t>
            </w:r>
          </w:p>
        </w:tc>
        <w:tc>
          <w:tcPr>
            <w:tcW w:w="627" w:type="dxa"/>
            <w:noWrap/>
            <w:hideMark/>
          </w:tcPr>
          <w:p w14:paraId="187556B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0.666</w:t>
            </w:r>
          </w:p>
        </w:tc>
        <w:tc>
          <w:tcPr>
            <w:tcW w:w="631" w:type="dxa"/>
            <w:noWrap/>
            <w:hideMark/>
          </w:tcPr>
          <w:p w14:paraId="688C73F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0.900</w:t>
            </w:r>
          </w:p>
        </w:tc>
        <w:tc>
          <w:tcPr>
            <w:tcW w:w="994" w:type="dxa"/>
            <w:noWrap/>
            <w:hideMark/>
          </w:tcPr>
          <w:p w14:paraId="6F4A6BA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0.002</w:t>
            </w:r>
          </w:p>
        </w:tc>
        <w:tc>
          <w:tcPr>
            <w:tcW w:w="1080" w:type="dxa"/>
            <w:noWrap/>
            <w:hideMark/>
          </w:tcPr>
          <w:p w14:paraId="1510CF1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0.788</w:t>
            </w:r>
          </w:p>
        </w:tc>
        <w:tc>
          <w:tcPr>
            <w:tcW w:w="627" w:type="dxa"/>
            <w:noWrap/>
            <w:hideMark/>
          </w:tcPr>
          <w:p w14:paraId="40E5951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0.678</w:t>
            </w:r>
          </w:p>
        </w:tc>
        <w:tc>
          <w:tcPr>
            <w:tcW w:w="628" w:type="dxa"/>
            <w:noWrap/>
            <w:hideMark/>
          </w:tcPr>
          <w:p w14:paraId="4294CD1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0.915</w:t>
            </w:r>
          </w:p>
        </w:tc>
      </w:tr>
      <w:tr w:rsidR="00F11564" w:rsidRPr="00F11564" w14:paraId="5F19F65B"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574942C9" w14:textId="77777777" w:rsidR="00F11564" w:rsidRPr="00F11564" w:rsidRDefault="00F11564" w:rsidP="006B3CE6">
            <w:pPr>
              <w:pStyle w:val="TableTextLeft"/>
              <w:rPr>
                <w:color w:val="000000"/>
              </w:rPr>
            </w:pPr>
            <w:r w:rsidRPr="00F11564">
              <w:rPr>
                <w:color w:val="000000"/>
              </w:rPr>
              <w:t>CCS 653 Dementia</w:t>
            </w:r>
          </w:p>
        </w:tc>
        <w:tc>
          <w:tcPr>
            <w:tcW w:w="961" w:type="dxa"/>
            <w:noWrap/>
            <w:hideMark/>
          </w:tcPr>
          <w:p w14:paraId="3093EC4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5DBBEF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1.076</w:t>
            </w:r>
          </w:p>
        </w:tc>
        <w:tc>
          <w:tcPr>
            <w:tcW w:w="627" w:type="dxa"/>
            <w:noWrap/>
            <w:hideMark/>
          </w:tcPr>
          <w:p w14:paraId="4A3A413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1.040</w:t>
            </w:r>
          </w:p>
        </w:tc>
        <w:tc>
          <w:tcPr>
            <w:tcW w:w="631" w:type="dxa"/>
            <w:noWrap/>
            <w:hideMark/>
          </w:tcPr>
          <w:p w14:paraId="37E5480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1.114</w:t>
            </w:r>
          </w:p>
        </w:tc>
        <w:tc>
          <w:tcPr>
            <w:tcW w:w="994" w:type="dxa"/>
            <w:noWrap/>
            <w:hideMark/>
          </w:tcPr>
          <w:p w14:paraId="720A0FD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0.001</w:t>
            </w:r>
          </w:p>
        </w:tc>
        <w:tc>
          <w:tcPr>
            <w:tcW w:w="1080" w:type="dxa"/>
            <w:noWrap/>
            <w:hideMark/>
          </w:tcPr>
          <w:p w14:paraId="070E5AE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1.061</w:t>
            </w:r>
          </w:p>
        </w:tc>
        <w:tc>
          <w:tcPr>
            <w:tcW w:w="627" w:type="dxa"/>
            <w:noWrap/>
            <w:hideMark/>
          </w:tcPr>
          <w:p w14:paraId="4CC2724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1.025</w:t>
            </w:r>
          </w:p>
        </w:tc>
        <w:tc>
          <w:tcPr>
            <w:tcW w:w="628" w:type="dxa"/>
            <w:noWrap/>
            <w:hideMark/>
          </w:tcPr>
          <w:p w14:paraId="5AA74BF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1.098</w:t>
            </w:r>
          </w:p>
        </w:tc>
      </w:tr>
      <w:tr w:rsidR="00F11564" w:rsidRPr="00F11564" w14:paraId="7DBEB701"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20CE0AC" w14:textId="77777777" w:rsidR="00F11564" w:rsidRPr="00F11564" w:rsidRDefault="00F11564" w:rsidP="006B3CE6">
            <w:pPr>
              <w:pStyle w:val="TableTextLeft"/>
              <w:rPr>
                <w:color w:val="000000"/>
              </w:rPr>
            </w:pPr>
            <w:r w:rsidRPr="00F11564">
              <w:rPr>
                <w:color w:val="000000"/>
              </w:rPr>
              <w:t>CCS 656 Impulse control disorders</w:t>
            </w:r>
          </w:p>
        </w:tc>
        <w:tc>
          <w:tcPr>
            <w:tcW w:w="961" w:type="dxa"/>
            <w:noWrap/>
            <w:hideMark/>
          </w:tcPr>
          <w:p w14:paraId="4313D14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A50130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0.775</w:t>
            </w:r>
          </w:p>
        </w:tc>
        <w:tc>
          <w:tcPr>
            <w:tcW w:w="627" w:type="dxa"/>
            <w:noWrap/>
            <w:hideMark/>
          </w:tcPr>
          <w:p w14:paraId="1CF768B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0.685</w:t>
            </w:r>
          </w:p>
        </w:tc>
        <w:tc>
          <w:tcPr>
            <w:tcW w:w="631" w:type="dxa"/>
            <w:noWrap/>
            <w:hideMark/>
          </w:tcPr>
          <w:p w14:paraId="5A78CE2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0.878</w:t>
            </w:r>
          </w:p>
        </w:tc>
        <w:tc>
          <w:tcPr>
            <w:tcW w:w="994" w:type="dxa"/>
            <w:noWrap/>
            <w:hideMark/>
          </w:tcPr>
          <w:p w14:paraId="678AA02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4C2F42D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0.796</w:t>
            </w:r>
          </w:p>
        </w:tc>
        <w:tc>
          <w:tcPr>
            <w:tcW w:w="627" w:type="dxa"/>
            <w:noWrap/>
            <w:hideMark/>
          </w:tcPr>
          <w:p w14:paraId="4C2465A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0.704</w:t>
            </w:r>
          </w:p>
        </w:tc>
        <w:tc>
          <w:tcPr>
            <w:tcW w:w="628" w:type="dxa"/>
            <w:noWrap/>
            <w:hideMark/>
          </w:tcPr>
          <w:p w14:paraId="2B5BD9C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0.900</w:t>
            </w:r>
          </w:p>
        </w:tc>
      </w:tr>
      <w:tr w:rsidR="00F11564" w:rsidRPr="00F11564" w14:paraId="7369B932"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87F8A0A" w14:textId="77777777" w:rsidR="00F11564" w:rsidRPr="00F11564" w:rsidRDefault="00F11564" w:rsidP="006B3CE6">
            <w:pPr>
              <w:pStyle w:val="TableTextLeft"/>
              <w:rPr>
                <w:color w:val="000000"/>
              </w:rPr>
            </w:pPr>
            <w:r w:rsidRPr="00F11564">
              <w:rPr>
                <w:color w:val="000000"/>
              </w:rPr>
              <w:t>CCS 657.1 Bipolar disorder</w:t>
            </w:r>
          </w:p>
        </w:tc>
        <w:tc>
          <w:tcPr>
            <w:tcW w:w="961" w:type="dxa"/>
            <w:noWrap/>
            <w:hideMark/>
          </w:tcPr>
          <w:p w14:paraId="6FDF720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A2672E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0.912</w:t>
            </w:r>
          </w:p>
        </w:tc>
        <w:tc>
          <w:tcPr>
            <w:tcW w:w="627" w:type="dxa"/>
            <w:noWrap/>
            <w:hideMark/>
          </w:tcPr>
          <w:p w14:paraId="6013B5A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0.890</w:t>
            </w:r>
          </w:p>
        </w:tc>
        <w:tc>
          <w:tcPr>
            <w:tcW w:w="631" w:type="dxa"/>
            <w:noWrap/>
            <w:hideMark/>
          </w:tcPr>
          <w:p w14:paraId="6F2CB36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0.934</w:t>
            </w:r>
          </w:p>
        </w:tc>
        <w:tc>
          <w:tcPr>
            <w:tcW w:w="994" w:type="dxa"/>
            <w:noWrap/>
            <w:hideMark/>
          </w:tcPr>
          <w:p w14:paraId="20EBCAF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10D731E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0.904</w:t>
            </w:r>
          </w:p>
        </w:tc>
        <w:tc>
          <w:tcPr>
            <w:tcW w:w="627" w:type="dxa"/>
            <w:noWrap/>
            <w:hideMark/>
          </w:tcPr>
          <w:p w14:paraId="2AA1B37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0.882</w:t>
            </w:r>
          </w:p>
        </w:tc>
        <w:tc>
          <w:tcPr>
            <w:tcW w:w="628" w:type="dxa"/>
            <w:noWrap/>
            <w:hideMark/>
          </w:tcPr>
          <w:p w14:paraId="186EF2E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0.925</w:t>
            </w:r>
          </w:p>
        </w:tc>
      </w:tr>
      <w:tr w:rsidR="00F11564" w:rsidRPr="00F11564" w14:paraId="3F472D86"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9F2AA3A" w14:textId="77777777" w:rsidR="00F11564" w:rsidRPr="00F11564" w:rsidRDefault="00F11564" w:rsidP="006B3CE6">
            <w:pPr>
              <w:pStyle w:val="TableTextLeft"/>
              <w:rPr>
                <w:color w:val="000000"/>
              </w:rPr>
            </w:pPr>
            <w:r w:rsidRPr="00F11564">
              <w:rPr>
                <w:color w:val="000000"/>
              </w:rPr>
              <w:t>CCS 657.2/662 Depressive disorder</w:t>
            </w:r>
          </w:p>
        </w:tc>
        <w:tc>
          <w:tcPr>
            <w:tcW w:w="961" w:type="dxa"/>
            <w:noWrap/>
            <w:hideMark/>
          </w:tcPr>
          <w:p w14:paraId="2D793EA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F6630E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0.858</w:t>
            </w:r>
          </w:p>
        </w:tc>
        <w:tc>
          <w:tcPr>
            <w:tcW w:w="627" w:type="dxa"/>
            <w:noWrap/>
            <w:hideMark/>
          </w:tcPr>
          <w:p w14:paraId="2E6E5D9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0.837</w:t>
            </w:r>
          </w:p>
        </w:tc>
        <w:tc>
          <w:tcPr>
            <w:tcW w:w="631" w:type="dxa"/>
            <w:noWrap/>
            <w:hideMark/>
          </w:tcPr>
          <w:p w14:paraId="5B093DA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0.880</w:t>
            </w:r>
          </w:p>
        </w:tc>
        <w:tc>
          <w:tcPr>
            <w:tcW w:w="994" w:type="dxa"/>
            <w:noWrap/>
            <w:hideMark/>
          </w:tcPr>
          <w:p w14:paraId="0C8DFFD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3E9B9C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0.851</w:t>
            </w:r>
          </w:p>
        </w:tc>
        <w:tc>
          <w:tcPr>
            <w:tcW w:w="627" w:type="dxa"/>
            <w:noWrap/>
            <w:hideMark/>
          </w:tcPr>
          <w:p w14:paraId="72CF3DA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0.830</w:t>
            </w:r>
          </w:p>
        </w:tc>
        <w:tc>
          <w:tcPr>
            <w:tcW w:w="628" w:type="dxa"/>
            <w:noWrap/>
            <w:hideMark/>
          </w:tcPr>
          <w:p w14:paraId="137D0C2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0.873</w:t>
            </w:r>
          </w:p>
        </w:tc>
      </w:tr>
      <w:tr w:rsidR="00F11564" w:rsidRPr="00F11564" w14:paraId="30BF4942"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8AA37DC" w14:textId="77777777" w:rsidR="00F11564" w:rsidRPr="00F11564" w:rsidRDefault="00F11564" w:rsidP="006B3CE6">
            <w:pPr>
              <w:pStyle w:val="TableTextLeft"/>
              <w:rPr>
                <w:color w:val="000000"/>
              </w:rPr>
            </w:pPr>
            <w:r w:rsidRPr="00F11564">
              <w:rPr>
                <w:color w:val="000000"/>
              </w:rPr>
              <w:t>CCS 658 Personality disorder</w:t>
            </w:r>
          </w:p>
        </w:tc>
        <w:tc>
          <w:tcPr>
            <w:tcW w:w="961" w:type="dxa"/>
            <w:noWrap/>
            <w:hideMark/>
          </w:tcPr>
          <w:p w14:paraId="252DC60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0.108</w:t>
            </w:r>
          </w:p>
        </w:tc>
        <w:tc>
          <w:tcPr>
            <w:tcW w:w="1080" w:type="dxa"/>
            <w:noWrap/>
            <w:hideMark/>
          </w:tcPr>
          <w:p w14:paraId="6812722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0.918</w:t>
            </w:r>
          </w:p>
        </w:tc>
        <w:tc>
          <w:tcPr>
            <w:tcW w:w="627" w:type="dxa"/>
            <w:noWrap/>
            <w:hideMark/>
          </w:tcPr>
          <w:p w14:paraId="26B20ED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0.827</w:t>
            </w:r>
          </w:p>
        </w:tc>
        <w:tc>
          <w:tcPr>
            <w:tcW w:w="631" w:type="dxa"/>
            <w:noWrap/>
            <w:hideMark/>
          </w:tcPr>
          <w:p w14:paraId="17EF612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1.019</w:t>
            </w:r>
          </w:p>
        </w:tc>
        <w:tc>
          <w:tcPr>
            <w:tcW w:w="994" w:type="dxa"/>
            <w:noWrap/>
            <w:hideMark/>
          </w:tcPr>
          <w:p w14:paraId="556F37B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0.066</w:t>
            </w:r>
          </w:p>
        </w:tc>
        <w:tc>
          <w:tcPr>
            <w:tcW w:w="1080" w:type="dxa"/>
            <w:noWrap/>
            <w:hideMark/>
          </w:tcPr>
          <w:p w14:paraId="26B833F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0.907</w:t>
            </w:r>
          </w:p>
        </w:tc>
        <w:tc>
          <w:tcPr>
            <w:tcW w:w="627" w:type="dxa"/>
            <w:noWrap/>
            <w:hideMark/>
          </w:tcPr>
          <w:p w14:paraId="03ADE96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0.818</w:t>
            </w:r>
          </w:p>
        </w:tc>
        <w:tc>
          <w:tcPr>
            <w:tcW w:w="628" w:type="dxa"/>
            <w:noWrap/>
            <w:hideMark/>
          </w:tcPr>
          <w:p w14:paraId="41DF5B5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1.006</w:t>
            </w:r>
          </w:p>
        </w:tc>
      </w:tr>
      <w:tr w:rsidR="00F11564" w:rsidRPr="00F11564" w14:paraId="68297C9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56A351B" w14:textId="77777777" w:rsidR="00F11564" w:rsidRPr="00F11564" w:rsidRDefault="00F11564" w:rsidP="006B3CE6">
            <w:pPr>
              <w:pStyle w:val="TableTextLeft"/>
              <w:rPr>
                <w:color w:val="000000"/>
              </w:rPr>
            </w:pPr>
            <w:r w:rsidRPr="00F11564">
              <w:rPr>
                <w:color w:val="000000"/>
              </w:rPr>
              <w:t xml:space="preserve">CCS 659.1 </w:t>
            </w:r>
            <w:proofErr w:type="spellStart"/>
            <w:r w:rsidRPr="00F11564">
              <w:rPr>
                <w:color w:val="000000"/>
              </w:rPr>
              <w:t>Schizo</w:t>
            </w:r>
            <w:proofErr w:type="spellEnd"/>
            <w:r w:rsidRPr="00F11564">
              <w:rPr>
                <w:color w:val="000000"/>
              </w:rPr>
              <w:t>-affective disorder</w:t>
            </w:r>
          </w:p>
        </w:tc>
        <w:tc>
          <w:tcPr>
            <w:tcW w:w="3299" w:type="dxa"/>
            <w:gridSpan w:val="4"/>
            <w:noWrap/>
            <w:hideMark/>
          </w:tcPr>
          <w:p w14:paraId="4684154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c>
          <w:tcPr>
            <w:tcW w:w="3329" w:type="dxa"/>
            <w:gridSpan w:val="4"/>
            <w:noWrap/>
            <w:hideMark/>
          </w:tcPr>
          <w:p w14:paraId="54309DF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r>
      <w:tr w:rsidR="00F11564" w:rsidRPr="00F11564" w14:paraId="352607DD"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A9CFDCE" w14:textId="77777777" w:rsidR="00F11564" w:rsidRPr="00F11564" w:rsidRDefault="00F11564" w:rsidP="006B3CE6">
            <w:pPr>
              <w:pStyle w:val="TableTextLeft"/>
              <w:rPr>
                <w:color w:val="000000"/>
              </w:rPr>
            </w:pPr>
            <w:r w:rsidRPr="00F11564">
              <w:rPr>
                <w:color w:val="000000"/>
              </w:rPr>
              <w:t xml:space="preserve">CCS 659.2 Psychosis </w:t>
            </w:r>
          </w:p>
        </w:tc>
        <w:tc>
          <w:tcPr>
            <w:tcW w:w="961" w:type="dxa"/>
            <w:noWrap/>
            <w:hideMark/>
          </w:tcPr>
          <w:p w14:paraId="13C1789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03D026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0.944</w:t>
            </w:r>
          </w:p>
        </w:tc>
        <w:tc>
          <w:tcPr>
            <w:tcW w:w="627" w:type="dxa"/>
            <w:noWrap/>
            <w:hideMark/>
          </w:tcPr>
          <w:p w14:paraId="3F918A9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0.922</w:t>
            </w:r>
          </w:p>
        </w:tc>
        <w:tc>
          <w:tcPr>
            <w:tcW w:w="631" w:type="dxa"/>
            <w:noWrap/>
            <w:hideMark/>
          </w:tcPr>
          <w:p w14:paraId="4D7FDCD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0.966</w:t>
            </w:r>
          </w:p>
        </w:tc>
        <w:tc>
          <w:tcPr>
            <w:tcW w:w="994" w:type="dxa"/>
            <w:noWrap/>
            <w:hideMark/>
          </w:tcPr>
          <w:p w14:paraId="3D48F01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32305C9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0.946</w:t>
            </w:r>
          </w:p>
        </w:tc>
        <w:tc>
          <w:tcPr>
            <w:tcW w:w="627" w:type="dxa"/>
            <w:noWrap/>
            <w:hideMark/>
          </w:tcPr>
          <w:p w14:paraId="045D788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0.924</w:t>
            </w:r>
          </w:p>
        </w:tc>
        <w:tc>
          <w:tcPr>
            <w:tcW w:w="628" w:type="dxa"/>
            <w:noWrap/>
            <w:hideMark/>
          </w:tcPr>
          <w:p w14:paraId="10E4D0A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0.968</w:t>
            </w:r>
          </w:p>
        </w:tc>
      </w:tr>
      <w:tr w:rsidR="00F11564" w:rsidRPr="00F11564" w14:paraId="0AFC85C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F0877AA" w14:textId="77777777" w:rsidR="00F11564" w:rsidRPr="00F11564" w:rsidRDefault="00F11564" w:rsidP="006B3CE6">
            <w:pPr>
              <w:pStyle w:val="TableTextLeft"/>
              <w:rPr>
                <w:color w:val="000000"/>
              </w:rPr>
            </w:pPr>
            <w:r w:rsidRPr="00F11564">
              <w:rPr>
                <w:color w:val="000000"/>
              </w:rPr>
              <w:t>CCS 660 Alcohol disorder</w:t>
            </w:r>
          </w:p>
        </w:tc>
        <w:tc>
          <w:tcPr>
            <w:tcW w:w="961" w:type="dxa"/>
            <w:noWrap/>
            <w:hideMark/>
          </w:tcPr>
          <w:p w14:paraId="52E3681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91CD7B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0.898</w:t>
            </w:r>
          </w:p>
        </w:tc>
        <w:tc>
          <w:tcPr>
            <w:tcW w:w="627" w:type="dxa"/>
            <w:noWrap/>
            <w:hideMark/>
          </w:tcPr>
          <w:p w14:paraId="628CDC3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0.858</w:t>
            </w:r>
          </w:p>
        </w:tc>
        <w:tc>
          <w:tcPr>
            <w:tcW w:w="631" w:type="dxa"/>
            <w:noWrap/>
            <w:hideMark/>
          </w:tcPr>
          <w:p w14:paraId="50E8847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0.940</w:t>
            </w:r>
          </w:p>
        </w:tc>
        <w:tc>
          <w:tcPr>
            <w:tcW w:w="994" w:type="dxa"/>
            <w:noWrap/>
            <w:hideMark/>
          </w:tcPr>
          <w:p w14:paraId="032DBCD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0CB168A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0.896</w:t>
            </w:r>
          </w:p>
        </w:tc>
        <w:tc>
          <w:tcPr>
            <w:tcW w:w="627" w:type="dxa"/>
            <w:noWrap/>
            <w:hideMark/>
          </w:tcPr>
          <w:p w14:paraId="0D07C60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0.856</w:t>
            </w:r>
          </w:p>
        </w:tc>
        <w:tc>
          <w:tcPr>
            <w:tcW w:w="628" w:type="dxa"/>
            <w:noWrap/>
            <w:hideMark/>
          </w:tcPr>
          <w:p w14:paraId="7E43D2D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0.938</w:t>
            </w:r>
          </w:p>
        </w:tc>
      </w:tr>
      <w:tr w:rsidR="00F11564" w:rsidRPr="00F11564" w14:paraId="5ACF13DD"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4A53063" w14:textId="77777777" w:rsidR="00F11564" w:rsidRPr="00F11564" w:rsidRDefault="00F11564" w:rsidP="006B3CE6">
            <w:pPr>
              <w:pStyle w:val="TableTextLeft"/>
              <w:rPr>
                <w:color w:val="000000"/>
              </w:rPr>
            </w:pPr>
            <w:r w:rsidRPr="00F11564">
              <w:rPr>
                <w:color w:val="000000"/>
              </w:rPr>
              <w:t>CCS 661 Drug disorder</w:t>
            </w:r>
          </w:p>
        </w:tc>
        <w:tc>
          <w:tcPr>
            <w:tcW w:w="961" w:type="dxa"/>
            <w:noWrap/>
            <w:hideMark/>
          </w:tcPr>
          <w:p w14:paraId="203DFA9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4C253C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0.782</w:t>
            </w:r>
          </w:p>
        </w:tc>
        <w:tc>
          <w:tcPr>
            <w:tcW w:w="627" w:type="dxa"/>
            <w:noWrap/>
            <w:hideMark/>
          </w:tcPr>
          <w:p w14:paraId="2E1507F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0.745</w:t>
            </w:r>
          </w:p>
        </w:tc>
        <w:tc>
          <w:tcPr>
            <w:tcW w:w="631" w:type="dxa"/>
            <w:noWrap/>
            <w:hideMark/>
          </w:tcPr>
          <w:p w14:paraId="77DF15D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0.820</w:t>
            </w:r>
          </w:p>
        </w:tc>
        <w:tc>
          <w:tcPr>
            <w:tcW w:w="994" w:type="dxa"/>
            <w:noWrap/>
            <w:hideMark/>
          </w:tcPr>
          <w:p w14:paraId="445609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&lt;.001</w:t>
            </w:r>
          </w:p>
        </w:tc>
        <w:tc>
          <w:tcPr>
            <w:tcW w:w="1080" w:type="dxa"/>
            <w:noWrap/>
            <w:hideMark/>
          </w:tcPr>
          <w:p w14:paraId="33B6CA5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0.776</w:t>
            </w:r>
          </w:p>
        </w:tc>
        <w:tc>
          <w:tcPr>
            <w:tcW w:w="627" w:type="dxa"/>
            <w:noWrap/>
            <w:hideMark/>
          </w:tcPr>
          <w:p w14:paraId="067E365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0.740</w:t>
            </w:r>
          </w:p>
        </w:tc>
        <w:tc>
          <w:tcPr>
            <w:tcW w:w="628" w:type="dxa"/>
            <w:noWrap/>
            <w:hideMark/>
          </w:tcPr>
          <w:p w14:paraId="32F7784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0.814</w:t>
            </w:r>
          </w:p>
        </w:tc>
      </w:tr>
      <w:tr w:rsidR="00F11564" w:rsidRPr="00F11564" w14:paraId="6F71B51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hideMark/>
          </w:tcPr>
          <w:p w14:paraId="5539E2B8" w14:textId="77777777" w:rsidR="00F11564" w:rsidRPr="00F11564" w:rsidRDefault="00F11564" w:rsidP="006B3CE6">
            <w:pPr>
              <w:pStyle w:val="TableTextLeft"/>
              <w:rPr>
                <w:color w:val="000000"/>
              </w:rPr>
            </w:pPr>
            <w:r w:rsidRPr="00F11564">
              <w:rPr>
                <w:color w:val="000000"/>
              </w:rPr>
              <w:t>CCS 670/663 Other mental disorder</w:t>
            </w:r>
          </w:p>
        </w:tc>
        <w:tc>
          <w:tcPr>
            <w:tcW w:w="961" w:type="dxa"/>
            <w:tcBorders>
              <w:bottom w:val="nil"/>
            </w:tcBorders>
            <w:noWrap/>
            <w:hideMark/>
          </w:tcPr>
          <w:p w14:paraId="28BB9A1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0.033</w:t>
            </w:r>
          </w:p>
        </w:tc>
        <w:tc>
          <w:tcPr>
            <w:tcW w:w="1080" w:type="dxa"/>
            <w:tcBorders>
              <w:bottom w:val="nil"/>
            </w:tcBorders>
            <w:noWrap/>
            <w:hideMark/>
          </w:tcPr>
          <w:p w14:paraId="401337C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0.844</w:t>
            </w:r>
          </w:p>
        </w:tc>
        <w:tc>
          <w:tcPr>
            <w:tcW w:w="627" w:type="dxa"/>
            <w:tcBorders>
              <w:bottom w:val="nil"/>
            </w:tcBorders>
            <w:noWrap/>
            <w:hideMark/>
          </w:tcPr>
          <w:p w14:paraId="3C4EA0F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0.723</w:t>
            </w:r>
          </w:p>
        </w:tc>
        <w:tc>
          <w:tcPr>
            <w:tcW w:w="631" w:type="dxa"/>
            <w:tcBorders>
              <w:bottom w:val="nil"/>
            </w:tcBorders>
            <w:noWrap/>
            <w:hideMark/>
          </w:tcPr>
          <w:p w14:paraId="2F81B9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0.986</w:t>
            </w:r>
          </w:p>
        </w:tc>
        <w:tc>
          <w:tcPr>
            <w:tcW w:w="994" w:type="dxa"/>
            <w:tcBorders>
              <w:bottom w:val="nil"/>
            </w:tcBorders>
            <w:noWrap/>
            <w:hideMark/>
          </w:tcPr>
          <w:p w14:paraId="1EB7912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0.020</w:t>
            </w:r>
          </w:p>
        </w:tc>
        <w:tc>
          <w:tcPr>
            <w:tcW w:w="1080" w:type="dxa"/>
            <w:tcBorders>
              <w:bottom w:val="nil"/>
            </w:tcBorders>
            <w:noWrap/>
            <w:hideMark/>
          </w:tcPr>
          <w:p w14:paraId="0347D9C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0.832</w:t>
            </w:r>
          </w:p>
        </w:tc>
        <w:tc>
          <w:tcPr>
            <w:tcW w:w="627" w:type="dxa"/>
            <w:tcBorders>
              <w:bottom w:val="nil"/>
            </w:tcBorders>
            <w:noWrap/>
            <w:hideMark/>
          </w:tcPr>
          <w:p w14:paraId="767AC75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0.712</w:t>
            </w:r>
          </w:p>
        </w:tc>
        <w:tc>
          <w:tcPr>
            <w:tcW w:w="628" w:type="dxa"/>
            <w:tcBorders>
              <w:bottom w:val="nil"/>
            </w:tcBorders>
            <w:noWrap/>
            <w:hideMark/>
          </w:tcPr>
          <w:p w14:paraId="5F3E2DD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0.971</w:t>
            </w:r>
          </w:p>
        </w:tc>
      </w:tr>
      <w:tr w:rsidR="00F11564" w:rsidRPr="00F11564" w14:paraId="0AB1AEA4" w14:textId="77777777" w:rsidTr="00D21818">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0B2949"/>
            <w:hideMark/>
          </w:tcPr>
          <w:p w14:paraId="783E578D" w14:textId="77777777" w:rsidR="00F11564" w:rsidRPr="00F11564" w:rsidRDefault="00F11564" w:rsidP="006B3CE6">
            <w:pPr>
              <w:pStyle w:val="TableRowHead"/>
            </w:pPr>
            <w:r w:rsidRPr="00F11564">
              <w:t>Comorbidities</w:t>
            </w:r>
          </w:p>
        </w:tc>
      </w:tr>
      <w:tr w:rsidR="00F11564" w:rsidRPr="00F11564" w14:paraId="6737BB71" w14:textId="77777777" w:rsidTr="00822F0B">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E0D4B5"/>
            <w:noWrap/>
            <w:hideMark/>
          </w:tcPr>
          <w:p w14:paraId="5D858B24" w14:textId="77777777" w:rsidR="00F11564" w:rsidRPr="00F11564" w:rsidRDefault="00F11564" w:rsidP="006B3CE6">
            <w:pPr>
              <w:pStyle w:val="TableRowHead"/>
            </w:pPr>
            <w:r w:rsidRPr="00F11564">
              <w:t>Psychiatric</w:t>
            </w:r>
          </w:p>
        </w:tc>
      </w:tr>
      <w:tr w:rsidR="00F11564" w:rsidRPr="00F11564" w14:paraId="4EB587C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601ED64F" w14:textId="77777777" w:rsidR="00F11564" w:rsidRPr="00F11564" w:rsidRDefault="00F11564" w:rsidP="006B3CE6">
            <w:pPr>
              <w:pStyle w:val="TableTextLeft"/>
              <w:rPr>
                <w:color w:val="000000"/>
              </w:rPr>
            </w:pPr>
            <w:r w:rsidRPr="00F11564">
              <w:rPr>
                <w:color w:val="000000"/>
              </w:rPr>
              <w:t>Delirium</w:t>
            </w:r>
          </w:p>
        </w:tc>
        <w:tc>
          <w:tcPr>
            <w:tcW w:w="961" w:type="dxa"/>
            <w:tcBorders>
              <w:top w:val="nil"/>
            </w:tcBorders>
            <w:noWrap/>
            <w:hideMark/>
          </w:tcPr>
          <w:p w14:paraId="1A1082F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067E328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1.176</w:t>
            </w:r>
          </w:p>
        </w:tc>
        <w:tc>
          <w:tcPr>
            <w:tcW w:w="627" w:type="dxa"/>
            <w:tcBorders>
              <w:top w:val="nil"/>
            </w:tcBorders>
            <w:noWrap/>
            <w:hideMark/>
          </w:tcPr>
          <w:p w14:paraId="3264256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1.143</w:t>
            </w:r>
          </w:p>
        </w:tc>
        <w:tc>
          <w:tcPr>
            <w:tcW w:w="631" w:type="dxa"/>
            <w:tcBorders>
              <w:top w:val="nil"/>
            </w:tcBorders>
            <w:noWrap/>
            <w:hideMark/>
          </w:tcPr>
          <w:p w14:paraId="46FABBA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1.210</w:t>
            </w:r>
          </w:p>
        </w:tc>
        <w:tc>
          <w:tcPr>
            <w:tcW w:w="994" w:type="dxa"/>
            <w:tcBorders>
              <w:top w:val="nil"/>
            </w:tcBorders>
            <w:noWrap/>
            <w:hideMark/>
          </w:tcPr>
          <w:p w14:paraId="1BFDBF1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7098FC3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1.179</w:t>
            </w:r>
          </w:p>
        </w:tc>
        <w:tc>
          <w:tcPr>
            <w:tcW w:w="627" w:type="dxa"/>
            <w:tcBorders>
              <w:top w:val="nil"/>
            </w:tcBorders>
            <w:noWrap/>
            <w:hideMark/>
          </w:tcPr>
          <w:p w14:paraId="3810DDE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1.146</w:t>
            </w:r>
          </w:p>
        </w:tc>
        <w:tc>
          <w:tcPr>
            <w:tcW w:w="628" w:type="dxa"/>
            <w:tcBorders>
              <w:top w:val="nil"/>
            </w:tcBorders>
            <w:noWrap/>
            <w:hideMark/>
          </w:tcPr>
          <w:p w14:paraId="7A1D3CE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1.213</w:t>
            </w:r>
          </w:p>
        </w:tc>
      </w:tr>
      <w:tr w:rsidR="00F11564" w:rsidRPr="00F11564" w14:paraId="265E7FF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5261FC7" w14:textId="77777777" w:rsidR="00F11564" w:rsidRPr="00F11564" w:rsidRDefault="00F11564" w:rsidP="006B3CE6">
            <w:pPr>
              <w:pStyle w:val="TableTextLeft"/>
              <w:rPr>
                <w:color w:val="000000"/>
              </w:rPr>
            </w:pPr>
            <w:r w:rsidRPr="00F11564">
              <w:rPr>
                <w:color w:val="000000"/>
              </w:rPr>
              <w:t>Drug/Alcohol Psychosis</w:t>
            </w:r>
          </w:p>
        </w:tc>
        <w:tc>
          <w:tcPr>
            <w:tcW w:w="961" w:type="dxa"/>
            <w:noWrap/>
            <w:hideMark/>
          </w:tcPr>
          <w:p w14:paraId="429DEA4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F30E56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1.195</w:t>
            </w:r>
          </w:p>
        </w:tc>
        <w:tc>
          <w:tcPr>
            <w:tcW w:w="627" w:type="dxa"/>
            <w:noWrap/>
            <w:hideMark/>
          </w:tcPr>
          <w:p w14:paraId="51DE85A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1.156</w:t>
            </w:r>
          </w:p>
        </w:tc>
        <w:tc>
          <w:tcPr>
            <w:tcW w:w="631" w:type="dxa"/>
            <w:noWrap/>
            <w:hideMark/>
          </w:tcPr>
          <w:p w14:paraId="60BB1A1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1.236</w:t>
            </w:r>
          </w:p>
        </w:tc>
        <w:tc>
          <w:tcPr>
            <w:tcW w:w="994" w:type="dxa"/>
            <w:noWrap/>
            <w:hideMark/>
          </w:tcPr>
          <w:p w14:paraId="04E4887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E54529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1.202</w:t>
            </w:r>
          </w:p>
        </w:tc>
        <w:tc>
          <w:tcPr>
            <w:tcW w:w="627" w:type="dxa"/>
            <w:noWrap/>
            <w:hideMark/>
          </w:tcPr>
          <w:p w14:paraId="13F0388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1.163</w:t>
            </w:r>
          </w:p>
        </w:tc>
        <w:tc>
          <w:tcPr>
            <w:tcW w:w="628" w:type="dxa"/>
            <w:noWrap/>
            <w:hideMark/>
          </w:tcPr>
          <w:p w14:paraId="01B5613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1.243</w:t>
            </w:r>
          </w:p>
        </w:tc>
      </w:tr>
      <w:tr w:rsidR="00F11564" w:rsidRPr="00F11564" w14:paraId="36AABCC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25F5D62" w14:textId="77777777" w:rsidR="00F11564" w:rsidRPr="00F11564" w:rsidRDefault="00F11564" w:rsidP="006B3CE6">
            <w:pPr>
              <w:pStyle w:val="TableTextLeft"/>
              <w:rPr>
                <w:color w:val="000000"/>
              </w:rPr>
            </w:pPr>
            <w:r w:rsidRPr="00F11564">
              <w:rPr>
                <w:color w:val="000000"/>
              </w:rPr>
              <w:t>Drug/Alcohol Dependence/Abuse</w:t>
            </w:r>
          </w:p>
        </w:tc>
        <w:tc>
          <w:tcPr>
            <w:tcW w:w="961" w:type="dxa"/>
            <w:noWrap/>
            <w:hideMark/>
          </w:tcPr>
          <w:p w14:paraId="6F8E236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AF05BF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1.096</w:t>
            </w:r>
          </w:p>
        </w:tc>
        <w:tc>
          <w:tcPr>
            <w:tcW w:w="627" w:type="dxa"/>
            <w:noWrap/>
            <w:hideMark/>
          </w:tcPr>
          <w:p w14:paraId="3203F16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631" w:type="dxa"/>
            <w:noWrap/>
            <w:hideMark/>
          </w:tcPr>
          <w:p w14:paraId="5C51203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1.116</w:t>
            </w:r>
          </w:p>
        </w:tc>
        <w:tc>
          <w:tcPr>
            <w:tcW w:w="994" w:type="dxa"/>
            <w:noWrap/>
            <w:hideMark/>
          </w:tcPr>
          <w:p w14:paraId="2F4D940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E33C2C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1.099</w:t>
            </w:r>
          </w:p>
        </w:tc>
        <w:tc>
          <w:tcPr>
            <w:tcW w:w="627" w:type="dxa"/>
            <w:noWrap/>
            <w:hideMark/>
          </w:tcPr>
          <w:p w14:paraId="32C4330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1.080</w:t>
            </w:r>
          </w:p>
        </w:tc>
        <w:tc>
          <w:tcPr>
            <w:tcW w:w="628" w:type="dxa"/>
            <w:noWrap/>
            <w:hideMark/>
          </w:tcPr>
          <w:p w14:paraId="2BE621C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1.119</w:t>
            </w:r>
          </w:p>
        </w:tc>
      </w:tr>
      <w:tr w:rsidR="00F11564" w:rsidRPr="00F11564" w14:paraId="07A741C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F186D24" w14:textId="77777777" w:rsidR="00F11564" w:rsidRPr="00F11564" w:rsidRDefault="00F11564" w:rsidP="006B3CE6">
            <w:pPr>
              <w:pStyle w:val="TableTextLeft"/>
              <w:rPr>
                <w:color w:val="000000"/>
              </w:rPr>
            </w:pPr>
            <w:r w:rsidRPr="00F11564">
              <w:rPr>
                <w:color w:val="000000"/>
              </w:rPr>
              <w:t xml:space="preserve">Nicotine Dependence Disorder </w:t>
            </w:r>
          </w:p>
        </w:tc>
        <w:tc>
          <w:tcPr>
            <w:tcW w:w="961" w:type="dxa"/>
            <w:noWrap/>
            <w:hideMark/>
          </w:tcPr>
          <w:p w14:paraId="771FD1E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AC52E6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1.149</w:t>
            </w:r>
          </w:p>
        </w:tc>
        <w:tc>
          <w:tcPr>
            <w:tcW w:w="627" w:type="dxa"/>
            <w:noWrap/>
            <w:hideMark/>
          </w:tcPr>
          <w:p w14:paraId="19917C4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1.129</w:t>
            </w:r>
          </w:p>
        </w:tc>
        <w:tc>
          <w:tcPr>
            <w:tcW w:w="631" w:type="dxa"/>
            <w:noWrap/>
            <w:hideMark/>
          </w:tcPr>
          <w:p w14:paraId="7D59BAB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1.169</w:t>
            </w:r>
          </w:p>
        </w:tc>
        <w:tc>
          <w:tcPr>
            <w:tcW w:w="994" w:type="dxa"/>
            <w:noWrap/>
            <w:hideMark/>
          </w:tcPr>
          <w:p w14:paraId="765CA8D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5BC5258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1.150</w:t>
            </w:r>
          </w:p>
        </w:tc>
        <w:tc>
          <w:tcPr>
            <w:tcW w:w="627" w:type="dxa"/>
            <w:noWrap/>
            <w:hideMark/>
          </w:tcPr>
          <w:p w14:paraId="353D908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1.130</w:t>
            </w:r>
          </w:p>
        </w:tc>
        <w:tc>
          <w:tcPr>
            <w:tcW w:w="628" w:type="dxa"/>
            <w:noWrap/>
            <w:hideMark/>
          </w:tcPr>
          <w:p w14:paraId="15DE2E6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1.170</w:t>
            </w:r>
          </w:p>
        </w:tc>
      </w:tr>
      <w:tr w:rsidR="00F11564" w:rsidRPr="00F11564" w14:paraId="3F06B090"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693E5CF" w14:textId="77777777" w:rsidR="00F11564" w:rsidRPr="00F11564" w:rsidRDefault="00F11564" w:rsidP="006B3CE6">
            <w:pPr>
              <w:pStyle w:val="TableTextLeft"/>
              <w:rPr>
                <w:color w:val="000000"/>
              </w:rPr>
            </w:pPr>
            <w:r w:rsidRPr="00F11564">
              <w:rPr>
                <w:color w:val="000000"/>
              </w:rPr>
              <w:t xml:space="preserve">Schizophrenia/Psychosis </w:t>
            </w:r>
          </w:p>
        </w:tc>
        <w:tc>
          <w:tcPr>
            <w:tcW w:w="961" w:type="dxa"/>
            <w:noWrap/>
            <w:hideMark/>
          </w:tcPr>
          <w:p w14:paraId="62E4009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5FF7FBF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1.177</w:t>
            </w:r>
          </w:p>
        </w:tc>
        <w:tc>
          <w:tcPr>
            <w:tcW w:w="627" w:type="dxa"/>
            <w:noWrap/>
            <w:hideMark/>
          </w:tcPr>
          <w:p w14:paraId="4789514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1.156</w:t>
            </w:r>
          </w:p>
        </w:tc>
        <w:tc>
          <w:tcPr>
            <w:tcW w:w="631" w:type="dxa"/>
            <w:noWrap/>
            <w:hideMark/>
          </w:tcPr>
          <w:p w14:paraId="79FED20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1.198</w:t>
            </w:r>
          </w:p>
        </w:tc>
        <w:tc>
          <w:tcPr>
            <w:tcW w:w="994" w:type="dxa"/>
            <w:noWrap/>
            <w:hideMark/>
          </w:tcPr>
          <w:p w14:paraId="3FCC1ED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4C84F9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1.187</w:t>
            </w:r>
          </w:p>
        </w:tc>
        <w:tc>
          <w:tcPr>
            <w:tcW w:w="627" w:type="dxa"/>
            <w:noWrap/>
            <w:hideMark/>
          </w:tcPr>
          <w:p w14:paraId="63A2F94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1.167</w:t>
            </w:r>
          </w:p>
        </w:tc>
        <w:tc>
          <w:tcPr>
            <w:tcW w:w="628" w:type="dxa"/>
            <w:noWrap/>
            <w:hideMark/>
          </w:tcPr>
          <w:p w14:paraId="7E41D7F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1.208</w:t>
            </w:r>
          </w:p>
        </w:tc>
      </w:tr>
      <w:tr w:rsidR="00F11564" w:rsidRPr="00F11564" w14:paraId="7F37A89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7EB06724" w14:textId="77777777" w:rsidR="00F11564" w:rsidRPr="00F11564" w:rsidRDefault="00F11564" w:rsidP="006B3CE6">
            <w:pPr>
              <w:pStyle w:val="TableTextLeft"/>
              <w:rPr>
                <w:color w:val="000000"/>
              </w:rPr>
            </w:pPr>
            <w:r w:rsidRPr="00F11564">
              <w:rPr>
                <w:color w:val="000000"/>
              </w:rPr>
              <w:t>Bipolar disorder</w:t>
            </w:r>
          </w:p>
        </w:tc>
        <w:tc>
          <w:tcPr>
            <w:tcW w:w="961" w:type="dxa"/>
            <w:noWrap/>
            <w:hideMark/>
          </w:tcPr>
          <w:p w14:paraId="5071C05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6EBE78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1.208</w:t>
            </w:r>
          </w:p>
        </w:tc>
        <w:tc>
          <w:tcPr>
            <w:tcW w:w="627" w:type="dxa"/>
            <w:noWrap/>
            <w:hideMark/>
          </w:tcPr>
          <w:p w14:paraId="131DE27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1.188</w:t>
            </w:r>
          </w:p>
        </w:tc>
        <w:tc>
          <w:tcPr>
            <w:tcW w:w="631" w:type="dxa"/>
            <w:noWrap/>
            <w:hideMark/>
          </w:tcPr>
          <w:p w14:paraId="7C84A59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1.228</w:t>
            </w:r>
          </w:p>
        </w:tc>
        <w:tc>
          <w:tcPr>
            <w:tcW w:w="994" w:type="dxa"/>
            <w:noWrap/>
            <w:hideMark/>
          </w:tcPr>
          <w:p w14:paraId="07D1C04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4CAAB5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1.210</w:t>
            </w:r>
          </w:p>
        </w:tc>
        <w:tc>
          <w:tcPr>
            <w:tcW w:w="627" w:type="dxa"/>
            <w:noWrap/>
            <w:hideMark/>
          </w:tcPr>
          <w:p w14:paraId="3E1B843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1.191</w:t>
            </w:r>
          </w:p>
        </w:tc>
        <w:tc>
          <w:tcPr>
            <w:tcW w:w="628" w:type="dxa"/>
            <w:noWrap/>
            <w:hideMark/>
          </w:tcPr>
          <w:p w14:paraId="40AB1B0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1.230</w:t>
            </w:r>
          </w:p>
        </w:tc>
      </w:tr>
      <w:tr w:rsidR="00F11564" w:rsidRPr="00F11564" w14:paraId="578D9C2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54C722B" w14:textId="77777777" w:rsidR="00F11564" w:rsidRPr="00F11564" w:rsidRDefault="00F11564" w:rsidP="006B3CE6">
            <w:pPr>
              <w:pStyle w:val="TableTextLeft"/>
              <w:rPr>
                <w:color w:val="000000"/>
              </w:rPr>
            </w:pPr>
            <w:r w:rsidRPr="00F11564">
              <w:rPr>
                <w:color w:val="000000"/>
              </w:rPr>
              <w:lastRenderedPageBreak/>
              <w:t>Depression</w:t>
            </w:r>
          </w:p>
        </w:tc>
        <w:tc>
          <w:tcPr>
            <w:tcW w:w="961" w:type="dxa"/>
            <w:noWrap/>
            <w:hideMark/>
          </w:tcPr>
          <w:p w14:paraId="30C49B1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17E6F1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1.093</w:t>
            </w:r>
          </w:p>
        </w:tc>
        <w:tc>
          <w:tcPr>
            <w:tcW w:w="627" w:type="dxa"/>
            <w:noWrap/>
            <w:hideMark/>
          </w:tcPr>
          <w:p w14:paraId="6A778B0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1.076</w:t>
            </w:r>
          </w:p>
        </w:tc>
        <w:tc>
          <w:tcPr>
            <w:tcW w:w="631" w:type="dxa"/>
            <w:noWrap/>
            <w:hideMark/>
          </w:tcPr>
          <w:p w14:paraId="071CAF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1.111</w:t>
            </w:r>
          </w:p>
        </w:tc>
        <w:tc>
          <w:tcPr>
            <w:tcW w:w="994" w:type="dxa"/>
            <w:noWrap/>
            <w:hideMark/>
          </w:tcPr>
          <w:p w14:paraId="7286D79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A0A686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1.095</w:t>
            </w:r>
          </w:p>
        </w:tc>
        <w:tc>
          <w:tcPr>
            <w:tcW w:w="627" w:type="dxa"/>
            <w:noWrap/>
            <w:hideMark/>
          </w:tcPr>
          <w:p w14:paraId="3C53B3B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1.078</w:t>
            </w:r>
          </w:p>
        </w:tc>
        <w:tc>
          <w:tcPr>
            <w:tcW w:w="628" w:type="dxa"/>
            <w:noWrap/>
            <w:hideMark/>
          </w:tcPr>
          <w:p w14:paraId="7223840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1.113</w:t>
            </w:r>
          </w:p>
        </w:tc>
      </w:tr>
      <w:tr w:rsidR="00F11564" w:rsidRPr="00F11564" w14:paraId="68E1068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6EAC24E9" w14:textId="77777777" w:rsidR="00F11564" w:rsidRPr="00F11564" w:rsidRDefault="00F11564" w:rsidP="006B3CE6">
            <w:pPr>
              <w:pStyle w:val="TableTextLeft"/>
              <w:rPr>
                <w:color w:val="000000"/>
              </w:rPr>
            </w:pPr>
            <w:r w:rsidRPr="00F11564">
              <w:rPr>
                <w:color w:val="000000"/>
              </w:rPr>
              <w:t>Antisocial Disorder</w:t>
            </w:r>
          </w:p>
        </w:tc>
        <w:tc>
          <w:tcPr>
            <w:tcW w:w="961" w:type="dxa"/>
            <w:noWrap/>
            <w:hideMark/>
          </w:tcPr>
          <w:p w14:paraId="5D10E6F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C78A5C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1.226</w:t>
            </w:r>
          </w:p>
        </w:tc>
        <w:tc>
          <w:tcPr>
            <w:tcW w:w="627" w:type="dxa"/>
            <w:noWrap/>
            <w:hideMark/>
          </w:tcPr>
          <w:p w14:paraId="6B7BE72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1.171</w:t>
            </w:r>
          </w:p>
        </w:tc>
        <w:tc>
          <w:tcPr>
            <w:tcW w:w="631" w:type="dxa"/>
            <w:noWrap/>
            <w:hideMark/>
          </w:tcPr>
          <w:p w14:paraId="0B5ECD4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1.283</w:t>
            </w:r>
          </w:p>
        </w:tc>
        <w:tc>
          <w:tcPr>
            <w:tcW w:w="994" w:type="dxa"/>
            <w:noWrap/>
            <w:hideMark/>
          </w:tcPr>
          <w:p w14:paraId="4EF70DF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6DF946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1.305</w:t>
            </w:r>
          </w:p>
        </w:tc>
        <w:tc>
          <w:tcPr>
            <w:tcW w:w="627" w:type="dxa"/>
            <w:noWrap/>
            <w:hideMark/>
          </w:tcPr>
          <w:p w14:paraId="7A4CD47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1.250</w:t>
            </w:r>
          </w:p>
        </w:tc>
        <w:tc>
          <w:tcPr>
            <w:tcW w:w="628" w:type="dxa"/>
            <w:noWrap/>
            <w:hideMark/>
          </w:tcPr>
          <w:p w14:paraId="707F90C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1.363</w:t>
            </w:r>
          </w:p>
        </w:tc>
      </w:tr>
      <w:tr w:rsidR="00F11564" w:rsidRPr="00F11564" w14:paraId="16361521"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BC3DE08" w14:textId="77777777" w:rsidR="00F11564" w:rsidRPr="00F11564" w:rsidRDefault="00F11564" w:rsidP="006B3CE6">
            <w:pPr>
              <w:pStyle w:val="TableTextLeft"/>
              <w:rPr>
                <w:color w:val="000000"/>
              </w:rPr>
            </w:pPr>
            <w:r w:rsidRPr="00F11564">
              <w:rPr>
                <w:color w:val="000000"/>
              </w:rPr>
              <w:t>Other Personality Disorders</w:t>
            </w:r>
          </w:p>
        </w:tc>
        <w:tc>
          <w:tcPr>
            <w:tcW w:w="961" w:type="dxa"/>
            <w:noWrap/>
            <w:hideMark/>
          </w:tcPr>
          <w:p w14:paraId="442997D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AB329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1.162</w:t>
            </w:r>
          </w:p>
        </w:tc>
        <w:tc>
          <w:tcPr>
            <w:tcW w:w="627" w:type="dxa"/>
            <w:noWrap/>
            <w:hideMark/>
          </w:tcPr>
          <w:p w14:paraId="164B691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1.138</w:t>
            </w:r>
          </w:p>
        </w:tc>
        <w:tc>
          <w:tcPr>
            <w:tcW w:w="631" w:type="dxa"/>
            <w:noWrap/>
            <w:hideMark/>
          </w:tcPr>
          <w:p w14:paraId="660B78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1.187</w:t>
            </w:r>
          </w:p>
        </w:tc>
        <w:tc>
          <w:tcPr>
            <w:tcW w:w="994" w:type="dxa"/>
            <w:noWrap/>
            <w:hideMark/>
          </w:tcPr>
          <w:p w14:paraId="611C102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CA4E06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1.158</w:t>
            </w:r>
          </w:p>
        </w:tc>
        <w:tc>
          <w:tcPr>
            <w:tcW w:w="627" w:type="dxa"/>
            <w:noWrap/>
            <w:hideMark/>
          </w:tcPr>
          <w:p w14:paraId="2C42357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1.134</w:t>
            </w:r>
          </w:p>
        </w:tc>
        <w:tc>
          <w:tcPr>
            <w:tcW w:w="628" w:type="dxa"/>
            <w:noWrap/>
            <w:hideMark/>
          </w:tcPr>
          <w:p w14:paraId="030948A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1.182</w:t>
            </w:r>
          </w:p>
        </w:tc>
      </w:tr>
      <w:tr w:rsidR="00F11564" w:rsidRPr="00F11564" w14:paraId="6E74EFA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3D54545" w14:textId="77777777" w:rsidR="00F11564" w:rsidRPr="00F11564" w:rsidRDefault="00F11564" w:rsidP="006B3CE6">
            <w:pPr>
              <w:pStyle w:val="TableTextLeft"/>
              <w:rPr>
                <w:color w:val="000000"/>
              </w:rPr>
            </w:pPr>
            <w:r w:rsidRPr="00F11564">
              <w:rPr>
                <w:color w:val="000000"/>
              </w:rPr>
              <w:t>Anxiety</w:t>
            </w:r>
          </w:p>
        </w:tc>
        <w:tc>
          <w:tcPr>
            <w:tcW w:w="961" w:type="dxa"/>
            <w:noWrap/>
            <w:hideMark/>
          </w:tcPr>
          <w:p w14:paraId="17CF2DF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223955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1.085</w:t>
            </w:r>
          </w:p>
        </w:tc>
        <w:tc>
          <w:tcPr>
            <w:tcW w:w="627" w:type="dxa"/>
            <w:noWrap/>
            <w:hideMark/>
          </w:tcPr>
          <w:p w14:paraId="2A258D1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1.067</w:t>
            </w:r>
          </w:p>
        </w:tc>
        <w:tc>
          <w:tcPr>
            <w:tcW w:w="631" w:type="dxa"/>
            <w:noWrap/>
            <w:hideMark/>
          </w:tcPr>
          <w:p w14:paraId="7DA36F3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1.103</w:t>
            </w:r>
          </w:p>
        </w:tc>
        <w:tc>
          <w:tcPr>
            <w:tcW w:w="994" w:type="dxa"/>
            <w:noWrap/>
            <w:hideMark/>
          </w:tcPr>
          <w:p w14:paraId="01EDC3F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9834BF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1.079</w:t>
            </w:r>
          </w:p>
        </w:tc>
        <w:tc>
          <w:tcPr>
            <w:tcW w:w="627" w:type="dxa"/>
            <w:noWrap/>
            <w:hideMark/>
          </w:tcPr>
          <w:p w14:paraId="5D064B4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1.062</w:t>
            </w:r>
          </w:p>
        </w:tc>
        <w:tc>
          <w:tcPr>
            <w:tcW w:w="628" w:type="dxa"/>
            <w:noWrap/>
            <w:hideMark/>
          </w:tcPr>
          <w:p w14:paraId="5581C52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1.096</w:t>
            </w:r>
          </w:p>
        </w:tc>
      </w:tr>
      <w:tr w:rsidR="00F11564" w:rsidRPr="00F11564" w14:paraId="1A38B94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hideMark/>
          </w:tcPr>
          <w:p w14:paraId="171C0536" w14:textId="77777777" w:rsidR="00F11564" w:rsidRPr="00F11564" w:rsidRDefault="00F11564" w:rsidP="006B3CE6">
            <w:pPr>
              <w:pStyle w:val="TableTextLeft"/>
              <w:rPr>
                <w:color w:val="000000"/>
              </w:rPr>
            </w:pPr>
            <w:r w:rsidRPr="00F11564">
              <w:rPr>
                <w:color w:val="000000"/>
              </w:rPr>
              <w:t xml:space="preserve">Other psych disorders </w:t>
            </w:r>
          </w:p>
        </w:tc>
        <w:tc>
          <w:tcPr>
            <w:tcW w:w="961" w:type="dxa"/>
            <w:tcBorders>
              <w:bottom w:val="nil"/>
            </w:tcBorders>
            <w:noWrap/>
            <w:hideMark/>
          </w:tcPr>
          <w:p w14:paraId="2900AD2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bottom w:val="nil"/>
            </w:tcBorders>
            <w:noWrap/>
            <w:hideMark/>
          </w:tcPr>
          <w:p w14:paraId="1A0078E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1.103</w:t>
            </w:r>
          </w:p>
        </w:tc>
        <w:tc>
          <w:tcPr>
            <w:tcW w:w="627" w:type="dxa"/>
            <w:tcBorders>
              <w:bottom w:val="nil"/>
            </w:tcBorders>
            <w:noWrap/>
            <w:hideMark/>
          </w:tcPr>
          <w:p w14:paraId="1F2B22C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1.083</w:t>
            </w:r>
          </w:p>
        </w:tc>
        <w:tc>
          <w:tcPr>
            <w:tcW w:w="631" w:type="dxa"/>
            <w:tcBorders>
              <w:bottom w:val="nil"/>
            </w:tcBorders>
            <w:noWrap/>
            <w:hideMark/>
          </w:tcPr>
          <w:p w14:paraId="54E2764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1.124</w:t>
            </w:r>
          </w:p>
        </w:tc>
        <w:tc>
          <w:tcPr>
            <w:tcW w:w="994" w:type="dxa"/>
            <w:tcBorders>
              <w:bottom w:val="nil"/>
            </w:tcBorders>
            <w:noWrap/>
            <w:hideMark/>
          </w:tcPr>
          <w:p w14:paraId="0EE1366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bottom w:val="nil"/>
            </w:tcBorders>
            <w:noWrap/>
            <w:hideMark/>
          </w:tcPr>
          <w:p w14:paraId="70F1ADE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1.126</w:t>
            </w:r>
          </w:p>
        </w:tc>
        <w:tc>
          <w:tcPr>
            <w:tcW w:w="627" w:type="dxa"/>
            <w:tcBorders>
              <w:bottom w:val="nil"/>
            </w:tcBorders>
            <w:noWrap/>
            <w:hideMark/>
          </w:tcPr>
          <w:p w14:paraId="02A8E9C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1.106</w:t>
            </w:r>
          </w:p>
        </w:tc>
        <w:tc>
          <w:tcPr>
            <w:tcW w:w="628" w:type="dxa"/>
            <w:tcBorders>
              <w:bottom w:val="nil"/>
            </w:tcBorders>
            <w:noWrap/>
            <w:hideMark/>
          </w:tcPr>
          <w:p w14:paraId="251E65E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1.146</w:t>
            </w:r>
          </w:p>
        </w:tc>
      </w:tr>
      <w:tr w:rsidR="00F11564" w:rsidRPr="00F11564" w14:paraId="08C82696" w14:textId="77777777" w:rsidTr="00822F0B">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E0D4B5"/>
            <w:hideMark/>
          </w:tcPr>
          <w:p w14:paraId="0D2969AF" w14:textId="77777777" w:rsidR="00F11564" w:rsidRPr="00F11564" w:rsidRDefault="00F11564" w:rsidP="006B3CE6">
            <w:pPr>
              <w:pStyle w:val="TableRowHead"/>
            </w:pPr>
            <w:r w:rsidRPr="00F11564">
              <w:t>Non-psychiatric</w:t>
            </w:r>
          </w:p>
        </w:tc>
      </w:tr>
      <w:tr w:rsidR="00F11564" w:rsidRPr="00F11564" w14:paraId="4BF2F64B"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017CEAF7" w14:textId="77777777" w:rsidR="00F11564" w:rsidRPr="00F11564" w:rsidRDefault="00F11564" w:rsidP="006B3CE6">
            <w:pPr>
              <w:pStyle w:val="TableTextLeft"/>
              <w:rPr>
                <w:color w:val="000000"/>
              </w:rPr>
            </w:pPr>
            <w:r w:rsidRPr="00F11564">
              <w:rPr>
                <w:color w:val="000000"/>
              </w:rPr>
              <w:t>Other infection</w:t>
            </w:r>
          </w:p>
        </w:tc>
        <w:tc>
          <w:tcPr>
            <w:tcW w:w="961" w:type="dxa"/>
            <w:tcBorders>
              <w:top w:val="nil"/>
            </w:tcBorders>
            <w:noWrap/>
            <w:hideMark/>
          </w:tcPr>
          <w:p w14:paraId="304EA82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5494956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1.053</w:t>
            </w:r>
          </w:p>
        </w:tc>
        <w:tc>
          <w:tcPr>
            <w:tcW w:w="627" w:type="dxa"/>
            <w:tcBorders>
              <w:top w:val="nil"/>
            </w:tcBorders>
            <w:noWrap/>
            <w:hideMark/>
          </w:tcPr>
          <w:p w14:paraId="6334D4E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1.033</w:t>
            </w:r>
          </w:p>
        </w:tc>
        <w:tc>
          <w:tcPr>
            <w:tcW w:w="631" w:type="dxa"/>
            <w:tcBorders>
              <w:top w:val="nil"/>
            </w:tcBorders>
            <w:noWrap/>
            <w:hideMark/>
          </w:tcPr>
          <w:p w14:paraId="7CD90F9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1.073</w:t>
            </w:r>
          </w:p>
        </w:tc>
        <w:tc>
          <w:tcPr>
            <w:tcW w:w="994" w:type="dxa"/>
            <w:tcBorders>
              <w:top w:val="nil"/>
            </w:tcBorders>
            <w:noWrap/>
            <w:hideMark/>
          </w:tcPr>
          <w:p w14:paraId="2E37F3F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33980C8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1.060</w:t>
            </w:r>
          </w:p>
        </w:tc>
        <w:tc>
          <w:tcPr>
            <w:tcW w:w="627" w:type="dxa"/>
            <w:tcBorders>
              <w:top w:val="nil"/>
            </w:tcBorders>
            <w:noWrap/>
            <w:hideMark/>
          </w:tcPr>
          <w:p w14:paraId="6B26365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1.041</w:t>
            </w:r>
          </w:p>
        </w:tc>
        <w:tc>
          <w:tcPr>
            <w:tcW w:w="628" w:type="dxa"/>
            <w:tcBorders>
              <w:top w:val="nil"/>
            </w:tcBorders>
            <w:noWrap/>
            <w:hideMark/>
          </w:tcPr>
          <w:p w14:paraId="33FEAB0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1.080</w:t>
            </w:r>
          </w:p>
        </w:tc>
      </w:tr>
      <w:tr w:rsidR="00F11564" w:rsidRPr="00F11564" w14:paraId="61587DA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2DF662D" w14:textId="77777777" w:rsidR="00F11564" w:rsidRPr="00F11564" w:rsidRDefault="00F11564" w:rsidP="006B3CE6">
            <w:pPr>
              <w:pStyle w:val="TableTextLeft"/>
              <w:rPr>
                <w:color w:val="000000"/>
              </w:rPr>
            </w:pPr>
            <w:r w:rsidRPr="00F11564">
              <w:rPr>
                <w:color w:val="000000"/>
              </w:rPr>
              <w:t>Arrhythmia</w:t>
            </w:r>
          </w:p>
        </w:tc>
        <w:tc>
          <w:tcPr>
            <w:tcW w:w="961" w:type="dxa"/>
            <w:noWrap/>
            <w:hideMark/>
          </w:tcPr>
          <w:p w14:paraId="0F5F986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16668E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1.061</w:t>
            </w:r>
          </w:p>
        </w:tc>
        <w:tc>
          <w:tcPr>
            <w:tcW w:w="627" w:type="dxa"/>
            <w:noWrap/>
            <w:hideMark/>
          </w:tcPr>
          <w:p w14:paraId="30D35CA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1.038</w:t>
            </w:r>
          </w:p>
        </w:tc>
        <w:tc>
          <w:tcPr>
            <w:tcW w:w="631" w:type="dxa"/>
            <w:noWrap/>
            <w:hideMark/>
          </w:tcPr>
          <w:p w14:paraId="3797553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1.084</w:t>
            </w:r>
          </w:p>
        </w:tc>
        <w:tc>
          <w:tcPr>
            <w:tcW w:w="994" w:type="dxa"/>
            <w:noWrap/>
            <w:hideMark/>
          </w:tcPr>
          <w:p w14:paraId="43AD7FF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213F8A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1.081</w:t>
            </w:r>
          </w:p>
        </w:tc>
        <w:tc>
          <w:tcPr>
            <w:tcW w:w="627" w:type="dxa"/>
            <w:noWrap/>
            <w:hideMark/>
          </w:tcPr>
          <w:p w14:paraId="0337268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1.058</w:t>
            </w:r>
          </w:p>
        </w:tc>
        <w:tc>
          <w:tcPr>
            <w:tcW w:w="628" w:type="dxa"/>
            <w:noWrap/>
            <w:hideMark/>
          </w:tcPr>
          <w:p w14:paraId="75CD559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1.104</w:t>
            </w:r>
          </w:p>
        </w:tc>
      </w:tr>
      <w:tr w:rsidR="00F11564" w:rsidRPr="00F11564" w14:paraId="3926B21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ADA839C" w14:textId="77777777" w:rsidR="00F11564" w:rsidRPr="00F11564" w:rsidRDefault="00F11564" w:rsidP="006B3CE6">
            <w:pPr>
              <w:pStyle w:val="TableTextLeft"/>
              <w:rPr>
                <w:color w:val="000000"/>
              </w:rPr>
            </w:pPr>
            <w:r w:rsidRPr="00F11564">
              <w:rPr>
                <w:color w:val="000000"/>
              </w:rPr>
              <w:t>Asthma</w:t>
            </w:r>
          </w:p>
        </w:tc>
        <w:tc>
          <w:tcPr>
            <w:tcW w:w="961" w:type="dxa"/>
            <w:noWrap/>
            <w:hideMark/>
          </w:tcPr>
          <w:p w14:paraId="4BF7B3C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0.000</w:t>
            </w:r>
          </w:p>
        </w:tc>
        <w:tc>
          <w:tcPr>
            <w:tcW w:w="1080" w:type="dxa"/>
            <w:noWrap/>
            <w:hideMark/>
          </w:tcPr>
          <w:p w14:paraId="78B8339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1.037</w:t>
            </w:r>
          </w:p>
        </w:tc>
        <w:tc>
          <w:tcPr>
            <w:tcW w:w="627" w:type="dxa"/>
            <w:noWrap/>
            <w:hideMark/>
          </w:tcPr>
          <w:p w14:paraId="4DA08D2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1.017</w:t>
            </w:r>
          </w:p>
        </w:tc>
        <w:tc>
          <w:tcPr>
            <w:tcW w:w="631" w:type="dxa"/>
            <w:noWrap/>
            <w:hideMark/>
          </w:tcPr>
          <w:p w14:paraId="23534AA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1.057</w:t>
            </w:r>
          </w:p>
        </w:tc>
        <w:tc>
          <w:tcPr>
            <w:tcW w:w="994" w:type="dxa"/>
            <w:noWrap/>
            <w:hideMark/>
          </w:tcPr>
          <w:p w14:paraId="4D64122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3195D6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1.046</w:t>
            </w:r>
          </w:p>
        </w:tc>
        <w:tc>
          <w:tcPr>
            <w:tcW w:w="627" w:type="dxa"/>
            <w:noWrap/>
            <w:hideMark/>
          </w:tcPr>
          <w:p w14:paraId="4F21F0B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1.026</w:t>
            </w:r>
          </w:p>
        </w:tc>
        <w:tc>
          <w:tcPr>
            <w:tcW w:w="628" w:type="dxa"/>
            <w:noWrap/>
            <w:hideMark/>
          </w:tcPr>
          <w:p w14:paraId="641C9FA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1.066</w:t>
            </w:r>
          </w:p>
        </w:tc>
      </w:tr>
      <w:tr w:rsidR="00F11564" w:rsidRPr="00F11564" w14:paraId="40DE370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C8A50E8" w14:textId="77777777" w:rsidR="00F11564" w:rsidRPr="00F11564" w:rsidRDefault="00F11564" w:rsidP="006B3CE6">
            <w:pPr>
              <w:pStyle w:val="TableTextLeft"/>
              <w:rPr>
                <w:color w:val="000000"/>
              </w:rPr>
            </w:pPr>
            <w:r w:rsidRPr="00F11564">
              <w:rPr>
                <w:color w:val="000000"/>
              </w:rPr>
              <w:t>Dialysis</w:t>
            </w:r>
          </w:p>
        </w:tc>
        <w:tc>
          <w:tcPr>
            <w:tcW w:w="961" w:type="dxa"/>
            <w:noWrap/>
            <w:hideMark/>
          </w:tcPr>
          <w:p w14:paraId="014E8B2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D3C495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1.423</w:t>
            </w:r>
          </w:p>
        </w:tc>
        <w:tc>
          <w:tcPr>
            <w:tcW w:w="627" w:type="dxa"/>
            <w:noWrap/>
            <w:hideMark/>
          </w:tcPr>
          <w:p w14:paraId="4CD5FB4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1.297</w:t>
            </w:r>
          </w:p>
        </w:tc>
        <w:tc>
          <w:tcPr>
            <w:tcW w:w="631" w:type="dxa"/>
            <w:noWrap/>
            <w:hideMark/>
          </w:tcPr>
          <w:p w14:paraId="481596F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1.561</w:t>
            </w:r>
          </w:p>
        </w:tc>
        <w:tc>
          <w:tcPr>
            <w:tcW w:w="994" w:type="dxa"/>
            <w:noWrap/>
            <w:hideMark/>
          </w:tcPr>
          <w:p w14:paraId="7F4DD9E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8AD27A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1.491</w:t>
            </w:r>
          </w:p>
        </w:tc>
        <w:tc>
          <w:tcPr>
            <w:tcW w:w="627" w:type="dxa"/>
            <w:noWrap/>
            <w:hideMark/>
          </w:tcPr>
          <w:p w14:paraId="55D7A02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1.361</w:t>
            </w:r>
          </w:p>
        </w:tc>
        <w:tc>
          <w:tcPr>
            <w:tcW w:w="628" w:type="dxa"/>
            <w:noWrap/>
            <w:hideMark/>
          </w:tcPr>
          <w:p w14:paraId="4C284B5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1.634</w:t>
            </w:r>
          </w:p>
        </w:tc>
      </w:tr>
      <w:tr w:rsidR="00F11564" w:rsidRPr="00F11564" w14:paraId="0D7DB89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7F1976E" w14:textId="77777777" w:rsidR="00F11564" w:rsidRPr="00F11564" w:rsidRDefault="00F11564" w:rsidP="006B3CE6">
            <w:pPr>
              <w:pStyle w:val="TableTextLeft"/>
              <w:rPr>
                <w:color w:val="000000"/>
              </w:rPr>
            </w:pPr>
            <w:r w:rsidRPr="00F11564">
              <w:rPr>
                <w:color w:val="000000"/>
              </w:rPr>
              <w:t>Endocrine disease</w:t>
            </w:r>
          </w:p>
        </w:tc>
        <w:tc>
          <w:tcPr>
            <w:tcW w:w="961" w:type="dxa"/>
            <w:noWrap/>
            <w:hideMark/>
          </w:tcPr>
          <w:p w14:paraId="7A4B1DE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2EC79AB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1.082</w:t>
            </w:r>
          </w:p>
        </w:tc>
        <w:tc>
          <w:tcPr>
            <w:tcW w:w="627" w:type="dxa"/>
            <w:noWrap/>
            <w:hideMark/>
          </w:tcPr>
          <w:p w14:paraId="3A87FA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1.064</w:t>
            </w:r>
          </w:p>
        </w:tc>
        <w:tc>
          <w:tcPr>
            <w:tcW w:w="631" w:type="dxa"/>
            <w:noWrap/>
            <w:hideMark/>
          </w:tcPr>
          <w:p w14:paraId="0DA3244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1.100</w:t>
            </w:r>
          </w:p>
        </w:tc>
        <w:tc>
          <w:tcPr>
            <w:tcW w:w="994" w:type="dxa"/>
            <w:noWrap/>
            <w:hideMark/>
          </w:tcPr>
          <w:p w14:paraId="46B273D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71372C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1.091</w:t>
            </w:r>
          </w:p>
        </w:tc>
        <w:tc>
          <w:tcPr>
            <w:tcW w:w="627" w:type="dxa"/>
            <w:noWrap/>
            <w:hideMark/>
          </w:tcPr>
          <w:p w14:paraId="5026E41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1.073</w:t>
            </w:r>
          </w:p>
        </w:tc>
        <w:tc>
          <w:tcPr>
            <w:tcW w:w="628" w:type="dxa"/>
            <w:noWrap/>
            <w:hideMark/>
          </w:tcPr>
          <w:p w14:paraId="7F08BE6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1.110</w:t>
            </w:r>
          </w:p>
        </w:tc>
      </w:tr>
      <w:tr w:rsidR="00F11564" w:rsidRPr="00F11564" w14:paraId="151F9BD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B1FF2E5" w14:textId="77777777" w:rsidR="00F11564" w:rsidRPr="00F11564" w:rsidRDefault="00F11564" w:rsidP="006B3CE6">
            <w:pPr>
              <w:pStyle w:val="TableTextLeft"/>
              <w:rPr>
                <w:color w:val="000000"/>
              </w:rPr>
            </w:pPr>
            <w:r w:rsidRPr="00F11564">
              <w:rPr>
                <w:color w:val="000000"/>
              </w:rPr>
              <w:t>Anemia</w:t>
            </w:r>
          </w:p>
        </w:tc>
        <w:tc>
          <w:tcPr>
            <w:tcW w:w="961" w:type="dxa"/>
            <w:noWrap/>
            <w:hideMark/>
          </w:tcPr>
          <w:p w14:paraId="03B5F3D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6583ED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1.095</w:t>
            </w:r>
          </w:p>
        </w:tc>
        <w:tc>
          <w:tcPr>
            <w:tcW w:w="627" w:type="dxa"/>
            <w:noWrap/>
            <w:hideMark/>
          </w:tcPr>
          <w:p w14:paraId="3270BA9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631" w:type="dxa"/>
            <w:noWrap/>
            <w:hideMark/>
          </w:tcPr>
          <w:p w14:paraId="29B31B1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1.113</w:t>
            </w:r>
          </w:p>
        </w:tc>
        <w:tc>
          <w:tcPr>
            <w:tcW w:w="994" w:type="dxa"/>
            <w:noWrap/>
            <w:hideMark/>
          </w:tcPr>
          <w:p w14:paraId="5722C18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B6659A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1.117</w:t>
            </w:r>
          </w:p>
        </w:tc>
        <w:tc>
          <w:tcPr>
            <w:tcW w:w="627" w:type="dxa"/>
            <w:noWrap/>
            <w:hideMark/>
          </w:tcPr>
          <w:p w14:paraId="5089B20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1.099</w:t>
            </w:r>
          </w:p>
        </w:tc>
        <w:tc>
          <w:tcPr>
            <w:tcW w:w="628" w:type="dxa"/>
            <w:noWrap/>
            <w:hideMark/>
          </w:tcPr>
          <w:p w14:paraId="4D7ED0D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1.135</w:t>
            </w:r>
          </w:p>
        </w:tc>
      </w:tr>
      <w:tr w:rsidR="00F11564" w:rsidRPr="00F11564" w14:paraId="04F92DA2"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78AA0348" w14:textId="77777777" w:rsidR="00F11564" w:rsidRPr="00F11564" w:rsidRDefault="00F11564" w:rsidP="006B3CE6">
            <w:pPr>
              <w:pStyle w:val="TableTextLeft"/>
              <w:rPr>
                <w:color w:val="000000"/>
              </w:rPr>
            </w:pPr>
            <w:r w:rsidRPr="00F11564">
              <w:rPr>
                <w:color w:val="000000"/>
              </w:rPr>
              <w:t>Infection</w:t>
            </w:r>
          </w:p>
        </w:tc>
        <w:tc>
          <w:tcPr>
            <w:tcW w:w="961" w:type="dxa"/>
            <w:noWrap/>
            <w:hideMark/>
          </w:tcPr>
          <w:p w14:paraId="2D4CD73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7EA498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1.095</w:t>
            </w:r>
          </w:p>
        </w:tc>
        <w:tc>
          <w:tcPr>
            <w:tcW w:w="627" w:type="dxa"/>
            <w:noWrap/>
            <w:hideMark/>
          </w:tcPr>
          <w:p w14:paraId="721492D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1.071</w:t>
            </w:r>
          </w:p>
        </w:tc>
        <w:tc>
          <w:tcPr>
            <w:tcW w:w="631" w:type="dxa"/>
            <w:noWrap/>
            <w:hideMark/>
          </w:tcPr>
          <w:p w14:paraId="1A53372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1.119</w:t>
            </w:r>
          </w:p>
        </w:tc>
        <w:tc>
          <w:tcPr>
            <w:tcW w:w="994" w:type="dxa"/>
            <w:noWrap/>
            <w:hideMark/>
          </w:tcPr>
          <w:p w14:paraId="05787BD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A32927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1.098</w:t>
            </w:r>
          </w:p>
        </w:tc>
        <w:tc>
          <w:tcPr>
            <w:tcW w:w="627" w:type="dxa"/>
            <w:noWrap/>
            <w:hideMark/>
          </w:tcPr>
          <w:p w14:paraId="01297FA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1.075</w:t>
            </w:r>
          </w:p>
        </w:tc>
        <w:tc>
          <w:tcPr>
            <w:tcW w:w="628" w:type="dxa"/>
            <w:noWrap/>
            <w:hideMark/>
          </w:tcPr>
          <w:p w14:paraId="3013DC5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1.122</w:t>
            </w:r>
          </w:p>
        </w:tc>
      </w:tr>
      <w:tr w:rsidR="00F11564" w:rsidRPr="00F11564" w14:paraId="49D990A0"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66586306" w14:textId="77777777" w:rsidR="00F11564" w:rsidRPr="00F11564" w:rsidRDefault="00F11564" w:rsidP="006B3CE6">
            <w:pPr>
              <w:pStyle w:val="TableTextLeft"/>
              <w:rPr>
                <w:color w:val="000000"/>
              </w:rPr>
            </w:pPr>
            <w:r w:rsidRPr="00F11564">
              <w:rPr>
                <w:color w:val="000000"/>
              </w:rPr>
              <w:t>Liver disease</w:t>
            </w:r>
          </w:p>
        </w:tc>
        <w:tc>
          <w:tcPr>
            <w:tcW w:w="961" w:type="dxa"/>
            <w:noWrap/>
            <w:hideMark/>
          </w:tcPr>
          <w:p w14:paraId="67DBC41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4FEA5E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1.070</w:t>
            </w:r>
          </w:p>
        </w:tc>
        <w:tc>
          <w:tcPr>
            <w:tcW w:w="627" w:type="dxa"/>
            <w:noWrap/>
            <w:hideMark/>
          </w:tcPr>
          <w:p w14:paraId="682EAEC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1.046</w:t>
            </w:r>
          </w:p>
        </w:tc>
        <w:tc>
          <w:tcPr>
            <w:tcW w:w="631" w:type="dxa"/>
            <w:noWrap/>
            <w:hideMark/>
          </w:tcPr>
          <w:p w14:paraId="61F42D3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1.094</w:t>
            </w:r>
          </w:p>
        </w:tc>
        <w:tc>
          <w:tcPr>
            <w:tcW w:w="994" w:type="dxa"/>
            <w:noWrap/>
            <w:hideMark/>
          </w:tcPr>
          <w:p w14:paraId="6F77427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D3CAA0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1.085</w:t>
            </w:r>
          </w:p>
        </w:tc>
        <w:tc>
          <w:tcPr>
            <w:tcW w:w="627" w:type="dxa"/>
            <w:noWrap/>
            <w:hideMark/>
          </w:tcPr>
          <w:p w14:paraId="2B53218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1.061</w:t>
            </w:r>
          </w:p>
        </w:tc>
        <w:tc>
          <w:tcPr>
            <w:tcW w:w="628" w:type="dxa"/>
            <w:noWrap/>
            <w:hideMark/>
          </w:tcPr>
          <w:p w14:paraId="2F39721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1.109</w:t>
            </w:r>
          </w:p>
        </w:tc>
      </w:tr>
      <w:tr w:rsidR="00F11564" w:rsidRPr="00F11564" w14:paraId="3046C5B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A8E2889" w14:textId="77777777" w:rsidR="00F11564" w:rsidRPr="00F11564" w:rsidRDefault="00F11564" w:rsidP="006B3CE6">
            <w:pPr>
              <w:pStyle w:val="TableTextLeft"/>
              <w:rPr>
                <w:color w:val="000000"/>
              </w:rPr>
            </w:pPr>
            <w:r w:rsidRPr="00F11564">
              <w:rPr>
                <w:color w:val="000000"/>
              </w:rPr>
              <w:t>Heart disease</w:t>
            </w:r>
          </w:p>
        </w:tc>
        <w:tc>
          <w:tcPr>
            <w:tcW w:w="961" w:type="dxa"/>
            <w:noWrap/>
            <w:hideMark/>
          </w:tcPr>
          <w:p w14:paraId="7AB5E48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2F0C602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1.056</w:t>
            </w:r>
          </w:p>
        </w:tc>
        <w:tc>
          <w:tcPr>
            <w:tcW w:w="627" w:type="dxa"/>
            <w:noWrap/>
            <w:hideMark/>
          </w:tcPr>
          <w:p w14:paraId="08D103F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1.038</w:t>
            </w:r>
          </w:p>
        </w:tc>
        <w:tc>
          <w:tcPr>
            <w:tcW w:w="631" w:type="dxa"/>
            <w:noWrap/>
            <w:hideMark/>
          </w:tcPr>
          <w:p w14:paraId="55911D9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1.075</w:t>
            </w:r>
          </w:p>
        </w:tc>
        <w:tc>
          <w:tcPr>
            <w:tcW w:w="994" w:type="dxa"/>
            <w:noWrap/>
            <w:hideMark/>
          </w:tcPr>
          <w:p w14:paraId="3B2969B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ECAA53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1.071</w:t>
            </w:r>
          </w:p>
        </w:tc>
        <w:tc>
          <w:tcPr>
            <w:tcW w:w="627" w:type="dxa"/>
            <w:noWrap/>
            <w:hideMark/>
          </w:tcPr>
          <w:p w14:paraId="7F303CB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1.053</w:t>
            </w:r>
          </w:p>
        </w:tc>
        <w:tc>
          <w:tcPr>
            <w:tcW w:w="628" w:type="dxa"/>
            <w:noWrap/>
            <w:hideMark/>
          </w:tcPr>
          <w:p w14:paraId="7896123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1.090</w:t>
            </w:r>
          </w:p>
        </w:tc>
      </w:tr>
      <w:tr w:rsidR="00F11564" w:rsidRPr="00F11564" w14:paraId="2DCB5C60"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61CCF2F" w14:textId="77777777" w:rsidR="00F11564" w:rsidRPr="00F11564" w:rsidRDefault="00F11564" w:rsidP="006B3CE6">
            <w:pPr>
              <w:pStyle w:val="TableTextLeft"/>
              <w:rPr>
                <w:color w:val="000000"/>
              </w:rPr>
            </w:pPr>
            <w:r w:rsidRPr="00F11564">
              <w:rPr>
                <w:color w:val="000000"/>
              </w:rPr>
              <w:t>COPD/fibrosis</w:t>
            </w:r>
          </w:p>
        </w:tc>
        <w:tc>
          <w:tcPr>
            <w:tcW w:w="961" w:type="dxa"/>
            <w:noWrap/>
            <w:hideMark/>
          </w:tcPr>
          <w:p w14:paraId="3A450AA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5B6749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1.058</w:t>
            </w:r>
          </w:p>
        </w:tc>
        <w:tc>
          <w:tcPr>
            <w:tcW w:w="627" w:type="dxa"/>
            <w:noWrap/>
            <w:hideMark/>
          </w:tcPr>
          <w:p w14:paraId="43A2DEF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1.039</w:t>
            </w:r>
          </w:p>
        </w:tc>
        <w:tc>
          <w:tcPr>
            <w:tcW w:w="631" w:type="dxa"/>
            <w:noWrap/>
            <w:hideMark/>
          </w:tcPr>
          <w:p w14:paraId="5A500F4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994" w:type="dxa"/>
            <w:noWrap/>
            <w:hideMark/>
          </w:tcPr>
          <w:p w14:paraId="4C67126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293AAE3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1.064</w:t>
            </w:r>
          </w:p>
        </w:tc>
        <w:tc>
          <w:tcPr>
            <w:tcW w:w="627" w:type="dxa"/>
            <w:noWrap/>
            <w:hideMark/>
          </w:tcPr>
          <w:p w14:paraId="4B39A2C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1.045</w:t>
            </w:r>
          </w:p>
        </w:tc>
        <w:tc>
          <w:tcPr>
            <w:tcW w:w="628" w:type="dxa"/>
            <w:noWrap/>
            <w:hideMark/>
          </w:tcPr>
          <w:p w14:paraId="7D25CA3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1.083</w:t>
            </w:r>
          </w:p>
        </w:tc>
      </w:tr>
      <w:tr w:rsidR="00F11564" w:rsidRPr="00F11564" w14:paraId="6C6DE76D"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6DA391EF" w14:textId="77777777" w:rsidR="00F11564" w:rsidRPr="00F11564" w:rsidRDefault="00F11564" w:rsidP="006B3CE6">
            <w:pPr>
              <w:pStyle w:val="TableTextLeft"/>
              <w:rPr>
                <w:color w:val="000000"/>
              </w:rPr>
            </w:pPr>
            <w:r w:rsidRPr="00F11564">
              <w:rPr>
                <w:color w:val="000000"/>
              </w:rPr>
              <w:t>Injury</w:t>
            </w:r>
          </w:p>
        </w:tc>
        <w:tc>
          <w:tcPr>
            <w:tcW w:w="961" w:type="dxa"/>
            <w:noWrap/>
            <w:hideMark/>
          </w:tcPr>
          <w:p w14:paraId="37226D7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ECE60F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1.079</w:t>
            </w:r>
          </w:p>
        </w:tc>
        <w:tc>
          <w:tcPr>
            <w:tcW w:w="627" w:type="dxa"/>
            <w:noWrap/>
            <w:hideMark/>
          </w:tcPr>
          <w:p w14:paraId="0E6A014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1.063</w:t>
            </w:r>
          </w:p>
        </w:tc>
        <w:tc>
          <w:tcPr>
            <w:tcW w:w="631" w:type="dxa"/>
            <w:noWrap/>
            <w:hideMark/>
          </w:tcPr>
          <w:p w14:paraId="13BFC0B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1.095</w:t>
            </w:r>
          </w:p>
        </w:tc>
        <w:tc>
          <w:tcPr>
            <w:tcW w:w="994" w:type="dxa"/>
            <w:noWrap/>
            <w:hideMark/>
          </w:tcPr>
          <w:p w14:paraId="3E50B74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993B1E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1.079</w:t>
            </w:r>
          </w:p>
        </w:tc>
        <w:tc>
          <w:tcPr>
            <w:tcW w:w="627" w:type="dxa"/>
            <w:noWrap/>
            <w:hideMark/>
          </w:tcPr>
          <w:p w14:paraId="721CAA9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1.063</w:t>
            </w:r>
          </w:p>
        </w:tc>
        <w:tc>
          <w:tcPr>
            <w:tcW w:w="628" w:type="dxa"/>
            <w:noWrap/>
            <w:hideMark/>
          </w:tcPr>
          <w:p w14:paraId="50C9E54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1.095</w:t>
            </w:r>
          </w:p>
        </w:tc>
      </w:tr>
      <w:tr w:rsidR="00F11564" w:rsidRPr="00F11564" w14:paraId="360C097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F542C7E" w14:textId="77777777" w:rsidR="00F11564" w:rsidRPr="00F11564" w:rsidRDefault="00F11564" w:rsidP="006B3CE6">
            <w:pPr>
              <w:pStyle w:val="TableTextLeft"/>
              <w:rPr>
                <w:color w:val="000000"/>
              </w:rPr>
            </w:pPr>
            <w:r w:rsidRPr="00F11564">
              <w:rPr>
                <w:color w:val="000000"/>
              </w:rPr>
              <w:t>Diabetes</w:t>
            </w:r>
          </w:p>
        </w:tc>
        <w:tc>
          <w:tcPr>
            <w:tcW w:w="961" w:type="dxa"/>
            <w:noWrap/>
            <w:hideMark/>
          </w:tcPr>
          <w:p w14:paraId="6B3BCD3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03BAE7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1.062</w:t>
            </w:r>
          </w:p>
        </w:tc>
        <w:tc>
          <w:tcPr>
            <w:tcW w:w="627" w:type="dxa"/>
            <w:noWrap/>
            <w:hideMark/>
          </w:tcPr>
          <w:p w14:paraId="3CA0C0C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1.044</w:t>
            </w:r>
          </w:p>
        </w:tc>
        <w:tc>
          <w:tcPr>
            <w:tcW w:w="631" w:type="dxa"/>
            <w:noWrap/>
            <w:hideMark/>
          </w:tcPr>
          <w:p w14:paraId="7E1173E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1.080</w:t>
            </w:r>
          </w:p>
        </w:tc>
        <w:tc>
          <w:tcPr>
            <w:tcW w:w="994" w:type="dxa"/>
            <w:noWrap/>
            <w:hideMark/>
          </w:tcPr>
          <w:p w14:paraId="7E975EC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01C8CD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627" w:type="dxa"/>
            <w:noWrap/>
            <w:hideMark/>
          </w:tcPr>
          <w:p w14:paraId="325471D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1.059</w:t>
            </w:r>
          </w:p>
        </w:tc>
        <w:tc>
          <w:tcPr>
            <w:tcW w:w="628" w:type="dxa"/>
            <w:noWrap/>
            <w:hideMark/>
          </w:tcPr>
          <w:p w14:paraId="6C9F4AF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1.094</w:t>
            </w:r>
          </w:p>
        </w:tc>
      </w:tr>
      <w:tr w:rsidR="00F11564" w:rsidRPr="00F11564" w14:paraId="34B8EAA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6D35646" w14:textId="77777777" w:rsidR="00F11564" w:rsidRPr="00F11564" w:rsidRDefault="00F11564" w:rsidP="006B3CE6">
            <w:pPr>
              <w:pStyle w:val="TableTextLeft"/>
              <w:rPr>
                <w:color w:val="000000"/>
              </w:rPr>
            </w:pPr>
            <w:r w:rsidRPr="00F11564">
              <w:rPr>
                <w:color w:val="000000"/>
              </w:rPr>
              <w:t>Seizures</w:t>
            </w:r>
          </w:p>
        </w:tc>
        <w:tc>
          <w:tcPr>
            <w:tcW w:w="961" w:type="dxa"/>
            <w:noWrap/>
            <w:hideMark/>
          </w:tcPr>
          <w:p w14:paraId="74A1789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19B5B4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1.059</w:t>
            </w:r>
          </w:p>
        </w:tc>
        <w:tc>
          <w:tcPr>
            <w:tcW w:w="627" w:type="dxa"/>
            <w:noWrap/>
            <w:hideMark/>
          </w:tcPr>
          <w:p w14:paraId="700944F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1.038</w:t>
            </w:r>
          </w:p>
        </w:tc>
        <w:tc>
          <w:tcPr>
            <w:tcW w:w="631" w:type="dxa"/>
            <w:noWrap/>
            <w:hideMark/>
          </w:tcPr>
          <w:p w14:paraId="2EA8F03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1.079</w:t>
            </w:r>
          </w:p>
        </w:tc>
        <w:tc>
          <w:tcPr>
            <w:tcW w:w="994" w:type="dxa"/>
            <w:noWrap/>
            <w:hideMark/>
          </w:tcPr>
          <w:p w14:paraId="2215028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B0F52A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1.063</w:t>
            </w:r>
          </w:p>
        </w:tc>
        <w:tc>
          <w:tcPr>
            <w:tcW w:w="627" w:type="dxa"/>
            <w:noWrap/>
            <w:hideMark/>
          </w:tcPr>
          <w:p w14:paraId="35E3C24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1.043</w:t>
            </w:r>
          </w:p>
        </w:tc>
        <w:tc>
          <w:tcPr>
            <w:tcW w:w="628" w:type="dxa"/>
            <w:noWrap/>
            <w:hideMark/>
          </w:tcPr>
          <w:p w14:paraId="7DA16BF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1.084</w:t>
            </w:r>
          </w:p>
        </w:tc>
      </w:tr>
      <w:tr w:rsidR="00F11564" w:rsidRPr="00F11564" w14:paraId="4543DDF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350FF558" w14:textId="77777777" w:rsidR="00F11564" w:rsidRPr="00F11564" w:rsidRDefault="00F11564" w:rsidP="006B3CE6">
            <w:pPr>
              <w:pStyle w:val="TableTextLeft"/>
              <w:rPr>
                <w:color w:val="000000"/>
              </w:rPr>
            </w:pPr>
            <w:r w:rsidRPr="00F11564">
              <w:rPr>
                <w:color w:val="000000"/>
              </w:rPr>
              <w:t>Heart Failure</w:t>
            </w:r>
          </w:p>
        </w:tc>
        <w:tc>
          <w:tcPr>
            <w:tcW w:w="961" w:type="dxa"/>
            <w:noWrap/>
            <w:hideMark/>
          </w:tcPr>
          <w:p w14:paraId="40440C8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DA195E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1.104</w:t>
            </w:r>
          </w:p>
        </w:tc>
        <w:tc>
          <w:tcPr>
            <w:tcW w:w="627" w:type="dxa"/>
            <w:noWrap/>
            <w:hideMark/>
          </w:tcPr>
          <w:p w14:paraId="0B005FE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631" w:type="dxa"/>
            <w:noWrap/>
            <w:hideMark/>
          </w:tcPr>
          <w:p w14:paraId="286B5E4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1.133</w:t>
            </w:r>
          </w:p>
        </w:tc>
        <w:tc>
          <w:tcPr>
            <w:tcW w:w="994" w:type="dxa"/>
            <w:noWrap/>
            <w:hideMark/>
          </w:tcPr>
          <w:p w14:paraId="3A0DC42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3D2BFD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1.105</w:t>
            </w:r>
          </w:p>
        </w:tc>
        <w:tc>
          <w:tcPr>
            <w:tcW w:w="627" w:type="dxa"/>
            <w:noWrap/>
            <w:hideMark/>
          </w:tcPr>
          <w:p w14:paraId="5BA88A0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628" w:type="dxa"/>
            <w:noWrap/>
            <w:hideMark/>
          </w:tcPr>
          <w:p w14:paraId="6BC37A9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1.133</w:t>
            </w:r>
          </w:p>
        </w:tc>
      </w:tr>
      <w:tr w:rsidR="00F11564" w:rsidRPr="00F11564" w14:paraId="313ECC32"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57A6E2D5" w14:textId="77777777" w:rsidR="00F11564" w:rsidRPr="00F11564" w:rsidRDefault="00F11564" w:rsidP="006B3CE6">
            <w:pPr>
              <w:pStyle w:val="TableTextLeft"/>
              <w:rPr>
                <w:color w:val="000000"/>
              </w:rPr>
            </w:pPr>
            <w:r w:rsidRPr="00F11564">
              <w:rPr>
                <w:color w:val="000000"/>
              </w:rPr>
              <w:t>Pancreatic Disease</w:t>
            </w:r>
          </w:p>
        </w:tc>
        <w:tc>
          <w:tcPr>
            <w:tcW w:w="961" w:type="dxa"/>
            <w:noWrap/>
            <w:hideMark/>
          </w:tcPr>
          <w:p w14:paraId="3858F59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7D3B25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1.195</w:t>
            </w:r>
          </w:p>
        </w:tc>
        <w:tc>
          <w:tcPr>
            <w:tcW w:w="627" w:type="dxa"/>
            <w:noWrap/>
            <w:hideMark/>
          </w:tcPr>
          <w:p w14:paraId="1F6DD52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1.114</w:t>
            </w:r>
          </w:p>
        </w:tc>
        <w:tc>
          <w:tcPr>
            <w:tcW w:w="631" w:type="dxa"/>
            <w:noWrap/>
            <w:hideMark/>
          </w:tcPr>
          <w:p w14:paraId="5397045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1.282</w:t>
            </w:r>
          </w:p>
        </w:tc>
        <w:tc>
          <w:tcPr>
            <w:tcW w:w="994" w:type="dxa"/>
            <w:noWrap/>
            <w:hideMark/>
          </w:tcPr>
          <w:p w14:paraId="638D9EB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B0FE0E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1.195</w:t>
            </w:r>
          </w:p>
        </w:tc>
        <w:tc>
          <w:tcPr>
            <w:tcW w:w="627" w:type="dxa"/>
            <w:noWrap/>
            <w:hideMark/>
          </w:tcPr>
          <w:p w14:paraId="3B32C2E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1.113</w:t>
            </w:r>
          </w:p>
        </w:tc>
        <w:tc>
          <w:tcPr>
            <w:tcW w:w="628" w:type="dxa"/>
            <w:noWrap/>
            <w:hideMark/>
          </w:tcPr>
          <w:p w14:paraId="256BBD0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1.282</w:t>
            </w:r>
          </w:p>
        </w:tc>
      </w:tr>
      <w:tr w:rsidR="00F11564" w:rsidRPr="00F11564" w14:paraId="2F7E6B0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512C652B" w14:textId="77777777" w:rsidR="00F11564" w:rsidRPr="00F11564" w:rsidRDefault="00F11564" w:rsidP="006B3CE6">
            <w:pPr>
              <w:pStyle w:val="TableTextLeft"/>
              <w:rPr>
                <w:color w:val="000000"/>
              </w:rPr>
            </w:pPr>
            <w:r w:rsidRPr="00F11564">
              <w:rPr>
                <w:color w:val="000000"/>
              </w:rPr>
              <w:t>Urinary Tract Disorder</w:t>
            </w:r>
          </w:p>
        </w:tc>
        <w:tc>
          <w:tcPr>
            <w:tcW w:w="961" w:type="dxa"/>
            <w:noWrap/>
            <w:hideMark/>
          </w:tcPr>
          <w:p w14:paraId="2F31F5A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2AA9784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1.060</w:t>
            </w:r>
          </w:p>
        </w:tc>
        <w:tc>
          <w:tcPr>
            <w:tcW w:w="627" w:type="dxa"/>
            <w:noWrap/>
            <w:hideMark/>
          </w:tcPr>
          <w:p w14:paraId="42793F7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1.031</w:t>
            </w:r>
          </w:p>
        </w:tc>
        <w:tc>
          <w:tcPr>
            <w:tcW w:w="631" w:type="dxa"/>
            <w:noWrap/>
            <w:hideMark/>
          </w:tcPr>
          <w:p w14:paraId="4084D77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1.090</w:t>
            </w:r>
          </w:p>
        </w:tc>
        <w:tc>
          <w:tcPr>
            <w:tcW w:w="994" w:type="dxa"/>
            <w:noWrap/>
            <w:hideMark/>
          </w:tcPr>
          <w:p w14:paraId="434A567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5E38DC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1.060</w:t>
            </w:r>
          </w:p>
        </w:tc>
        <w:tc>
          <w:tcPr>
            <w:tcW w:w="627" w:type="dxa"/>
            <w:noWrap/>
            <w:hideMark/>
          </w:tcPr>
          <w:p w14:paraId="55C241B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1.031</w:t>
            </w:r>
          </w:p>
        </w:tc>
        <w:tc>
          <w:tcPr>
            <w:tcW w:w="628" w:type="dxa"/>
            <w:noWrap/>
            <w:hideMark/>
          </w:tcPr>
          <w:p w14:paraId="185FD51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1.090</w:t>
            </w:r>
          </w:p>
        </w:tc>
      </w:tr>
      <w:tr w:rsidR="00F11564" w:rsidRPr="00F11564" w14:paraId="3DB1843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1FDCFB08" w14:textId="77777777" w:rsidR="00F11564" w:rsidRPr="00F11564" w:rsidRDefault="00F11564" w:rsidP="006B3CE6">
            <w:pPr>
              <w:pStyle w:val="TableTextLeft"/>
              <w:rPr>
                <w:color w:val="000000"/>
              </w:rPr>
            </w:pPr>
            <w:r w:rsidRPr="00F11564">
              <w:rPr>
                <w:color w:val="000000"/>
              </w:rPr>
              <w:t>Coagulation Defects</w:t>
            </w:r>
          </w:p>
        </w:tc>
        <w:tc>
          <w:tcPr>
            <w:tcW w:w="961" w:type="dxa"/>
            <w:noWrap/>
            <w:hideMark/>
          </w:tcPr>
          <w:p w14:paraId="7B9735A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0.022</w:t>
            </w:r>
          </w:p>
        </w:tc>
        <w:tc>
          <w:tcPr>
            <w:tcW w:w="1080" w:type="dxa"/>
            <w:noWrap/>
            <w:hideMark/>
          </w:tcPr>
          <w:p w14:paraId="72F30A8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1.037</w:t>
            </w:r>
          </w:p>
        </w:tc>
        <w:tc>
          <w:tcPr>
            <w:tcW w:w="627" w:type="dxa"/>
            <w:noWrap/>
            <w:hideMark/>
          </w:tcPr>
          <w:p w14:paraId="70E7F7C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1.005</w:t>
            </w:r>
          </w:p>
        </w:tc>
        <w:tc>
          <w:tcPr>
            <w:tcW w:w="631" w:type="dxa"/>
            <w:noWrap/>
            <w:hideMark/>
          </w:tcPr>
          <w:p w14:paraId="0E191DD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1.069</w:t>
            </w:r>
          </w:p>
        </w:tc>
        <w:tc>
          <w:tcPr>
            <w:tcW w:w="994" w:type="dxa"/>
            <w:noWrap/>
            <w:hideMark/>
          </w:tcPr>
          <w:p w14:paraId="749B139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0.022</w:t>
            </w:r>
          </w:p>
        </w:tc>
        <w:tc>
          <w:tcPr>
            <w:tcW w:w="1080" w:type="dxa"/>
            <w:noWrap/>
            <w:hideMark/>
          </w:tcPr>
          <w:p w14:paraId="7C4AF75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1.037</w:t>
            </w:r>
          </w:p>
        </w:tc>
        <w:tc>
          <w:tcPr>
            <w:tcW w:w="627" w:type="dxa"/>
            <w:noWrap/>
            <w:hideMark/>
          </w:tcPr>
          <w:p w14:paraId="6300D2D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1.005</w:t>
            </w:r>
          </w:p>
        </w:tc>
        <w:tc>
          <w:tcPr>
            <w:tcW w:w="628" w:type="dxa"/>
            <w:noWrap/>
            <w:hideMark/>
          </w:tcPr>
          <w:p w14:paraId="31A5B8D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1.069</w:t>
            </w:r>
          </w:p>
        </w:tc>
      </w:tr>
      <w:tr w:rsidR="00F11564" w:rsidRPr="00F11564" w14:paraId="58BD5A8D"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5E2A504D" w14:textId="77777777" w:rsidR="00F11564" w:rsidRPr="00F11564" w:rsidRDefault="00F11564" w:rsidP="006B3CE6">
            <w:pPr>
              <w:pStyle w:val="TableTextLeft"/>
              <w:rPr>
                <w:color w:val="000000"/>
              </w:rPr>
            </w:pPr>
            <w:r w:rsidRPr="00F11564">
              <w:rPr>
                <w:color w:val="000000"/>
              </w:rPr>
              <w:t>Peptic Ulcer</w:t>
            </w:r>
          </w:p>
        </w:tc>
        <w:tc>
          <w:tcPr>
            <w:tcW w:w="961" w:type="dxa"/>
            <w:noWrap/>
            <w:hideMark/>
          </w:tcPr>
          <w:p w14:paraId="185792C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2A5EED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1.087</w:t>
            </w:r>
          </w:p>
        </w:tc>
        <w:tc>
          <w:tcPr>
            <w:tcW w:w="627" w:type="dxa"/>
            <w:noWrap/>
            <w:hideMark/>
          </w:tcPr>
          <w:p w14:paraId="62C7E00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1.056</w:t>
            </w:r>
          </w:p>
        </w:tc>
        <w:tc>
          <w:tcPr>
            <w:tcW w:w="631" w:type="dxa"/>
            <w:noWrap/>
            <w:hideMark/>
          </w:tcPr>
          <w:p w14:paraId="28EA628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1.119</w:t>
            </w:r>
          </w:p>
        </w:tc>
        <w:tc>
          <w:tcPr>
            <w:tcW w:w="994" w:type="dxa"/>
            <w:noWrap/>
            <w:hideMark/>
          </w:tcPr>
          <w:p w14:paraId="42D3BEA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5045B0B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1.087</w:t>
            </w:r>
          </w:p>
        </w:tc>
        <w:tc>
          <w:tcPr>
            <w:tcW w:w="627" w:type="dxa"/>
            <w:noWrap/>
            <w:hideMark/>
          </w:tcPr>
          <w:p w14:paraId="1C98F7C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1.057</w:t>
            </w:r>
          </w:p>
        </w:tc>
        <w:tc>
          <w:tcPr>
            <w:tcW w:w="628" w:type="dxa"/>
            <w:noWrap/>
            <w:hideMark/>
          </w:tcPr>
          <w:p w14:paraId="3365857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1.119</w:t>
            </w:r>
          </w:p>
        </w:tc>
      </w:tr>
      <w:tr w:rsidR="00F11564" w:rsidRPr="00F11564" w14:paraId="5AA487D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noWrap/>
            <w:hideMark/>
          </w:tcPr>
          <w:p w14:paraId="7347C1E4" w14:textId="77777777" w:rsidR="00F11564" w:rsidRPr="00F11564" w:rsidRDefault="00F11564" w:rsidP="006B3CE6">
            <w:pPr>
              <w:pStyle w:val="TableTextLeft"/>
              <w:rPr>
                <w:color w:val="000000"/>
              </w:rPr>
            </w:pPr>
            <w:r w:rsidRPr="00F11564">
              <w:rPr>
                <w:color w:val="000000"/>
              </w:rPr>
              <w:t>Diabetes Acute Complications</w:t>
            </w:r>
          </w:p>
        </w:tc>
        <w:tc>
          <w:tcPr>
            <w:tcW w:w="961" w:type="dxa"/>
            <w:noWrap/>
            <w:hideMark/>
          </w:tcPr>
          <w:p w14:paraId="22E62C8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0.004</w:t>
            </w:r>
          </w:p>
        </w:tc>
        <w:tc>
          <w:tcPr>
            <w:tcW w:w="1080" w:type="dxa"/>
            <w:noWrap/>
            <w:hideMark/>
          </w:tcPr>
          <w:p w14:paraId="73473C0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1.129</w:t>
            </w:r>
          </w:p>
        </w:tc>
        <w:tc>
          <w:tcPr>
            <w:tcW w:w="627" w:type="dxa"/>
            <w:noWrap/>
            <w:hideMark/>
          </w:tcPr>
          <w:p w14:paraId="0ED7354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1.039</w:t>
            </w:r>
          </w:p>
        </w:tc>
        <w:tc>
          <w:tcPr>
            <w:tcW w:w="631" w:type="dxa"/>
            <w:noWrap/>
            <w:hideMark/>
          </w:tcPr>
          <w:p w14:paraId="7123E97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1.227</w:t>
            </w:r>
          </w:p>
        </w:tc>
        <w:tc>
          <w:tcPr>
            <w:tcW w:w="994" w:type="dxa"/>
            <w:noWrap/>
            <w:hideMark/>
          </w:tcPr>
          <w:p w14:paraId="09C1548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0.004</w:t>
            </w:r>
          </w:p>
        </w:tc>
        <w:tc>
          <w:tcPr>
            <w:tcW w:w="1080" w:type="dxa"/>
            <w:noWrap/>
            <w:hideMark/>
          </w:tcPr>
          <w:p w14:paraId="58D56DA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1.130</w:t>
            </w:r>
          </w:p>
        </w:tc>
        <w:tc>
          <w:tcPr>
            <w:tcW w:w="627" w:type="dxa"/>
            <w:noWrap/>
            <w:hideMark/>
          </w:tcPr>
          <w:p w14:paraId="0EDD787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1.039</w:t>
            </w:r>
          </w:p>
        </w:tc>
        <w:tc>
          <w:tcPr>
            <w:tcW w:w="628" w:type="dxa"/>
            <w:noWrap/>
            <w:hideMark/>
          </w:tcPr>
          <w:p w14:paraId="616429C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1.228</w:t>
            </w:r>
          </w:p>
        </w:tc>
      </w:tr>
      <w:tr w:rsidR="00F11564" w:rsidRPr="00F11564" w14:paraId="1C4C5AE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noWrap/>
            <w:hideMark/>
          </w:tcPr>
          <w:p w14:paraId="74FD4D27" w14:textId="77777777" w:rsidR="00F11564" w:rsidRPr="00F11564" w:rsidRDefault="00F11564" w:rsidP="006B3CE6">
            <w:pPr>
              <w:pStyle w:val="TableTextLeft"/>
              <w:rPr>
                <w:color w:val="000000"/>
              </w:rPr>
            </w:pPr>
            <w:r w:rsidRPr="00F11564">
              <w:rPr>
                <w:color w:val="000000"/>
              </w:rPr>
              <w:t>Hematological Disorder</w:t>
            </w:r>
          </w:p>
        </w:tc>
        <w:tc>
          <w:tcPr>
            <w:tcW w:w="961" w:type="dxa"/>
            <w:tcBorders>
              <w:bottom w:val="nil"/>
            </w:tcBorders>
            <w:noWrap/>
            <w:hideMark/>
          </w:tcPr>
          <w:p w14:paraId="3485B486" w14:textId="5B9E2B79" w:rsidR="00F11564" w:rsidRPr="00F11564" w:rsidRDefault="00945B58" w:rsidP="00D9330B">
            <w:pPr>
              <w:pStyle w:val="TableTextCentered"/>
              <w:cnfStyle w:val="000000000000" w:firstRow="0" w:lastRow="0" w:firstColumn="0" w:lastColumn="0" w:oddVBand="0" w:evenVBand="0" w:oddHBand="0" w:evenHBand="0" w:firstRowFirstColumn="0" w:firstRowLastColumn="0" w:lastRowFirstColumn="0" w:lastRowLastColumn="0"/>
            </w:pPr>
            <w:r>
              <w:t>&lt;</w:t>
            </w:r>
            <w:r w:rsidR="00F11564" w:rsidRPr="00F11564">
              <w:t>0.00</w:t>
            </w:r>
            <w:r>
              <w:t>1</w:t>
            </w:r>
          </w:p>
        </w:tc>
        <w:tc>
          <w:tcPr>
            <w:tcW w:w="1080" w:type="dxa"/>
            <w:tcBorders>
              <w:bottom w:val="nil"/>
            </w:tcBorders>
            <w:noWrap/>
            <w:hideMark/>
          </w:tcPr>
          <w:p w14:paraId="086B4D2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1.225</w:t>
            </w:r>
          </w:p>
        </w:tc>
        <w:tc>
          <w:tcPr>
            <w:tcW w:w="627" w:type="dxa"/>
            <w:tcBorders>
              <w:bottom w:val="nil"/>
            </w:tcBorders>
            <w:noWrap/>
            <w:hideMark/>
          </w:tcPr>
          <w:p w14:paraId="177A934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1.096</w:t>
            </w:r>
          </w:p>
        </w:tc>
        <w:tc>
          <w:tcPr>
            <w:tcW w:w="631" w:type="dxa"/>
            <w:tcBorders>
              <w:bottom w:val="nil"/>
            </w:tcBorders>
            <w:noWrap/>
            <w:hideMark/>
          </w:tcPr>
          <w:p w14:paraId="5471C02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1.370</w:t>
            </w:r>
          </w:p>
        </w:tc>
        <w:tc>
          <w:tcPr>
            <w:tcW w:w="994" w:type="dxa"/>
            <w:tcBorders>
              <w:bottom w:val="nil"/>
            </w:tcBorders>
            <w:noWrap/>
            <w:hideMark/>
          </w:tcPr>
          <w:p w14:paraId="2AE6319A" w14:textId="5DF69CA9" w:rsidR="00F11564" w:rsidRPr="00F11564" w:rsidRDefault="00945B58" w:rsidP="00D9330B">
            <w:pPr>
              <w:pStyle w:val="TableTextCentered"/>
              <w:cnfStyle w:val="000000000000" w:firstRow="0" w:lastRow="0" w:firstColumn="0" w:lastColumn="0" w:oddVBand="0" w:evenVBand="0" w:oddHBand="0" w:evenHBand="0" w:firstRowFirstColumn="0" w:firstRowLastColumn="0" w:lastRowFirstColumn="0" w:lastRowLastColumn="0"/>
            </w:pPr>
            <w:r>
              <w:t>&lt;</w:t>
            </w:r>
            <w:r w:rsidR="00F11564" w:rsidRPr="00F11564">
              <w:t>0.</w:t>
            </w:r>
            <w:r w:rsidRPr="00F11564">
              <w:t>00</w:t>
            </w:r>
            <w:r>
              <w:t>1</w:t>
            </w:r>
          </w:p>
        </w:tc>
        <w:tc>
          <w:tcPr>
            <w:tcW w:w="1080" w:type="dxa"/>
            <w:tcBorders>
              <w:bottom w:val="nil"/>
            </w:tcBorders>
            <w:noWrap/>
            <w:hideMark/>
          </w:tcPr>
          <w:p w14:paraId="5C099DB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1.226</w:t>
            </w:r>
          </w:p>
        </w:tc>
        <w:tc>
          <w:tcPr>
            <w:tcW w:w="627" w:type="dxa"/>
            <w:tcBorders>
              <w:bottom w:val="nil"/>
            </w:tcBorders>
            <w:noWrap/>
            <w:hideMark/>
          </w:tcPr>
          <w:p w14:paraId="77F434D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1.097</w:t>
            </w:r>
          </w:p>
        </w:tc>
        <w:tc>
          <w:tcPr>
            <w:tcW w:w="628" w:type="dxa"/>
            <w:tcBorders>
              <w:bottom w:val="nil"/>
            </w:tcBorders>
            <w:noWrap/>
            <w:hideMark/>
          </w:tcPr>
          <w:p w14:paraId="6E9D1C1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1.371</w:t>
            </w:r>
          </w:p>
        </w:tc>
      </w:tr>
      <w:tr w:rsidR="00F11564" w:rsidRPr="00F11564" w14:paraId="68735F26" w14:textId="77777777" w:rsidTr="00741D12">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0B2949"/>
            <w:hideMark/>
          </w:tcPr>
          <w:p w14:paraId="38492092" w14:textId="77777777" w:rsidR="00F11564" w:rsidRPr="00F11564" w:rsidRDefault="00F11564" w:rsidP="006B3CE6">
            <w:pPr>
              <w:pStyle w:val="TableRowHead"/>
            </w:pPr>
            <w:r w:rsidRPr="00F11564">
              <w:t>Variables from Literature</w:t>
            </w:r>
          </w:p>
        </w:tc>
      </w:tr>
      <w:tr w:rsidR="00F11564" w:rsidRPr="00F11564" w14:paraId="3A3DF57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2D16140A" w14:textId="77777777" w:rsidR="00F11564" w:rsidRPr="00F11564" w:rsidRDefault="00F11564" w:rsidP="006B3CE6">
            <w:pPr>
              <w:pStyle w:val="TableTextLeft"/>
              <w:rPr>
                <w:color w:val="000000"/>
              </w:rPr>
            </w:pPr>
            <w:r w:rsidRPr="00F11564">
              <w:rPr>
                <w:color w:val="000000"/>
              </w:rPr>
              <w:t>Discharged AMA in prior 12 months</w:t>
            </w:r>
          </w:p>
        </w:tc>
        <w:tc>
          <w:tcPr>
            <w:tcW w:w="961" w:type="dxa"/>
            <w:tcBorders>
              <w:top w:val="nil"/>
            </w:tcBorders>
            <w:noWrap/>
            <w:hideMark/>
          </w:tcPr>
          <w:p w14:paraId="430B984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2EDEA58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2.077</w:t>
            </w:r>
          </w:p>
        </w:tc>
        <w:tc>
          <w:tcPr>
            <w:tcW w:w="627" w:type="dxa"/>
            <w:tcBorders>
              <w:top w:val="nil"/>
            </w:tcBorders>
            <w:noWrap/>
            <w:hideMark/>
          </w:tcPr>
          <w:p w14:paraId="2E81FB6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2.005</w:t>
            </w:r>
          </w:p>
        </w:tc>
        <w:tc>
          <w:tcPr>
            <w:tcW w:w="631" w:type="dxa"/>
            <w:tcBorders>
              <w:top w:val="nil"/>
            </w:tcBorders>
            <w:noWrap/>
            <w:hideMark/>
          </w:tcPr>
          <w:p w14:paraId="4B9738F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2.152</w:t>
            </w:r>
          </w:p>
        </w:tc>
        <w:tc>
          <w:tcPr>
            <w:tcW w:w="994" w:type="dxa"/>
            <w:tcBorders>
              <w:top w:val="nil"/>
            </w:tcBorders>
            <w:noWrap/>
            <w:hideMark/>
          </w:tcPr>
          <w:p w14:paraId="0371810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top w:val="nil"/>
            </w:tcBorders>
            <w:noWrap/>
            <w:hideMark/>
          </w:tcPr>
          <w:p w14:paraId="346F917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2.130</w:t>
            </w:r>
          </w:p>
        </w:tc>
        <w:tc>
          <w:tcPr>
            <w:tcW w:w="627" w:type="dxa"/>
            <w:tcBorders>
              <w:top w:val="nil"/>
            </w:tcBorders>
            <w:noWrap/>
            <w:hideMark/>
          </w:tcPr>
          <w:p w14:paraId="372CEE6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2.057</w:t>
            </w:r>
          </w:p>
        </w:tc>
        <w:tc>
          <w:tcPr>
            <w:tcW w:w="628" w:type="dxa"/>
            <w:tcBorders>
              <w:top w:val="nil"/>
            </w:tcBorders>
            <w:noWrap/>
            <w:hideMark/>
          </w:tcPr>
          <w:p w14:paraId="51C2D3A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2.206</w:t>
            </w:r>
          </w:p>
        </w:tc>
      </w:tr>
      <w:tr w:rsidR="00F11564" w:rsidRPr="00F11564" w14:paraId="1CF92A01"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75FEF3F4" w14:textId="77777777" w:rsidR="00F11564" w:rsidRPr="00F11564" w:rsidRDefault="00F11564" w:rsidP="006B3CE6">
            <w:pPr>
              <w:pStyle w:val="TableTextLeft"/>
              <w:rPr>
                <w:color w:val="000000"/>
              </w:rPr>
            </w:pPr>
            <w:r w:rsidRPr="00F11564">
              <w:rPr>
                <w:color w:val="000000"/>
              </w:rPr>
              <w:t>Not discharged AMA in prior 12 months</w:t>
            </w:r>
          </w:p>
        </w:tc>
        <w:tc>
          <w:tcPr>
            <w:tcW w:w="961" w:type="dxa"/>
            <w:noWrap/>
            <w:hideMark/>
          </w:tcPr>
          <w:p w14:paraId="50E1BF0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F6AD5F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1.477</w:t>
            </w:r>
          </w:p>
        </w:tc>
        <w:tc>
          <w:tcPr>
            <w:tcW w:w="627" w:type="dxa"/>
            <w:noWrap/>
            <w:hideMark/>
          </w:tcPr>
          <w:p w14:paraId="409E93A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1.448</w:t>
            </w:r>
          </w:p>
        </w:tc>
        <w:tc>
          <w:tcPr>
            <w:tcW w:w="631" w:type="dxa"/>
            <w:noWrap/>
            <w:hideMark/>
          </w:tcPr>
          <w:p w14:paraId="1E937FD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1.506</w:t>
            </w:r>
          </w:p>
        </w:tc>
        <w:tc>
          <w:tcPr>
            <w:tcW w:w="994" w:type="dxa"/>
            <w:noWrap/>
            <w:hideMark/>
          </w:tcPr>
          <w:p w14:paraId="1B9CB6A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6617B9B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1.497</w:t>
            </w:r>
          </w:p>
        </w:tc>
        <w:tc>
          <w:tcPr>
            <w:tcW w:w="627" w:type="dxa"/>
            <w:noWrap/>
            <w:hideMark/>
          </w:tcPr>
          <w:p w14:paraId="373CC99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1.469</w:t>
            </w:r>
          </w:p>
        </w:tc>
        <w:tc>
          <w:tcPr>
            <w:tcW w:w="628" w:type="dxa"/>
            <w:noWrap/>
            <w:hideMark/>
          </w:tcPr>
          <w:p w14:paraId="320FA35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1.526</w:t>
            </w:r>
          </w:p>
        </w:tc>
      </w:tr>
      <w:tr w:rsidR="00F11564" w:rsidRPr="00F11564" w14:paraId="0A3C14AA"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DCD1818" w14:textId="4A095078" w:rsidR="00F11564" w:rsidRPr="00F11564" w:rsidRDefault="00F11564" w:rsidP="006B3CE6">
            <w:pPr>
              <w:pStyle w:val="TableTextLeft"/>
              <w:rPr>
                <w:color w:val="000000"/>
              </w:rPr>
            </w:pPr>
            <w:r w:rsidRPr="00F11564">
              <w:rPr>
                <w:color w:val="000000"/>
              </w:rPr>
              <w:t xml:space="preserve">No </w:t>
            </w:r>
            <w:r w:rsidR="00A53A22">
              <w:rPr>
                <w:color w:val="000000"/>
              </w:rPr>
              <w:t>discharges</w:t>
            </w:r>
            <w:r w:rsidRPr="00F11564">
              <w:rPr>
                <w:color w:val="000000"/>
              </w:rPr>
              <w:t xml:space="preserve"> </w:t>
            </w:r>
            <w:r w:rsidR="00C6599C">
              <w:rPr>
                <w:color w:val="000000"/>
              </w:rPr>
              <w:t>in prior 12 months</w:t>
            </w:r>
          </w:p>
        </w:tc>
        <w:tc>
          <w:tcPr>
            <w:tcW w:w="3299" w:type="dxa"/>
            <w:gridSpan w:val="4"/>
            <w:noWrap/>
            <w:hideMark/>
          </w:tcPr>
          <w:p w14:paraId="60221F3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c>
          <w:tcPr>
            <w:tcW w:w="3329" w:type="dxa"/>
            <w:gridSpan w:val="4"/>
            <w:noWrap/>
            <w:hideMark/>
          </w:tcPr>
          <w:p w14:paraId="1815752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r>
      <w:tr w:rsidR="00F11564" w:rsidRPr="00F11564" w14:paraId="2A2E503B"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DF179C7" w14:textId="77777777" w:rsidR="00F11564" w:rsidRPr="00F11564" w:rsidRDefault="00F11564" w:rsidP="006B3CE6">
            <w:pPr>
              <w:pStyle w:val="TableTextLeft"/>
              <w:rPr>
                <w:color w:val="000000"/>
              </w:rPr>
            </w:pPr>
            <w:r w:rsidRPr="00F11564">
              <w:rPr>
                <w:color w:val="000000"/>
              </w:rPr>
              <w:t>Suicide attempt/self-harm</w:t>
            </w:r>
          </w:p>
        </w:tc>
        <w:tc>
          <w:tcPr>
            <w:tcW w:w="961" w:type="dxa"/>
            <w:noWrap/>
            <w:hideMark/>
          </w:tcPr>
          <w:p w14:paraId="73D98DB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7C1EE884"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1.123</w:t>
            </w:r>
          </w:p>
        </w:tc>
        <w:tc>
          <w:tcPr>
            <w:tcW w:w="627" w:type="dxa"/>
            <w:noWrap/>
            <w:hideMark/>
          </w:tcPr>
          <w:p w14:paraId="48CB08F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1.104</w:t>
            </w:r>
          </w:p>
        </w:tc>
        <w:tc>
          <w:tcPr>
            <w:tcW w:w="631" w:type="dxa"/>
            <w:noWrap/>
            <w:hideMark/>
          </w:tcPr>
          <w:p w14:paraId="3023ACB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1.142</w:t>
            </w:r>
          </w:p>
        </w:tc>
        <w:tc>
          <w:tcPr>
            <w:tcW w:w="994" w:type="dxa"/>
            <w:noWrap/>
            <w:hideMark/>
          </w:tcPr>
          <w:p w14:paraId="63A4EEA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96422C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1.127</w:t>
            </w:r>
          </w:p>
        </w:tc>
        <w:tc>
          <w:tcPr>
            <w:tcW w:w="627" w:type="dxa"/>
            <w:noWrap/>
            <w:hideMark/>
          </w:tcPr>
          <w:p w14:paraId="2198242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1.108</w:t>
            </w:r>
          </w:p>
        </w:tc>
        <w:tc>
          <w:tcPr>
            <w:tcW w:w="628" w:type="dxa"/>
            <w:noWrap/>
            <w:hideMark/>
          </w:tcPr>
          <w:p w14:paraId="64AF0A6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1.146</w:t>
            </w:r>
          </w:p>
        </w:tc>
      </w:tr>
      <w:tr w:rsidR="00F11564" w:rsidRPr="00F11564" w14:paraId="2CA97F3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hideMark/>
          </w:tcPr>
          <w:p w14:paraId="4DC8C039" w14:textId="77777777" w:rsidR="00F11564" w:rsidRPr="00F11564" w:rsidRDefault="00F11564" w:rsidP="006B3CE6">
            <w:pPr>
              <w:pStyle w:val="TableTextLeft"/>
              <w:rPr>
                <w:color w:val="000000"/>
              </w:rPr>
            </w:pPr>
            <w:r w:rsidRPr="00F11564">
              <w:rPr>
                <w:color w:val="000000"/>
              </w:rPr>
              <w:t>Aggression</w:t>
            </w:r>
          </w:p>
        </w:tc>
        <w:tc>
          <w:tcPr>
            <w:tcW w:w="961" w:type="dxa"/>
            <w:tcBorders>
              <w:bottom w:val="nil"/>
            </w:tcBorders>
            <w:noWrap/>
            <w:hideMark/>
          </w:tcPr>
          <w:p w14:paraId="29832DE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tcBorders>
              <w:bottom w:val="nil"/>
            </w:tcBorders>
            <w:noWrap/>
            <w:hideMark/>
          </w:tcPr>
          <w:p w14:paraId="2885305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1.093</w:t>
            </w:r>
          </w:p>
        </w:tc>
        <w:tc>
          <w:tcPr>
            <w:tcW w:w="627" w:type="dxa"/>
            <w:tcBorders>
              <w:bottom w:val="nil"/>
            </w:tcBorders>
            <w:noWrap/>
            <w:hideMark/>
          </w:tcPr>
          <w:p w14:paraId="189D4F2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1.069</w:t>
            </w:r>
          </w:p>
        </w:tc>
        <w:tc>
          <w:tcPr>
            <w:tcW w:w="631" w:type="dxa"/>
            <w:tcBorders>
              <w:bottom w:val="nil"/>
            </w:tcBorders>
            <w:noWrap/>
            <w:hideMark/>
          </w:tcPr>
          <w:p w14:paraId="65F17BA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1.116</w:t>
            </w:r>
          </w:p>
        </w:tc>
        <w:tc>
          <w:tcPr>
            <w:tcW w:w="994" w:type="dxa"/>
            <w:tcBorders>
              <w:bottom w:val="nil"/>
            </w:tcBorders>
            <w:noWrap/>
            <w:hideMark/>
          </w:tcPr>
          <w:p w14:paraId="7C22A21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tcBorders>
              <w:bottom w:val="nil"/>
            </w:tcBorders>
            <w:noWrap/>
            <w:hideMark/>
          </w:tcPr>
          <w:p w14:paraId="57B245E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tcBorders>
              <w:bottom w:val="nil"/>
            </w:tcBorders>
            <w:noWrap/>
            <w:hideMark/>
          </w:tcPr>
          <w:p w14:paraId="6D312D4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tcBorders>
              <w:bottom w:val="nil"/>
            </w:tcBorders>
            <w:noWrap/>
            <w:hideMark/>
          </w:tcPr>
          <w:p w14:paraId="12A3B02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F11564" w:rsidRPr="00F11564" w14:paraId="2D7E4D2E" w14:textId="77777777" w:rsidTr="00741D12">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0B2949"/>
            <w:hideMark/>
          </w:tcPr>
          <w:p w14:paraId="7D833467" w14:textId="77777777" w:rsidR="00F11564" w:rsidRPr="00F11564" w:rsidRDefault="00F11564" w:rsidP="006B3CE6">
            <w:pPr>
              <w:pStyle w:val="TableRowHead"/>
            </w:pPr>
            <w:r w:rsidRPr="00F11564">
              <w:t>SDH variables</w:t>
            </w:r>
          </w:p>
        </w:tc>
      </w:tr>
      <w:tr w:rsidR="00F11564" w:rsidRPr="00F11564" w14:paraId="44BCE4FD" w14:textId="77777777" w:rsidTr="00822F0B">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E0D4B5"/>
            <w:hideMark/>
          </w:tcPr>
          <w:p w14:paraId="616397A1" w14:textId="39321482" w:rsidR="00F11564" w:rsidRPr="00F11564" w:rsidRDefault="0041588F" w:rsidP="006B3CE6">
            <w:pPr>
              <w:pStyle w:val="TableRowHead"/>
            </w:pPr>
            <w:r>
              <w:t>Patient-</w:t>
            </w:r>
            <w:r w:rsidR="00F11564" w:rsidRPr="00F11564">
              <w:t>level indicators</w:t>
            </w:r>
          </w:p>
        </w:tc>
      </w:tr>
      <w:tr w:rsidR="00F11564" w:rsidRPr="00F11564" w14:paraId="0361309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1DA98E29" w14:textId="77777777" w:rsidR="00F11564" w:rsidRPr="00F11564" w:rsidRDefault="00F11564" w:rsidP="006B3CE6">
            <w:pPr>
              <w:pStyle w:val="TableTextLeft"/>
              <w:rPr>
                <w:color w:val="000000"/>
              </w:rPr>
            </w:pPr>
            <w:r w:rsidRPr="00F11564">
              <w:rPr>
                <w:color w:val="000000"/>
              </w:rPr>
              <w:t>Dual Medicare-Medicaid status</w:t>
            </w:r>
          </w:p>
        </w:tc>
        <w:tc>
          <w:tcPr>
            <w:tcW w:w="961" w:type="dxa"/>
            <w:tcBorders>
              <w:top w:val="nil"/>
            </w:tcBorders>
            <w:noWrap/>
            <w:hideMark/>
          </w:tcPr>
          <w:p w14:paraId="0CBF82FB"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0.003</w:t>
            </w:r>
          </w:p>
        </w:tc>
        <w:tc>
          <w:tcPr>
            <w:tcW w:w="1080" w:type="dxa"/>
            <w:tcBorders>
              <w:top w:val="nil"/>
            </w:tcBorders>
            <w:noWrap/>
            <w:hideMark/>
          </w:tcPr>
          <w:p w14:paraId="2A10809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0.977</w:t>
            </w:r>
          </w:p>
        </w:tc>
        <w:tc>
          <w:tcPr>
            <w:tcW w:w="627" w:type="dxa"/>
            <w:tcBorders>
              <w:top w:val="nil"/>
            </w:tcBorders>
            <w:noWrap/>
            <w:hideMark/>
          </w:tcPr>
          <w:p w14:paraId="56231865"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0.962</w:t>
            </w:r>
          </w:p>
        </w:tc>
        <w:tc>
          <w:tcPr>
            <w:tcW w:w="631" w:type="dxa"/>
            <w:tcBorders>
              <w:top w:val="nil"/>
            </w:tcBorders>
            <w:noWrap/>
            <w:hideMark/>
          </w:tcPr>
          <w:p w14:paraId="1B6BC33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0.992</w:t>
            </w:r>
          </w:p>
        </w:tc>
        <w:tc>
          <w:tcPr>
            <w:tcW w:w="994" w:type="dxa"/>
            <w:tcBorders>
              <w:top w:val="nil"/>
            </w:tcBorders>
            <w:noWrap/>
            <w:hideMark/>
          </w:tcPr>
          <w:p w14:paraId="102CFDBC" w14:textId="5ACEB655" w:rsidR="00F11564" w:rsidRPr="00F11564" w:rsidRDefault="00945B58"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tcBorders>
              <w:top w:val="nil"/>
            </w:tcBorders>
            <w:noWrap/>
            <w:hideMark/>
          </w:tcPr>
          <w:p w14:paraId="290EC63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tcBorders>
              <w:top w:val="nil"/>
            </w:tcBorders>
            <w:noWrap/>
            <w:hideMark/>
          </w:tcPr>
          <w:p w14:paraId="36D76A0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tcBorders>
              <w:top w:val="nil"/>
            </w:tcBorders>
            <w:noWrap/>
            <w:hideMark/>
          </w:tcPr>
          <w:p w14:paraId="010A4E0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F11564" w:rsidRPr="00F11564" w14:paraId="7D89FCB6"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29147CD" w14:textId="77777777" w:rsidR="00F11564" w:rsidRPr="00F11564" w:rsidRDefault="00F11564" w:rsidP="006B3CE6">
            <w:pPr>
              <w:pStyle w:val="TableTextLeft"/>
              <w:rPr>
                <w:color w:val="000000"/>
              </w:rPr>
            </w:pPr>
            <w:r w:rsidRPr="00F11564">
              <w:rPr>
                <w:color w:val="000000"/>
              </w:rPr>
              <w:t>Black (non-Hispanic)</w:t>
            </w:r>
          </w:p>
        </w:tc>
        <w:tc>
          <w:tcPr>
            <w:tcW w:w="961" w:type="dxa"/>
            <w:noWrap/>
            <w:hideMark/>
          </w:tcPr>
          <w:p w14:paraId="5A7C64FC"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0.023</w:t>
            </w:r>
          </w:p>
        </w:tc>
        <w:tc>
          <w:tcPr>
            <w:tcW w:w="1080" w:type="dxa"/>
            <w:noWrap/>
            <w:hideMark/>
          </w:tcPr>
          <w:p w14:paraId="713B0C82"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1.026</w:t>
            </w:r>
          </w:p>
        </w:tc>
        <w:tc>
          <w:tcPr>
            <w:tcW w:w="627" w:type="dxa"/>
            <w:noWrap/>
            <w:hideMark/>
          </w:tcPr>
          <w:p w14:paraId="015BC5D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1.003</w:t>
            </w:r>
          </w:p>
        </w:tc>
        <w:tc>
          <w:tcPr>
            <w:tcW w:w="631" w:type="dxa"/>
            <w:noWrap/>
            <w:hideMark/>
          </w:tcPr>
          <w:p w14:paraId="38C0E70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1.048</w:t>
            </w:r>
          </w:p>
        </w:tc>
        <w:tc>
          <w:tcPr>
            <w:tcW w:w="994" w:type="dxa"/>
            <w:noWrap/>
            <w:hideMark/>
          </w:tcPr>
          <w:p w14:paraId="5B6BB3EF"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4DE2CC9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10CE8A0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5E910C1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F11564" w:rsidRPr="00F11564" w14:paraId="0B6AB7D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31B0C5F5" w14:textId="77777777" w:rsidR="00F11564" w:rsidRPr="00F11564" w:rsidRDefault="00F11564" w:rsidP="006B3CE6">
            <w:pPr>
              <w:pStyle w:val="TableTextLeft"/>
              <w:rPr>
                <w:color w:val="000000"/>
              </w:rPr>
            </w:pPr>
            <w:r w:rsidRPr="00F11564">
              <w:rPr>
                <w:color w:val="000000"/>
              </w:rPr>
              <w:t>Hispanic/Latino</w:t>
            </w:r>
          </w:p>
        </w:tc>
        <w:tc>
          <w:tcPr>
            <w:tcW w:w="961" w:type="dxa"/>
            <w:noWrap/>
            <w:hideMark/>
          </w:tcPr>
          <w:p w14:paraId="65A71AF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0.022</w:t>
            </w:r>
          </w:p>
        </w:tc>
        <w:tc>
          <w:tcPr>
            <w:tcW w:w="1080" w:type="dxa"/>
            <w:noWrap/>
            <w:hideMark/>
          </w:tcPr>
          <w:p w14:paraId="56C1B90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0.955</w:t>
            </w:r>
          </w:p>
        </w:tc>
        <w:tc>
          <w:tcPr>
            <w:tcW w:w="627" w:type="dxa"/>
            <w:noWrap/>
            <w:hideMark/>
          </w:tcPr>
          <w:p w14:paraId="60E4898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0.919</w:t>
            </w:r>
          </w:p>
        </w:tc>
        <w:tc>
          <w:tcPr>
            <w:tcW w:w="631" w:type="dxa"/>
            <w:noWrap/>
            <w:hideMark/>
          </w:tcPr>
          <w:p w14:paraId="3A7CD22A"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0.993</w:t>
            </w:r>
          </w:p>
        </w:tc>
        <w:tc>
          <w:tcPr>
            <w:tcW w:w="994" w:type="dxa"/>
            <w:noWrap/>
            <w:hideMark/>
          </w:tcPr>
          <w:p w14:paraId="61977218"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0A00DE96"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5E67C82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4E757733"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F11564" w:rsidRPr="00F11564" w14:paraId="499B94B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81C9F69" w14:textId="77777777" w:rsidR="00F11564" w:rsidRPr="00F11564" w:rsidRDefault="00F11564" w:rsidP="006B3CE6">
            <w:pPr>
              <w:pStyle w:val="TableTextLeft"/>
              <w:rPr>
                <w:color w:val="000000"/>
              </w:rPr>
            </w:pPr>
            <w:r w:rsidRPr="00F11564">
              <w:rPr>
                <w:color w:val="000000"/>
              </w:rPr>
              <w:t>Other</w:t>
            </w:r>
          </w:p>
        </w:tc>
        <w:tc>
          <w:tcPr>
            <w:tcW w:w="961" w:type="dxa"/>
            <w:noWrap/>
            <w:hideMark/>
          </w:tcPr>
          <w:p w14:paraId="1D1C37DE"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0.267</w:t>
            </w:r>
          </w:p>
        </w:tc>
        <w:tc>
          <w:tcPr>
            <w:tcW w:w="1080" w:type="dxa"/>
            <w:noWrap/>
            <w:hideMark/>
          </w:tcPr>
          <w:p w14:paraId="5E980661"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0.980</w:t>
            </w:r>
          </w:p>
        </w:tc>
        <w:tc>
          <w:tcPr>
            <w:tcW w:w="627" w:type="dxa"/>
            <w:noWrap/>
            <w:hideMark/>
          </w:tcPr>
          <w:p w14:paraId="0939A310"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0.946</w:t>
            </w:r>
          </w:p>
        </w:tc>
        <w:tc>
          <w:tcPr>
            <w:tcW w:w="631" w:type="dxa"/>
            <w:noWrap/>
            <w:hideMark/>
          </w:tcPr>
          <w:p w14:paraId="03315EE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1.016</w:t>
            </w:r>
          </w:p>
        </w:tc>
        <w:tc>
          <w:tcPr>
            <w:tcW w:w="994" w:type="dxa"/>
            <w:noWrap/>
            <w:hideMark/>
          </w:tcPr>
          <w:p w14:paraId="18127F5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18ABE1A9"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14FCCB97"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411B265D" w14:textId="77777777" w:rsidR="00F11564" w:rsidRPr="00F11564" w:rsidRDefault="00F11564"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3A79353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bottom w:val="nil"/>
            </w:tcBorders>
          </w:tcPr>
          <w:p w14:paraId="46CB04F0" w14:textId="2F31AA5D" w:rsidR="00473B2A" w:rsidRPr="00F11564" w:rsidRDefault="00473B2A" w:rsidP="006B3CE6">
            <w:pPr>
              <w:pStyle w:val="TableTextLeft"/>
              <w:rPr>
                <w:color w:val="000000"/>
              </w:rPr>
            </w:pPr>
            <w:r w:rsidRPr="00F11564">
              <w:rPr>
                <w:color w:val="000000"/>
              </w:rPr>
              <w:t>White (non-Hispanic)</w:t>
            </w:r>
          </w:p>
        </w:tc>
        <w:tc>
          <w:tcPr>
            <w:tcW w:w="3299" w:type="dxa"/>
            <w:gridSpan w:val="4"/>
            <w:tcBorders>
              <w:bottom w:val="nil"/>
            </w:tcBorders>
            <w:noWrap/>
          </w:tcPr>
          <w:p w14:paraId="0A943B3B" w14:textId="60806D7F"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c>
          <w:tcPr>
            <w:tcW w:w="994" w:type="dxa"/>
            <w:tcBorders>
              <w:bottom w:val="nil"/>
            </w:tcBorders>
            <w:noWrap/>
          </w:tcPr>
          <w:p w14:paraId="73B0ED05" w14:textId="326A6BD2"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tcBorders>
              <w:bottom w:val="nil"/>
            </w:tcBorders>
            <w:noWrap/>
          </w:tcPr>
          <w:p w14:paraId="6581C78F" w14:textId="37B73793"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tcBorders>
              <w:bottom w:val="nil"/>
            </w:tcBorders>
            <w:noWrap/>
          </w:tcPr>
          <w:p w14:paraId="3ED1A4C5" w14:textId="0ADBC58B"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tcBorders>
              <w:bottom w:val="nil"/>
            </w:tcBorders>
            <w:noWrap/>
          </w:tcPr>
          <w:p w14:paraId="0BAB0205" w14:textId="2C360F62"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420C9B25" w14:textId="77777777" w:rsidTr="00822F0B">
        <w:trPr>
          <w:trHeight w:val="120"/>
        </w:trPr>
        <w:tc>
          <w:tcPr>
            <w:cnfStyle w:val="001000000000" w:firstRow="0" w:lastRow="0" w:firstColumn="1" w:lastColumn="0" w:oddVBand="0" w:evenVBand="0" w:oddHBand="0" w:evenHBand="0" w:firstRowFirstColumn="0" w:firstRowLastColumn="0" w:lastRowFirstColumn="0" w:lastRowLastColumn="0"/>
            <w:tcW w:w="9868" w:type="dxa"/>
            <w:gridSpan w:val="9"/>
            <w:tcBorders>
              <w:top w:val="nil"/>
              <w:bottom w:val="nil"/>
            </w:tcBorders>
            <w:shd w:val="clear" w:color="auto" w:fill="E0D4B5"/>
            <w:hideMark/>
          </w:tcPr>
          <w:p w14:paraId="497C566E" w14:textId="77777777" w:rsidR="00473B2A" w:rsidRPr="00F11564" w:rsidRDefault="00473B2A" w:rsidP="006B3CE6">
            <w:pPr>
              <w:pStyle w:val="TableRowHead"/>
            </w:pPr>
            <w:r w:rsidRPr="00F11564">
              <w:t>Area level indicators</w:t>
            </w:r>
          </w:p>
        </w:tc>
      </w:tr>
      <w:tr w:rsidR="00473B2A" w:rsidRPr="00F11564" w14:paraId="789C00BF"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tcBorders>
              <w:top w:val="nil"/>
            </w:tcBorders>
            <w:hideMark/>
          </w:tcPr>
          <w:p w14:paraId="78A8A478" w14:textId="77777777" w:rsidR="00473B2A" w:rsidRPr="00F11564" w:rsidRDefault="00473B2A" w:rsidP="006B3CE6">
            <w:pPr>
              <w:pStyle w:val="TableTextLeft"/>
              <w:rPr>
                <w:color w:val="000000"/>
              </w:rPr>
            </w:pPr>
            <w:r w:rsidRPr="00F11564">
              <w:rPr>
                <w:color w:val="000000"/>
              </w:rPr>
              <w:t>AHRQ Socio-Economic Status (2017 American Community Survey: 5-Year Data: 2013-2017)</w:t>
            </w:r>
          </w:p>
        </w:tc>
        <w:tc>
          <w:tcPr>
            <w:tcW w:w="961" w:type="dxa"/>
            <w:tcBorders>
              <w:top w:val="nil"/>
            </w:tcBorders>
            <w:noWrap/>
            <w:hideMark/>
          </w:tcPr>
          <w:p w14:paraId="78BA7B1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0.186</w:t>
            </w:r>
          </w:p>
        </w:tc>
        <w:tc>
          <w:tcPr>
            <w:tcW w:w="1080" w:type="dxa"/>
            <w:tcBorders>
              <w:top w:val="nil"/>
            </w:tcBorders>
            <w:noWrap/>
            <w:hideMark/>
          </w:tcPr>
          <w:p w14:paraId="2511FA8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1.002</w:t>
            </w:r>
          </w:p>
        </w:tc>
        <w:tc>
          <w:tcPr>
            <w:tcW w:w="627" w:type="dxa"/>
            <w:tcBorders>
              <w:top w:val="nil"/>
            </w:tcBorders>
            <w:noWrap/>
            <w:hideMark/>
          </w:tcPr>
          <w:p w14:paraId="3DC5C62B"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0.999</w:t>
            </w:r>
          </w:p>
        </w:tc>
        <w:tc>
          <w:tcPr>
            <w:tcW w:w="631" w:type="dxa"/>
            <w:tcBorders>
              <w:top w:val="nil"/>
            </w:tcBorders>
            <w:noWrap/>
            <w:hideMark/>
          </w:tcPr>
          <w:p w14:paraId="67503C61"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1.005</w:t>
            </w:r>
          </w:p>
        </w:tc>
        <w:tc>
          <w:tcPr>
            <w:tcW w:w="994" w:type="dxa"/>
            <w:tcBorders>
              <w:top w:val="nil"/>
            </w:tcBorders>
            <w:noWrap/>
            <w:hideMark/>
          </w:tcPr>
          <w:p w14:paraId="0C295080"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tcBorders>
              <w:top w:val="nil"/>
            </w:tcBorders>
            <w:noWrap/>
            <w:hideMark/>
          </w:tcPr>
          <w:p w14:paraId="2801EA43"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tcBorders>
              <w:top w:val="nil"/>
            </w:tcBorders>
            <w:noWrap/>
            <w:hideMark/>
          </w:tcPr>
          <w:p w14:paraId="6C84C2CF"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 ---</w:t>
            </w:r>
          </w:p>
        </w:tc>
        <w:tc>
          <w:tcPr>
            <w:tcW w:w="628" w:type="dxa"/>
            <w:tcBorders>
              <w:top w:val="nil"/>
            </w:tcBorders>
            <w:noWrap/>
            <w:hideMark/>
          </w:tcPr>
          <w:p w14:paraId="3C32816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10F1A74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3D58A8A" w14:textId="77777777" w:rsidR="00473B2A" w:rsidRPr="00F11564" w:rsidRDefault="00473B2A" w:rsidP="006B3CE6">
            <w:pPr>
              <w:pStyle w:val="TableTextLeft"/>
              <w:rPr>
                <w:color w:val="000000"/>
              </w:rPr>
            </w:pPr>
            <w:r w:rsidRPr="00F11564">
              <w:rPr>
                <w:color w:val="000000"/>
              </w:rPr>
              <w:t>Percent of Black residents (2017 ACS: 5-Year Data: 2013-2017)</w:t>
            </w:r>
          </w:p>
        </w:tc>
        <w:tc>
          <w:tcPr>
            <w:tcW w:w="961" w:type="dxa"/>
            <w:noWrap/>
            <w:hideMark/>
          </w:tcPr>
          <w:p w14:paraId="02307A06"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18C5D9E6"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1.154</w:t>
            </w:r>
          </w:p>
        </w:tc>
        <w:tc>
          <w:tcPr>
            <w:tcW w:w="627" w:type="dxa"/>
            <w:noWrap/>
            <w:hideMark/>
          </w:tcPr>
          <w:p w14:paraId="79451C5A"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1.109</w:t>
            </w:r>
          </w:p>
        </w:tc>
        <w:tc>
          <w:tcPr>
            <w:tcW w:w="631" w:type="dxa"/>
            <w:noWrap/>
            <w:hideMark/>
          </w:tcPr>
          <w:p w14:paraId="6B5DAAB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1.202</w:t>
            </w:r>
          </w:p>
        </w:tc>
        <w:tc>
          <w:tcPr>
            <w:tcW w:w="994" w:type="dxa"/>
            <w:noWrap/>
            <w:hideMark/>
          </w:tcPr>
          <w:p w14:paraId="036A4E34"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2046C4C9"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55F806B8"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2726A76C"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0EAFBB9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21AA84B1" w14:textId="77777777" w:rsidR="00473B2A" w:rsidRPr="00F11564" w:rsidRDefault="00473B2A" w:rsidP="006B3CE6">
            <w:pPr>
              <w:pStyle w:val="TableTextLeft"/>
              <w:rPr>
                <w:color w:val="000000"/>
              </w:rPr>
            </w:pPr>
            <w:r w:rsidRPr="00F11564">
              <w:rPr>
                <w:color w:val="000000"/>
              </w:rPr>
              <w:lastRenderedPageBreak/>
              <w:t>Percent of Hispanic residents (2017 ACS: 5-Year Data: 2013-2017)</w:t>
            </w:r>
          </w:p>
        </w:tc>
        <w:tc>
          <w:tcPr>
            <w:tcW w:w="961" w:type="dxa"/>
            <w:noWrap/>
            <w:hideMark/>
          </w:tcPr>
          <w:p w14:paraId="25B13B7E"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0.862</w:t>
            </w:r>
          </w:p>
        </w:tc>
        <w:tc>
          <w:tcPr>
            <w:tcW w:w="1080" w:type="dxa"/>
            <w:noWrap/>
            <w:hideMark/>
          </w:tcPr>
          <w:p w14:paraId="1B44054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1.000</w:t>
            </w:r>
          </w:p>
        </w:tc>
        <w:tc>
          <w:tcPr>
            <w:tcW w:w="627" w:type="dxa"/>
            <w:noWrap/>
            <w:hideMark/>
          </w:tcPr>
          <w:p w14:paraId="1B8C1B1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0.999</w:t>
            </w:r>
          </w:p>
        </w:tc>
        <w:tc>
          <w:tcPr>
            <w:tcW w:w="631" w:type="dxa"/>
            <w:noWrap/>
            <w:hideMark/>
          </w:tcPr>
          <w:p w14:paraId="68F8ED97"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1.001</w:t>
            </w:r>
          </w:p>
        </w:tc>
        <w:tc>
          <w:tcPr>
            <w:tcW w:w="994" w:type="dxa"/>
            <w:noWrap/>
            <w:hideMark/>
          </w:tcPr>
          <w:p w14:paraId="30BFB3B1"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455D4E1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278A8CF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094DF4A9"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201955D4"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6BC01D9" w14:textId="77777777" w:rsidR="00473B2A" w:rsidRPr="00F11564" w:rsidRDefault="00473B2A" w:rsidP="006B3CE6">
            <w:pPr>
              <w:pStyle w:val="TableTextLeft"/>
              <w:rPr>
                <w:color w:val="000000"/>
              </w:rPr>
            </w:pPr>
            <w:r w:rsidRPr="00F11564">
              <w:rPr>
                <w:color w:val="000000"/>
              </w:rPr>
              <w:t>Percent of residents speaking no- or limited English (2017 ACS: 5-Year Data: 2013-2017)</w:t>
            </w:r>
          </w:p>
        </w:tc>
        <w:tc>
          <w:tcPr>
            <w:tcW w:w="961" w:type="dxa"/>
            <w:noWrap/>
            <w:hideMark/>
          </w:tcPr>
          <w:p w14:paraId="759F9694"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0660A72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1.146</w:t>
            </w:r>
          </w:p>
        </w:tc>
        <w:tc>
          <w:tcPr>
            <w:tcW w:w="627" w:type="dxa"/>
            <w:noWrap/>
            <w:hideMark/>
          </w:tcPr>
          <w:p w14:paraId="44FA231E"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1.071</w:t>
            </w:r>
          </w:p>
        </w:tc>
        <w:tc>
          <w:tcPr>
            <w:tcW w:w="631" w:type="dxa"/>
            <w:noWrap/>
            <w:hideMark/>
          </w:tcPr>
          <w:p w14:paraId="4B221176"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1.227</w:t>
            </w:r>
          </w:p>
        </w:tc>
        <w:tc>
          <w:tcPr>
            <w:tcW w:w="994" w:type="dxa"/>
            <w:noWrap/>
            <w:hideMark/>
          </w:tcPr>
          <w:p w14:paraId="7504B45B"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5087F4C1"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0AC566F5"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520B8C7C"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688F80BE"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6FE6542" w14:textId="77777777" w:rsidR="00473B2A" w:rsidRPr="00F11564" w:rsidRDefault="00473B2A" w:rsidP="006B3CE6">
            <w:pPr>
              <w:pStyle w:val="TableTextLeft"/>
              <w:rPr>
                <w:color w:val="000000"/>
              </w:rPr>
            </w:pPr>
            <w:r w:rsidRPr="00F11564">
              <w:rPr>
                <w:color w:val="000000"/>
              </w:rPr>
              <w:t>Percent of residents receiving supplemental social security income, public assistance, food stamps or any other source of income (2017 ACS: 5-Year Data: 2013-2017)</w:t>
            </w:r>
          </w:p>
        </w:tc>
        <w:tc>
          <w:tcPr>
            <w:tcW w:w="961" w:type="dxa"/>
            <w:noWrap/>
            <w:hideMark/>
          </w:tcPr>
          <w:p w14:paraId="687F5424"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0.392</w:t>
            </w:r>
          </w:p>
        </w:tc>
        <w:tc>
          <w:tcPr>
            <w:tcW w:w="1080" w:type="dxa"/>
            <w:noWrap/>
            <w:hideMark/>
          </w:tcPr>
          <w:p w14:paraId="77CBC7A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1.007</w:t>
            </w:r>
          </w:p>
        </w:tc>
        <w:tc>
          <w:tcPr>
            <w:tcW w:w="627" w:type="dxa"/>
            <w:noWrap/>
            <w:hideMark/>
          </w:tcPr>
          <w:p w14:paraId="5FB69AE5"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0.991</w:t>
            </w:r>
          </w:p>
        </w:tc>
        <w:tc>
          <w:tcPr>
            <w:tcW w:w="631" w:type="dxa"/>
            <w:noWrap/>
            <w:hideMark/>
          </w:tcPr>
          <w:p w14:paraId="7B61259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1.024</w:t>
            </w:r>
          </w:p>
        </w:tc>
        <w:tc>
          <w:tcPr>
            <w:tcW w:w="994" w:type="dxa"/>
            <w:noWrap/>
            <w:hideMark/>
          </w:tcPr>
          <w:p w14:paraId="58EB3ED5"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53D667B1"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6354C3DF"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45EB224B"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47CC3925"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644AEFA2" w14:textId="77777777" w:rsidR="00473B2A" w:rsidRPr="00F11564" w:rsidRDefault="00473B2A" w:rsidP="006B3CE6">
            <w:pPr>
              <w:pStyle w:val="TableTextLeft"/>
              <w:rPr>
                <w:color w:val="000000"/>
              </w:rPr>
            </w:pPr>
            <w:r w:rsidRPr="00F11564">
              <w:rPr>
                <w:color w:val="000000"/>
              </w:rPr>
              <w:t>USDA Rural-Urban Commuting Area: Urban Core (2020)</w:t>
            </w:r>
          </w:p>
        </w:tc>
        <w:tc>
          <w:tcPr>
            <w:tcW w:w="961" w:type="dxa"/>
            <w:noWrap/>
            <w:hideMark/>
          </w:tcPr>
          <w:p w14:paraId="29D8084C"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5FC31B68"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1.128</w:t>
            </w:r>
          </w:p>
        </w:tc>
        <w:tc>
          <w:tcPr>
            <w:tcW w:w="627" w:type="dxa"/>
            <w:noWrap/>
            <w:hideMark/>
          </w:tcPr>
          <w:p w14:paraId="5AFF4FC7"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1.092</w:t>
            </w:r>
          </w:p>
        </w:tc>
        <w:tc>
          <w:tcPr>
            <w:tcW w:w="631" w:type="dxa"/>
            <w:noWrap/>
            <w:hideMark/>
          </w:tcPr>
          <w:p w14:paraId="0FA46DD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1.164</w:t>
            </w:r>
          </w:p>
        </w:tc>
        <w:tc>
          <w:tcPr>
            <w:tcW w:w="994" w:type="dxa"/>
            <w:noWrap/>
            <w:hideMark/>
          </w:tcPr>
          <w:p w14:paraId="3215D3A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0A666B25"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16290F0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40318BC7"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386B1D90"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0B910D8" w14:textId="77777777" w:rsidR="00473B2A" w:rsidRPr="00F11564" w:rsidRDefault="00473B2A" w:rsidP="006B3CE6">
            <w:pPr>
              <w:pStyle w:val="TableTextLeft"/>
              <w:rPr>
                <w:color w:val="000000"/>
              </w:rPr>
            </w:pPr>
            <w:r w:rsidRPr="00F11564">
              <w:rPr>
                <w:color w:val="000000"/>
              </w:rPr>
              <w:t>USDA Rural-Urban Commuting Area: Suburban (2020)</w:t>
            </w:r>
          </w:p>
        </w:tc>
        <w:tc>
          <w:tcPr>
            <w:tcW w:w="961" w:type="dxa"/>
            <w:noWrap/>
            <w:hideMark/>
          </w:tcPr>
          <w:p w14:paraId="56C7DE1F"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&lt;.0001</w:t>
            </w:r>
          </w:p>
        </w:tc>
        <w:tc>
          <w:tcPr>
            <w:tcW w:w="1080" w:type="dxa"/>
            <w:noWrap/>
            <w:hideMark/>
          </w:tcPr>
          <w:p w14:paraId="4CA1392F"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1.080</w:t>
            </w:r>
          </w:p>
        </w:tc>
        <w:tc>
          <w:tcPr>
            <w:tcW w:w="627" w:type="dxa"/>
            <w:noWrap/>
            <w:hideMark/>
          </w:tcPr>
          <w:p w14:paraId="601B90EC"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1.041</w:t>
            </w:r>
          </w:p>
        </w:tc>
        <w:tc>
          <w:tcPr>
            <w:tcW w:w="631" w:type="dxa"/>
            <w:noWrap/>
            <w:hideMark/>
          </w:tcPr>
          <w:p w14:paraId="1C938734"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1.122</w:t>
            </w:r>
          </w:p>
        </w:tc>
        <w:tc>
          <w:tcPr>
            <w:tcW w:w="994" w:type="dxa"/>
            <w:noWrap/>
            <w:hideMark/>
          </w:tcPr>
          <w:p w14:paraId="62B684B8"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0F0E74D7"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38A52875"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330DEDDE"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473B2A" w:rsidRPr="00F11564" w14:paraId="09455038"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059F4D5" w14:textId="77777777" w:rsidR="00473B2A" w:rsidRPr="00F11564" w:rsidRDefault="00473B2A" w:rsidP="006B3CE6">
            <w:pPr>
              <w:pStyle w:val="TableTextLeft"/>
              <w:rPr>
                <w:color w:val="000000"/>
              </w:rPr>
            </w:pPr>
            <w:r w:rsidRPr="00F11564">
              <w:rPr>
                <w:color w:val="000000"/>
              </w:rPr>
              <w:t>USDA Rural-Urban Commuting Area: Large Town (2020)</w:t>
            </w:r>
          </w:p>
        </w:tc>
        <w:tc>
          <w:tcPr>
            <w:tcW w:w="961" w:type="dxa"/>
            <w:noWrap/>
            <w:hideMark/>
          </w:tcPr>
          <w:p w14:paraId="161248DA"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0.014</w:t>
            </w:r>
          </w:p>
        </w:tc>
        <w:tc>
          <w:tcPr>
            <w:tcW w:w="1080" w:type="dxa"/>
            <w:noWrap/>
            <w:hideMark/>
          </w:tcPr>
          <w:p w14:paraId="568192E3"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1.042</w:t>
            </w:r>
          </w:p>
        </w:tc>
        <w:tc>
          <w:tcPr>
            <w:tcW w:w="627" w:type="dxa"/>
            <w:noWrap/>
            <w:hideMark/>
          </w:tcPr>
          <w:p w14:paraId="43ECDF7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1.009</w:t>
            </w:r>
          </w:p>
        </w:tc>
        <w:tc>
          <w:tcPr>
            <w:tcW w:w="631" w:type="dxa"/>
            <w:noWrap/>
            <w:hideMark/>
          </w:tcPr>
          <w:p w14:paraId="7144E151"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1.077</w:t>
            </w:r>
          </w:p>
        </w:tc>
        <w:tc>
          <w:tcPr>
            <w:tcW w:w="994" w:type="dxa"/>
            <w:noWrap/>
            <w:hideMark/>
          </w:tcPr>
          <w:p w14:paraId="7A84D682"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5526439E"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37FCF11F"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7DBAFB3D" w14:textId="77777777" w:rsidR="00473B2A" w:rsidRPr="00F11564" w:rsidRDefault="00473B2A" w:rsidP="00D9330B">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268AF445" w14:textId="77777777" w:rsidTr="00773DD6">
        <w:trPr>
          <w:trHeight w:val="120"/>
        </w:trPr>
        <w:tc>
          <w:tcPr>
            <w:cnfStyle w:val="001000000000" w:firstRow="0" w:lastRow="0" w:firstColumn="1" w:lastColumn="0" w:oddVBand="0" w:evenVBand="0" w:oddHBand="0" w:evenHBand="0" w:firstRowFirstColumn="0" w:firstRowLastColumn="0" w:lastRowFirstColumn="0" w:lastRowLastColumn="0"/>
            <w:tcW w:w="3240" w:type="dxa"/>
          </w:tcPr>
          <w:p w14:paraId="269E3B5D" w14:textId="26AD50F5" w:rsidR="00945B58" w:rsidRPr="00F11564" w:rsidRDefault="00945B58" w:rsidP="00945B58">
            <w:pPr>
              <w:pStyle w:val="TableTextLeft"/>
              <w:rPr>
                <w:color w:val="000000"/>
              </w:rPr>
            </w:pPr>
            <w:r w:rsidRPr="00F11564">
              <w:rPr>
                <w:color w:val="000000"/>
              </w:rPr>
              <w:t>USDA Rural-Urban Commuting Area: Small Town/Rural (2020)</w:t>
            </w:r>
          </w:p>
        </w:tc>
        <w:tc>
          <w:tcPr>
            <w:tcW w:w="3299" w:type="dxa"/>
            <w:gridSpan w:val="4"/>
            <w:noWrap/>
          </w:tcPr>
          <w:p w14:paraId="3B920B47" w14:textId="6206E039"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Reference</w:t>
            </w:r>
          </w:p>
        </w:tc>
        <w:tc>
          <w:tcPr>
            <w:tcW w:w="994" w:type="dxa"/>
            <w:noWrap/>
          </w:tcPr>
          <w:p w14:paraId="6CC77DE7" w14:textId="65D84CE6"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tcPr>
          <w:p w14:paraId="3C360253" w14:textId="360AF616"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tcPr>
          <w:p w14:paraId="7F040A48" w14:textId="5D8F7E5C"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tcPr>
          <w:p w14:paraId="590B6E15" w14:textId="64EF7D7D"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02AF55C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7D24B67" w14:textId="77777777" w:rsidR="00945B58" w:rsidRPr="00F11564" w:rsidRDefault="00945B58" w:rsidP="00945B58">
            <w:pPr>
              <w:pStyle w:val="TableTextLeft"/>
              <w:rPr>
                <w:color w:val="000000"/>
              </w:rPr>
            </w:pPr>
            <w:r w:rsidRPr="00F11564">
              <w:rPr>
                <w:color w:val="000000"/>
              </w:rPr>
              <w:t>Designated health-professionals shortage area (2015)</w:t>
            </w:r>
          </w:p>
        </w:tc>
        <w:tc>
          <w:tcPr>
            <w:tcW w:w="961" w:type="dxa"/>
            <w:noWrap/>
            <w:hideMark/>
          </w:tcPr>
          <w:p w14:paraId="69A378BF"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0.645</w:t>
            </w:r>
          </w:p>
        </w:tc>
        <w:tc>
          <w:tcPr>
            <w:tcW w:w="1080" w:type="dxa"/>
            <w:noWrap/>
            <w:hideMark/>
          </w:tcPr>
          <w:p w14:paraId="3F5C186B"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0.996</w:t>
            </w:r>
          </w:p>
        </w:tc>
        <w:tc>
          <w:tcPr>
            <w:tcW w:w="627" w:type="dxa"/>
            <w:noWrap/>
            <w:hideMark/>
          </w:tcPr>
          <w:p w14:paraId="4B21A354"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0.977</w:t>
            </w:r>
          </w:p>
        </w:tc>
        <w:tc>
          <w:tcPr>
            <w:tcW w:w="631" w:type="dxa"/>
            <w:noWrap/>
            <w:hideMark/>
          </w:tcPr>
          <w:p w14:paraId="64839AEA"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1.015</w:t>
            </w:r>
          </w:p>
        </w:tc>
        <w:tc>
          <w:tcPr>
            <w:tcW w:w="994" w:type="dxa"/>
            <w:noWrap/>
            <w:hideMark/>
          </w:tcPr>
          <w:p w14:paraId="27DAF533"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15FD787A"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380396B8"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7CB9E5BC"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2E74B419"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B7AB67F" w14:textId="77777777" w:rsidR="00945B58" w:rsidRPr="00F11564" w:rsidRDefault="00945B58" w:rsidP="00945B58">
            <w:pPr>
              <w:pStyle w:val="TableTextLeft"/>
              <w:rPr>
                <w:color w:val="000000"/>
              </w:rPr>
            </w:pPr>
            <w:r w:rsidRPr="00F11564">
              <w:rPr>
                <w:color w:val="000000"/>
              </w:rPr>
              <w:t>Total Mortality: ASR-adjusted % of deaths among Medicare enrollees (2015)</w:t>
            </w:r>
          </w:p>
        </w:tc>
        <w:tc>
          <w:tcPr>
            <w:tcW w:w="961" w:type="dxa"/>
            <w:noWrap/>
            <w:hideMark/>
          </w:tcPr>
          <w:p w14:paraId="4DB7DBA3"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0.157</w:t>
            </w:r>
          </w:p>
        </w:tc>
        <w:tc>
          <w:tcPr>
            <w:tcW w:w="1080" w:type="dxa"/>
            <w:noWrap/>
            <w:hideMark/>
          </w:tcPr>
          <w:p w14:paraId="2171E138"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0.988</w:t>
            </w:r>
          </w:p>
        </w:tc>
        <w:tc>
          <w:tcPr>
            <w:tcW w:w="627" w:type="dxa"/>
            <w:noWrap/>
            <w:hideMark/>
          </w:tcPr>
          <w:p w14:paraId="28D9F57D"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0.971</w:t>
            </w:r>
          </w:p>
        </w:tc>
        <w:tc>
          <w:tcPr>
            <w:tcW w:w="631" w:type="dxa"/>
            <w:noWrap/>
            <w:hideMark/>
          </w:tcPr>
          <w:p w14:paraId="4CAB9593"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1.005</w:t>
            </w:r>
          </w:p>
        </w:tc>
        <w:tc>
          <w:tcPr>
            <w:tcW w:w="994" w:type="dxa"/>
            <w:noWrap/>
            <w:hideMark/>
          </w:tcPr>
          <w:p w14:paraId="6D960815"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2FC10C1C"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1BFA5907"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6E3626A0"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1F11A3EC"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4E2DF32E" w14:textId="77777777" w:rsidR="00945B58" w:rsidRPr="00F11564" w:rsidRDefault="00945B58" w:rsidP="00945B58">
            <w:pPr>
              <w:pStyle w:val="TableTextLeft"/>
              <w:rPr>
                <w:color w:val="000000"/>
              </w:rPr>
            </w:pPr>
            <w:r w:rsidRPr="00F11564">
              <w:rPr>
                <w:color w:val="000000"/>
              </w:rPr>
              <w:t>Acute Care Hospital Beds per 1,000 Residents (2012)</w:t>
            </w:r>
          </w:p>
        </w:tc>
        <w:tc>
          <w:tcPr>
            <w:tcW w:w="961" w:type="dxa"/>
            <w:noWrap/>
            <w:hideMark/>
          </w:tcPr>
          <w:p w14:paraId="53D70C38"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0.000</w:t>
            </w:r>
          </w:p>
        </w:tc>
        <w:tc>
          <w:tcPr>
            <w:tcW w:w="1080" w:type="dxa"/>
            <w:noWrap/>
            <w:hideMark/>
          </w:tcPr>
          <w:p w14:paraId="7BFC9862"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1.031</w:t>
            </w:r>
          </w:p>
        </w:tc>
        <w:tc>
          <w:tcPr>
            <w:tcW w:w="627" w:type="dxa"/>
            <w:noWrap/>
            <w:hideMark/>
          </w:tcPr>
          <w:p w14:paraId="246ED1DA"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1.014</w:t>
            </w:r>
          </w:p>
        </w:tc>
        <w:tc>
          <w:tcPr>
            <w:tcW w:w="631" w:type="dxa"/>
            <w:noWrap/>
            <w:hideMark/>
          </w:tcPr>
          <w:p w14:paraId="4A75618D"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1.048</w:t>
            </w:r>
          </w:p>
        </w:tc>
        <w:tc>
          <w:tcPr>
            <w:tcW w:w="994" w:type="dxa"/>
            <w:noWrap/>
            <w:hideMark/>
          </w:tcPr>
          <w:p w14:paraId="142C3165"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7E6FBAFE"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1F65912B"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167EF1DF"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0D124DA2"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02CA5926" w14:textId="77777777" w:rsidR="00945B58" w:rsidRPr="00F11564" w:rsidRDefault="00945B58" w:rsidP="00945B58">
            <w:pPr>
              <w:pStyle w:val="TableTextLeft"/>
              <w:rPr>
                <w:color w:val="000000"/>
              </w:rPr>
            </w:pPr>
            <w:r w:rsidRPr="00F11564">
              <w:rPr>
                <w:color w:val="000000"/>
              </w:rPr>
              <w:t>Hospital-based Registered Nurses per 1,000 Residents (2012)</w:t>
            </w:r>
          </w:p>
        </w:tc>
        <w:tc>
          <w:tcPr>
            <w:tcW w:w="961" w:type="dxa"/>
            <w:noWrap/>
            <w:hideMark/>
          </w:tcPr>
          <w:p w14:paraId="27CAB410"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0.122</w:t>
            </w:r>
          </w:p>
        </w:tc>
        <w:tc>
          <w:tcPr>
            <w:tcW w:w="1080" w:type="dxa"/>
            <w:noWrap/>
            <w:hideMark/>
          </w:tcPr>
          <w:p w14:paraId="266A9891"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0.989</w:t>
            </w:r>
          </w:p>
        </w:tc>
        <w:tc>
          <w:tcPr>
            <w:tcW w:w="627" w:type="dxa"/>
            <w:noWrap/>
            <w:hideMark/>
          </w:tcPr>
          <w:p w14:paraId="626BB97B"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0.976</w:t>
            </w:r>
          </w:p>
        </w:tc>
        <w:tc>
          <w:tcPr>
            <w:tcW w:w="631" w:type="dxa"/>
            <w:noWrap/>
            <w:hideMark/>
          </w:tcPr>
          <w:p w14:paraId="59B79679"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1.003</w:t>
            </w:r>
          </w:p>
        </w:tc>
        <w:tc>
          <w:tcPr>
            <w:tcW w:w="994" w:type="dxa"/>
            <w:noWrap/>
            <w:hideMark/>
          </w:tcPr>
          <w:p w14:paraId="73148449"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7523C6AC"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7889B2E3"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55A098C9"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r w:rsidR="00945B58" w:rsidRPr="00F11564" w14:paraId="146BFBA3" w14:textId="77777777" w:rsidTr="006B3CE6">
        <w:trPr>
          <w:trHeight w:val="120"/>
        </w:trPr>
        <w:tc>
          <w:tcPr>
            <w:cnfStyle w:val="001000000000" w:firstRow="0" w:lastRow="0" w:firstColumn="1" w:lastColumn="0" w:oddVBand="0" w:evenVBand="0" w:oddHBand="0" w:evenHBand="0" w:firstRowFirstColumn="0" w:firstRowLastColumn="0" w:lastRowFirstColumn="0" w:lastRowLastColumn="0"/>
            <w:tcW w:w="3240" w:type="dxa"/>
            <w:hideMark/>
          </w:tcPr>
          <w:p w14:paraId="123907F0" w14:textId="77777777" w:rsidR="00945B58" w:rsidRPr="00F11564" w:rsidRDefault="00945B58" w:rsidP="00945B58">
            <w:pPr>
              <w:pStyle w:val="TableTextLeft"/>
              <w:rPr>
                <w:color w:val="000000"/>
              </w:rPr>
            </w:pPr>
            <w:r w:rsidRPr="00F11564">
              <w:rPr>
                <w:color w:val="000000"/>
              </w:rPr>
              <w:t>FTE Hospital Employees per 1,000 Residents (2012)</w:t>
            </w:r>
          </w:p>
        </w:tc>
        <w:tc>
          <w:tcPr>
            <w:tcW w:w="961" w:type="dxa"/>
            <w:noWrap/>
            <w:hideMark/>
          </w:tcPr>
          <w:p w14:paraId="30F22BA0"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0.645</w:t>
            </w:r>
          </w:p>
        </w:tc>
        <w:tc>
          <w:tcPr>
            <w:tcW w:w="1080" w:type="dxa"/>
            <w:noWrap/>
            <w:hideMark/>
          </w:tcPr>
          <w:p w14:paraId="55805DC2"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0.999</w:t>
            </w:r>
          </w:p>
        </w:tc>
        <w:tc>
          <w:tcPr>
            <w:tcW w:w="627" w:type="dxa"/>
            <w:noWrap/>
            <w:hideMark/>
          </w:tcPr>
          <w:p w14:paraId="3899C401"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0.996</w:t>
            </w:r>
          </w:p>
        </w:tc>
        <w:tc>
          <w:tcPr>
            <w:tcW w:w="631" w:type="dxa"/>
            <w:noWrap/>
            <w:hideMark/>
          </w:tcPr>
          <w:p w14:paraId="7E011CBF"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1.003</w:t>
            </w:r>
          </w:p>
        </w:tc>
        <w:tc>
          <w:tcPr>
            <w:tcW w:w="994" w:type="dxa"/>
            <w:noWrap/>
            <w:hideMark/>
          </w:tcPr>
          <w:p w14:paraId="0BB8C90C"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1080" w:type="dxa"/>
            <w:noWrap/>
            <w:hideMark/>
          </w:tcPr>
          <w:p w14:paraId="4B057600"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7" w:type="dxa"/>
            <w:noWrap/>
            <w:hideMark/>
          </w:tcPr>
          <w:p w14:paraId="2B8CB106"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c>
          <w:tcPr>
            <w:tcW w:w="628" w:type="dxa"/>
            <w:noWrap/>
            <w:hideMark/>
          </w:tcPr>
          <w:p w14:paraId="4F6FF08C" w14:textId="77777777" w:rsidR="00945B58" w:rsidRPr="00F11564" w:rsidRDefault="00945B58" w:rsidP="00945B58">
            <w:pPr>
              <w:pStyle w:val="TableTextCentered"/>
              <w:cnfStyle w:val="000000000000" w:firstRow="0" w:lastRow="0" w:firstColumn="0" w:lastColumn="0" w:oddVBand="0" w:evenVBand="0" w:oddHBand="0" w:evenHBand="0" w:firstRowFirstColumn="0" w:firstRowLastColumn="0" w:lastRowFirstColumn="0" w:lastRowLastColumn="0"/>
            </w:pPr>
            <w:r w:rsidRPr="00F11564">
              <w:t>---</w:t>
            </w:r>
          </w:p>
        </w:tc>
      </w:tr>
    </w:tbl>
    <w:bookmarkEnd w:id="47"/>
    <w:p w14:paraId="03A4B8CB" w14:textId="77777777" w:rsidR="000530F7" w:rsidRPr="007D17AA" w:rsidRDefault="000530F7" w:rsidP="00147701">
      <w:pPr>
        <w:pStyle w:val="TableSourceCaption"/>
        <w:tabs>
          <w:tab w:val="clear" w:pos="792"/>
          <w:tab w:val="left" w:pos="0"/>
          <w:tab w:val="left" w:pos="630"/>
        </w:tabs>
        <w:ind w:left="630" w:hanging="630"/>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3FB856A9" w14:textId="42AFF7CC" w:rsidR="000737DC" w:rsidRPr="007D17AA" w:rsidRDefault="000737DC" w:rsidP="00147701">
      <w:pPr>
        <w:tabs>
          <w:tab w:val="left" w:pos="540"/>
        </w:tabs>
        <w:spacing w:after="120" w:line="240" w:lineRule="auto"/>
        <w:ind w:left="630" w:hanging="630"/>
        <w:rPr>
          <w:color w:val="0070C0"/>
        </w:rPr>
      </w:pPr>
      <w:r w:rsidRPr="007D17AA">
        <w:rPr>
          <w:rFonts w:eastAsia="Times New Roman" w:cstheme="minorHAnsi"/>
          <w:color w:val="0070C0"/>
          <w:kern w:val="24"/>
          <w:sz w:val="18"/>
          <w:szCs w:val="18"/>
        </w:rPr>
        <w:t>Notes</w:t>
      </w:r>
      <w:r w:rsidRPr="007D17AA">
        <w:rPr>
          <w:color w:val="0070C0"/>
        </w:rPr>
        <w:t xml:space="preserve">: </w:t>
      </w:r>
      <w:r w:rsidR="000530F7" w:rsidRPr="007D17AA">
        <w:rPr>
          <w:color w:val="0070C0"/>
        </w:rPr>
        <w:tab/>
      </w:r>
      <w:r w:rsidR="000530F7" w:rsidRPr="007D17AA">
        <w:rPr>
          <w:color w:val="0070C0"/>
        </w:rPr>
        <w:tab/>
      </w:r>
      <w:r w:rsidR="001E3909" w:rsidRPr="007D17AA">
        <w:rPr>
          <w:color w:val="0070C0"/>
          <w:sz w:val="18"/>
          <w:szCs w:val="18"/>
        </w:rPr>
        <w:t>We did not consider r</w:t>
      </w:r>
      <w:r w:rsidR="00075922" w:rsidRPr="007D17AA">
        <w:rPr>
          <w:color w:val="0070C0"/>
          <w:sz w:val="18"/>
          <w:szCs w:val="18"/>
        </w:rPr>
        <w:t xml:space="preserve">ace </w:t>
      </w:r>
      <w:r w:rsidR="001E3909" w:rsidRPr="007D17AA">
        <w:rPr>
          <w:color w:val="0070C0"/>
          <w:sz w:val="18"/>
          <w:szCs w:val="18"/>
        </w:rPr>
        <w:t>as</w:t>
      </w:r>
      <w:r w:rsidR="00075922" w:rsidRPr="007D17AA">
        <w:rPr>
          <w:color w:val="0070C0"/>
          <w:sz w:val="18"/>
          <w:szCs w:val="18"/>
        </w:rPr>
        <w:t xml:space="preserve"> a proxy for the beneficiaries’ socio-economic status and w</w:t>
      </w:r>
      <w:r w:rsidR="001E3909" w:rsidRPr="007D17AA">
        <w:rPr>
          <w:color w:val="0070C0"/>
          <w:sz w:val="18"/>
          <w:szCs w:val="18"/>
        </w:rPr>
        <w:t>e</w:t>
      </w:r>
      <w:r w:rsidR="00075922" w:rsidRPr="007D17AA">
        <w:rPr>
          <w:color w:val="0070C0"/>
          <w:sz w:val="18"/>
          <w:szCs w:val="18"/>
        </w:rPr>
        <w:t xml:space="preserve"> tested for comparison purposes only. Higher values on the AHRQ SES Index represent higher SES levels. </w:t>
      </w:r>
      <w:r w:rsidR="006D0E3E">
        <w:rPr>
          <w:color w:val="0070C0"/>
          <w:sz w:val="18"/>
          <w:szCs w:val="18"/>
        </w:rPr>
        <w:t>C.I.= Confidence Interval</w:t>
      </w:r>
    </w:p>
    <w:p w14:paraId="3BE06793" w14:textId="6185EA83" w:rsidR="00086FAC" w:rsidRPr="007D17AA" w:rsidRDefault="000D37BD" w:rsidP="00086FAC">
      <w:pPr>
        <w:spacing w:after="120" w:line="240" w:lineRule="auto"/>
        <w:rPr>
          <w:color w:val="0070C0"/>
        </w:rPr>
      </w:pPr>
      <w:r w:rsidRPr="007D17AA">
        <w:rPr>
          <w:color w:val="0070C0"/>
        </w:rPr>
        <w:t>W</w:t>
      </w:r>
      <w:r w:rsidR="00086FAC" w:rsidRPr="007D17AA">
        <w:rPr>
          <w:color w:val="0070C0"/>
        </w:rPr>
        <w:t>e also analyzed</w:t>
      </w:r>
      <w:r w:rsidR="00150B13" w:rsidRPr="007D17AA">
        <w:rPr>
          <w:color w:val="0070C0"/>
        </w:rPr>
        <w:t xml:space="preserve"> </w:t>
      </w:r>
      <w:r w:rsidR="00086FAC" w:rsidRPr="007D17AA">
        <w:rPr>
          <w:color w:val="0070C0"/>
        </w:rPr>
        <w:t xml:space="preserve">the impact </w:t>
      </w:r>
      <w:r w:rsidRPr="007D17AA">
        <w:rPr>
          <w:color w:val="0070C0"/>
        </w:rPr>
        <w:t xml:space="preserve">of </w:t>
      </w:r>
      <w:r w:rsidR="000C284B" w:rsidRPr="007D17AA">
        <w:rPr>
          <w:color w:val="0070C0"/>
        </w:rPr>
        <w:t>SDH variables</w:t>
      </w:r>
      <w:r w:rsidRPr="007D17AA">
        <w:rPr>
          <w:color w:val="0070C0"/>
        </w:rPr>
        <w:t xml:space="preserve"> </w:t>
      </w:r>
      <w:r w:rsidR="00086FAC" w:rsidRPr="007D17AA">
        <w:rPr>
          <w:color w:val="0070C0"/>
        </w:rPr>
        <w:t xml:space="preserve">on computed </w:t>
      </w:r>
      <w:r w:rsidR="00535A6A" w:rsidRPr="007D17AA">
        <w:rPr>
          <w:color w:val="0070C0"/>
        </w:rPr>
        <w:t>RSRRs</w:t>
      </w:r>
      <w:r w:rsidR="00A83477" w:rsidRPr="007D17AA">
        <w:rPr>
          <w:color w:val="0070C0"/>
        </w:rPr>
        <w:t xml:space="preserve"> and </w:t>
      </w:r>
      <w:r w:rsidR="00791D68" w:rsidRPr="007D17AA">
        <w:rPr>
          <w:color w:val="0070C0"/>
        </w:rPr>
        <w:t xml:space="preserve">IPF </w:t>
      </w:r>
      <w:r w:rsidR="00A83477" w:rsidRPr="007D17AA">
        <w:rPr>
          <w:color w:val="0070C0"/>
        </w:rPr>
        <w:t>performance categorization</w:t>
      </w:r>
      <w:r w:rsidR="00086FAC" w:rsidRPr="007D17AA">
        <w:rPr>
          <w:color w:val="0070C0"/>
        </w:rPr>
        <w:t xml:space="preserve">. As seen in </w:t>
      </w:r>
      <w:r w:rsidR="006312E3" w:rsidRPr="007D17AA">
        <w:rPr>
          <w:color w:val="0070C0"/>
        </w:rPr>
        <w:t>2b3.4b.c</w:t>
      </w:r>
      <w:r w:rsidR="00086FAC" w:rsidRPr="007D17AA">
        <w:rPr>
          <w:color w:val="0070C0"/>
        </w:rPr>
        <w:t xml:space="preserve">, </w:t>
      </w:r>
      <w:r w:rsidR="00535A6A" w:rsidRPr="007D17AA">
        <w:rPr>
          <w:color w:val="0070C0"/>
        </w:rPr>
        <w:t xml:space="preserve">the distribution of the RSRRs remains very similar regardless of the specification of the risk-adjustment mode and including </w:t>
      </w:r>
      <w:r w:rsidR="000C284B" w:rsidRPr="007D17AA">
        <w:rPr>
          <w:color w:val="0070C0"/>
        </w:rPr>
        <w:t>SDH risk factors</w:t>
      </w:r>
      <w:r w:rsidR="00535A6A" w:rsidRPr="007D17AA">
        <w:rPr>
          <w:color w:val="0070C0"/>
        </w:rPr>
        <w:t xml:space="preserve"> in the risk-adjustment model has </w:t>
      </w:r>
      <w:r w:rsidR="00606E37" w:rsidRPr="007D17AA">
        <w:rPr>
          <w:color w:val="0070C0"/>
        </w:rPr>
        <w:t xml:space="preserve">only </w:t>
      </w:r>
      <w:r w:rsidR="00535A6A" w:rsidRPr="007D17AA">
        <w:rPr>
          <w:color w:val="0070C0"/>
        </w:rPr>
        <w:t xml:space="preserve">very small effect on the resulting RSRR rates. </w:t>
      </w:r>
      <w:r w:rsidR="00B54422" w:rsidRPr="007D17AA">
        <w:rPr>
          <w:color w:val="0070C0"/>
        </w:rPr>
        <w:t xml:space="preserve">This analysis </w:t>
      </w:r>
      <w:r w:rsidR="00D275EB">
        <w:rPr>
          <w:color w:val="0070C0"/>
        </w:rPr>
        <w:t>once again illustrates</w:t>
      </w:r>
      <w:r w:rsidR="00B54422" w:rsidRPr="007D17AA">
        <w:rPr>
          <w:color w:val="0070C0"/>
        </w:rPr>
        <w:t xml:space="preserve"> that the readmission rates vary widely across facilities.</w:t>
      </w:r>
    </w:p>
    <w:p w14:paraId="2D6C6567" w14:textId="55ACB7F8" w:rsidR="000D2778" w:rsidRPr="007D17AA" w:rsidRDefault="00086FAC" w:rsidP="000C0983">
      <w:pPr>
        <w:pStyle w:val="Caption"/>
      </w:pPr>
      <w:r w:rsidRPr="007D17AA">
        <w:t xml:space="preserve">Table </w:t>
      </w:r>
      <w:r w:rsidR="0078380D" w:rsidRPr="007D17AA">
        <w:t>2b3.4b.c</w:t>
      </w:r>
      <w:r w:rsidRPr="007D17AA">
        <w:t xml:space="preserve">. </w:t>
      </w:r>
      <w:r w:rsidR="00B54422" w:rsidRPr="007D17AA">
        <w:t xml:space="preserve">Distribution of the </w:t>
      </w:r>
      <w:r w:rsidR="003E09A9" w:rsidRPr="007D17AA">
        <w:t xml:space="preserve">RSRR </w:t>
      </w:r>
      <w:r w:rsidR="00B54422" w:rsidRPr="007D17AA">
        <w:t>based on the risk-adjustment models</w:t>
      </w:r>
    </w:p>
    <w:tbl>
      <w:tblPr>
        <w:tblStyle w:val="MathUBaseTable"/>
        <w:tblW w:w="9900" w:type="dxa"/>
        <w:tblLook w:val="04A0" w:firstRow="1" w:lastRow="0" w:firstColumn="1" w:lastColumn="0" w:noHBand="0" w:noVBand="1"/>
      </w:tblPr>
      <w:tblGrid>
        <w:gridCol w:w="2250"/>
        <w:gridCol w:w="626"/>
        <w:gridCol w:w="740"/>
        <w:gridCol w:w="614"/>
        <w:gridCol w:w="809"/>
        <w:gridCol w:w="809"/>
        <w:gridCol w:w="791"/>
        <w:gridCol w:w="810"/>
        <w:gridCol w:w="809"/>
        <w:gridCol w:w="809"/>
        <w:gridCol w:w="833"/>
      </w:tblGrid>
      <w:tr w:rsidR="0041588F" w:rsidRPr="000D2778" w14:paraId="10C45B91" w14:textId="77777777" w:rsidTr="00C67A98">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250" w:type="dxa"/>
            <w:noWrap/>
            <w:hideMark/>
          </w:tcPr>
          <w:p w14:paraId="41367587" w14:textId="77777777" w:rsidR="000D2778" w:rsidRPr="005B42B9" w:rsidRDefault="000D2778" w:rsidP="00C67A98">
            <w:pPr>
              <w:pStyle w:val="TableHeaderLeft"/>
              <w:rPr>
                <w:b w:val="0"/>
              </w:rPr>
            </w:pPr>
            <w:r w:rsidRPr="005B42B9">
              <w:t>Risk-adjustment model</w:t>
            </w:r>
          </w:p>
        </w:tc>
        <w:tc>
          <w:tcPr>
            <w:tcW w:w="626" w:type="dxa"/>
            <w:hideMark/>
          </w:tcPr>
          <w:p w14:paraId="61478A0B"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N</w:t>
            </w:r>
          </w:p>
        </w:tc>
        <w:tc>
          <w:tcPr>
            <w:tcW w:w="740" w:type="dxa"/>
            <w:hideMark/>
          </w:tcPr>
          <w:p w14:paraId="1087A536"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Mean</w:t>
            </w:r>
          </w:p>
        </w:tc>
        <w:tc>
          <w:tcPr>
            <w:tcW w:w="614" w:type="dxa"/>
            <w:hideMark/>
          </w:tcPr>
          <w:p w14:paraId="3ED9BA98" w14:textId="0E9FFEC7" w:rsidR="000D2778" w:rsidRPr="005B42B9" w:rsidRDefault="0041588F"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t>S.D.</w:t>
            </w:r>
          </w:p>
        </w:tc>
        <w:tc>
          <w:tcPr>
            <w:tcW w:w="809" w:type="dxa"/>
            <w:hideMark/>
          </w:tcPr>
          <w:p w14:paraId="41D838FA"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Min.</w:t>
            </w:r>
          </w:p>
        </w:tc>
        <w:tc>
          <w:tcPr>
            <w:tcW w:w="809" w:type="dxa"/>
            <w:hideMark/>
          </w:tcPr>
          <w:p w14:paraId="1F0EADE8"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10th </w:t>
            </w:r>
            <w:proofErr w:type="spellStart"/>
            <w:r w:rsidRPr="005B42B9">
              <w:t>Pctl</w:t>
            </w:r>
            <w:proofErr w:type="spellEnd"/>
          </w:p>
        </w:tc>
        <w:tc>
          <w:tcPr>
            <w:tcW w:w="791" w:type="dxa"/>
            <w:hideMark/>
          </w:tcPr>
          <w:p w14:paraId="11326404"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25th </w:t>
            </w:r>
            <w:proofErr w:type="spellStart"/>
            <w:r w:rsidRPr="005B42B9">
              <w:t>Pctl</w:t>
            </w:r>
            <w:proofErr w:type="spellEnd"/>
          </w:p>
        </w:tc>
        <w:tc>
          <w:tcPr>
            <w:tcW w:w="810" w:type="dxa"/>
            <w:hideMark/>
          </w:tcPr>
          <w:p w14:paraId="5533B2E9"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Median</w:t>
            </w:r>
          </w:p>
        </w:tc>
        <w:tc>
          <w:tcPr>
            <w:tcW w:w="809" w:type="dxa"/>
            <w:hideMark/>
          </w:tcPr>
          <w:p w14:paraId="3B637D18"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75th </w:t>
            </w:r>
            <w:proofErr w:type="spellStart"/>
            <w:r w:rsidRPr="005B42B9">
              <w:t>Pctl</w:t>
            </w:r>
            <w:proofErr w:type="spellEnd"/>
          </w:p>
        </w:tc>
        <w:tc>
          <w:tcPr>
            <w:tcW w:w="809" w:type="dxa"/>
            <w:hideMark/>
          </w:tcPr>
          <w:p w14:paraId="72C2E37F"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90th </w:t>
            </w:r>
            <w:proofErr w:type="spellStart"/>
            <w:r w:rsidRPr="005B42B9">
              <w:t>Pctl</w:t>
            </w:r>
            <w:proofErr w:type="spellEnd"/>
          </w:p>
        </w:tc>
        <w:tc>
          <w:tcPr>
            <w:tcW w:w="833" w:type="dxa"/>
            <w:hideMark/>
          </w:tcPr>
          <w:p w14:paraId="399E80EA" w14:textId="77777777" w:rsidR="000D2778" w:rsidRPr="005B42B9" w:rsidRDefault="000D2778" w:rsidP="00C67A98">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Max.</w:t>
            </w:r>
          </w:p>
        </w:tc>
      </w:tr>
      <w:tr w:rsidR="0041588F" w:rsidRPr="000D2778" w14:paraId="7F8F7A64" w14:textId="77777777" w:rsidTr="00C67A98">
        <w:trPr>
          <w:trHeight w:val="120"/>
        </w:trPr>
        <w:tc>
          <w:tcPr>
            <w:cnfStyle w:val="001000000000" w:firstRow="0" w:lastRow="0" w:firstColumn="1" w:lastColumn="0" w:oddVBand="0" w:evenVBand="0" w:oddHBand="0" w:evenHBand="0" w:firstRowFirstColumn="0" w:firstRowLastColumn="0" w:lastRowFirstColumn="0" w:lastRowLastColumn="0"/>
            <w:tcW w:w="2250" w:type="dxa"/>
            <w:hideMark/>
          </w:tcPr>
          <w:p w14:paraId="57F972E3" w14:textId="77777777" w:rsidR="000D2778" w:rsidRPr="000D2778" w:rsidRDefault="000D2778" w:rsidP="00C67A98">
            <w:pPr>
              <w:pStyle w:val="TableTextLeft"/>
            </w:pPr>
            <w:r w:rsidRPr="000D2778">
              <w:t>No risk-adjustment (observed rate)</w:t>
            </w:r>
          </w:p>
        </w:tc>
        <w:tc>
          <w:tcPr>
            <w:tcW w:w="626" w:type="dxa"/>
            <w:hideMark/>
          </w:tcPr>
          <w:p w14:paraId="17B9448F"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1,700</w:t>
            </w:r>
          </w:p>
        </w:tc>
        <w:tc>
          <w:tcPr>
            <w:tcW w:w="740" w:type="dxa"/>
            <w:noWrap/>
            <w:hideMark/>
          </w:tcPr>
          <w:p w14:paraId="3987F07A"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18.53</w:t>
            </w:r>
          </w:p>
        </w:tc>
        <w:tc>
          <w:tcPr>
            <w:tcW w:w="614" w:type="dxa"/>
            <w:noWrap/>
            <w:hideMark/>
          </w:tcPr>
          <w:p w14:paraId="2F213996"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6.73</w:t>
            </w:r>
          </w:p>
        </w:tc>
        <w:tc>
          <w:tcPr>
            <w:tcW w:w="809" w:type="dxa"/>
            <w:noWrap/>
            <w:hideMark/>
          </w:tcPr>
          <w:p w14:paraId="28AAEAFD"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0.00</w:t>
            </w:r>
          </w:p>
        </w:tc>
        <w:tc>
          <w:tcPr>
            <w:tcW w:w="809" w:type="dxa"/>
            <w:noWrap/>
            <w:hideMark/>
          </w:tcPr>
          <w:p w14:paraId="4005A7EE"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11.33</w:t>
            </w:r>
          </w:p>
        </w:tc>
        <w:tc>
          <w:tcPr>
            <w:tcW w:w="791" w:type="dxa"/>
            <w:noWrap/>
            <w:hideMark/>
          </w:tcPr>
          <w:p w14:paraId="34081BE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14.73</w:t>
            </w:r>
          </w:p>
        </w:tc>
        <w:tc>
          <w:tcPr>
            <w:tcW w:w="810" w:type="dxa"/>
            <w:noWrap/>
            <w:hideMark/>
          </w:tcPr>
          <w:p w14:paraId="3622F024"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18.48</w:t>
            </w:r>
          </w:p>
        </w:tc>
        <w:tc>
          <w:tcPr>
            <w:tcW w:w="809" w:type="dxa"/>
            <w:noWrap/>
            <w:hideMark/>
          </w:tcPr>
          <w:p w14:paraId="756367A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22.32</w:t>
            </w:r>
          </w:p>
        </w:tc>
        <w:tc>
          <w:tcPr>
            <w:tcW w:w="809" w:type="dxa"/>
            <w:noWrap/>
            <w:hideMark/>
          </w:tcPr>
          <w:p w14:paraId="018C2B97"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26.35</w:t>
            </w:r>
          </w:p>
        </w:tc>
        <w:tc>
          <w:tcPr>
            <w:tcW w:w="833" w:type="dxa"/>
            <w:noWrap/>
            <w:hideMark/>
          </w:tcPr>
          <w:p w14:paraId="79710310"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62.50</w:t>
            </w:r>
          </w:p>
        </w:tc>
      </w:tr>
      <w:tr w:rsidR="0041588F" w:rsidRPr="000D2778" w14:paraId="21047508" w14:textId="77777777" w:rsidTr="00C67A98">
        <w:trPr>
          <w:trHeight w:val="120"/>
        </w:trPr>
        <w:tc>
          <w:tcPr>
            <w:cnfStyle w:val="001000000000" w:firstRow="0" w:lastRow="0" w:firstColumn="1" w:lastColumn="0" w:oddVBand="0" w:evenVBand="0" w:oddHBand="0" w:evenHBand="0" w:firstRowFirstColumn="0" w:firstRowLastColumn="0" w:lastRowFirstColumn="0" w:lastRowLastColumn="0"/>
            <w:tcW w:w="2250" w:type="dxa"/>
            <w:hideMark/>
          </w:tcPr>
          <w:p w14:paraId="3E574431" w14:textId="02C17230" w:rsidR="000D2778" w:rsidRPr="000D2778" w:rsidRDefault="000D2778" w:rsidP="00C67A98">
            <w:pPr>
              <w:pStyle w:val="TableTextLeft"/>
              <w:rPr>
                <w:color w:val="000000"/>
              </w:rPr>
            </w:pPr>
            <w:r w:rsidRPr="000D2778">
              <w:rPr>
                <w:color w:val="000000"/>
              </w:rPr>
              <w:t xml:space="preserve">Selected clinical risk-factors </w:t>
            </w:r>
          </w:p>
        </w:tc>
        <w:tc>
          <w:tcPr>
            <w:tcW w:w="626" w:type="dxa"/>
            <w:hideMark/>
          </w:tcPr>
          <w:p w14:paraId="34DFDB00"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1,700</w:t>
            </w:r>
          </w:p>
        </w:tc>
        <w:tc>
          <w:tcPr>
            <w:tcW w:w="740" w:type="dxa"/>
            <w:noWrap/>
            <w:hideMark/>
          </w:tcPr>
          <w:p w14:paraId="0AE1689E"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20.21</w:t>
            </w:r>
          </w:p>
        </w:tc>
        <w:tc>
          <w:tcPr>
            <w:tcW w:w="614" w:type="dxa"/>
            <w:noWrap/>
            <w:hideMark/>
          </w:tcPr>
          <w:p w14:paraId="0477322B"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2.76</w:t>
            </w:r>
          </w:p>
        </w:tc>
        <w:tc>
          <w:tcPr>
            <w:tcW w:w="809" w:type="dxa"/>
            <w:noWrap/>
            <w:hideMark/>
          </w:tcPr>
          <w:p w14:paraId="6BCC5B02"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11.49</w:t>
            </w:r>
          </w:p>
        </w:tc>
        <w:tc>
          <w:tcPr>
            <w:tcW w:w="809" w:type="dxa"/>
            <w:noWrap/>
            <w:hideMark/>
          </w:tcPr>
          <w:p w14:paraId="19CC4F32"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17.04</w:t>
            </w:r>
          </w:p>
        </w:tc>
        <w:tc>
          <w:tcPr>
            <w:tcW w:w="791" w:type="dxa"/>
            <w:noWrap/>
            <w:hideMark/>
          </w:tcPr>
          <w:p w14:paraId="4E06E131"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18.44</w:t>
            </w:r>
          </w:p>
        </w:tc>
        <w:tc>
          <w:tcPr>
            <w:tcW w:w="810" w:type="dxa"/>
            <w:noWrap/>
            <w:hideMark/>
          </w:tcPr>
          <w:p w14:paraId="78F9FF32"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19.96</w:t>
            </w:r>
          </w:p>
        </w:tc>
        <w:tc>
          <w:tcPr>
            <w:tcW w:w="809" w:type="dxa"/>
            <w:noWrap/>
            <w:hideMark/>
          </w:tcPr>
          <w:p w14:paraId="29C01EAC"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21.78</w:t>
            </w:r>
          </w:p>
        </w:tc>
        <w:tc>
          <w:tcPr>
            <w:tcW w:w="809" w:type="dxa"/>
            <w:noWrap/>
            <w:hideMark/>
          </w:tcPr>
          <w:p w14:paraId="4A65698D"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23.64</w:t>
            </w:r>
          </w:p>
        </w:tc>
        <w:tc>
          <w:tcPr>
            <w:tcW w:w="833" w:type="dxa"/>
            <w:noWrap/>
            <w:hideMark/>
          </w:tcPr>
          <w:p w14:paraId="2F8F217D"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34.93</w:t>
            </w:r>
          </w:p>
        </w:tc>
      </w:tr>
      <w:tr w:rsidR="0041588F" w:rsidRPr="000D2778" w14:paraId="76536691" w14:textId="77777777" w:rsidTr="00C67A98">
        <w:trPr>
          <w:trHeight w:val="120"/>
        </w:trPr>
        <w:tc>
          <w:tcPr>
            <w:cnfStyle w:val="001000000000" w:firstRow="0" w:lastRow="0" w:firstColumn="1" w:lastColumn="0" w:oddVBand="0" w:evenVBand="0" w:oddHBand="0" w:evenHBand="0" w:firstRowFirstColumn="0" w:firstRowLastColumn="0" w:lastRowFirstColumn="0" w:lastRowLastColumn="0"/>
            <w:tcW w:w="2250" w:type="dxa"/>
            <w:hideMark/>
          </w:tcPr>
          <w:p w14:paraId="430A655C" w14:textId="703BEC16" w:rsidR="000D2778" w:rsidRPr="000D2778" w:rsidRDefault="000D2778" w:rsidP="00C67A98">
            <w:pPr>
              <w:pStyle w:val="TableTextLeft"/>
              <w:rPr>
                <w:color w:val="000000"/>
              </w:rPr>
            </w:pPr>
            <w:r w:rsidRPr="000D2778">
              <w:rPr>
                <w:color w:val="000000"/>
              </w:rPr>
              <w:t xml:space="preserve">Selected clinical risk-factors and all </w:t>
            </w:r>
            <w:r w:rsidR="00332B45">
              <w:rPr>
                <w:color w:val="000000"/>
              </w:rPr>
              <w:t>SDH</w:t>
            </w:r>
            <w:r w:rsidRPr="000D2778">
              <w:rPr>
                <w:color w:val="000000"/>
              </w:rPr>
              <w:t xml:space="preserve"> risk-factors</w:t>
            </w:r>
          </w:p>
        </w:tc>
        <w:tc>
          <w:tcPr>
            <w:tcW w:w="626" w:type="dxa"/>
            <w:hideMark/>
          </w:tcPr>
          <w:p w14:paraId="00DF4FC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1,700</w:t>
            </w:r>
          </w:p>
        </w:tc>
        <w:tc>
          <w:tcPr>
            <w:tcW w:w="740" w:type="dxa"/>
            <w:noWrap/>
            <w:hideMark/>
          </w:tcPr>
          <w:p w14:paraId="1203E7C6"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20.19</w:t>
            </w:r>
          </w:p>
        </w:tc>
        <w:tc>
          <w:tcPr>
            <w:tcW w:w="614" w:type="dxa"/>
            <w:noWrap/>
            <w:hideMark/>
          </w:tcPr>
          <w:p w14:paraId="3ADF5B0B"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2.56</w:t>
            </w:r>
          </w:p>
        </w:tc>
        <w:tc>
          <w:tcPr>
            <w:tcW w:w="809" w:type="dxa"/>
            <w:noWrap/>
            <w:hideMark/>
          </w:tcPr>
          <w:p w14:paraId="25B4783F" w14:textId="5934CA1A"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11.</w:t>
            </w:r>
            <w:r w:rsidR="006D0E3E" w:rsidRPr="000D2778">
              <w:t>5</w:t>
            </w:r>
            <w:r w:rsidR="006D0E3E">
              <w:t>2</w:t>
            </w:r>
          </w:p>
        </w:tc>
        <w:tc>
          <w:tcPr>
            <w:tcW w:w="809" w:type="dxa"/>
            <w:noWrap/>
            <w:hideMark/>
          </w:tcPr>
          <w:p w14:paraId="1775D05F" w14:textId="593A3969"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w:t>
            </w:r>
            <w:r w:rsidR="006D0E3E">
              <w:t>19</w:t>
            </w:r>
          </w:p>
        </w:tc>
        <w:tc>
          <w:tcPr>
            <w:tcW w:w="791" w:type="dxa"/>
            <w:noWrap/>
            <w:hideMark/>
          </w:tcPr>
          <w:p w14:paraId="1DC78AEE"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18.56</w:t>
            </w:r>
          </w:p>
        </w:tc>
        <w:tc>
          <w:tcPr>
            <w:tcW w:w="810" w:type="dxa"/>
            <w:noWrap/>
            <w:hideMark/>
          </w:tcPr>
          <w:p w14:paraId="0B298BB4" w14:textId="29B9558D"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19.</w:t>
            </w:r>
            <w:r w:rsidR="006D0E3E" w:rsidRPr="000D2778">
              <w:t>9</w:t>
            </w:r>
            <w:r w:rsidR="006D0E3E">
              <w:t>4</w:t>
            </w:r>
          </w:p>
        </w:tc>
        <w:tc>
          <w:tcPr>
            <w:tcW w:w="809" w:type="dxa"/>
            <w:noWrap/>
            <w:hideMark/>
          </w:tcPr>
          <w:p w14:paraId="53E1378E" w14:textId="4613C4FC"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21.</w:t>
            </w:r>
            <w:r w:rsidR="006D0E3E">
              <w:t>71</w:t>
            </w:r>
          </w:p>
        </w:tc>
        <w:tc>
          <w:tcPr>
            <w:tcW w:w="809" w:type="dxa"/>
            <w:noWrap/>
            <w:hideMark/>
          </w:tcPr>
          <w:p w14:paraId="021D2126"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23.36</w:t>
            </w:r>
          </w:p>
        </w:tc>
        <w:tc>
          <w:tcPr>
            <w:tcW w:w="833" w:type="dxa"/>
            <w:noWrap/>
            <w:hideMark/>
          </w:tcPr>
          <w:p w14:paraId="328D6B20" w14:textId="7F78CB50"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33.</w:t>
            </w:r>
            <w:r w:rsidR="006D0E3E">
              <w:t>85</w:t>
            </w:r>
          </w:p>
        </w:tc>
      </w:tr>
      <w:tr w:rsidR="0041588F" w:rsidRPr="000D2778" w14:paraId="16CE7215" w14:textId="77777777" w:rsidTr="00C67A98">
        <w:trPr>
          <w:trHeight w:val="120"/>
        </w:trPr>
        <w:tc>
          <w:tcPr>
            <w:cnfStyle w:val="001000000000" w:firstRow="0" w:lastRow="0" w:firstColumn="1" w:lastColumn="0" w:oddVBand="0" w:evenVBand="0" w:oddHBand="0" w:evenHBand="0" w:firstRowFirstColumn="0" w:firstRowLastColumn="0" w:lastRowFirstColumn="0" w:lastRowLastColumn="0"/>
            <w:tcW w:w="2250" w:type="dxa"/>
            <w:hideMark/>
          </w:tcPr>
          <w:p w14:paraId="7892C581" w14:textId="50DC765E" w:rsidR="000D2778" w:rsidRPr="000D2778" w:rsidRDefault="000D2778" w:rsidP="00C67A98">
            <w:pPr>
              <w:pStyle w:val="TableTextLeft"/>
              <w:rPr>
                <w:color w:val="000000"/>
              </w:rPr>
            </w:pPr>
            <w:r w:rsidRPr="000D2778">
              <w:rPr>
                <w:color w:val="000000"/>
              </w:rPr>
              <w:t xml:space="preserve">Selected clinical risk-factors and all </w:t>
            </w:r>
            <w:r w:rsidR="00332B45">
              <w:rPr>
                <w:color w:val="000000"/>
              </w:rPr>
              <w:t>SDH</w:t>
            </w:r>
            <w:r w:rsidRPr="000D2778">
              <w:rPr>
                <w:color w:val="000000"/>
              </w:rPr>
              <w:t xml:space="preserve"> risk-factors except </w:t>
            </w:r>
            <w:r w:rsidR="002F1273">
              <w:rPr>
                <w:color w:val="000000"/>
              </w:rPr>
              <w:t>dual Medicare-Medicaid status</w:t>
            </w:r>
          </w:p>
        </w:tc>
        <w:tc>
          <w:tcPr>
            <w:tcW w:w="626" w:type="dxa"/>
            <w:hideMark/>
          </w:tcPr>
          <w:p w14:paraId="31AFD761"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1,700</w:t>
            </w:r>
          </w:p>
        </w:tc>
        <w:tc>
          <w:tcPr>
            <w:tcW w:w="740" w:type="dxa"/>
            <w:noWrap/>
            <w:hideMark/>
          </w:tcPr>
          <w:p w14:paraId="41E6854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20.19</w:t>
            </w:r>
          </w:p>
        </w:tc>
        <w:tc>
          <w:tcPr>
            <w:tcW w:w="614" w:type="dxa"/>
            <w:noWrap/>
            <w:hideMark/>
          </w:tcPr>
          <w:p w14:paraId="43938A86"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2.56</w:t>
            </w:r>
          </w:p>
        </w:tc>
        <w:tc>
          <w:tcPr>
            <w:tcW w:w="809" w:type="dxa"/>
            <w:noWrap/>
            <w:hideMark/>
          </w:tcPr>
          <w:p w14:paraId="0E36041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11.50</w:t>
            </w:r>
          </w:p>
        </w:tc>
        <w:tc>
          <w:tcPr>
            <w:tcW w:w="809" w:type="dxa"/>
            <w:noWrap/>
            <w:hideMark/>
          </w:tcPr>
          <w:p w14:paraId="49476575"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17.18</w:t>
            </w:r>
          </w:p>
        </w:tc>
        <w:tc>
          <w:tcPr>
            <w:tcW w:w="791" w:type="dxa"/>
            <w:noWrap/>
            <w:hideMark/>
          </w:tcPr>
          <w:p w14:paraId="530C0C73"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18.54</w:t>
            </w:r>
          </w:p>
        </w:tc>
        <w:tc>
          <w:tcPr>
            <w:tcW w:w="810" w:type="dxa"/>
            <w:noWrap/>
            <w:hideMark/>
          </w:tcPr>
          <w:p w14:paraId="1046748B"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19.92</w:t>
            </w:r>
          </w:p>
        </w:tc>
        <w:tc>
          <w:tcPr>
            <w:tcW w:w="809" w:type="dxa"/>
            <w:noWrap/>
            <w:hideMark/>
          </w:tcPr>
          <w:p w14:paraId="79F1A706"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21.72</w:t>
            </w:r>
          </w:p>
        </w:tc>
        <w:tc>
          <w:tcPr>
            <w:tcW w:w="809" w:type="dxa"/>
            <w:noWrap/>
            <w:hideMark/>
          </w:tcPr>
          <w:p w14:paraId="46A189AA"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23.34</w:t>
            </w:r>
          </w:p>
        </w:tc>
        <w:tc>
          <w:tcPr>
            <w:tcW w:w="833" w:type="dxa"/>
            <w:noWrap/>
            <w:hideMark/>
          </w:tcPr>
          <w:p w14:paraId="3E2B1B98"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33.94</w:t>
            </w:r>
          </w:p>
        </w:tc>
      </w:tr>
      <w:tr w:rsidR="0041588F" w:rsidRPr="000D2778" w14:paraId="23F4C370" w14:textId="77777777" w:rsidTr="00C67A98">
        <w:trPr>
          <w:trHeight w:val="120"/>
        </w:trPr>
        <w:tc>
          <w:tcPr>
            <w:cnfStyle w:val="001000000000" w:firstRow="0" w:lastRow="0" w:firstColumn="1" w:lastColumn="0" w:oddVBand="0" w:evenVBand="0" w:oddHBand="0" w:evenHBand="0" w:firstRowFirstColumn="0" w:firstRowLastColumn="0" w:lastRowFirstColumn="0" w:lastRowLastColumn="0"/>
            <w:tcW w:w="2250" w:type="dxa"/>
            <w:hideMark/>
          </w:tcPr>
          <w:p w14:paraId="08FB5DA2" w14:textId="19708C8D" w:rsidR="000D2778" w:rsidRPr="000D2778" w:rsidRDefault="000D2778" w:rsidP="00C67A98">
            <w:pPr>
              <w:pStyle w:val="TableTextLeft"/>
              <w:rPr>
                <w:color w:val="000000"/>
              </w:rPr>
            </w:pPr>
            <w:r w:rsidRPr="000D2778">
              <w:rPr>
                <w:color w:val="000000"/>
              </w:rPr>
              <w:lastRenderedPageBreak/>
              <w:t xml:space="preserve">Selected clinical risk-factors and </w:t>
            </w:r>
            <w:r w:rsidR="002F1273">
              <w:rPr>
                <w:color w:val="000000"/>
              </w:rPr>
              <w:t>dual Medicare-Medicaid status</w:t>
            </w:r>
          </w:p>
        </w:tc>
        <w:tc>
          <w:tcPr>
            <w:tcW w:w="626" w:type="dxa"/>
            <w:hideMark/>
          </w:tcPr>
          <w:p w14:paraId="2E43C6B3"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1,700</w:t>
            </w:r>
          </w:p>
        </w:tc>
        <w:tc>
          <w:tcPr>
            <w:tcW w:w="740" w:type="dxa"/>
            <w:noWrap/>
            <w:hideMark/>
          </w:tcPr>
          <w:p w14:paraId="792A995D"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20.21</w:t>
            </w:r>
          </w:p>
        </w:tc>
        <w:tc>
          <w:tcPr>
            <w:tcW w:w="614" w:type="dxa"/>
            <w:noWrap/>
            <w:hideMark/>
          </w:tcPr>
          <w:p w14:paraId="724A8AE7"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2.76</w:t>
            </w:r>
          </w:p>
        </w:tc>
        <w:tc>
          <w:tcPr>
            <w:tcW w:w="809" w:type="dxa"/>
            <w:noWrap/>
            <w:hideMark/>
          </w:tcPr>
          <w:p w14:paraId="30BFC584" w14:textId="581CBF1C"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11.</w:t>
            </w:r>
            <w:r w:rsidR="00580C33" w:rsidRPr="000D2778">
              <w:t>5</w:t>
            </w:r>
            <w:r w:rsidR="00580C33">
              <w:t>1</w:t>
            </w:r>
          </w:p>
        </w:tc>
        <w:tc>
          <w:tcPr>
            <w:tcW w:w="809" w:type="dxa"/>
            <w:noWrap/>
            <w:hideMark/>
          </w:tcPr>
          <w:p w14:paraId="48092DB2"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17.02</w:t>
            </w:r>
          </w:p>
        </w:tc>
        <w:tc>
          <w:tcPr>
            <w:tcW w:w="791" w:type="dxa"/>
            <w:noWrap/>
            <w:hideMark/>
          </w:tcPr>
          <w:p w14:paraId="232AF037"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18.43</w:t>
            </w:r>
          </w:p>
        </w:tc>
        <w:tc>
          <w:tcPr>
            <w:tcW w:w="810" w:type="dxa"/>
            <w:noWrap/>
            <w:hideMark/>
          </w:tcPr>
          <w:p w14:paraId="414E2CB2" w14:textId="77777777"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19.95</w:t>
            </w:r>
          </w:p>
        </w:tc>
        <w:tc>
          <w:tcPr>
            <w:tcW w:w="809" w:type="dxa"/>
            <w:noWrap/>
            <w:hideMark/>
          </w:tcPr>
          <w:p w14:paraId="6F1583C6" w14:textId="61DC8989"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21.</w:t>
            </w:r>
            <w:r w:rsidR="00580C33" w:rsidRPr="000D2778">
              <w:t>7</w:t>
            </w:r>
            <w:r w:rsidR="00580C33">
              <w:t>8</w:t>
            </w:r>
          </w:p>
        </w:tc>
        <w:tc>
          <w:tcPr>
            <w:tcW w:w="809" w:type="dxa"/>
            <w:noWrap/>
            <w:hideMark/>
          </w:tcPr>
          <w:p w14:paraId="276D3E57" w14:textId="649529FA"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23.</w:t>
            </w:r>
            <w:r w:rsidR="00580C33" w:rsidRPr="000D2778">
              <w:t>6</w:t>
            </w:r>
            <w:r w:rsidR="00580C33">
              <w:t>6</w:t>
            </w:r>
          </w:p>
        </w:tc>
        <w:tc>
          <w:tcPr>
            <w:tcW w:w="833" w:type="dxa"/>
            <w:noWrap/>
            <w:hideMark/>
          </w:tcPr>
          <w:p w14:paraId="24FD4961" w14:textId="2935A671" w:rsidR="000D2778" w:rsidRPr="000D2778" w:rsidRDefault="000D2778" w:rsidP="00C67A98">
            <w:pPr>
              <w:pStyle w:val="TableTextCentered"/>
              <w:cnfStyle w:val="000000000000" w:firstRow="0" w:lastRow="0" w:firstColumn="0" w:lastColumn="0" w:oddVBand="0" w:evenVBand="0" w:oddHBand="0" w:evenHBand="0" w:firstRowFirstColumn="0" w:firstRowLastColumn="0" w:lastRowFirstColumn="0" w:lastRowLastColumn="0"/>
            </w:pPr>
            <w:r w:rsidRPr="000D2778">
              <w:t>34.</w:t>
            </w:r>
            <w:r w:rsidR="00580C33">
              <w:t>86</w:t>
            </w:r>
          </w:p>
        </w:tc>
      </w:tr>
    </w:tbl>
    <w:p w14:paraId="6D472B07" w14:textId="77777777" w:rsidR="00580C33" w:rsidRPr="007D17AA" w:rsidRDefault="00580C33" w:rsidP="00580C33">
      <w:pPr>
        <w:pStyle w:val="TableSourceCaption"/>
        <w:tabs>
          <w:tab w:val="clear" w:pos="792"/>
          <w:tab w:val="left" w:pos="0"/>
          <w:tab w:val="left" w:pos="630"/>
        </w:tabs>
        <w:ind w:left="630" w:hanging="630"/>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04358B59" w14:textId="77777777" w:rsidR="00D1151E" w:rsidRDefault="00D1151E" w:rsidP="007D17AA">
      <w:pPr>
        <w:rPr>
          <w:color w:val="0070C0"/>
        </w:rPr>
      </w:pPr>
    </w:p>
    <w:p w14:paraId="6B5EA503" w14:textId="3EA4A0F6" w:rsidR="001F5C84" w:rsidRPr="007D17AA" w:rsidRDefault="004055FB" w:rsidP="00637238">
      <w:pPr>
        <w:spacing w:line="240" w:lineRule="auto"/>
        <w:rPr>
          <w:color w:val="0070C0"/>
        </w:rPr>
      </w:pPr>
      <w:r w:rsidRPr="007D17AA">
        <w:rPr>
          <w:color w:val="0070C0"/>
        </w:rPr>
        <w:t xml:space="preserve">Adjusting </w:t>
      </w:r>
      <w:r w:rsidR="00E7745C" w:rsidRPr="007D17AA">
        <w:rPr>
          <w:color w:val="0070C0"/>
        </w:rPr>
        <w:t xml:space="preserve">measure performance rate </w:t>
      </w:r>
      <w:r w:rsidRPr="007D17AA">
        <w:rPr>
          <w:color w:val="0070C0"/>
        </w:rPr>
        <w:t>for</w:t>
      </w:r>
      <w:r w:rsidR="00606E37" w:rsidRPr="007D17AA">
        <w:rPr>
          <w:color w:val="0070C0"/>
        </w:rPr>
        <w:t xml:space="preserve"> </w:t>
      </w:r>
      <w:r w:rsidR="00332B45" w:rsidRPr="007D17AA">
        <w:rPr>
          <w:color w:val="0070C0"/>
        </w:rPr>
        <w:t>SDH</w:t>
      </w:r>
      <w:r w:rsidR="00606E37" w:rsidRPr="007D17AA">
        <w:rPr>
          <w:color w:val="0070C0"/>
        </w:rPr>
        <w:t xml:space="preserve"> </w:t>
      </w:r>
      <w:r w:rsidRPr="007D17AA">
        <w:rPr>
          <w:color w:val="0070C0"/>
        </w:rPr>
        <w:t>in addition to clinical risk</w:t>
      </w:r>
      <w:r w:rsidR="00994211" w:rsidRPr="007D17AA">
        <w:rPr>
          <w:color w:val="0070C0"/>
        </w:rPr>
        <w:t xml:space="preserve"> </w:t>
      </w:r>
      <w:r w:rsidRPr="007D17AA">
        <w:rPr>
          <w:color w:val="0070C0"/>
        </w:rPr>
        <w:t xml:space="preserve">factors </w:t>
      </w:r>
      <w:r w:rsidR="00E7745C" w:rsidRPr="007D17AA">
        <w:rPr>
          <w:color w:val="0070C0"/>
        </w:rPr>
        <w:t>change</w:t>
      </w:r>
      <w:r w:rsidR="00F11374" w:rsidRPr="007D17AA">
        <w:rPr>
          <w:color w:val="0070C0"/>
        </w:rPr>
        <w:t>s</w:t>
      </w:r>
      <w:r w:rsidRPr="007D17AA">
        <w:rPr>
          <w:color w:val="0070C0"/>
        </w:rPr>
        <w:t xml:space="preserve"> </w:t>
      </w:r>
      <w:r w:rsidR="00606E37" w:rsidRPr="007D17AA">
        <w:rPr>
          <w:color w:val="0070C0"/>
        </w:rPr>
        <w:t xml:space="preserve">performance categorization for </w:t>
      </w:r>
      <w:r w:rsidR="000E7A2E">
        <w:rPr>
          <w:color w:val="0070C0"/>
        </w:rPr>
        <w:t>some</w:t>
      </w:r>
      <w:r w:rsidR="00606E37" w:rsidRPr="007D17AA">
        <w:rPr>
          <w:color w:val="0070C0"/>
        </w:rPr>
        <w:t xml:space="preserve"> </w:t>
      </w:r>
      <w:r w:rsidR="00E7745C" w:rsidRPr="007D17AA">
        <w:rPr>
          <w:color w:val="0070C0"/>
        </w:rPr>
        <w:t>IPFs</w:t>
      </w:r>
      <w:r w:rsidR="009F7761" w:rsidRPr="007D17AA">
        <w:rPr>
          <w:color w:val="0070C0"/>
        </w:rPr>
        <w:t xml:space="preserve"> (</w:t>
      </w:r>
      <w:r w:rsidR="006312E3" w:rsidRPr="007D17AA">
        <w:rPr>
          <w:color w:val="0070C0"/>
        </w:rPr>
        <w:t>2b3.4b.d</w:t>
      </w:r>
      <w:r w:rsidR="009F7761" w:rsidRPr="007D17AA">
        <w:rPr>
          <w:color w:val="0070C0"/>
        </w:rPr>
        <w:t>)</w:t>
      </w:r>
      <w:r w:rsidR="00606E37" w:rsidRPr="007D17AA">
        <w:rPr>
          <w:color w:val="0070C0"/>
        </w:rPr>
        <w:t>.</w:t>
      </w:r>
      <w:r w:rsidRPr="007D17AA">
        <w:rPr>
          <w:color w:val="0070C0"/>
        </w:rPr>
        <w:t xml:space="preserve"> When all candidate </w:t>
      </w:r>
      <w:r w:rsidR="000C284B" w:rsidRPr="007D17AA">
        <w:rPr>
          <w:color w:val="0070C0"/>
        </w:rPr>
        <w:t>SDH risk factors</w:t>
      </w:r>
      <w:r w:rsidRPr="007D17AA">
        <w:rPr>
          <w:color w:val="0070C0"/>
        </w:rPr>
        <w:t xml:space="preserve"> were added to the risk-adjustment model, 7</w:t>
      </w:r>
      <w:r w:rsidR="00580C33">
        <w:rPr>
          <w:color w:val="0070C0"/>
        </w:rPr>
        <w:t>4</w:t>
      </w:r>
      <w:r w:rsidRPr="007D17AA">
        <w:rPr>
          <w:color w:val="0070C0"/>
        </w:rPr>
        <w:t xml:space="preserve"> </w:t>
      </w:r>
      <w:r w:rsidR="00E7745C" w:rsidRPr="007D17AA">
        <w:rPr>
          <w:color w:val="0070C0"/>
        </w:rPr>
        <w:t xml:space="preserve">IPFs </w:t>
      </w:r>
      <w:r w:rsidRPr="007D17AA">
        <w:rPr>
          <w:color w:val="0070C0"/>
        </w:rPr>
        <w:t>(4.</w:t>
      </w:r>
      <w:r w:rsidR="00580C33">
        <w:rPr>
          <w:color w:val="0070C0"/>
        </w:rPr>
        <w:t>6</w:t>
      </w:r>
      <w:r w:rsidR="00580C33" w:rsidRPr="007D17AA">
        <w:rPr>
          <w:color w:val="0070C0"/>
        </w:rPr>
        <w:t xml:space="preserve"> </w:t>
      </w:r>
      <w:r w:rsidR="00994211" w:rsidRPr="007D17AA">
        <w:rPr>
          <w:color w:val="0070C0"/>
        </w:rPr>
        <w:t>percent</w:t>
      </w:r>
      <w:r w:rsidR="000E7A2E">
        <w:rPr>
          <w:color w:val="0070C0"/>
        </w:rPr>
        <w:t>; numbers off the diagonal</w:t>
      </w:r>
      <w:r w:rsidRPr="007D17AA">
        <w:rPr>
          <w:color w:val="0070C0"/>
        </w:rPr>
        <w:t>) changed their performance categories compare</w:t>
      </w:r>
      <w:r w:rsidR="00092D0E" w:rsidRPr="007D17AA">
        <w:rPr>
          <w:color w:val="0070C0"/>
        </w:rPr>
        <w:t>d</w:t>
      </w:r>
      <w:r w:rsidRPr="007D17AA">
        <w:rPr>
          <w:color w:val="0070C0"/>
        </w:rPr>
        <w:t xml:space="preserve"> to the models with selected clinical risk</w:t>
      </w:r>
      <w:r w:rsidR="00092D0E" w:rsidRPr="007D17AA">
        <w:rPr>
          <w:color w:val="0070C0"/>
        </w:rPr>
        <w:t xml:space="preserve"> </w:t>
      </w:r>
      <w:r w:rsidRPr="007D17AA">
        <w:rPr>
          <w:color w:val="0070C0"/>
        </w:rPr>
        <w:t xml:space="preserve">factors only. Risk-adjusting by </w:t>
      </w:r>
      <w:r w:rsidR="002F1273" w:rsidRPr="007D17AA">
        <w:rPr>
          <w:color w:val="0070C0"/>
        </w:rPr>
        <w:t xml:space="preserve">dual Medicare-Medicaid status </w:t>
      </w:r>
      <w:r w:rsidRPr="007D17AA">
        <w:rPr>
          <w:color w:val="0070C0"/>
        </w:rPr>
        <w:t xml:space="preserve">led to the change in performance categorization for </w:t>
      </w:r>
      <w:proofErr w:type="gramStart"/>
      <w:r w:rsidR="0035598E">
        <w:rPr>
          <w:color w:val="0070C0"/>
        </w:rPr>
        <w:t>twenty one</w:t>
      </w:r>
      <w:proofErr w:type="gramEnd"/>
      <w:r w:rsidR="0035598E" w:rsidRPr="007D17AA">
        <w:rPr>
          <w:color w:val="0070C0"/>
        </w:rPr>
        <w:t xml:space="preserve"> </w:t>
      </w:r>
      <w:r w:rsidR="00E7745C" w:rsidRPr="007D17AA">
        <w:rPr>
          <w:color w:val="0070C0"/>
        </w:rPr>
        <w:t>IPFs</w:t>
      </w:r>
      <w:r w:rsidRPr="007D17AA">
        <w:rPr>
          <w:color w:val="0070C0"/>
        </w:rPr>
        <w:t xml:space="preserve"> (</w:t>
      </w:r>
      <w:r w:rsidR="00580C33">
        <w:rPr>
          <w:color w:val="0070C0"/>
        </w:rPr>
        <w:t>1.3</w:t>
      </w:r>
      <w:r w:rsidR="00092D0E" w:rsidRPr="007D17AA">
        <w:rPr>
          <w:color w:val="0070C0"/>
        </w:rPr>
        <w:t xml:space="preserve"> percent</w:t>
      </w:r>
      <w:r w:rsidR="000E7A2E">
        <w:rPr>
          <w:color w:val="0070C0"/>
        </w:rPr>
        <w:t>; numbers off the diagonal</w:t>
      </w:r>
      <w:r w:rsidRPr="00B23F6D">
        <w:rPr>
          <w:color w:val="0070C0"/>
        </w:rPr>
        <w:t>).</w:t>
      </w:r>
      <w:r w:rsidR="00E7745C" w:rsidRPr="00B23F6D">
        <w:rPr>
          <w:color w:val="0070C0"/>
        </w:rPr>
        <w:t xml:space="preserve"> </w:t>
      </w:r>
      <w:r w:rsidR="00B23F6D" w:rsidRPr="00B23F6D">
        <w:rPr>
          <w:color w:val="0070C0"/>
        </w:rPr>
        <w:t>Fifteen IPFs changed their performance category in both cases.</w:t>
      </w:r>
      <w:r w:rsidR="00B23F6D">
        <w:rPr>
          <w:color w:val="FF0000"/>
        </w:rPr>
        <w:t xml:space="preserve"> </w:t>
      </w:r>
      <w:r w:rsidR="000D7D67">
        <w:rPr>
          <w:color w:val="0070C0"/>
        </w:rPr>
        <w:t>In both situations, a</w:t>
      </w:r>
      <w:r w:rsidR="001F5C84" w:rsidRPr="007D17AA">
        <w:rPr>
          <w:color w:val="0070C0"/>
        </w:rPr>
        <w:t>dding</w:t>
      </w:r>
      <w:r w:rsidR="00E7745C" w:rsidRPr="007D17AA">
        <w:rPr>
          <w:color w:val="0070C0"/>
        </w:rPr>
        <w:t xml:space="preserve"> </w:t>
      </w:r>
      <w:r w:rsidR="000C284B" w:rsidRPr="007D17AA">
        <w:rPr>
          <w:color w:val="0070C0"/>
        </w:rPr>
        <w:t>SDH risk factors</w:t>
      </w:r>
      <w:r w:rsidR="001F5C84" w:rsidRPr="007D17AA">
        <w:rPr>
          <w:color w:val="0070C0"/>
        </w:rPr>
        <w:t xml:space="preserve"> to the risk-adjustment model</w:t>
      </w:r>
      <w:r w:rsidR="000D7D67">
        <w:rPr>
          <w:color w:val="0070C0"/>
        </w:rPr>
        <w:t xml:space="preserve"> increases the number of IPFs whose performance would be no different than the national rate </w:t>
      </w:r>
      <w:r w:rsidR="00CF7BF8" w:rsidRPr="007D17AA">
        <w:rPr>
          <w:color w:val="0070C0"/>
        </w:rPr>
        <w:t xml:space="preserve">. For example, </w:t>
      </w:r>
      <w:r w:rsidR="00DE4D85">
        <w:rPr>
          <w:color w:val="0070C0"/>
        </w:rPr>
        <w:t>40</w:t>
      </w:r>
      <w:r w:rsidR="00DE4D85" w:rsidRPr="007D17AA">
        <w:rPr>
          <w:color w:val="0070C0"/>
        </w:rPr>
        <w:t xml:space="preserve"> </w:t>
      </w:r>
      <w:r w:rsidR="00CF7BF8" w:rsidRPr="007D17AA">
        <w:rPr>
          <w:color w:val="0070C0"/>
        </w:rPr>
        <w:t>IPFs that appeared in the “worse than the national rate” performance category in the risk-adjustment model with clinical risk</w:t>
      </w:r>
      <w:r w:rsidR="00092D0E" w:rsidRPr="007D17AA">
        <w:rPr>
          <w:color w:val="0070C0"/>
        </w:rPr>
        <w:t xml:space="preserve"> </w:t>
      </w:r>
      <w:r w:rsidR="00CF7BF8" w:rsidRPr="007D17AA">
        <w:rPr>
          <w:color w:val="0070C0"/>
        </w:rPr>
        <w:t xml:space="preserve">factors </w:t>
      </w:r>
      <w:r w:rsidR="00B255C6">
        <w:rPr>
          <w:color w:val="0070C0"/>
        </w:rPr>
        <w:t xml:space="preserve">only </w:t>
      </w:r>
      <w:r w:rsidR="00CF7BF8" w:rsidRPr="007D17AA">
        <w:rPr>
          <w:color w:val="0070C0"/>
        </w:rPr>
        <w:t xml:space="preserve">would fall under the “no different than the national rate” group in the risk-adjustment model with clinical and </w:t>
      </w:r>
      <w:r w:rsidR="000C284B" w:rsidRPr="007D17AA">
        <w:rPr>
          <w:color w:val="0070C0"/>
        </w:rPr>
        <w:t>SDH risk factors</w:t>
      </w:r>
      <w:r w:rsidR="00CF7BF8" w:rsidRPr="007D17AA">
        <w:rPr>
          <w:color w:val="0070C0"/>
        </w:rPr>
        <w:t>.</w:t>
      </w:r>
    </w:p>
    <w:p w14:paraId="4128B520" w14:textId="140A0307" w:rsidR="00CF7BF8" w:rsidRPr="007D17AA" w:rsidRDefault="00CF7BF8" w:rsidP="00147701">
      <w:pPr>
        <w:rPr>
          <w:b/>
          <w:bCs/>
          <w:color w:val="0070C0"/>
        </w:rPr>
      </w:pPr>
      <w:r w:rsidRPr="007D17AA">
        <w:rPr>
          <w:b/>
          <w:bCs/>
          <w:color w:val="0070C0"/>
        </w:rPr>
        <w:t xml:space="preserve">Table </w:t>
      </w:r>
      <w:r w:rsidR="0078380D" w:rsidRPr="007D17AA">
        <w:rPr>
          <w:b/>
          <w:bCs/>
          <w:color w:val="0070C0"/>
        </w:rPr>
        <w:t>2b3.4b.d</w:t>
      </w:r>
      <w:r w:rsidRPr="007D17AA">
        <w:rPr>
          <w:b/>
          <w:bCs/>
          <w:color w:val="0070C0"/>
        </w:rPr>
        <w:t>. Agreement in the performance categorization between the risk-adjustment model with clinical risk</w:t>
      </w:r>
      <w:r w:rsidR="00092D0E" w:rsidRPr="007D17AA">
        <w:rPr>
          <w:b/>
          <w:bCs/>
          <w:color w:val="0070C0"/>
        </w:rPr>
        <w:t xml:space="preserve"> </w:t>
      </w:r>
      <w:r w:rsidRPr="007D17AA">
        <w:rPr>
          <w:b/>
          <w:bCs/>
          <w:color w:val="0070C0"/>
        </w:rPr>
        <w:t xml:space="preserve">factors, and </w:t>
      </w:r>
      <w:r w:rsidR="009F7761" w:rsidRPr="007D17AA">
        <w:rPr>
          <w:b/>
          <w:bCs/>
          <w:color w:val="0070C0"/>
        </w:rPr>
        <w:t xml:space="preserve">both </w:t>
      </w:r>
      <w:r w:rsidRPr="007D17AA">
        <w:rPr>
          <w:b/>
          <w:bCs/>
          <w:color w:val="0070C0"/>
        </w:rPr>
        <w:t>clinical</w:t>
      </w:r>
      <w:r w:rsidR="009F7761" w:rsidRPr="007D17AA">
        <w:rPr>
          <w:b/>
          <w:bCs/>
          <w:color w:val="0070C0"/>
        </w:rPr>
        <w:t xml:space="preserve"> and </w:t>
      </w:r>
      <w:r w:rsidR="000C284B" w:rsidRPr="007D17AA">
        <w:rPr>
          <w:b/>
          <w:bCs/>
          <w:color w:val="0070C0"/>
        </w:rPr>
        <w:t>SDH risk factors</w:t>
      </w:r>
      <w:r w:rsidR="009F7761" w:rsidRPr="007D17AA">
        <w:rPr>
          <w:b/>
          <w:bCs/>
          <w:color w:val="0070C0"/>
        </w:rPr>
        <w:t>.</w:t>
      </w:r>
    </w:p>
    <w:tbl>
      <w:tblPr>
        <w:tblStyle w:val="MathUBaseTable"/>
        <w:tblW w:w="10101" w:type="dxa"/>
        <w:tblLook w:val="04A0" w:firstRow="1" w:lastRow="0" w:firstColumn="1" w:lastColumn="0" w:noHBand="0" w:noVBand="1"/>
      </w:tblPr>
      <w:tblGrid>
        <w:gridCol w:w="1530"/>
        <w:gridCol w:w="1350"/>
        <w:gridCol w:w="1560"/>
        <w:gridCol w:w="1410"/>
        <w:gridCol w:w="1350"/>
        <w:gridCol w:w="1530"/>
        <w:gridCol w:w="1371"/>
      </w:tblGrid>
      <w:tr w:rsidR="00F4466D" w:rsidRPr="00115686" w14:paraId="582B961F" w14:textId="566BA382" w:rsidTr="00D11275">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30" w:type="dxa"/>
            <w:vMerge w:val="restart"/>
            <w:hideMark/>
          </w:tcPr>
          <w:p w14:paraId="11C7C826" w14:textId="7E097701" w:rsidR="00A82CE9" w:rsidRPr="005B42B9" w:rsidRDefault="00F4466D" w:rsidP="00D11275">
            <w:pPr>
              <w:pStyle w:val="TableHeaderLeft"/>
              <w:rPr>
                <w:b w:val="0"/>
              </w:rPr>
            </w:pPr>
            <w:r w:rsidRPr="005B42B9">
              <w:t>Risk-adjusted by clinical risk-factors only</w:t>
            </w:r>
          </w:p>
        </w:tc>
        <w:tc>
          <w:tcPr>
            <w:tcW w:w="4320" w:type="dxa"/>
            <w:gridSpan w:val="3"/>
            <w:tcBorders>
              <w:bottom w:val="single" w:sz="4" w:space="0" w:color="FFFFFF" w:themeColor="background1"/>
              <w:right w:val="single" w:sz="4" w:space="0" w:color="FFFFFF" w:themeColor="background1"/>
            </w:tcBorders>
            <w:hideMark/>
          </w:tcPr>
          <w:p w14:paraId="38560C88" w14:textId="4AA9B907" w:rsidR="00A82CE9" w:rsidRPr="005B42B9" w:rsidRDefault="00F4466D" w:rsidP="00D11275">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Risk-adjusted by clinical risk factors and all </w:t>
            </w:r>
            <w:r w:rsidR="00332B45">
              <w:t>SDH</w:t>
            </w:r>
            <w:r w:rsidRPr="005B42B9">
              <w:t xml:space="preserve"> risk-factors</w:t>
            </w:r>
          </w:p>
        </w:tc>
        <w:tc>
          <w:tcPr>
            <w:tcW w:w="4251" w:type="dxa"/>
            <w:gridSpan w:val="3"/>
            <w:tcBorders>
              <w:left w:val="single" w:sz="4" w:space="0" w:color="FFFFFF" w:themeColor="background1"/>
              <w:bottom w:val="single" w:sz="4" w:space="0" w:color="FFFFFF" w:themeColor="background1"/>
            </w:tcBorders>
          </w:tcPr>
          <w:p w14:paraId="7A6C961A" w14:textId="70EBA484" w:rsidR="00A82CE9" w:rsidRPr="005B42B9" w:rsidRDefault="00F4466D" w:rsidP="00D11275">
            <w:pPr>
              <w:pStyle w:val="TableHeaderCenter"/>
              <w:cnfStyle w:val="100000000000" w:firstRow="1" w:lastRow="0" w:firstColumn="0" w:lastColumn="0" w:oddVBand="0" w:evenVBand="0" w:oddHBand="0" w:evenHBand="0" w:firstRowFirstColumn="0" w:firstRowLastColumn="0" w:lastRowFirstColumn="0" w:lastRowLastColumn="0"/>
              <w:rPr>
                <w:b w:val="0"/>
              </w:rPr>
            </w:pPr>
            <w:r w:rsidRPr="005B42B9">
              <w:t xml:space="preserve">Risk-adjusted by clinical risk factors and Dual </w:t>
            </w:r>
            <w:r w:rsidR="00A82CE9" w:rsidRPr="005B42B9">
              <w:t xml:space="preserve">Medicare-Medicaid Status </w:t>
            </w:r>
          </w:p>
        </w:tc>
      </w:tr>
      <w:tr w:rsidR="00A82CE9" w:rsidRPr="00115686" w14:paraId="0E9D52BC" w14:textId="32C76885" w:rsidTr="00D11275">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530" w:type="dxa"/>
            <w:vMerge/>
            <w:hideMark/>
          </w:tcPr>
          <w:p w14:paraId="1B2AFF80" w14:textId="77777777" w:rsidR="00A82CE9" w:rsidRPr="005B42B9" w:rsidRDefault="00A82CE9" w:rsidP="00D11275">
            <w:pPr>
              <w:pStyle w:val="TableTextLeft"/>
              <w:rPr>
                <w:b w:val="0"/>
              </w:rPr>
            </w:pPr>
          </w:p>
        </w:tc>
        <w:tc>
          <w:tcPr>
            <w:tcW w:w="1350" w:type="dxa"/>
            <w:tcBorders>
              <w:top w:val="single" w:sz="4" w:space="0" w:color="FFFFFF" w:themeColor="background1"/>
            </w:tcBorders>
            <w:hideMark/>
          </w:tcPr>
          <w:p w14:paraId="5B989BFA" w14:textId="4B539669"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Better than the national rate</w:t>
            </w:r>
          </w:p>
        </w:tc>
        <w:tc>
          <w:tcPr>
            <w:tcW w:w="1560" w:type="dxa"/>
            <w:tcBorders>
              <w:top w:val="single" w:sz="4" w:space="0" w:color="FFFFFF" w:themeColor="background1"/>
            </w:tcBorders>
            <w:hideMark/>
          </w:tcPr>
          <w:p w14:paraId="08A4B4CB" w14:textId="5B5F973B"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No different than the national rate</w:t>
            </w:r>
          </w:p>
        </w:tc>
        <w:tc>
          <w:tcPr>
            <w:tcW w:w="1410" w:type="dxa"/>
            <w:tcBorders>
              <w:top w:val="single" w:sz="4" w:space="0" w:color="FFFFFF" w:themeColor="background1"/>
              <w:right w:val="single" w:sz="4" w:space="0" w:color="FFFFFF" w:themeColor="background1"/>
            </w:tcBorders>
            <w:hideMark/>
          </w:tcPr>
          <w:p w14:paraId="31B88399" w14:textId="63D9D794"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Worse than the national rate</w:t>
            </w:r>
          </w:p>
        </w:tc>
        <w:tc>
          <w:tcPr>
            <w:tcW w:w="1350" w:type="dxa"/>
            <w:tcBorders>
              <w:top w:val="single" w:sz="4" w:space="0" w:color="FFFFFF" w:themeColor="background1"/>
              <w:left w:val="single" w:sz="4" w:space="0" w:color="FFFFFF" w:themeColor="background1"/>
            </w:tcBorders>
          </w:tcPr>
          <w:p w14:paraId="6317BD85" w14:textId="6D6CA904"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Better than the National Rate</w:t>
            </w:r>
          </w:p>
        </w:tc>
        <w:tc>
          <w:tcPr>
            <w:tcW w:w="1530" w:type="dxa"/>
            <w:tcBorders>
              <w:top w:val="single" w:sz="4" w:space="0" w:color="FFFFFF" w:themeColor="background1"/>
            </w:tcBorders>
          </w:tcPr>
          <w:p w14:paraId="3CCF0476" w14:textId="127D9FCA"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No different than the national rate</w:t>
            </w:r>
          </w:p>
        </w:tc>
        <w:tc>
          <w:tcPr>
            <w:tcW w:w="1371" w:type="dxa"/>
            <w:tcBorders>
              <w:top w:val="single" w:sz="4" w:space="0" w:color="FFFFFF" w:themeColor="background1"/>
            </w:tcBorders>
          </w:tcPr>
          <w:p w14:paraId="27018092" w14:textId="28000FCD" w:rsidR="00A82CE9" w:rsidRPr="005B42B9" w:rsidRDefault="00A82CE9" w:rsidP="00D11275">
            <w:pPr>
              <w:pStyle w:val="TableHeaderCenter"/>
              <w:cnfStyle w:val="100000000000" w:firstRow="1" w:lastRow="0" w:firstColumn="0" w:lastColumn="0" w:oddVBand="0" w:evenVBand="0" w:oddHBand="0" w:evenHBand="0" w:firstRowFirstColumn="0" w:firstRowLastColumn="0" w:lastRowFirstColumn="0" w:lastRowLastColumn="0"/>
            </w:pPr>
            <w:r w:rsidRPr="005B42B9">
              <w:t xml:space="preserve">Worse than the </w:t>
            </w:r>
            <w:r w:rsidR="00473B2A" w:rsidRPr="005B42B9">
              <w:t xml:space="preserve">national </w:t>
            </w:r>
            <w:r w:rsidRPr="005B42B9">
              <w:t>Rate</w:t>
            </w:r>
          </w:p>
        </w:tc>
      </w:tr>
      <w:tr w:rsidR="00A82CE9" w:rsidRPr="00115686" w14:paraId="717AE9A8" w14:textId="7FAE3B19" w:rsidTr="00D11275">
        <w:trPr>
          <w:trHeight w:val="120"/>
        </w:trPr>
        <w:tc>
          <w:tcPr>
            <w:cnfStyle w:val="001000000000" w:firstRow="0" w:lastRow="0" w:firstColumn="1" w:lastColumn="0" w:oddVBand="0" w:evenVBand="0" w:oddHBand="0" w:evenHBand="0" w:firstRowFirstColumn="0" w:firstRowLastColumn="0" w:lastRowFirstColumn="0" w:lastRowLastColumn="0"/>
            <w:tcW w:w="1530" w:type="dxa"/>
            <w:hideMark/>
          </w:tcPr>
          <w:p w14:paraId="447BBB15" w14:textId="77777777" w:rsidR="00A82CE9" w:rsidRPr="00115686" w:rsidRDefault="00A82CE9" w:rsidP="00D11275">
            <w:pPr>
              <w:pStyle w:val="TableTextLeft"/>
              <w:rPr>
                <w:color w:val="000000"/>
              </w:rPr>
            </w:pPr>
            <w:r w:rsidRPr="00115686">
              <w:rPr>
                <w:color w:val="000000"/>
              </w:rPr>
              <w:t>Better than the national rate</w:t>
            </w:r>
          </w:p>
        </w:tc>
        <w:tc>
          <w:tcPr>
            <w:tcW w:w="1350" w:type="dxa"/>
            <w:noWrap/>
            <w:hideMark/>
          </w:tcPr>
          <w:p w14:paraId="59C4E4BA" w14:textId="25D0E35F"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79</w:t>
            </w:r>
          </w:p>
        </w:tc>
        <w:tc>
          <w:tcPr>
            <w:tcW w:w="1560" w:type="dxa"/>
            <w:noWrap/>
            <w:hideMark/>
          </w:tcPr>
          <w:p w14:paraId="71879413" w14:textId="59AF7BC7"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1</w:t>
            </w:r>
            <w:r>
              <w:t>7</w:t>
            </w:r>
          </w:p>
        </w:tc>
        <w:tc>
          <w:tcPr>
            <w:tcW w:w="1410" w:type="dxa"/>
            <w:noWrap/>
            <w:hideMark/>
          </w:tcPr>
          <w:p w14:paraId="79489B4E" w14:textId="77777777"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w:t>
            </w:r>
          </w:p>
        </w:tc>
        <w:tc>
          <w:tcPr>
            <w:tcW w:w="1350" w:type="dxa"/>
          </w:tcPr>
          <w:p w14:paraId="2C8FA96B" w14:textId="3C2C75B2"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9</w:t>
            </w:r>
            <w:r>
              <w:t>1</w:t>
            </w:r>
          </w:p>
        </w:tc>
        <w:tc>
          <w:tcPr>
            <w:tcW w:w="1530" w:type="dxa"/>
          </w:tcPr>
          <w:p w14:paraId="0BABB76C" w14:textId="10ABFB25"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5</w:t>
            </w:r>
          </w:p>
        </w:tc>
        <w:tc>
          <w:tcPr>
            <w:tcW w:w="1371" w:type="dxa"/>
          </w:tcPr>
          <w:p w14:paraId="5A1E3B05" w14:textId="34A90547"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w:t>
            </w:r>
          </w:p>
        </w:tc>
      </w:tr>
      <w:tr w:rsidR="00A82CE9" w:rsidRPr="00115686" w14:paraId="6EF8B6A7" w14:textId="54CB2248" w:rsidTr="00D11275">
        <w:trPr>
          <w:trHeight w:val="120"/>
        </w:trPr>
        <w:tc>
          <w:tcPr>
            <w:cnfStyle w:val="001000000000" w:firstRow="0" w:lastRow="0" w:firstColumn="1" w:lastColumn="0" w:oddVBand="0" w:evenVBand="0" w:oddHBand="0" w:evenHBand="0" w:firstRowFirstColumn="0" w:firstRowLastColumn="0" w:lastRowFirstColumn="0" w:lastRowLastColumn="0"/>
            <w:tcW w:w="1530" w:type="dxa"/>
            <w:hideMark/>
          </w:tcPr>
          <w:p w14:paraId="1362C8A5" w14:textId="4B38C162" w:rsidR="00A82CE9" w:rsidRPr="00115686" w:rsidRDefault="00A82CE9" w:rsidP="00D11275">
            <w:pPr>
              <w:pStyle w:val="TableTextLeft"/>
              <w:rPr>
                <w:color w:val="000000"/>
              </w:rPr>
            </w:pPr>
            <w:r w:rsidRPr="00115686">
              <w:rPr>
                <w:color w:val="000000"/>
              </w:rPr>
              <w:t xml:space="preserve">No </w:t>
            </w:r>
            <w:r>
              <w:rPr>
                <w:color w:val="000000"/>
              </w:rPr>
              <w:t>d</w:t>
            </w:r>
            <w:r w:rsidRPr="00115686">
              <w:rPr>
                <w:color w:val="000000"/>
              </w:rPr>
              <w:t xml:space="preserve">ifferent </w:t>
            </w:r>
            <w:r>
              <w:rPr>
                <w:color w:val="000000"/>
              </w:rPr>
              <w:t>than</w:t>
            </w:r>
            <w:r w:rsidRPr="00115686">
              <w:rPr>
                <w:color w:val="000000"/>
              </w:rPr>
              <w:t xml:space="preserve"> the national rate</w:t>
            </w:r>
          </w:p>
        </w:tc>
        <w:tc>
          <w:tcPr>
            <w:tcW w:w="1350" w:type="dxa"/>
            <w:hideMark/>
          </w:tcPr>
          <w:p w14:paraId="4FB82A19" w14:textId="77777777"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8</w:t>
            </w:r>
          </w:p>
        </w:tc>
        <w:tc>
          <w:tcPr>
            <w:tcW w:w="1560" w:type="dxa"/>
            <w:hideMark/>
          </w:tcPr>
          <w:p w14:paraId="6733D7D9" w14:textId="30CE66E0"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1,</w:t>
            </w:r>
            <w:r w:rsidR="00580C33" w:rsidRPr="00115686">
              <w:t>33</w:t>
            </w:r>
            <w:r w:rsidR="00580C33">
              <w:t>8</w:t>
            </w:r>
          </w:p>
        </w:tc>
        <w:tc>
          <w:tcPr>
            <w:tcW w:w="1410" w:type="dxa"/>
            <w:hideMark/>
          </w:tcPr>
          <w:p w14:paraId="4AEC86B5" w14:textId="794D6E32"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9</w:t>
            </w:r>
          </w:p>
        </w:tc>
        <w:tc>
          <w:tcPr>
            <w:tcW w:w="1350" w:type="dxa"/>
          </w:tcPr>
          <w:p w14:paraId="5F30A067" w14:textId="2A8977AA"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4</w:t>
            </w:r>
          </w:p>
        </w:tc>
        <w:tc>
          <w:tcPr>
            <w:tcW w:w="1530" w:type="dxa"/>
          </w:tcPr>
          <w:p w14:paraId="3A787A40" w14:textId="76C08634"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1,</w:t>
            </w:r>
            <w:r w:rsidR="00580C33" w:rsidRPr="00115686">
              <w:t>3</w:t>
            </w:r>
            <w:r w:rsidR="00580C33">
              <w:t>48</w:t>
            </w:r>
          </w:p>
        </w:tc>
        <w:tc>
          <w:tcPr>
            <w:tcW w:w="1371" w:type="dxa"/>
          </w:tcPr>
          <w:p w14:paraId="0FEEFA7A" w14:textId="52E963BD"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3</w:t>
            </w:r>
          </w:p>
        </w:tc>
      </w:tr>
      <w:tr w:rsidR="00A82CE9" w:rsidRPr="00115686" w14:paraId="11899520" w14:textId="5E0BD763" w:rsidTr="00D11275">
        <w:trPr>
          <w:trHeight w:val="120"/>
        </w:trPr>
        <w:tc>
          <w:tcPr>
            <w:cnfStyle w:val="001000000000" w:firstRow="0" w:lastRow="0" w:firstColumn="1" w:lastColumn="0" w:oddVBand="0" w:evenVBand="0" w:oddHBand="0" w:evenHBand="0" w:firstRowFirstColumn="0" w:firstRowLastColumn="0" w:lastRowFirstColumn="0" w:lastRowLastColumn="0"/>
            <w:tcW w:w="1530" w:type="dxa"/>
            <w:hideMark/>
          </w:tcPr>
          <w:p w14:paraId="568409E5" w14:textId="7EB08A2F" w:rsidR="00A82CE9" w:rsidRPr="00115686" w:rsidRDefault="00A82CE9" w:rsidP="00D11275">
            <w:pPr>
              <w:pStyle w:val="TableTextLeft"/>
              <w:rPr>
                <w:color w:val="000000"/>
              </w:rPr>
            </w:pPr>
            <w:r w:rsidRPr="00115686">
              <w:rPr>
                <w:color w:val="000000"/>
              </w:rPr>
              <w:t>Worse than the national rate</w:t>
            </w:r>
          </w:p>
        </w:tc>
        <w:tc>
          <w:tcPr>
            <w:tcW w:w="1350" w:type="dxa"/>
            <w:hideMark/>
          </w:tcPr>
          <w:p w14:paraId="227C7F51" w14:textId="77777777"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w:t>
            </w:r>
          </w:p>
        </w:tc>
        <w:tc>
          <w:tcPr>
            <w:tcW w:w="1560" w:type="dxa"/>
            <w:hideMark/>
          </w:tcPr>
          <w:p w14:paraId="1D2D1A33" w14:textId="5EA42466"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40</w:t>
            </w:r>
          </w:p>
        </w:tc>
        <w:tc>
          <w:tcPr>
            <w:tcW w:w="1410" w:type="dxa"/>
            <w:hideMark/>
          </w:tcPr>
          <w:p w14:paraId="6652CCD9" w14:textId="5A15359E"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11</w:t>
            </w:r>
            <w:r>
              <w:t>7</w:t>
            </w:r>
          </w:p>
        </w:tc>
        <w:tc>
          <w:tcPr>
            <w:tcW w:w="1350" w:type="dxa"/>
          </w:tcPr>
          <w:p w14:paraId="2DE213B9" w14:textId="6DA914B5" w:rsidR="00A82CE9" w:rsidRPr="00115686" w:rsidRDefault="00A82CE9"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w:t>
            </w:r>
          </w:p>
        </w:tc>
        <w:tc>
          <w:tcPr>
            <w:tcW w:w="1530" w:type="dxa"/>
          </w:tcPr>
          <w:p w14:paraId="27849C95" w14:textId="7AB6E30F"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t>9</w:t>
            </w:r>
          </w:p>
        </w:tc>
        <w:tc>
          <w:tcPr>
            <w:tcW w:w="1371" w:type="dxa"/>
          </w:tcPr>
          <w:p w14:paraId="0752CC3B" w14:textId="5531AF88" w:rsidR="00A82CE9" w:rsidRPr="00115686" w:rsidRDefault="00580C33" w:rsidP="00D11275">
            <w:pPr>
              <w:pStyle w:val="TableTextCentered"/>
              <w:cnfStyle w:val="000000000000" w:firstRow="0" w:lastRow="0" w:firstColumn="0" w:lastColumn="0" w:oddVBand="0" w:evenVBand="0" w:oddHBand="0" w:evenHBand="0" w:firstRowFirstColumn="0" w:firstRowLastColumn="0" w:lastRowFirstColumn="0" w:lastRowLastColumn="0"/>
            </w:pPr>
            <w:r w:rsidRPr="00115686">
              <w:t>1</w:t>
            </w:r>
            <w:r>
              <w:t>48</w:t>
            </w:r>
          </w:p>
        </w:tc>
      </w:tr>
    </w:tbl>
    <w:p w14:paraId="048A1320" w14:textId="3AE275B5" w:rsidR="000530F7" w:rsidRPr="007D17AA" w:rsidRDefault="000530F7" w:rsidP="000530F7">
      <w:pPr>
        <w:pStyle w:val="TableSourceCaption"/>
        <w:tabs>
          <w:tab w:val="clear" w:pos="792"/>
          <w:tab w:val="left" w:pos="0"/>
          <w:tab w:val="left" w:pos="630"/>
        </w:tabs>
        <w:ind w:left="630" w:hanging="630"/>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r w:rsidR="00DE4D85">
        <w:rPr>
          <w:rFonts w:asciiTheme="minorHAnsi" w:hAnsiTheme="minorHAnsi" w:cstheme="minorHAnsi"/>
          <w:color w:val="0070C0"/>
        </w:rPr>
        <w:t xml:space="preserve"> Ninety-two facilities had f</w:t>
      </w:r>
      <w:r w:rsidR="00DE4D85" w:rsidRPr="00DE4D85">
        <w:rPr>
          <w:rFonts w:asciiTheme="minorHAnsi" w:hAnsiTheme="minorHAnsi" w:cstheme="minorHAnsi"/>
          <w:color w:val="0070C0"/>
        </w:rPr>
        <w:t>ewer than 25 cases during performance period</w:t>
      </w:r>
      <w:r w:rsidR="00DE4D85">
        <w:rPr>
          <w:rFonts w:asciiTheme="minorHAnsi" w:hAnsiTheme="minorHAnsi" w:cstheme="minorHAnsi"/>
          <w:color w:val="0070C0"/>
        </w:rPr>
        <w:t xml:space="preserve"> (not shown in the table).</w:t>
      </w:r>
    </w:p>
    <w:p w14:paraId="2AF23444" w14:textId="73EABBD8" w:rsidR="00086FAC" w:rsidRPr="00637238" w:rsidRDefault="00E7745C" w:rsidP="000C0983">
      <w:pPr>
        <w:pStyle w:val="Caption"/>
        <w:rPr>
          <w:rFonts w:cstheme="minorHAnsi"/>
          <w:b w:val="0"/>
          <w:bCs w:val="0"/>
          <w:sz w:val="18"/>
          <w:szCs w:val="20"/>
        </w:rPr>
      </w:pPr>
      <w:r w:rsidRPr="00637238">
        <w:rPr>
          <w:rFonts w:cstheme="minorHAnsi"/>
          <w:b w:val="0"/>
          <w:bCs w:val="0"/>
          <w:sz w:val="18"/>
          <w:szCs w:val="20"/>
        </w:rPr>
        <w:t xml:space="preserve">Note: </w:t>
      </w:r>
      <w:r w:rsidR="007D17AA" w:rsidRPr="00637238">
        <w:rPr>
          <w:rFonts w:cstheme="minorHAnsi"/>
          <w:b w:val="0"/>
          <w:bCs w:val="0"/>
          <w:sz w:val="18"/>
          <w:szCs w:val="20"/>
        </w:rPr>
        <w:t xml:space="preserve">    </w:t>
      </w:r>
      <w:r w:rsidR="000E7A2E">
        <w:rPr>
          <w:rFonts w:cstheme="minorHAnsi"/>
          <w:b w:val="0"/>
          <w:bCs w:val="0"/>
          <w:sz w:val="18"/>
          <w:szCs w:val="20"/>
        </w:rPr>
        <w:t>Numbers</w:t>
      </w:r>
      <w:r w:rsidR="000E7A2E" w:rsidRPr="00637238">
        <w:rPr>
          <w:rFonts w:cstheme="minorHAnsi"/>
          <w:b w:val="0"/>
          <w:bCs w:val="0"/>
          <w:sz w:val="18"/>
          <w:szCs w:val="20"/>
        </w:rPr>
        <w:t xml:space="preserve"> </w:t>
      </w:r>
      <w:r w:rsidR="009F7761" w:rsidRPr="00637238">
        <w:rPr>
          <w:rFonts w:cstheme="minorHAnsi"/>
          <w:b w:val="0"/>
          <w:bCs w:val="0"/>
          <w:sz w:val="18"/>
          <w:szCs w:val="20"/>
        </w:rPr>
        <w:t xml:space="preserve">along the diagonal represent IPFs that would remain in their performance category under both risk-adjustment </w:t>
      </w:r>
      <w:r w:rsidR="007D17AA" w:rsidRPr="00637238">
        <w:rPr>
          <w:rFonts w:cstheme="minorHAnsi"/>
          <w:b w:val="0"/>
          <w:bCs w:val="0"/>
          <w:sz w:val="18"/>
          <w:szCs w:val="20"/>
        </w:rPr>
        <w:t xml:space="preserve">  </w:t>
      </w:r>
      <w:r w:rsidR="009F7761" w:rsidRPr="00637238">
        <w:rPr>
          <w:rFonts w:cstheme="minorHAnsi"/>
          <w:b w:val="0"/>
          <w:bCs w:val="0"/>
          <w:sz w:val="18"/>
          <w:szCs w:val="20"/>
        </w:rPr>
        <w:t>methods</w:t>
      </w:r>
      <w:r w:rsidR="007D17AA" w:rsidRPr="00637238">
        <w:rPr>
          <w:rFonts w:cstheme="minorHAnsi"/>
          <w:b w:val="0"/>
          <w:bCs w:val="0"/>
          <w:sz w:val="18"/>
          <w:szCs w:val="20"/>
        </w:rPr>
        <w:t>.</w:t>
      </w:r>
    </w:p>
    <w:bookmarkEnd w:id="44"/>
    <w:p w14:paraId="7D1583A5" w14:textId="59A4CD5E" w:rsidR="00F93648" w:rsidRPr="007D17AA" w:rsidRDefault="009B78E7" w:rsidP="00F93648">
      <w:pPr>
        <w:spacing w:before="240" w:after="120" w:line="240" w:lineRule="auto"/>
        <w:rPr>
          <w:color w:val="0070C0"/>
        </w:rPr>
      </w:pPr>
      <w:r w:rsidRPr="007D17AA">
        <w:rPr>
          <w:color w:val="0070C0"/>
          <w:shd w:val="clear" w:color="auto" w:fill="FFFFFF"/>
        </w:rPr>
        <w:t>E</w:t>
      </w:r>
      <w:r w:rsidR="00F93648" w:rsidRPr="007D17AA">
        <w:rPr>
          <w:color w:val="0070C0"/>
          <w:shd w:val="clear" w:color="auto" w:fill="FFFFFF"/>
        </w:rPr>
        <w:t xml:space="preserve">ven though </w:t>
      </w:r>
      <w:r w:rsidR="000C284B" w:rsidRPr="007D17AA">
        <w:rPr>
          <w:color w:val="0070C0"/>
          <w:shd w:val="clear" w:color="auto" w:fill="FFFFFF"/>
        </w:rPr>
        <w:t>SDH risk factors</w:t>
      </w:r>
      <w:r w:rsidR="00F93648" w:rsidRPr="007D17AA">
        <w:rPr>
          <w:color w:val="0070C0"/>
          <w:shd w:val="clear" w:color="auto" w:fill="FFFFFF"/>
        </w:rPr>
        <w:t xml:space="preserve"> may improve patient-level prediction, </w:t>
      </w:r>
      <w:r w:rsidR="00B07A0A" w:rsidRPr="007D17AA">
        <w:rPr>
          <w:color w:val="0070C0"/>
        </w:rPr>
        <w:t>CMS, the measure steward,</w:t>
      </w:r>
      <w:r w:rsidR="00F93648" w:rsidRPr="007D17AA">
        <w:rPr>
          <w:b/>
          <w:bCs/>
          <w:color w:val="0070C0"/>
          <w:shd w:val="clear" w:color="auto" w:fill="FFFFFF"/>
        </w:rPr>
        <w:t xml:space="preserve"> </w:t>
      </w:r>
      <w:r w:rsidR="00F93648" w:rsidRPr="007D17AA">
        <w:rPr>
          <w:color w:val="0070C0"/>
          <w:shd w:val="clear" w:color="auto" w:fill="FFFFFF"/>
        </w:rPr>
        <w:t xml:space="preserve">decided against including measures of </w:t>
      </w:r>
      <w:r w:rsidR="00332B45" w:rsidRPr="007D17AA">
        <w:rPr>
          <w:color w:val="0070C0"/>
          <w:shd w:val="clear" w:color="auto" w:fill="FFFFFF"/>
        </w:rPr>
        <w:t>SDH</w:t>
      </w:r>
      <w:r w:rsidR="00F93648" w:rsidRPr="007D17AA">
        <w:rPr>
          <w:color w:val="0070C0"/>
          <w:shd w:val="clear" w:color="auto" w:fill="FFFFFF"/>
        </w:rPr>
        <w:t xml:space="preserve"> in the risk-adjustment model</w:t>
      </w:r>
      <w:r w:rsidR="00B07A0A" w:rsidRPr="007D17AA">
        <w:rPr>
          <w:color w:val="0070C0"/>
          <w:shd w:val="clear" w:color="auto" w:fill="FFFFFF"/>
        </w:rPr>
        <w:t xml:space="preserve"> at this time</w:t>
      </w:r>
      <w:r w:rsidR="00F93648" w:rsidRPr="007D17AA">
        <w:rPr>
          <w:color w:val="0070C0"/>
          <w:shd w:val="clear" w:color="auto" w:fill="FFFFFF"/>
        </w:rPr>
        <w:t>, as these measures may represent variation in the outcome due to the quality of care that the measure is intended to capture. For example, adjusting for dual Medicare-Medicaid status or race might obscure differences in the psychiatric care provided to these patients. Doing so would imply adjusting for poor quality when trying to measure quality. This decision is consistent with the recent Assistant Secretary for Planning and Evaluation (</w:t>
      </w:r>
      <w:r w:rsidR="00F93648" w:rsidRPr="007D17AA">
        <w:rPr>
          <w:color w:val="0070C0"/>
        </w:rPr>
        <w:t>ASPE</w:t>
      </w:r>
      <w:r w:rsidR="00F93648" w:rsidRPr="007D17AA">
        <w:rPr>
          <w:color w:val="0070C0"/>
          <w:shd w:val="clear" w:color="auto" w:fill="FFFFFF"/>
        </w:rPr>
        <w:t xml:space="preserve">) report to Congress on </w:t>
      </w:r>
      <w:r w:rsidR="00F93648" w:rsidRPr="007D17AA">
        <w:rPr>
          <w:color w:val="0070C0"/>
        </w:rPr>
        <w:t>social risk factors and performance in Medicare’s value-based purchasing program.</w:t>
      </w:r>
      <w:r w:rsidR="00F56909" w:rsidRPr="007D17AA">
        <w:rPr>
          <w:rStyle w:val="EndnoteReference"/>
          <w:color w:val="0070C0"/>
        </w:rPr>
        <w:endnoteReference w:id="41"/>
      </w:r>
      <w:r w:rsidR="00F93648" w:rsidRPr="007D17AA">
        <w:rPr>
          <w:color w:val="0070C0"/>
        </w:rPr>
        <w:t xml:space="preserve"> In its report, ASPE makes a recommendation (1.5) that quality and resource use measures should not be adjusted for social risk factors for public reporting, as it is also important to hold providers accountable for overall results, regardless of social risk and to provide consumers with information on the care that they should expect to receive.</w:t>
      </w:r>
      <w:r w:rsidR="00B07A0A" w:rsidRPr="007D17AA">
        <w:rPr>
          <w:color w:val="0070C0"/>
        </w:rPr>
        <w:t xml:space="preserve"> It is also not clear whether disparities in </w:t>
      </w:r>
      <w:r w:rsidR="00B07A0A" w:rsidRPr="007D17AA">
        <w:rPr>
          <w:color w:val="0070C0"/>
        </w:rPr>
        <w:lastRenderedPageBreak/>
        <w:t>outcomes for socioeconomically disadvantaged groups are driven by hospitals themselves or by broader systemic effects.</w:t>
      </w:r>
      <w:r w:rsidR="00B07A0A" w:rsidRPr="007D17AA">
        <w:rPr>
          <w:rStyle w:val="EndnoteReference"/>
          <w:color w:val="0070C0"/>
        </w:rPr>
        <w:endnoteReference w:id="42"/>
      </w:r>
      <w:r w:rsidR="00B07A0A" w:rsidRPr="007D17AA">
        <w:rPr>
          <w:color w:val="0070C0"/>
        </w:rPr>
        <w:t xml:space="preserve"> Given complex pathways that could explain the relationship between </w:t>
      </w:r>
      <w:r w:rsidR="00332B45" w:rsidRPr="007D17AA">
        <w:rPr>
          <w:color w:val="0070C0"/>
        </w:rPr>
        <w:t>SDH factors</w:t>
      </w:r>
      <w:r w:rsidR="00B07A0A" w:rsidRPr="007D17AA">
        <w:rPr>
          <w:color w:val="0070C0"/>
        </w:rPr>
        <w:t xml:space="preserve"> with readmission, adjusting for these factors could obscure true signals of IPF care quality. At the same time, CMS, the measure steward, continues to evaluate the impact of </w:t>
      </w:r>
      <w:r w:rsidR="00332B45" w:rsidRPr="007D17AA">
        <w:rPr>
          <w:color w:val="0070C0"/>
        </w:rPr>
        <w:t>SDH</w:t>
      </w:r>
      <w:r w:rsidR="00B07A0A" w:rsidRPr="007D17AA">
        <w:rPr>
          <w:color w:val="0070C0"/>
        </w:rPr>
        <w:t xml:space="preserve"> on disparities in hospital outcomes but it chose not to risk-adjust or risk-stratify the measure by </w:t>
      </w:r>
      <w:r w:rsidR="00332B45" w:rsidRPr="007D17AA">
        <w:rPr>
          <w:color w:val="0070C0"/>
        </w:rPr>
        <w:t>SDH</w:t>
      </w:r>
      <w:r w:rsidR="00B07A0A" w:rsidRPr="007D17AA">
        <w:rPr>
          <w:color w:val="0070C0"/>
        </w:rPr>
        <w:t xml:space="preserve"> at this time. </w:t>
      </w:r>
    </w:p>
    <w:p w14:paraId="5C151274" w14:textId="2C51309F" w:rsidR="00086FAC" w:rsidRPr="00A25024" w:rsidRDefault="00086FAC" w:rsidP="00086FAC">
      <w:pPr>
        <w:autoSpaceDE w:val="0"/>
        <w:autoSpaceDN w:val="0"/>
        <w:adjustRightInd w:val="0"/>
        <w:spacing w:after="0" w:line="240" w:lineRule="auto"/>
        <w:rPr>
          <w:rFonts w:cstheme="minorHAnsi"/>
          <w:bCs/>
        </w:rPr>
      </w:pPr>
      <w:r>
        <w:rPr>
          <w:rFonts w:cstheme="minorHAnsi"/>
          <w:b/>
          <w:bCs/>
        </w:rPr>
        <w:t>2b3.5. Describe the method of</w:t>
      </w:r>
      <w:r w:rsidRPr="00A25024">
        <w:rPr>
          <w:rFonts w:cstheme="minorHAnsi"/>
          <w:b/>
          <w:bCs/>
        </w:rPr>
        <w:t xml:space="preserve"> </w:t>
      </w:r>
      <w:r>
        <w:rPr>
          <w:rFonts w:cstheme="minorHAnsi"/>
          <w:b/>
          <w:bCs/>
        </w:rPr>
        <w:t xml:space="preserve">testing/analysis used </w:t>
      </w:r>
      <w:r w:rsidRPr="00A25024">
        <w:rPr>
          <w:rFonts w:cstheme="minorHAnsi"/>
          <w:b/>
          <w:bCs/>
        </w:rPr>
        <w:t xml:space="preserve">to develop and validate the adequacy of the statistical model </w:t>
      </w:r>
      <w:r w:rsidRPr="006C3A4F">
        <w:rPr>
          <w:rFonts w:cstheme="minorHAnsi"/>
          <w:b/>
          <w:bCs/>
          <w:u w:val="single"/>
        </w:rPr>
        <w:t>or</w:t>
      </w:r>
      <w:r w:rsidRPr="00A25024">
        <w:rPr>
          <w:rFonts w:cstheme="minorHAnsi"/>
          <w:b/>
          <w:bCs/>
        </w:rPr>
        <w:t xml:space="preserve"> stratification approach</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00A83477">
        <w:rPr>
          <w:rFonts w:cstheme="minorHAnsi"/>
          <w:bCs/>
        </w:rPr>
        <w:t xml:space="preserve"> </w:t>
      </w:r>
    </w:p>
    <w:p w14:paraId="2F71CAB4" w14:textId="77777777" w:rsidR="00086FAC" w:rsidRDefault="00086FAC" w:rsidP="00086FAC">
      <w:pPr>
        <w:autoSpaceDE w:val="0"/>
        <w:autoSpaceDN w:val="0"/>
        <w:adjustRightInd w:val="0"/>
        <w:spacing w:after="0" w:line="240" w:lineRule="auto"/>
        <w:rPr>
          <w:rStyle w:val="Hyperlink"/>
          <w:rFonts w:cstheme="minorHAnsi"/>
          <w:b/>
          <w:bCs/>
          <w:i/>
        </w:rPr>
      </w:pPr>
      <w:r w:rsidRPr="00001D73">
        <w:rPr>
          <w:rFonts w:cstheme="minorHAnsi"/>
          <w:bCs/>
          <w:i/>
        </w:rPr>
        <w:t>Provide the statistical results from testing the approach to controlling for differences in patient characteristics (case mix) below</w:t>
      </w:r>
      <w:r>
        <w:rPr>
          <w:rFonts w:cstheme="minorHAnsi"/>
          <w:bCs/>
        </w:rPr>
        <w:t>.</w:t>
      </w:r>
      <w:r w:rsidRPr="00A25024">
        <w:rPr>
          <w:rFonts w:cstheme="minorHAnsi"/>
          <w:bCs/>
        </w:rPr>
        <w:br/>
      </w:r>
      <w:r w:rsidRPr="00BE47C7">
        <w:rPr>
          <w:rFonts w:cstheme="minorHAnsi"/>
          <w:b/>
          <w:bCs/>
          <w:i/>
        </w:rPr>
        <w:t xml:space="preserve">If stratified, skip to </w:t>
      </w:r>
      <w:hyperlink w:anchor="question2b49" w:history="1">
        <w:r w:rsidRPr="00BE47C7">
          <w:rPr>
            <w:rStyle w:val="Hyperlink"/>
            <w:rFonts w:cstheme="minorHAnsi"/>
            <w:i/>
          </w:rPr>
          <w:t>2b3.9</w:t>
        </w:r>
      </w:hyperlink>
    </w:p>
    <w:p w14:paraId="3B7A17B5" w14:textId="77777777" w:rsidR="00086FAC" w:rsidRDefault="00086FAC" w:rsidP="00086FAC">
      <w:pPr>
        <w:autoSpaceDE w:val="0"/>
        <w:autoSpaceDN w:val="0"/>
        <w:adjustRightInd w:val="0"/>
        <w:spacing w:after="0" w:line="240" w:lineRule="auto"/>
        <w:rPr>
          <w:rStyle w:val="Hyperlink"/>
          <w:rFonts w:cstheme="minorHAnsi"/>
          <w:b/>
          <w:bCs/>
          <w:i/>
        </w:rPr>
      </w:pPr>
    </w:p>
    <w:p w14:paraId="343D675E" w14:textId="0F354415" w:rsidR="000335D5" w:rsidRPr="007D17AA" w:rsidRDefault="00C36B49">
      <w:pPr>
        <w:pStyle w:val="EndNoteBibliography"/>
        <w:rPr>
          <w:rFonts w:asciiTheme="minorHAnsi" w:eastAsia="MS Gothic" w:hAnsiTheme="minorHAnsi" w:cstheme="minorHAnsi"/>
          <w:color w:val="0070C0"/>
          <w:sz w:val="22"/>
        </w:rPr>
      </w:pPr>
      <w:r w:rsidRPr="007D17AA">
        <w:rPr>
          <w:rFonts w:asciiTheme="minorHAnsi" w:eastAsiaTheme="minorHAnsi" w:hAnsiTheme="minorHAnsi" w:cstheme="minorHAnsi"/>
          <w:color w:val="0070C0"/>
          <w:sz w:val="22"/>
        </w:rPr>
        <w:t>We assessed m</w:t>
      </w:r>
      <w:r w:rsidR="007D5BCE" w:rsidRPr="007D17AA">
        <w:rPr>
          <w:rFonts w:asciiTheme="minorHAnsi" w:eastAsiaTheme="minorHAnsi" w:hAnsiTheme="minorHAnsi" w:cstheme="minorHAnsi"/>
          <w:color w:val="0070C0"/>
          <w:sz w:val="22"/>
        </w:rPr>
        <w:t>odel performance using</w:t>
      </w:r>
      <w:r w:rsidR="000335D5" w:rsidRPr="007D17AA">
        <w:rPr>
          <w:rFonts w:asciiTheme="minorHAnsi" w:eastAsiaTheme="minorHAnsi" w:hAnsiTheme="minorHAnsi" w:cstheme="minorHAnsi"/>
          <w:color w:val="0070C0"/>
          <w:sz w:val="22"/>
        </w:rPr>
        <w:t xml:space="preserve"> Hosmer-Lemeshow goodness-of-fit tests</w:t>
      </w:r>
      <w:r w:rsidR="007D5BCE" w:rsidRPr="007D17AA">
        <w:rPr>
          <w:rFonts w:asciiTheme="minorHAnsi" w:eastAsiaTheme="minorHAnsi" w:hAnsiTheme="minorHAnsi" w:cstheme="minorHAnsi"/>
          <w:color w:val="0070C0"/>
          <w:sz w:val="22"/>
        </w:rPr>
        <w:t xml:space="preserve">, </w:t>
      </w:r>
      <w:r w:rsidR="000335D5" w:rsidRPr="007D17AA">
        <w:rPr>
          <w:rFonts w:asciiTheme="minorHAnsi" w:eastAsiaTheme="minorHAnsi" w:hAnsiTheme="minorHAnsi" w:cstheme="minorHAnsi"/>
          <w:color w:val="0070C0"/>
          <w:sz w:val="22"/>
        </w:rPr>
        <w:t>calibration curves</w:t>
      </w:r>
      <w:r w:rsidRPr="007D17AA">
        <w:rPr>
          <w:rFonts w:asciiTheme="minorHAnsi" w:eastAsiaTheme="minorHAnsi" w:hAnsiTheme="minorHAnsi" w:cstheme="minorHAnsi"/>
          <w:color w:val="0070C0"/>
          <w:sz w:val="22"/>
        </w:rPr>
        <w:t>,</w:t>
      </w:r>
      <w:r w:rsidR="007D5BCE" w:rsidRPr="007D17AA">
        <w:rPr>
          <w:rFonts w:asciiTheme="minorHAnsi" w:eastAsiaTheme="minorHAnsi" w:hAnsiTheme="minorHAnsi" w:cstheme="minorHAnsi"/>
          <w:color w:val="0070C0"/>
          <w:sz w:val="22"/>
        </w:rPr>
        <w:t xml:space="preserve"> and the concordance-statistic (C-statistic)</w:t>
      </w:r>
      <w:r w:rsidR="000335D5" w:rsidRPr="007D17AA">
        <w:rPr>
          <w:rFonts w:asciiTheme="minorHAnsi" w:eastAsiaTheme="minorHAnsi" w:hAnsiTheme="minorHAnsi" w:cstheme="minorHAnsi"/>
          <w:color w:val="0070C0"/>
          <w:sz w:val="22"/>
        </w:rPr>
        <w:t>. Hosmer-Lemeshow test</w:t>
      </w:r>
      <w:r w:rsidRPr="007D17AA">
        <w:rPr>
          <w:rFonts w:asciiTheme="minorHAnsi" w:eastAsiaTheme="minorHAnsi" w:hAnsiTheme="minorHAnsi" w:cstheme="minorHAnsi"/>
          <w:color w:val="0070C0"/>
          <w:sz w:val="22"/>
        </w:rPr>
        <w:t>s</w:t>
      </w:r>
      <w:r w:rsidR="000335D5" w:rsidRPr="007D17AA">
        <w:rPr>
          <w:rFonts w:asciiTheme="minorHAnsi" w:eastAsiaTheme="minorHAnsi" w:hAnsiTheme="minorHAnsi" w:cstheme="minorHAnsi"/>
          <w:color w:val="0070C0"/>
          <w:sz w:val="22"/>
        </w:rPr>
        <w:t xml:space="preserve"> divide patients into deciles (i.e.</w:t>
      </w:r>
      <w:r w:rsidRPr="007D17AA">
        <w:rPr>
          <w:rFonts w:asciiTheme="minorHAnsi" w:eastAsiaTheme="minorHAnsi" w:hAnsiTheme="minorHAnsi" w:cstheme="minorHAnsi"/>
          <w:color w:val="0070C0"/>
          <w:sz w:val="22"/>
        </w:rPr>
        <w:t>,</w:t>
      </w:r>
      <w:r w:rsidR="000335D5" w:rsidRPr="007D17AA">
        <w:rPr>
          <w:rFonts w:asciiTheme="minorHAnsi" w:eastAsiaTheme="minorHAnsi" w:hAnsiTheme="minorHAnsi" w:cstheme="minorHAnsi"/>
          <w:color w:val="0070C0"/>
          <w:sz w:val="22"/>
        </w:rPr>
        <w:t xml:space="preserve"> equal number of patients) </w:t>
      </w:r>
      <w:r w:rsidR="003F1EB0" w:rsidRPr="007D17AA">
        <w:rPr>
          <w:rFonts w:asciiTheme="minorHAnsi" w:eastAsiaTheme="minorHAnsi" w:hAnsiTheme="minorHAnsi" w:cstheme="minorHAnsi"/>
          <w:color w:val="0070C0"/>
          <w:sz w:val="22"/>
        </w:rPr>
        <w:t xml:space="preserve">based on </w:t>
      </w:r>
      <w:r w:rsidR="00563053" w:rsidRPr="007D17AA">
        <w:rPr>
          <w:rFonts w:asciiTheme="minorHAnsi" w:eastAsiaTheme="minorHAnsi" w:hAnsiTheme="minorHAnsi" w:cstheme="minorHAnsi"/>
          <w:color w:val="0070C0"/>
          <w:sz w:val="22"/>
        </w:rPr>
        <w:t>the expected</w:t>
      </w:r>
      <w:r w:rsidR="007D5BCE" w:rsidRPr="007D17AA">
        <w:rPr>
          <w:rFonts w:asciiTheme="minorHAnsi" w:eastAsiaTheme="minorHAnsi" w:hAnsiTheme="minorHAnsi" w:cstheme="minorHAnsi"/>
          <w:color w:val="0070C0"/>
          <w:sz w:val="22"/>
        </w:rPr>
        <w:t xml:space="preserve"> risk </w:t>
      </w:r>
      <w:r w:rsidR="003F1EB0" w:rsidRPr="007D17AA">
        <w:rPr>
          <w:rFonts w:asciiTheme="minorHAnsi" w:eastAsiaTheme="minorHAnsi" w:hAnsiTheme="minorHAnsi" w:cstheme="minorHAnsi"/>
          <w:color w:val="0070C0"/>
          <w:sz w:val="22"/>
        </w:rPr>
        <w:t>for 30-day</w:t>
      </w:r>
      <w:r w:rsidR="007D5BCE" w:rsidRPr="007D17AA">
        <w:rPr>
          <w:rFonts w:asciiTheme="minorHAnsi" w:eastAsiaTheme="minorHAnsi" w:hAnsiTheme="minorHAnsi" w:cstheme="minorHAnsi"/>
          <w:color w:val="0070C0"/>
          <w:sz w:val="22"/>
        </w:rPr>
        <w:t xml:space="preserve"> readmission</w:t>
      </w:r>
      <w:r w:rsidR="003F1EB0" w:rsidRPr="007D17AA">
        <w:rPr>
          <w:rFonts w:asciiTheme="minorHAnsi" w:eastAsiaTheme="minorHAnsi" w:hAnsiTheme="minorHAnsi" w:cstheme="minorHAnsi"/>
          <w:color w:val="0070C0"/>
          <w:sz w:val="22"/>
        </w:rPr>
        <w:t>, from </w:t>
      </w:r>
      <w:r w:rsidR="007D1A99" w:rsidRPr="007D17AA" w:rsidDel="007D1A99">
        <w:rPr>
          <w:rFonts w:asciiTheme="minorHAnsi" w:eastAsiaTheme="minorHAnsi" w:hAnsiTheme="minorHAnsi" w:cstheme="minorHAnsi"/>
          <w:color w:val="0070C0"/>
          <w:sz w:val="22"/>
        </w:rPr>
        <w:t xml:space="preserve"> </w:t>
      </w:r>
      <w:r w:rsidR="003F1EB0" w:rsidRPr="007D17AA">
        <w:rPr>
          <w:rFonts w:asciiTheme="minorHAnsi" w:eastAsiaTheme="minorHAnsi" w:hAnsiTheme="minorHAnsi" w:cstheme="minorHAnsi"/>
          <w:color w:val="0070C0"/>
          <w:sz w:val="22"/>
        </w:rPr>
        <w:t> lowest </w:t>
      </w:r>
      <w:r w:rsidR="007D1A99">
        <w:rPr>
          <w:rFonts w:asciiTheme="minorHAnsi" w:eastAsiaTheme="minorHAnsi" w:hAnsiTheme="minorHAnsi" w:cstheme="minorHAnsi"/>
          <w:color w:val="0070C0"/>
          <w:sz w:val="22"/>
        </w:rPr>
        <w:t xml:space="preserve">to highest </w:t>
      </w:r>
      <w:r w:rsidR="003F1EB0" w:rsidRPr="007D17AA">
        <w:rPr>
          <w:rFonts w:asciiTheme="minorHAnsi" w:eastAsiaTheme="minorHAnsi" w:hAnsiTheme="minorHAnsi" w:cstheme="minorHAnsi"/>
          <w:color w:val="0070C0"/>
          <w:sz w:val="22"/>
        </w:rPr>
        <w:t>risk</w:t>
      </w:r>
      <w:r w:rsidR="000335D5" w:rsidRPr="007D17AA">
        <w:rPr>
          <w:rFonts w:asciiTheme="minorHAnsi" w:eastAsiaTheme="minorHAnsi" w:hAnsiTheme="minorHAnsi" w:cstheme="minorHAnsi"/>
          <w:color w:val="0070C0"/>
          <w:sz w:val="22"/>
        </w:rPr>
        <w:t xml:space="preserve">. The range of </w:t>
      </w:r>
      <w:r w:rsidR="00563053" w:rsidRPr="007D17AA">
        <w:rPr>
          <w:rFonts w:asciiTheme="minorHAnsi" w:eastAsiaTheme="minorHAnsi" w:hAnsiTheme="minorHAnsi" w:cstheme="minorHAnsi"/>
          <w:color w:val="0070C0"/>
          <w:sz w:val="22"/>
        </w:rPr>
        <w:t>expected</w:t>
      </w:r>
      <w:r w:rsidR="000335D5" w:rsidRPr="007D17AA">
        <w:rPr>
          <w:rFonts w:asciiTheme="minorHAnsi" w:eastAsiaTheme="minorHAnsi" w:hAnsiTheme="minorHAnsi" w:cstheme="minorHAnsi"/>
          <w:color w:val="0070C0"/>
          <w:sz w:val="22"/>
        </w:rPr>
        <w:t xml:space="preserve"> risk</w:t>
      </w:r>
      <w:r w:rsidR="007D5BCE" w:rsidRPr="007D17AA">
        <w:rPr>
          <w:rFonts w:asciiTheme="minorHAnsi" w:eastAsiaTheme="minorHAnsi" w:hAnsiTheme="minorHAnsi" w:cstheme="minorHAnsi"/>
          <w:color w:val="0070C0"/>
          <w:sz w:val="22"/>
        </w:rPr>
        <w:t>s</w:t>
      </w:r>
      <w:r w:rsidR="000335D5" w:rsidRPr="007D17AA">
        <w:rPr>
          <w:rFonts w:asciiTheme="minorHAnsi" w:eastAsiaTheme="minorHAnsi" w:hAnsiTheme="minorHAnsi" w:cstheme="minorHAnsi"/>
          <w:color w:val="0070C0"/>
          <w:sz w:val="22"/>
        </w:rPr>
        <w:t xml:space="preserve"> of readmission within each decile is determined by the patients in that decile. The difference between the observed and expected </w:t>
      </w:r>
      <w:r w:rsidR="007D5BCE" w:rsidRPr="007D17AA">
        <w:rPr>
          <w:rFonts w:asciiTheme="minorHAnsi" w:eastAsiaTheme="minorHAnsi" w:hAnsiTheme="minorHAnsi" w:cstheme="minorHAnsi"/>
          <w:color w:val="0070C0"/>
          <w:sz w:val="22"/>
        </w:rPr>
        <w:t>readmissions</w:t>
      </w:r>
      <w:r w:rsidR="000335D5" w:rsidRPr="007D17AA">
        <w:rPr>
          <w:rFonts w:asciiTheme="minorHAnsi" w:eastAsiaTheme="minorHAnsi" w:hAnsiTheme="minorHAnsi" w:cstheme="minorHAnsi"/>
          <w:color w:val="0070C0"/>
          <w:sz w:val="22"/>
        </w:rPr>
        <w:t xml:space="preserve"> for each </w:t>
      </w:r>
      <w:r w:rsidR="007D5BCE" w:rsidRPr="007D17AA">
        <w:rPr>
          <w:rFonts w:asciiTheme="minorHAnsi" w:eastAsiaTheme="minorHAnsi" w:hAnsiTheme="minorHAnsi" w:cstheme="minorHAnsi"/>
          <w:color w:val="0070C0"/>
          <w:sz w:val="22"/>
        </w:rPr>
        <w:t>decile</w:t>
      </w:r>
      <w:r w:rsidR="000335D5" w:rsidRPr="007D17AA">
        <w:rPr>
          <w:rFonts w:asciiTheme="minorHAnsi" w:eastAsiaTheme="minorHAnsi" w:hAnsiTheme="minorHAnsi" w:cstheme="minorHAnsi"/>
          <w:color w:val="0070C0"/>
          <w:sz w:val="22"/>
        </w:rPr>
        <w:t xml:space="preserve"> is summarized by the Pearson chi-square statistic. The statistics are </w:t>
      </w:r>
      <w:r w:rsidR="004E22D5" w:rsidRPr="007D17AA">
        <w:rPr>
          <w:rFonts w:asciiTheme="minorHAnsi" w:eastAsiaTheme="minorHAnsi" w:hAnsiTheme="minorHAnsi" w:cstheme="minorHAnsi"/>
          <w:color w:val="0070C0"/>
          <w:sz w:val="22"/>
        </w:rPr>
        <w:t xml:space="preserve">then </w:t>
      </w:r>
      <w:r w:rsidR="000335D5" w:rsidRPr="007D17AA">
        <w:rPr>
          <w:rFonts w:asciiTheme="minorHAnsi" w:eastAsiaTheme="minorHAnsi" w:hAnsiTheme="minorHAnsi" w:cstheme="minorHAnsi"/>
          <w:color w:val="0070C0"/>
          <w:sz w:val="22"/>
        </w:rPr>
        <w:t xml:space="preserve">summed over the ten deciles and are compared to the chi-square distribution. </w:t>
      </w:r>
      <w:r w:rsidRPr="007D17AA">
        <w:rPr>
          <w:rFonts w:asciiTheme="minorHAnsi" w:eastAsiaTheme="minorHAnsi" w:hAnsiTheme="minorHAnsi" w:cstheme="minorHAnsi"/>
          <w:color w:val="0070C0"/>
          <w:sz w:val="22"/>
        </w:rPr>
        <w:t>In addition, we assessed c</w:t>
      </w:r>
      <w:r w:rsidR="000335D5" w:rsidRPr="007D17AA">
        <w:rPr>
          <w:rFonts w:asciiTheme="minorHAnsi" w:eastAsiaTheme="minorHAnsi" w:hAnsiTheme="minorHAnsi" w:cstheme="minorHAnsi"/>
          <w:color w:val="0070C0"/>
          <w:sz w:val="22"/>
        </w:rPr>
        <w:t xml:space="preserve">alibration using the </w:t>
      </w:r>
      <w:r w:rsidR="007D5BCE" w:rsidRPr="007D17AA">
        <w:rPr>
          <w:rFonts w:asciiTheme="minorHAnsi" w:eastAsiaTheme="minorHAnsi" w:hAnsiTheme="minorHAnsi" w:cstheme="minorHAnsi"/>
          <w:color w:val="0070C0"/>
          <w:sz w:val="22"/>
        </w:rPr>
        <w:t xml:space="preserve">calibration graph </w:t>
      </w:r>
      <w:r w:rsidR="000335D5" w:rsidRPr="007D17AA">
        <w:rPr>
          <w:rFonts w:asciiTheme="minorHAnsi" w:eastAsiaTheme="minorHAnsi" w:hAnsiTheme="minorHAnsi" w:cstheme="minorHAnsi"/>
          <w:color w:val="0070C0"/>
          <w:sz w:val="22"/>
        </w:rPr>
        <w:t>plotting observed v</w:t>
      </w:r>
      <w:r w:rsidRPr="007D17AA">
        <w:rPr>
          <w:rFonts w:asciiTheme="minorHAnsi" w:eastAsiaTheme="minorHAnsi" w:hAnsiTheme="minorHAnsi" w:cstheme="minorHAnsi"/>
          <w:color w:val="0070C0"/>
          <w:sz w:val="22"/>
        </w:rPr>
        <w:t>ersus</w:t>
      </w:r>
      <w:r w:rsidR="000335D5" w:rsidRPr="007D17AA">
        <w:rPr>
          <w:rFonts w:asciiTheme="minorHAnsi" w:eastAsiaTheme="minorHAnsi" w:hAnsiTheme="minorHAnsi" w:cstheme="minorHAnsi"/>
          <w:color w:val="0070C0"/>
          <w:sz w:val="22"/>
        </w:rPr>
        <w:t xml:space="preserve"> predicted </w:t>
      </w:r>
      <w:r w:rsidR="007D5BCE" w:rsidRPr="007D17AA">
        <w:rPr>
          <w:rFonts w:asciiTheme="minorHAnsi" w:eastAsiaTheme="minorHAnsi" w:hAnsiTheme="minorHAnsi" w:cstheme="minorHAnsi"/>
          <w:color w:val="0070C0"/>
          <w:sz w:val="22"/>
        </w:rPr>
        <w:t>IPF readmission rates (F</w:t>
      </w:r>
      <w:r w:rsidR="000335D5" w:rsidRPr="007D17AA">
        <w:rPr>
          <w:rFonts w:asciiTheme="minorHAnsi" w:eastAsiaTheme="minorHAnsi" w:hAnsiTheme="minorHAnsi" w:cstheme="minorHAnsi"/>
          <w:color w:val="0070C0"/>
          <w:sz w:val="22"/>
        </w:rPr>
        <w:t xml:space="preserve">igure </w:t>
      </w:r>
      <w:r w:rsidR="007D5BCE" w:rsidRPr="007D17AA">
        <w:rPr>
          <w:rFonts w:asciiTheme="minorHAnsi" w:eastAsiaTheme="minorHAnsi" w:hAnsiTheme="minorHAnsi" w:cstheme="minorHAnsi"/>
          <w:color w:val="0070C0"/>
          <w:sz w:val="22"/>
        </w:rPr>
        <w:t>2</w:t>
      </w:r>
      <w:r w:rsidR="00F73649" w:rsidRPr="007D17AA">
        <w:rPr>
          <w:rFonts w:asciiTheme="minorHAnsi" w:eastAsiaTheme="minorHAnsi" w:hAnsiTheme="minorHAnsi" w:cstheme="minorHAnsi"/>
          <w:color w:val="0070C0"/>
          <w:sz w:val="22"/>
        </w:rPr>
        <w:t>c</w:t>
      </w:r>
      <w:r w:rsidR="007D5BCE" w:rsidRPr="007D17AA">
        <w:rPr>
          <w:rFonts w:asciiTheme="minorHAnsi" w:eastAsiaTheme="minorHAnsi" w:hAnsiTheme="minorHAnsi" w:cstheme="minorHAnsi"/>
          <w:color w:val="0070C0"/>
          <w:sz w:val="22"/>
        </w:rPr>
        <w:t>)</w:t>
      </w:r>
      <w:r w:rsidR="007D5BCE" w:rsidRPr="007D17AA">
        <w:rPr>
          <w:rFonts w:asciiTheme="minorHAnsi" w:hAnsiTheme="minorHAnsi" w:cstheme="minorHAnsi"/>
          <w:color w:val="0070C0"/>
          <w:sz w:val="22"/>
        </w:rPr>
        <w:t xml:space="preserve">. </w:t>
      </w:r>
      <w:r w:rsidR="005F16FB" w:rsidRPr="007D17AA">
        <w:rPr>
          <w:rFonts w:asciiTheme="minorHAnsi" w:hAnsiTheme="minorHAnsi" w:cstheme="minorHAnsi"/>
          <w:color w:val="0070C0"/>
          <w:sz w:val="22"/>
        </w:rPr>
        <w:t xml:space="preserve">In decile assessment, we should see similar numbers of observations in each decile group and increasing observed rates when we move from low to high deciles. </w:t>
      </w:r>
      <w:r w:rsidRPr="007D17AA">
        <w:rPr>
          <w:rFonts w:asciiTheme="minorHAnsi" w:hAnsiTheme="minorHAnsi" w:cstheme="minorHAnsi"/>
          <w:color w:val="0070C0"/>
          <w:sz w:val="22"/>
        </w:rPr>
        <w:t>We assessed m</w:t>
      </w:r>
      <w:r w:rsidR="00D648E1" w:rsidRPr="007D17AA">
        <w:rPr>
          <w:rFonts w:asciiTheme="minorHAnsi" w:hAnsiTheme="minorHAnsi" w:cstheme="minorHAnsi"/>
          <w:color w:val="0070C0"/>
          <w:sz w:val="22"/>
        </w:rPr>
        <w:t xml:space="preserve">odel discrimination </w:t>
      </w:r>
      <w:r w:rsidR="00D648E1" w:rsidRPr="007D17AA">
        <w:rPr>
          <w:rFonts w:asciiTheme="minorHAnsi" w:eastAsiaTheme="minorHAnsi" w:hAnsiTheme="minorHAnsi" w:cstheme="minorHAnsi"/>
          <w:color w:val="0070C0"/>
          <w:sz w:val="22"/>
        </w:rPr>
        <w:t xml:space="preserve">using </w:t>
      </w:r>
      <w:r w:rsidRPr="007D17AA">
        <w:rPr>
          <w:rFonts w:asciiTheme="minorHAnsi" w:eastAsiaTheme="minorHAnsi" w:hAnsiTheme="minorHAnsi" w:cstheme="minorHAnsi"/>
          <w:color w:val="0070C0"/>
          <w:sz w:val="22"/>
        </w:rPr>
        <w:t xml:space="preserve">the </w:t>
      </w:r>
      <w:r w:rsidR="00D648E1" w:rsidRPr="007D17AA">
        <w:rPr>
          <w:rFonts w:asciiTheme="minorHAnsi" w:eastAsiaTheme="minorHAnsi" w:hAnsiTheme="minorHAnsi" w:cstheme="minorHAnsi"/>
          <w:color w:val="0070C0"/>
          <w:sz w:val="22"/>
        </w:rPr>
        <w:t xml:space="preserve">C-statistic, which reflects </w:t>
      </w:r>
      <w:r w:rsidR="00D648E1" w:rsidRPr="007D17AA">
        <w:rPr>
          <w:rFonts w:asciiTheme="minorHAnsi" w:hAnsiTheme="minorHAnsi" w:cstheme="minorHAnsi"/>
          <w:color w:val="0070C0"/>
          <w:sz w:val="22"/>
        </w:rPr>
        <w:t>how accurately the model is able to distinguish between an index admission that does or does not have a readmission. A</w:t>
      </w:r>
      <w:r w:rsidR="007D5BCE" w:rsidRPr="007D17AA">
        <w:rPr>
          <w:rFonts w:asciiTheme="minorHAnsi" w:hAnsiTheme="minorHAnsi" w:cstheme="minorHAnsi"/>
          <w:color w:val="0070C0"/>
          <w:sz w:val="22"/>
        </w:rPr>
        <w:t xml:space="preserve"> </w:t>
      </w:r>
      <w:r w:rsidR="005F16FB" w:rsidRPr="007D17AA">
        <w:rPr>
          <w:rFonts w:asciiTheme="minorHAnsi" w:hAnsiTheme="minorHAnsi" w:cstheme="minorHAnsi"/>
          <w:color w:val="0070C0"/>
          <w:sz w:val="22"/>
        </w:rPr>
        <w:t>C</w:t>
      </w:r>
      <w:r w:rsidR="007D5BCE" w:rsidRPr="007D17AA">
        <w:rPr>
          <w:rFonts w:asciiTheme="minorHAnsi" w:hAnsiTheme="minorHAnsi" w:cstheme="minorHAnsi"/>
          <w:color w:val="0070C0"/>
          <w:sz w:val="22"/>
        </w:rPr>
        <w:t xml:space="preserve">-statistic of 0.5 represents random prediction and a </w:t>
      </w:r>
      <w:r w:rsidRPr="007D17AA">
        <w:rPr>
          <w:rFonts w:asciiTheme="minorHAnsi" w:hAnsiTheme="minorHAnsi" w:cstheme="minorHAnsi"/>
          <w:color w:val="0070C0"/>
          <w:sz w:val="22"/>
        </w:rPr>
        <w:t>C</w:t>
      </w:r>
      <w:r w:rsidR="007D5BCE" w:rsidRPr="007D17AA">
        <w:rPr>
          <w:rFonts w:asciiTheme="minorHAnsi" w:hAnsiTheme="minorHAnsi" w:cstheme="minorHAnsi"/>
          <w:color w:val="0070C0"/>
          <w:sz w:val="22"/>
        </w:rPr>
        <w:t>-statistic of 1.0 represents perfect prediction</w:t>
      </w:r>
      <w:r w:rsidR="000335D5" w:rsidRPr="007D17AA">
        <w:rPr>
          <w:rFonts w:asciiTheme="minorHAnsi" w:eastAsiaTheme="minorHAnsi" w:hAnsiTheme="minorHAnsi" w:cstheme="minorHAnsi"/>
          <w:color w:val="0070C0"/>
          <w:sz w:val="22"/>
        </w:rPr>
        <w:t>.</w:t>
      </w:r>
    </w:p>
    <w:p w14:paraId="24467E23" w14:textId="77777777" w:rsidR="000335D5" w:rsidRDefault="000335D5" w:rsidP="00086FAC">
      <w:pPr>
        <w:pStyle w:val="EndNoteBibliography"/>
        <w:rPr>
          <w:rFonts w:asciiTheme="minorHAnsi" w:eastAsia="MS Gothic" w:hAnsiTheme="minorHAnsi"/>
          <w:color w:val="0070C0"/>
          <w:sz w:val="22"/>
        </w:rPr>
      </w:pPr>
    </w:p>
    <w:p w14:paraId="1A595A30" w14:textId="77777777" w:rsidR="00086FAC" w:rsidRDefault="00086FAC" w:rsidP="00086FAC">
      <w:pPr>
        <w:autoSpaceDE w:val="0"/>
        <w:autoSpaceDN w:val="0"/>
        <w:adjustRightInd w:val="0"/>
        <w:spacing w:after="0" w:line="240" w:lineRule="auto"/>
        <w:rPr>
          <w:rFonts w:cstheme="minorHAnsi"/>
          <w:b/>
          <w:bCs/>
        </w:rPr>
      </w:pPr>
      <w:r>
        <w:rPr>
          <w:rFonts w:cstheme="minorHAnsi"/>
          <w:b/>
          <w:bCs/>
        </w:rPr>
        <w:t xml:space="preserve">2b3.6. </w:t>
      </w:r>
      <w:r w:rsidRPr="00001D73">
        <w:rPr>
          <w:rFonts w:cstheme="minorHAnsi"/>
          <w:b/>
          <w:bCs/>
        </w:rPr>
        <w:t>Statistical Risk Model Discrimination Statistics</w:t>
      </w:r>
      <w:r>
        <w:rPr>
          <w:rFonts w:cstheme="minorHAnsi"/>
          <w:bCs/>
        </w:rPr>
        <w:t xml:space="preserve"> (</w:t>
      </w:r>
      <w:r w:rsidRPr="003605B4">
        <w:rPr>
          <w:rFonts w:cstheme="minorHAnsi"/>
          <w:bCs/>
          <w:i/>
        </w:rPr>
        <w:t>e.g., c-statistic, R-squared</w:t>
      </w:r>
      <w:r>
        <w:rPr>
          <w:rFonts w:cstheme="minorHAnsi"/>
          <w:bCs/>
        </w:rPr>
        <w:t>)</w:t>
      </w:r>
      <w:r>
        <w:rPr>
          <w:rFonts w:cstheme="minorHAnsi"/>
          <w:b/>
          <w:bCs/>
        </w:rPr>
        <w:t>:</w:t>
      </w:r>
    </w:p>
    <w:p w14:paraId="7DC63AFA" w14:textId="2D62F6D3" w:rsidR="005F16FB" w:rsidRPr="007D17AA" w:rsidRDefault="005F16FB" w:rsidP="00086FAC">
      <w:pPr>
        <w:autoSpaceDE w:val="0"/>
        <w:autoSpaceDN w:val="0"/>
        <w:adjustRightInd w:val="0"/>
        <w:spacing w:after="120" w:line="240" w:lineRule="auto"/>
        <w:rPr>
          <w:color w:val="0070C0"/>
        </w:rPr>
      </w:pPr>
      <w:r w:rsidRPr="007D17AA">
        <w:rPr>
          <w:color w:val="0070C0"/>
        </w:rPr>
        <w:t xml:space="preserve">C-statistic </w:t>
      </w:r>
      <w:r w:rsidR="00F02974" w:rsidRPr="007D17AA">
        <w:rPr>
          <w:color w:val="0070C0"/>
        </w:rPr>
        <w:t xml:space="preserve">for the risk-adjustment </w:t>
      </w:r>
      <w:r w:rsidRPr="007D17AA">
        <w:rPr>
          <w:color w:val="0070C0"/>
        </w:rPr>
        <w:t>indicates moderate discrimination (0.65</w:t>
      </w:r>
      <w:r w:rsidR="00563053" w:rsidRPr="007D17AA">
        <w:rPr>
          <w:color w:val="0070C0"/>
        </w:rPr>
        <w:t>7</w:t>
      </w:r>
      <w:r w:rsidRPr="007D17AA">
        <w:rPr>
          <w:color w:val="0070C0"/>
        </w:rPr>
        <w:t>)</w:t>
      </w:r>
      <w:r w:rsidR="00B07A0A" w:rsidRPr="007D17AA">
        <w:rPr>
          <w:color w:val="0070C0"/>
        </w:rPr>
        <w:t xml:space="preserve"> comparable to other NQF-endorsed readmission measures developed for other settings (Readmission Measures Methodology, 2020)</w:t>
      </w:r>
      <w:r w:rsidR="004A431C" w:rsidRPr="007D17AA">
        <w:rPr>
          <w:color w:val="0070C0"/>
        </w:rPr>
        <w:t>.</w:t>
      </w:r>
    </w:p>
    <w:p w14:paraId="354E047D" w14:textId="27DE98AC" w:rsidR="00086FAC" w:rsidRDefault="00086FAC" w:rsidP="00086FAC">
      <w:pPr>
        <w:autoSpaceDE w:val="0"/>
        <w:autoSpaceDN w:val="0"/>
        <w:adjustRightInd w:val="0"/>
        <w:spacing w:after="0" w:line="240" w:lineRule="auto"/>
        <w:rPr>
          <w:rFonts w:cstheme="minorHAnsi"/>
          <w:bCs/>
        </w:rPr>
      </w:pPr>
      <w:r>
        <w:rPr>
          <w:rFonts w:cstheme="minorHAnsi"/>
          <w:b/>
          <w:bCs/>
        </w:rPr>
        <w:t xml:space="preserve">2b3.7. Statistical </w:t>
      </w:r>
      <w:r w:rsidRPr="00A25024">
        <w:rPr>
          <w:rFonts w:cstheme="minorHAnsi"/>
          <w:b/>
          <w:bCs/>
        </w:rPr>
        <w:t>Risk Model Calibration Statistics</w:t>
      </w:r>
      <w:r>
        <w:rPr>
          <w:rFonts w:cstheme="minorHAnsi"/>
          <w:b/>
          <w:bCs/>
        </w:rPr>
        <w:t xml:space="preserve"> </w:t>
      </w:r>
      <w:r w:rsidRPr="003605B4">
        <w:rPr>
          <w:rFonts w:cstheme="minorHAnsi"/>
          <w:bCs/>
        </w:rPr>
        <w:t>(</w:t>
      </w:r>
      <w:r w:rsidRPr="003605B4">
        <w:rPr>
          <w:rFonts w:cstheme="minorHAnsi"/>
          <w:bCs/>
          <w:i/>
        </w:rPr>
        <w:t>e.g., Hosmer-</w:t>
      </w:r>
      <w:proofErr w:type="spellStart"/>
      <w:r w:rsidRPr="003605B4">
        <w:rPr>
          <w:rFonts w:cstheme="minorHAnsi"/>
          <w:bCs/>
          <w:i/>
        </w:rPr>
        <w:t>Lemeshow</w:t>
      </w:r>
      <w:proofErr w:type="spellEnd"/>
      <w:r w:rsidRPr="003605B4">
        <w:rPr>
          <w:rFonts w:cstheme="minorHAnsi"/>
          <w:bCs/>
          <w:i/>
        </w:rPr>
        <w:t xml:space="preserve"> statistic</w:t>
      </w:r>
      <w:r w:rsidRPr="003605B4">
        <w:rPr>
          <w:rFonts w:cstheme="minorHAnsi"/>
          <w:bCs/>
        </w:rPr>
        <w:t>)</w:t>
      </w:r>
      <w:r w:rsidRPr="00A25024">
        <w:rPr>
          <w:rFonts w:cstheme="minorHAnsi"/>
          <w:bCs/>
        </w:rPr>
        <w:t>:</w:t>
      </w:r>
    </w:p>
    <w:p w14:paraId="45E37680" w14:textId="1338912E" w:rsidR="00AE3DC0" w:rsidRPr="007D17AA" w:rsidRDefault="00256E48" w:rsidP="00086FAC">
      <w:pPr>
        <w:autoSpaceDE w:val="0"/>
        <w:autoSpaceDN w:val="0"/>
        <w:adjustRightInd w:val="0"/>
        <w:spacing w:after="0" w:line="240" w:lineRule="auto"/>
        <w:rPr>
          <w:rFonts w:ascii="Calibri" w:eastAsiaTheme="minorHAnsi" w:hAnsi="Calibri" w:cs="Calibri"/>
          <w:color w:val="0070C0"/>
        </w:rPr>
      </w:pPr>
      <w:r w:rsidRPr="007D17AA">
        <w:rPr>
          <w:color w:val="0070C0"/>
        </w:rPr>
        <w:t>Table 2b3.7 shows the results of the Hosmer–</w:t>
      </w:r>
      <w:proofErr w:type="spellStart"/>
      <w:r w:rsidRPr="007D17AA">
        <w:rPr>
          <w:color w:val="0070C0"/>
        </w:rPr>
        <w:t>Lemeshow</w:t>
      </w:r>
      <w:proofErr w:type="spellEnd"/>
      <w:r w:rsidRPr="007D17AA">
        <w:rPr>
          <w:color w:val="0070C0"/>
        </w:rPr>
        <w:t xml:space="preserve"> test, which examines how well the percentage of observed readmissions matches the percentage of expected readmissions over deciles of predicted risk.</w:t>
      </w:r>
    </w:p>
    <w:p w14:paraId="1CBBF17D" w14:textId="77777777" w:rsidR="00256E48" w:rsidRPr="007D17AA" w:rsidRDefault="00256E48" w:rsidP="00764E45">
      <w:pPr>
        <w:spacing w:after="0" w:line="240" w:lineRule="auto"/>
        <w:rPr>
          <w:rFonts w:ascii="Calibri" w:eastAsia="Times New Roman" w:hAnsi="Calibri" w:cs="Calibri"/>
          <w:color w:val="0070C0"/>
        </w:rPr>
      </w:pPr>
    </w:p>
    <w:p w14:paraId="11A33A29" w14:textId="2ED3B5DC" w:rsidR="00D648E1" w:rsidRPr="007D17AA" w:rsidRDefault="005B7D7D" w:rsidP="00764E45">
      <w:pPr>
        <w:spacing w:after="0" w:line="240" w:lineRule="auto"/>
        <w:rPr>
          <w:rFonts w:ascii="Calibri" w:eastAsia="Times New Roman" w:hAnsi="Calibri" w:cs="Calibri"/>
          <w:b/>
          <w:bCs/>
          <w:color w:val="0070C0"/>
        </w:rPr>
      </w:pPr>
      <w:r w:rsidRPr="007D17AA">
        <w:rPr>
          <w:rFonts w:ascii="Calibri" w:eastAsia="Times New Roman" w:hAnsi="Calibri" w:cs="Calibri"/>
          <w:b/>
          <w:bCs/>
          <w:color w:val="0070C0"/>
        </w:rPr>
        <w:t>Table 2</w:t>
      </w:r>
      <w:r w:rsidR="0078380D" w:rsidRPr="007D17AA">
        <w:rPr>
          <w:rFonts w:ascii="Calibri" w:eastAsia="Times New Roman" w:hAnsi="Calibri" w:cs="Calibri"/>
          <w:b/>
          <w:bCs/>
          <w:color w:val="0070C0"/>
        </w:rPr>
        <w:t>b3.7</w:t>
      </w:r>
      <w:r w:rsidRPr="007D17AA">
        <w:rPr>
          <w:rFonts w:ascii="Calibri" w:eastAsia="Times New Roman" w:hAnsi="Calibri" w:cs="Calibri"/>
          <w:b/>
          <w:bCs/>
          <w:color w:val="0070C0"/>
        </w:rPr>
        <w:t xml:space="preserve">. </w:t>
      </w:r>
      <w:r w:rsidR="00214646">
        <w:rPr>
          <w:rFonts w:ascii="Calibri" w:eastAsia="Times New Roman" w:hAnsi="Calibri" w:cs="Calibri"/>
          <w:b/>
          <w:bCs/>
          <w:color w:val="0070C0"/>
        </w:rPr>
        <w:t xml:space="preserve">Results of the </w:t>
      </w:r>
      <w:r w:rsidRPr="007D17AA">
        <w:rPr>
          <w:rFonts w:ascii="Calibri" w:eastAsia="Times New Roman" w:hAnsi="Calibri" w:cs="Calibri"/>
          <w:b/>
          <w:bCs/>
          <w:color w:val="0070C0"/>
        </w:rPr>
        <w:t>Hosmer-</w:t>
      </w:r>
      <w:proofErr w:type="spellStart"/>
      <w:r w:rsidRPr="007D17AA">
        <w:rPr>
          <w:rFonts w:ascii="Calibri" w:eastAsia="Times New Roman" w:hAnsi="Calibri" w:cs="Calibri"/>
          <w:b/>
          <w:bCs/>
          <w:color w:val="0070C0"/>
        </w:rPr>
        <w:t>Lemeshow</w:t>
      </w:r>
      <w:proofErr w:type="spellEnd"/>
      <w:r w:rsidRPr="007D17AA">
        <w:rPr>
          <w:rFonts w:ascii="Calibri" w:eastAsia="Times New Roman" w:hAnsi="Calibri" w:cs="Calibri"/>
          <w:b/>
          <w:bCs/>
          <w:color w:val="0070C0"/>
        </w:rPr>
        <w:t xml:space="preserve"> test for the risk-adjustment model</w:t>
      </w:r>
    </w:p>
    <w:tbl>
      <w:tblPr>
        <w:tblStyle w:val="MathUBaseTable"/>
        <w:tblW w:w="9094" w:type="dxa"/>
        <w:tblLook w:val="04A0" w:firstRow="1" w:lastRow="0" w:firstColumn="1" w:lastColumn="0" w:noHBand="0" w:noVBand="1"/>
      </w:tblPr>
      <w:tblGrid>
        <w:gridCol w:w="1020"/>
        <w:gridCol w:w="1590"/>
        <w:gridCol w:w="1984"/>
        <w:gridCol w:w="1890"/>
        <w:gridCol w:w="2610"/>
      </w:tblGrid>
      <w:tr w:rsidR="000414DD" w:rsidRPr="00563053" w14:paraId="38557B48" w14:textId="77777777" w:rsidTr="00757886">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020" w:type="dxa"/>
            <w:vMerge w:val="restart"/>
            <w:hideMark/>
          </w:tcPr>
          <w:p w14:paraId="428BC4FB" w14:textId="77777777" w:rsidR="000414DD" w:rsidRPr="00563053" w:rsidRDefault="000414DD" w:rsidP="004F444F">
            <w:pPr>
              <w:pStyle w:val="TableHeaderLeft"/>
              <w:rPr>
                <w:b w:val="0"/>
              </w:rPr>
            </w:pPr>
            <w:r w:rsidRPr="00563053">
              <w:t>Decile</w:t>
            </w:r>
          </w:p>
        </w:tc>
        <w:tc>
          <w:tcPr>
            <w:tcW w:w="1590" w:type="dxa"/>
            <w:vMerge w:val="restart"/>
            <w:hideMark/>
          </w:tcPr>
          <w:p w14:paraId="0710A392" w14:textId="77777777" w:rsidR="000414DD" w:rsidRPr="00563053" w:rsidRDefault="000414DD" w:rsidP="004F444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63053">
              <w:t>Number of index admissions</w:t>
            </w:r>
          </w:p>
        </w:tc>
        <w:tc>
          <w:tcPr>
            <w:tcW w:w="6484" w:type="dxa"/>
            <w:gridSpan w:val="3"/>
            <w:tcBorders>
              <w:bottom w:val="single" w:sz="4" w:space="0" w:color="FFFFFF" w:themeColor="background1"/>
            </w:tcBorders>
            <w:noWrap/>
            <w:hideMark/>
          </w:tcPr>
          <w:p w14:paraId="245FD3AF" w14:textId="042B3C73" w:rsidR="000414DD" w:rsidRPr="00563053" w:rsidRDefault="000414DD" w:rsidP="004F444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63053">
              <w:t xml:space="preserve">Readmitted to IPF facility = </w:t>
            </w:r>
            <w:r w:rsidR="00821364">
              <w:t>Y</w:t>
            </w:r>
            <w:r w:rsidR="00821364" w:rsidRPr="00563053">
              <w:t>es</w:t>
            </w:r>
          </w:p>
        </w:tc>
      </w:tr>
      <w:tr w:rsidR="000414DD" w:rsidRPr="00563053" w14:paraId="4FE455EF" w14:textId="77777777" w:rsidTr="00757886">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1020" w:type="dxa"/>
            <w:vMerge/>
            <w:hideMark/>
          </w:tcPr>
          <w:p w14:paraId="426744C2" w14:textId="77777777" w:rsidR="000414DD" w:rsidRPr="00563053" w:rsidRDefault="000414DD" w:rsidP="004F444F">
            <w:pPr>
              <w:pStyle w:val="TableTextLeft"/>
              <w:rPr>
                <w:b w:val="0"/>
              </w:rPr>
            </w:pPr>
          </w:p>
        </w:tc>
        <w:tc>
          <w:tcPr>
            <w:tcW w:w="1590" w:type="dxa"/>
            <w:vMerge/>
            <w:hideMark/>
          </w:tcPr>
          <w:p w14:paraId="0EC5AAE2" w14:textId="77777777" w:rsidR="000414DD" w:rsidRPr="00563053" w:rsidRDefault="000414DD" w:rsidP="004F444F">
            <w:pPr>
              <w:pStyle w:val="TableTextLeft"/>
              <w:cnfStyle w:val="100000000000" w:firstRow="1" w:lastRow="0" w:firstColumn="0" w:lastColumn="0" w:oddVBand="0" w:evenVBand="0" w:oddHBand="0" w:evenHBand="0" w:firstRowFirstColumn="0" w:firstRowLastColumn="0" w:lastRowFirstColumn="0" w:lastRowLastColumn="0"/>
              <w:rPr>
                <w:b w:val="0"/>
              </w:rPr>
            </w:pPr>
          </w:p>
        </w:tc>
        <w:tc>
          <w:tcPr>
            <w:tcW w:w="1984" w:type="dxa"/>
            <w:tcBorders>
              <w:top w:val="single" w:sz="4" w:space="0" w:color="FFFFFF" w:themeColor="background1"/>
            </w:tcBorders>
            <w:hideMark/>
          </w:tcPr>
          <w:p w14:paraId="503962DD" w14:textId="77777777" w:rsidR="000414DD" w:rsidRPr="00563053" w:rsidRDefault="000414DD" w:rsidP="004F444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63053">
              <w:t>Sum of expected IPF readmission rates</w:t>
            </w:r>
          </w:p>
        </w:tc>
        <w:tc>
          <w:tcPr>
            <w:tcW w:w="1890" w:type="dxa"/>
            <w:tcBorders>
              <w:top w:val="single" w:sz="4" w:space="0" w:color="FFFFFF" w:themeColor="background1"/>
            </w:tcBorders>
            <w:hideMark/>
          </w:tcPr>
          <w:p w14:paraId="44928C0E" w14:textId="77777777" w:rsidR="000414DD" w:rsidRPr="00563053" w:rsidRDefault="000414DD" w:rsidP="004F444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63053">
              <w:t>Sum of observed IPF readmission rates</w:t>
            </w:r>
          </w:p>
        </w:tc>
        <w:tc>
          <w:tcPr>
            <w:tcW w:w="2610" w:type="dxa"/>
            <w:tcBorders>
              <w:top w:val="single" w:sz="4" w:space="0" w:color="FFFFFF" w:themeColor="background1"/>
            </w:tcBorders>
            <w:hideMark/>
          </w:tcPr>
          <w:p w14:paraId="4513D1C6" w14:textId="6E7650C2" w:rsidR="000414DD" w:rsidRPr="00563053" w:rsidRDefault="000414DD" w:rsidP="004F444F">
            <w:pPr>
              <w:pStyle w:val="TableHeaderCenter"/>
              <w:cnfStyle w:val="100000000000" w:firstRow="1" w:lastRow="0" w:firstColumn="0" w:lastColumn="0" w:oddVBand="0" w:evenVBand="0" w:oddHBand="0" w:evenHBand="0" w:firstRowFirstColumn="0" w:firstRowLastColumn="0" w:lastRowFirstColumn="0" w:lastRowLastColumn="0"/>
              <w:rPr>
                <w:b w:val="0"/>
              </w:rPr>
            </w:pPr>
            <w:r w:rsidRPr="00563053">
              <w:t>Ratio of predicted</w:t>
            </w:r>
            <w:r>
              <w:t xml:space="preserve"> to expected</w:t>
            </w:r>
            <w:r w:rsidRPr="00563053">
              <w:t xml:space="preserve"> IPF readmission rates</w:t>
            </w:r>
          </w:p>
        </w:tc>
      </w:tr>
      <w:tr w:rsidR="000414DD" w:rsidRPr="00563053" w14:paraId="5512EC07"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05C19136" w14:textId="77777777" w:rsidR="000414DD" w:rsidRPr="00563053" w:rsidRDefault="000414DD" w:rsidP="004F444F">
            <w:pPr>
              <w:pStyle w:val="TableTextLeft"/>
              <w:rPr>
                <w:color w:val="000000"/>
              </w:rPr>
            </w:pPr>
            <w:r w:rsidRPr="00563053">
              <w:rPr>
                <w:color w:val="000000"/>
              </w:rPr>
              <w:t>1</w:t>
            </w:r>
          </w:p>
        </w:tc>
        <w:tc>
          <w:tcPr>
            <w:tcW w:w="1590" w:type="dxa"/>
            <w:noWrap/>
            <w:hideMark/>
          </w:tcPr>
          <w:p w14:paraId="6DEC80DB"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54,719</w:t>
            </w:r>
          </w:p>
        </w:tc>
        <w:tc>
          <w:tcPr>
            <w:tcW w:w="1984" w:type="dxa"/>
            <w:hideMark/>
          </w:tcPr>
          <w:p w14:paraId="25185343"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4,581.21</w:t>
            </w:r>
          </w:p>
        </w:tc>
        <w:tc>
          <w:tcPr>
            <w:tcW w:w="1890" w:type="dxa"/>
            <w:hideMark/>
          </w:tcPr>
          <w:p w14:paraId="313EF500" w14:textId="140FFD46"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5,414</w:t>
            </w:r>
          </w:p>
        </w:tc>
        <w:tc>
          <w:tcPr>
            <w:tcW w:w="2610" w:type="dxa"/>
            <w:noWrap/>
            <w:hideMark/>
          </w:tcPr>
          <w:p w14:paraId="5749DBAA"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1.182</w:t>
            </w:r>
          </w:p>
        </w:tc>
      </w:tr>
      <w:tr w:rsidR="000414DD" w:rsidRPr="00563053" w14:paraId="4BBB37EA"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51F5BA49" w14:textId="77777777" w:rsidR="000414DD" w:rsidRPr="00563053" w:rsidRDefault="000414DD" w:rsidP="004F444F">
            <w:pPr>
              <w:pStyle w:val="TableTextLeft"/>
              <w:rPr>
                <w:color w:val="000000"/>
              </w:rPr>
            </w:pPr>
            <w:r w:rsidRPr="00563053">
              <w:rPr>
                <w:color w:val="000000"/>
              </w:rPr>
              <w:t>2</w:t>
            </w:r>
          </w:p>
        </w:tc>
        <w:tc>
          <w:tcPr>
            <w:tcW w:w="1590" w:type="dxa"/>
            <w:noWrap/>
            <w:hideMark/>
          </w:tcPr>
          <w:p w14:paraId="5AF85204"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036F58F2"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5,694.59</w:t>
            </w:r>
          </w:p>
        </w:tc>
        <w:tc>
          <w:tcPr>
            <w:tcW w:w="1890" w:type="dxa"/>
            <w:hideMark/>
          </w:tcPr>
          <w:p w14:paraId="61B3E832" w14:textId="44743375"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6,114</w:t>
            </w:r>
          </w:p>
        </w:tc>
        <w:tc>
          <w:tcPr>
            <w:tcW w:w="2610" w:type="dxa"/>
            <w:noWrap/>
            <w:hideMark/>
          </w:tcPr>
          <w:p w14:paraId="4DDFAD6A"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1.074</w:t>
            </w:r>
          </w:p>
        </w:tc>
      </w:tr>
      <w:tr w:rsidR="000414DD" w:rsidRPr="00563053" w14:paraId="7897E27C"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685CED90" w14:textId="77777777" w:rsidR="000414DD" w:rsidRPr="00563053" w:rsidRDefault="000414DD" w:rsidP="004F444F">
            <w:pPr>
              <w:pStyle w:val="TableTextLeft"/>
              <w:rPr>
                <w:color w:val="000000"/>
              </w:rPr>
            </w:pPr>
            <w:r w:rsidRPr="00563053">
              <w:rPr>
                <w:color w:val="000000"/>
              </w:rPr>
              <w:t>3</w:t>
            </w:r>
          </w:p>
        </w:tc>
        <w:tc>
          <w:tcPr>
            <w:tcW w:w="1590" w:type="dxa"/>
            <w:noWrap/>
            <w:hideMark/>
          </w:tcPr>
          <w:p w14:paraId="50129A2F"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74B1D3FD"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6,770.70</w:t>
            </w:r>
          </w:p>
        </w:tc>
        <w:tc>
          <w:tcPr>
            <w:tcW w:w="1890" w:type="dxa"/>
            <w:hideMark/>
          </w:tcPr>
          <w:p w14:paraId="651E85B9" w14:textId="38E6DEDB"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6,888</w:t>
            </w:r>
          </w:p>
        </w:tc>
        <w:tc>
          <w:tcPr>
            <w:tcW w:w="2610" w:type="dxa"/>
            <w:noWrap/>
            <w:hideMark/>
          </w:tcPr>
          <w:p w14:paraId="5EFCEAF0"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1.017</w:t>
            </w:r>
          </w:p>
        </w:tc>
      </w:tr>
      <w:tr w:rsidR="000414DD" w:rsidRPr="00563053" w14:paraId="2C272956"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75D8B670" w14:textId="77777777" w:rsidR="000414DD" w:rsidRPr="00563053" w:rsidRDefault="000414DD" w:rsidP="004F444F">
            <w:pPr>
              <w:pStyle w:val="TableTextLeft"/>
              <w:rPr>
                <w:color w:val="000000"/>
              </w:rPr>
            </w:pPr>
            <w:r w:rsidRPr="00563053">
              <w:rPr>
                <w:color w:val="000000"/>
              </w:rPr>
              <w:t>4</w:t>
            </w:r>
          </w:p>
        </w:tc>
        <w:tc>
          <w:tcPr>
            <w:tcW w:w="1590" w:type="dxa"/>
            <w:noWrap/>
            <w:hideMark/>
          </w:tcPr>
          <w:p w14:paraId="15DBEF96"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54,719</w:t>
            </w:r>
          </w:p>
        </w:tc>
        <w:tc>
          <w:tcPr>
            <w:tcW w:w="1984" w:type="dxa"/>
            <w:hideMark/>
          </w:tcPr>
          <w:p w14:paraId="3182FB93"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7,972.37</w:t>
            </w:r>
          </w:p>
        </w:tc>
        <w:tc>
          <w:tcPr>
            <w:tcW w:w="1890" w:type="dxa"/>
            <w:hideMark/>
          </w:tcPr>
          <w:p w14:paraId="08FA0515" w14:textId="0C0038C0"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7,791</w:t>
            </w:r>
          </w:p>
        </w:tc>
        <w:tc>
          <w:tcPr>
            <w:tcW w:w="2610" w:type="dxa"/>
            <w:noWrap/>
            <w:hideMark/>
          </w:tcPr>
          <w:p w14:paraId="7AA19F76"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0.977</w:t>
            </w:r>
          </w:p>
        </w:tc>
      </w:tr>
      <w:tr w:rsidR="000414DD" w:rsidRPr="00563053" w14:paraId="2A56F692"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75699557" w14:textId="77777777" w:rsidR="000414DD" w:rsidRPr="00563053" w:rsidRDefault="000414DD" w:rsidP="004F444F">
            <w:pPr>
              <w:pStyle w:val="TableTextLeft"/>
              <w:rPr>
                <w:color w:val="000000"/>
              </w:rPr>
            </w:pPr>
            <w:r w:rsidRPr="00563053">
              <w:rPr>
                <w:color w:val="000000"/>
              </w:rPr>
              <w:t>5</w:t>
            </w:r>
          </w:p>
        </w:tc>
        <w:tc>
          <w:tcPr>
            <w:tcW w:w="1590" w:type="dxa"/>
            <w:noWrap/>
            <w:hideMark/>
          </w:tcPr>
          <w:p w14:paraId="6E932749"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1E56FEF4"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9,230.15</w:t>
            </w:r>
          </w:p>
        </w:tc>
        <w:tc>
          <w:tcPr>
            <w:tcW w:w="1890" w:type="dxa"/>
            <w:hideMark/>
          </w:tcPr>
          <w:p w14:paraId="0A7F8B9E" w14:textId="7F8DD245"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9,014</w:t>
            </w:r>
          </w:p>
        </w:tc>
        <w:tc>
          <w:tcPr>
            <w:tcW w:w="2610" w:type="dxa"/>
            <w:noWrap/>
            <w:hideMark/>
          </w:tcPr>
          <w:p w14:paraId="5A1BEFFC"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0.977</w:t>
            </w:r>
          </w:p>
        </w:tc>
      </w:tr>
      <w:tr w:rsidR="000414DD" w:rsidRPr="00563053" w14:paraId="40F6D9F0"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653E14E8" w14:textId="77777777" w:rsidR="000414DD" w:rsidRPr="00563053" w:rsidRDefault="000414DD" w:rsidP="004F444F">
            <w:pPr>
              <w:pStyle w:val="TableTextLeft"/>
              <w:rPr>
                <w:color w:val="000000"/>
              </w:rPr>
            </w:pPr>
            <w:r w:rsidRPr="00563053">
              <w:rPr>
                <w:color w:val="000000"/>
              </w:rPr>
              <w:t>6</w:t>
            </w:r>
          </w:p>
        </w:tc>
        <w:tc>
          <w:tcPr>
            <w:tcW w:w="1590" w:type="dxa"/>
            <w:noWrap/>
            <w:hideMark/>
          </w:tcPr>
          <w:p w14:paraId="19B4E844"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4C3F4654"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10,520.28</w:t>
            </w:r>
          </w:p>
        </w:tc>
        <w:tc>
          <w:tcPr>
            <w:tcW w:w="1890" w:type="dxa"/>
            <w:hideMark/>
          </w:tcPr>
          <w:p w14:paraId="3279E540" w14:textId="7EC8ADEE"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10,391</w:t>
            </w:r>
          </w:p>
        </w:tc>
        <w:tc>
          <w:tcPr>
            <w:tcW w:w="2610" w:type="dxa"/>
            <w:noWrap/>
            <w:hideMark/>
          </w:tcPr>
          <w:p w14:paraId="095C8ED6"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0.988</w:t>
            </w:r>
          </w:p>
        </w:tc>
      </w:tr>
      <w:tr w:rsidR="000414DD" w:rsidRPr="00563053" w14:paraId="1353A324"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5913AEA4" w14:textId="77777777" w:rsidR="000414DD" w:rsidRPr="00563053" w:rsidRDefault="000414DD" w:rsidP="004F444F">
            <w:pPr>
              <w:pStyle w:val="TableTextLeft"/>
              <w:rPr>
                <w:color w:val="000000"/>
              </w:rPr>
            </w:pPr>
            <w:r w:rsidRPr="00563053">
              <w:rPr>
                <w:color w:val="000000"/>
              </w:rPr>
              <w:t>7</w:t>
            </w:r>
          </w:p>
        </w:tc>
        <w:tc>
          <w:tcPr>
            <w:tcW w:w="1590" w:type="dxa"/>
            <w:noWrap/>
            <w:hideMark/>
          </w:tcPr>
          <w:p w14:paraId="631FBD57"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54,719</w:t>
            </w:r>
          </w:p>
        </w:tc>
        <w:tc>
          <w:tcPr>
            <w:tcW w:w="1984" w:type="dxa"/>
            <w:hideMark/>
          </w:tcPr>
          <w:p w14:paraId="53AFA4CC"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11,895.53</w:t>
            </w:r>
          </w:p>
        </w:tc>
        <w:tc>
          <w:tcPr>
            <w:tcW w:w="1890" w:type="dxa"/>
            <w:hideMark/>
          </w:tcPr>
          <w:p w14:paraId="1451F90F" w14:textId="73C56FE1"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11,918</w:t>
            </w:r>
          </w:p>
        </w:tc>
        <w:tc>
          <w:tcPr>
            <w:tcW w:w="2610" w:type="dxa"/>
            <w:noWrap/>
            <w:hideMark/>
          </w:tcPr>
          <w:p w14:paraId="27CC6AD9"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1.002</w:t>
            </w:r>
          </w:p>
        </w:tc>
      </w:tr>
      <w:tr w:rsidR="000414DD" w:rsidRPr="00563053" w14:paraId="46DE2FA4"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0AA651A8" w14:textId="77777777" w:rsidR="000414DD" w:rsidRPr="00563053" w:rsidRDefault="000414DD" w:rsidP="004F444F">
            <w:pPr>
              <w:pStyle w:val="TableTextLeft"/>
              <w:rPr>
                <w:color w:val="000000"/>
              </w:rPr>
            </w:pPr>
            <w:r w:rsidRPr="00563053">
              <w:rPr>
                <w:color w:val="000000"/>
              </w:rPr>
              <w:t>8</w:t>
            </w:r>
          </w:p>
        </w:tc>
        <w:tc>
          <w:tcPr>
            <w:tcW w:w="1590" w:type="dxa"/>
            <w:noWrap/>
            <w:hideMark/>
          </w:tcPr>
          <w:p w14:paraId="299748A3"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2BCA6E4E"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13,511.03</w:t>
            </w:r>
          </w:p>
        </w:tc>
        <w:tc>
          <w:tcPr>
            <w:tcW w:w="1890" w:type="dxa"/>
            <w:hideMark/>
          </w:tcPr>
          <w:p w14:paraId="0FF67F0E" w14:textId="786204A5"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13,645</w:t>
            </w:r>
          </w:p>
        </w:tc>
        <w:tc>
          <w:tcPr>
            <w:tcW w:w="2610" w:type="dxa"/>
            <w:noWrap/>
            <w:hideMark/>
          </w:tcPr>
          <w:p w14:paraId="7E74F1F5"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1.010</w:t>
            </w:r>
          </w:p>
        </w:tc>
      </w:tr>
      <w:tr w:rsidR="000414DD" w:rsidRPr="00563053" w14:paraId="7AB9E657"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54D692D9" w14:textId="77777777" w:rsidR="000414DD" w:rsidRPr="00563053" w:rsidRDefault="000414DD" w:rsidP="004F444F">
            <w:pPr>
              <w:pStyle w:val="TableTextLeft"/>
              <w:rPr>
                <w:color w:val="000000"/>
              </w:rPr>
            </w:pPr>
            <w:r w:rsidRPr="00563053">
              <w:rPr>
                <w:color w:val="000000"/>
              </w:rPr>
              <w:lastRenderedPageBreak/>
              <w:t>9</w:t>
            </w:r>
          </w:p>
        </w:tc>
        <w:tc>
          <w:tcPr>
            <w:tcW w:w="1590" w:type="dxa"/>
            <w:noWrap/>
            <w:hideMark/>
          </w:tcPr>
          <w:p w14:paraId="46CC7ABB"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54,720</w:t>
            </w:r>
          </w:p>
        </w:tc>
        <w:tc>
          <w:tcPr>
            <w:tcW w:w="1984" w:type="dxa"/>
            <w:hideMark/>
          </w:tcPr>
          <w:p w14:paraId="2D8D20FD"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15,715.81</w:t>
            </w:r>
          </w:p>
        </w:tc>
        <w:tc>
          <w:tcPr>
            <w:tcW w:w="1890" w:type="dxa"/>
            <w:hideMark/>
          </w:tcPr>
          <w:p w14:paraId="1A376793" w14:textId="63591C29"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16,330</w:t>
            </w:r>
          </w:p>
        </w:tc>
        <w:tc>
          <w:tcPr>
            <w:tcW w:w="2610" w:type="dxa"/>
            <w:noWrap/>
            <w:hideMark/>
          </w:tcPr>
          <w:p w14:paraId="5A8D27D3"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1.039</w:t>
            </w:r>
          </w:p>
        </w:tc>
      </w:tr>
      <w:tr w:rsidR="000414DD" w:rsidRPr="00563053" w14:paraId="7B4B333E" w14:textId="77777777" w:rsidTr="004F444F">
        <w:trPr>
          <w:trHeight w:val="120"/>
        </w:trPr>
        <w:tc>
          <w:tcPr>
            <w:cnfStyle w:val="001000000000" w:firstRow="0" w:lastRow="0" w:firstColumn="1" w:lastColumn="0" w:oddVBand="0" w:evenVBand="0" w:oddHBand="0" w:evenHBand="0" w:firstRowFirstColumn="0" w:firstRowLastColumn="0" w:lastRowFirstColumn="0" w:lastRowLastColumn="0"/>
            <w:tcW w:w="1020" w:type="dxa"/>
            <w:noWrap/>
            <w:hideMark/>
          </w:tcPr>
          <w:p w14:paraId="48C681EE" w14:textId="77777777" w:rsidR="000414DD" w:rsidRPr="00563053" w:rsidRDefault="000414DD" w:rsidP="004F444F">
            <w:pPr>
              <w:pStyle w:val="TableTextLeft"/>
              <w:rPr>
                <w:color w:val="000000"/>
              </w:rPr>
            </w:pPr>
            <w:r w:rsidRPr="00563053">
              <w:rPr>
                <w:color w:val="000000"/>
              </w:rPr>
              <w:t>10</w:t>
            </w:r>
          </w:p>
        </w:tc>
        <w:tc>
          <w:tcPr>
            <w:tcW w:w="1590" w:type="dxa"/>
            <w:noWrap/>
            <w:hideMark/>
          </w:tcPr>
          <w:p w14:paraId="027357B7"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54,719</w:t>
            </w:r>
          </w:p>
        </w:tc>
        <w:tc>
          <w:tcPr>
            <w:tcW w:w="1984" w:type="dxa"/>
            <w:hideMark/>
          </w:tcPr>
          <w:p w14:paraId="1DF8A933"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20,732.76</w:t>
            </w:r>
          </w:p>
        </w:tc>
        <w:tc>
          <w:tcPr>
            <w:tcW w:w="1890" w:type="dxa"/>
            <w:hideMark/>
          </w:tcPr>
          <w:p w14:paraId="677FD954" w14:textId="6C9A3239"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22,470</w:t>
            </w:r>
          </w:p>
        </w:tc>
        <w:tc>
          <w:tcPr>
            <w:tcW w:w="2610" w:type="dxa"/>
            <w:noWrap/>
            <w:hideMark/>
          </w:tcPr>
          <w:p w14:paraId="2EC14728" w14:textId="77777777" w:rsidR="000414DD" w:rsidRPr="00563053" w:rsidRDefault="000414DD" w:rsidP="004F444F">
            <w:pPr>
              <w:pStyle w:val="TableTextDecimalWide"/>
              <w:cnfStyle w:val="000000000000" w:firstRow="0" w:lastRow="0" w:firstColumn="0" w:lastColumn="0" w:oddVBand="0" w:evenVBand="0" w:oddHBand="0" w:evenHBand="0" w:firstRowFirstColumn="0" w:firstRowLastColumn="0" w:lastRowFirstColumn="0" w:lastRowLastColumn="0"/>
            </w:pPr>
            <w:r w:rsidRPr="00563053">
              <w:t>1.084</w:t>
            </w:r>
          </w:p>
        </w:tc>
      </w:tr>
    </w:tbl>
    <w:p w14:paraId="1BE7606F" w14:textId="77777777" w:rsidR="000530F7" w:rsidRPr="007D17AA" w:rsidRDefault="000530F7" w:rsidP="000530F7">
      <w:pPr>
        <w:pStyle w:val="TableSourceCaption"/>
        <w:tabs>
          <w:tab w:val="left" w:pos="0"/>
        </w:tabs>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0D0EF8C5" w14:textId="77777777" w:rsidR="00086FAC" w:rsidRDefault="00086FAC" w:rsidP="00086FAC">
      <w:pPr>
        <w:autoSpaceDE w:val="0"/>
        <w:autoSpaceDN w:val="0"/>
        <w:adjustRightInd w:val="0"/>
        <w:spacing w:after="0" w:line="240" w:lineRule="auto"/>
        <w:rPr>
          <w:rFonts w:cstheme="minorHAnsi"/>
          <w:b/>
          <w:bCs/>
        </w:rPr>
      </w:pPr>
    </w:p>
    <w:p w14:paraId="1C9C8C55" w14:textId="1AD29C2B" w:rsidR="00DF0A92" w:rsidRDefault="00086FAC" w:rsidP="00791E41">
      <w:pPr>
        <w:autoSpaceDE w:val="0"/>
        <w:autoSpaceDN w:val="0"/>
        <w:adjustRightInd w:val="0"/>
        <w:spacing w:after="0" w:line="240" w:lineRule="auto"/>
        <w:rPr>
          <w:rFonts w:ascii="Arial" w:hAnsi="Arial" w:cs="Arial"/>
          <w:b/>
          <w:sz w:val="20"/>
          <w:szCs w:val="20"/>
        </w:rPr>
      </w:pPr>
      <w:r>
        <w:rPr>
          <w:rFonts w:cstheme="minorHAnsi"/>
          <w:b/>
          <w:bCs/>
        </w:rPr>
        <w:t xml:space="preserve">2b3.8. Statistical </w:t>
      </w:r>
      <w:r w:rsidRPr="00A25024">
        <w:rPr>
          <w:rFonts w:cstheme="minorHAnsi"/>
          <w:b/>
          <w:bCs/>
        </w:rPr>
        <w:t>Risk Model Calibration – Risk decile plots or calibration curves</w:t>
      </w:r>
      <w:r w:rsidRPr="00A25024">
        <w:rPr>
          <w:rFonts w:cstheme="minorHAnsi"/>
          <w:bCs/>
        </w:rPr>
        <w:t>:</w:t>
      </w:r>
      <w:r w:rsidR="00010A65">
        <w:rPr>
          <w:rFonts w:cstheme="minorHAnsi"/>
          <w:bCs/>
        </w:rPr>
        <w:t xml:space="preserve"> </w:t>
      </w:r>
    </w:p>
    <w:p w14:paraId="647C9798" w14:textId="0981A1CA" w:rsidR="00CB0933" w:rsidRPr="007D17AA" w:rsidRDefault="00256E48">
      <w:pPr>
        <w:pStyle w:val="NormalWeb"/>
        <w:shd w:val="clear" w:color="auto" w:fill="FFFFFF"/>
        <w:spacing w:before="0" w:beforeAutospacing="0" w:after="0" w:afterAutospacing="0"/>
        <w:textAlignment w:val="baseline"/>
        <w:rPr>
          <w:rFonts w:ascii="Calibri" w:hAnsi="Calibri" w:cs="Calibri"/>
          <w:color w:val="0070C0"/>
          <w:sz w:val="22"/>
          <w:szCs w:val="22"/>
        </w:rPr>
      </w:pPr>
      <w:r w:rsidRPr="007D17AA">
        <w:rPr>
          <w:rFonts w:ascii="Calibri" w:hAnsi="Calibri" w:cs="Calibri"/>
          <w:color w:val="0070C0"/>
          <w:sz w:val="22"/>
          <w:szCs w:val="22"/>
        </w:rPr>
        <w:t>Th</w:t>
      </w:r>
      <w:r w:rsidR="004A431C" w:rsidRPr="007D17AA">
        <w:rPr>
          <w:rFonts w:ascii="Calibri" w:hAnsi="Calibri" w:cs="Calibri"/>
          <w:color w:val="0070C0"/>
          <w:sz w:val="22"/>
          <w:szCs w:val="22"/>
        </w:rPr>
        <w:t>e risk-decile</w:t>
      </w:r>
      <w:r w:rsidRPr="007D17AA">
        <w:rPr>
          <w:rFonts w:ascii="Calibri" w:hAnsi="Calibri" w:cs="Calibri"/>
          <w:color w:val="0070C0"/>
          <w:sz w:val="22"/>
          <w:szCs w:val="22"/>
        </w:rPr>
        <w:t xml:space="preserve"> calibration plot with observed outcomes versus expected probabilities of readmission was computed to localize possible deviations across risk strata</w:t>
      </w:r>
      <w:r w:rsidR="004A431C" w:rsidRPr="007D17AA">
        <w:rPr>
          <w:rFonts w:ascii="Calibri" w:hAnsi="Calibri" w:cs="Calibri"/>
          <w:color w:val="0070C0"/>
          <w:sz w:val="22"/>
          <w:szCs w:val="22"/>
        </w:rPr>
        <w:t xml:space="preserve">. </w:t>
      </w:r>
      <w:r w:rsidR="00010A65" w:rsidRPr="007D17AA">
        <w:rPr>
          <w:rFonts w:ascii="Calibri" w:hAnsi="Calibri" w:cs="Calibri"/>
          <w:color w:val="0070C0"/>
          <w:sz w:val="22"/>
          <w:szCs w:val="22"/>
        </w:rPr>
        <w:t xml:space="preserve">In the </w:t>
      </w:r>
      <w:r w:rsidR="005B7D7D" w:rsidRPr="007D17AA">
        <w:rPr>
          <w:rFonts w:ascii="Calibri" w:hAnsi="Calibri" w:cs="Calibri"/>
          <w:color w:val="0070C0"/>
          <w:sz w:val="22"/>
          <w:szCs w:val="22"/>
        </w:rPr>
        <w:t>risk-</w:t>
      </w:r>
      <w:r w:rsidR="00010A65" w:rsidRPr="007D17AA">
        <w:rPr>
          <w:rFonts w:ascii="Calibri" w:hAnsi="Calibri" w:cs="Calibri"/>
          <w:color w:val="0070C0"/>
          <w:sz w:val="22"/>
          <w:szCs w:val="22"/>
        </w:rPr>
        <w:t xml:space="preserve">decile calibration plot (Figure </w:t>
      </w:r>
      <w:r w:rsidR="006312E3" w:rsidRPr="007D17AA">
        <w:rPr>
          <w:rFonts w:ascii="Calibri" w:hAnsi="Calibri" w:cs="Calibri"/>
          <w:color w:val="0070C0"/>
          <w:sz w:val="22"/>
          <w:szCs w:val="22"/>
        </w:rPr>
        <w:t>2b3.8</w:t>
      </w:r>
      <w:r w:rsidR="00010A65" w:rsidRPr="007D17AA">
        <w:rPr>
          <w:rFonts w:ascii="Calibri" w:hAnsi="Calibri" w:cs="Calibri"/>
          <w:color w:val="0070C0"/>
          <w:sz w:val="22"/>
          <w:szCs w:val="22"/>
        </w:rPr>
        <w:t xml:space="preserve">), the </w:t>
      </w:r>
      <w:r w:rsidR="00CB0933" w:rsidRPr="007D17AA">
        <w:rPr>
          <w:rFonts w:ascii="Calibri" w:hAnsi="Calibri" w:cs="Calibri"/>
          <w:color w:val="0070C0"/>
          <w:sz w:val="22"/>
          <w:szCs w:val="22"/>
        </w:rPr>
        <w:t xml:space="preserve">diagonal line is the line of perfect calibration. In a well-calibrated model, </w:t>
      </w:r>
      <w:r w:rsidR="00010A65" w:rsidRPr="007D17AA">
        <w:rPr>
          <w:rFonts w:ascii="Calibri" w:hAnsi="Calibri" w:cs="Calibri"/>
          <w:color w:val="0070C0"/>
          <w:sz w:val="22"/>
          <w:szCs w:val="22"/>
        </w:rPr>
        <w:t>all</w:t>
      </w:r>
      <w:r w:rsidR="00CB0933" w:rsidRPr="007D17AA">
        <w:rPr>
          <w:rFonts w:ascii="Calibri" w:hAnsi="Calibri" w:cs="Calibri"/>
          <w:color w:val="0070C0"/>
          <w:sz w:val="22"/>
          <w:szCs w:val="22"/>
        </w:rPr>
        <w:t xml:space="preserve"> markers </w:t>
      </w:r>
      <w:r w:rsidR="00010A65" w:rsidRPr="007D17AA">
        <w:rPr>
          <w:rFonts w:ascii="Calibri" w:hAnsi="Calibri" w:cs="Calibri"/>
          <w:color w:val="0070C0"/>
          <w:sz w:val="22"/>
          <w:szCs w:val="22"/>
        </w:rPr>
        <w:t xml:space="preserve">representing deciles </w:t>
      </w:r>
      <w:r w:rsidR="00CB0933" w:rsidRPr="007D17AA">
        <w:rPr>
          <w:rFonts w:ascii="Calibri" w:hAnsi="Calibri" w:cs="Calibri"/>
          <w:color w:val="0070C0"/>
          <w:sz w:val="22"/>
          <w:szCs w:val="22"/>
        </w:rPr>
        <w:t xml:space="preserve">should </w:t>
      </w:r>
      <w:r w:rsidR="00010A65" w:rsidRPr="007D17AA">
        <w:rPr>
          <w:rFonts w:ascii="Calibri" w:hAnsi="Calibri" w:cs="Calibri"/>
          <w:color w:val="0070C0"/>
          <w:sz w:val="22"/>
          <w:szCs w:val="22"/>
        </w:rPr>
        <w:t>be</w:t>
      </w:r>
      <w:r w:rsidR="00CB0933" w:rsidRPr="007D17AA">
        <w:rPr>
          <w:rFonts w:ascii="Calibri" w:hAnsi="Calibri" w:cs="Calibri"/>
          <w:color w:val="0070C0"/>
          <w:sz w:val="22"/>
          <w:szCs w:val="22"/>
        </w:rPr>
        <w:t xml:space="preserve"> close to the diagonal line. In this graph, </w:t>
      </w:r>
      <w:r w:rsidR="00411642" w:rsidRPr="007D17AA">
        <w:rPr>
          <w:rFonts w:ascii="Calibri" w:hAnsi="Calibri" w:cs="Calibri"/>
          <w:color w:val="0070C0"/>
          <w:sz w:val="22"/>
          <w:szCs w:val="22"/>
        </w:rPr>
        <w:t>the</w:t>
      </w:r>
      <w:r w:rsidR="00CB0933" w:rsidRPr="007D17AA">
        <w:rPr>
          <w:rFonts w:ascii="Calibri" w:hAnsi="Calibri" w:cs="Calibri"/>
          <w:color w:val="0070C0"/>
          <w:sz w:val="22"/>
          <w:szCs w:val="22"/>
        </w:rPr>
        <w:t xml:space="preserve"> markers a</w:t>
      </w:r>
      <w:r w:rsidR="007D1A99">
        <w:rPr>
          <w:rFonts w:ascii="Calibri" w:hAnsi="Calibri" w:cs="Calibri"/>
          <w:color w:val="0070C0"/>
          <w:sz w:val="22"/>
          <w:szCs w:val="22"/>
        </w:rPr>
        <w:t>ppear</w:t>
      </w:r>
      <w:r w:rsidR="00CB0933" w:rsidRPr="007D17AA">
        <w:rPr>
          <w:rFonts w:ascii="Calibri" w:hAnsi="Calibri" w:cs="Calibri"/>
          <w:color w:val="0070C0"/>
          <w:sz w:val="22"/>
          <w:szCs w:val="22"/>
        </w:rPr>
        <w:t xml:space="preserve"> close to the diagonal line, which indicates a close agreement between the </w:t>
      </w:r>
      <w:r w:rsidRPr="007D17AA">
        <w:rPr>
          <w:rFonts w:ascii="Calibri" w:hAnsi="Calibri" w:cs="Calibri"/>
          <w:color w:val="0070C0"/>
          <w:sz w:val="22"/>
          <w:szCs w:val="22"/>
        </w:rPr>
        <w:t xml:space="preserve">observed </w:t>
      </w:r>
      <w:r w:rsidR="00CB0933" w:rsidRPr="007D17AA">
        <w:rPr>
          <w:rFonts w:ascii="Calibri" w:hAnsi="Calibri" w:cs="Calibri"/>
          <w:color w:val="0070C0"/>
          <w:sz w:val="22"/>
          <w:szCs w:val="22"/>
        </w:rPr>
        <w:t xml:space="preserve">and </w:t>
      </w:r>
      <w:r w:rsidRPr="007D17AA">
        <w:rPr>
          <w:rFonts w:ascii="Calibri" w:hAnsi="Calibri" w:cs="Calibri"/>
          <w:color w:val="0070C0"/>
          <w:sz w:val="22"/>
          <w:szCs w:val="22"/>
        </w:rPr>
        <w:t xml:space="preserve">expected </w:t>
      </w:r>
      <w:r w:rsidR="00CB0933" w:rsidRPr="007D17AA">
        <w:rPr>
          <w:rFonts w:ascii="Calibri" w:hAnsi="Calibri" w:cs="Calibri"/>
          <w:color w:val="0070C0"/>
          <w:sz w:val="22"/>
          <w:szCs w:val="22"/>
        </w:rPr>
        <w:t xml:space="preserve">probabilities of the </w:t>
      </w:r>
      <w:r w:rsidR="00010A65" w:rsidRPr="007D17AA">
        <w:rPr>
          <w:rFonts w:ascii="Calibri" w:hAnsi="Calibri" w:cs="Calibri"/>
          <w:color w:val="0070C0"/>
          <w:sz w:val="22"/>
          <w:szCs w:val="22"/>
        </w:rPr>
        <w:t>IPF readmission</w:t>
      </w:r>
      <w:r w:rsidR="00CB0933" w:rsidRPr="007D17AA">
        <w:rPr>
          <w:rFonts w:ascii="Calibri" w:hAnsi="Calibri" w:cs="Calibri"/>
          <w:color w:val="0070C0"/>
          <w:sz w:val="22"/>
          <w:szCs w:val="22"/>
        </w:rPr>
        <w:t>.</w:t>
      </w:r>
      <w:r w:rsidR="000963A3" w:rsidRPr="007D17AA">
        <w:rPr>
          <w:rFonts w:ascii="Calibri" w:hAnsi="Calibri" w:cs="Calibri"/>
          <w:color w:val="0070C0"/>
          <w:sz w:val="22"/>
          <w:szCs w:val="22"/>
        </w:rPr>
        <w:t xml:space="preserve"> </w:t>
      </w:r>
    </w:p>
    <w:p w14:paraId="5ED9AF55" w14:textId="77777777" w:rsidR="005B7D7D" w:rsidRDefault="005B7D7D">
      <w:pPr>
        <w:pStyle w:val="NormalWeb"/>
        <w:shd w:val="clear" w:color="auto" w:fill="FFFFFF"/>
        <w:spacing w:before="0" w:beforeAutospacing="0" w:after="0" w:afterAutospacing="0"/>
        <w:textAlignment w:val="baseline"/>
        <w:rPr>
          <w:rFonts w:ascii="Calibri" w:hAnsi="Calibri" w:cs="Calibri"/>
          <w:color w:val="000000"/>
          <w:sz w:val="22"/>
          <w:szCs w:val="22"/>
        </w:rPr>
      </w:pPr>
    </w:p>
    <w:p w14:paraId="5911EF8F" w14:textId="6E2C0277" w:rsidR="005B7D7D" w:rsidRPr="007D17AA" w:rsidRDefault="005B7D7D" w:rsidP="00791E41">
      <w:pPr>
        <w:pStyle w:val="NormalWeb"/>
        <w:shd w:val="clear" w:color="auto" w:fill="FFFFFF"/>
        <w:spacing w:before="0" w:beforeAutospacing="0" w:after="0" w:afterAutospacing="0"/>
        <w:textAlignment w:val="baseline"/>
        <w:rPr>
          <w:b/>
          <w:bCs/>
          <w:color w:val="0070C0"/>
        </w:rPr>
      </w:pPr>
      <w:r w:rsidRPr="007D17AA">
        <w:rPr>
          <w:rFonts w:ascii="Calibri" w:hAnsi="Calibri" w:cs="Calibri"/>
          <w:b/>
          <w:bCs/>
          <w:color w:val="0070C0"/>
          <w:sz w:val="22"/>
          <w:szCs w:val="22"/>
        </w:rPr>
        <w:t>Figure 2</w:t>
      </w:r>
      <w:r w:rsidR="0078380D" w:rsidRPr="007D17AA">
        <w:rPr>
          <w:rFonts w:ascii="Calibri" w:hAnsi="Calibri" w:cs="Calibri"/>
          <w:b/>
          <w:bCs/>
          <w:color w:val="0070C0"/>
          <w:sz w:val="22"/>
          <w:szCs w:val="22"/>
        </w:rPr>
        <w:t>b3.8</w:t>
      </w:r>
      <w:r w:rsidRPr="007D17AA">
        <w:rPr>
          <w:rFonts w:ascii="Calibri" w:hAnsi="Calibri" w:cs="Calibri"/>
          <w:b/>
          <w:bCs/>
          <w:color w:val="0070C0"/>
          <w:sz w:val="22"/>
          <w:szCs w:val="22"/>
        </w:rPr>
        <w:t>. Risk-decile calibration plot</w:t>
      </w:r>
    </w:p>
    <w:p w14:paraId="12B4102E" w14:textId="1AD0995B" w:rsidR="00086FAC" w:rsidRPr="00B112A6" w:rsidRDefault="00086FAC" w:rsidP="00086FAC">
      <w:pPr>
        <w:autoSpaceDE w:val="0"/>
        <w:autoSpaceDN w:val="0"/>
        <w:adjustRightInd w:val="0"/>
        <w:spacing w:after="0" w:line="240" w:lineRule="auto"/>
        <w:outlineLvl w:val="0"/>
        <w:rPr>
          <w:rFonts w:ascii="Arial" w:hAnsi="Arial" w:cs="Arial"/>
          <w:b/>
          <w:sz w:val="20"/>
          <w:szCs w:val="20"/>
        </w:rPr>
      </w:pPr>
    </w:p>
    <w:p w14:paraId="20DD7D3E" w14:textId="56DDEF81" w:rsidR="00086FAC" w:rsidRDefault="00411642" w:rsidP="00086FAC">
      <w:pPr>
        <w:autoSpaceDE w:val="0"/>
        <w:autoSpaceDN w:val="0"/>
        <w:adjustRightInd w:val="0"/>
        <w:spacing w:after="0" w:line="240" w:lineRule="auto"/>
        <w:rPr>
          <w:rFonts w:cstheme="minorHAnsi"/>
          <w:b/>
        </w:rPr>
      </w:pPr>
      <w:r>
        <w:rPr>
          <w:noProof/>
        </w:rPr>
        <w:drawing>
          <wp:inline distT="0" distB="0" distL="0" distR="0" wp14:anchorId="1B3A0DEB" wp14:editId="552DF439">
            <wp:extent cx="3158529" cy="2133600"/>
            <wp:effectExtent l="0" t="0" r="3810" b="0"/>
            <wp:docPr id="3" name="Graphic 2" descr="This line graph shows the risk-decile calibration plot with observed outcomes (vertical axis) versus expected probabilities of readmission (horizonal axis). This was computed to localize possible deviations across risk strata. In the figure, a diagonal line shows the line of perfect calibration. In a well-calibrated model, all markers representing deciles should be close to the diagonal line. In this graph, the markers appear close to the diagonal line, which indicates a close agreement between the observed and expected probabilities of the IPF readmission.">
              <a:extLst xmlns:a="http://schemas.openxmlformats.org/drawingml/2006/main">
                <a:ext uri="{FF2B5EF4-FFF2-40B4-BE49-F238E27FC236}">
                  <a16:creationId xmlns:a16="http://schemas.microsoft.com/office/drawing/2014/main" id="{1C68E78E-89DA-4E37-A6F9-0D7DDFD6843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2">
                      <a:extLst>
                        <a:ext uri="{FF2B5EF4-FFF2-40B4-BE49-F238E27FC236}">
                          <a16:creationId xmlns:a16="http://schemas.microsoft.com/office/drawing/2014/main" id="{1C68E78E-89DA-4E37-A6F9-0D7DDFD68437}"/>
                        </a:ext>
                      </a:extLst>
                    </pic:cNvPr>
                    <pic:cNvPicPr>
                      <a:picLocks noChangeAspect="1"/>
                    </pic:cNvPicPr>
                  </pic:nvPicPr>
                  <pic:blipFill rotWithShape="1">
                    <a:blip r:embed="rId14">
                      <a:extLst>
                        <a:ext uri="{96DAC541-7B7A-43D3-8B79-37D633B846F1}">
                          <asvg:svgBlip xmlns:asvg="http://schemas.microsoft.com/office/drawing/2016/SVG/main" r:embed="rId15"/>
                        </a:ext>
                      </a:extLst>
                    </a:blip>
                    <a:srcRect l="10501" t="1514" r="1274" b="1547"/>
                    <a:stretch/>
                  </pic:blipFill>
                  <pic:spPr bwMode="auto">
                    <a:xfrm>
                      <a:off x="0" y="0"/>
                      <a:ext cx="3216125" cy="2172506"/>
                    </a:xfrm>
                    <a:prstGeom prst="rect">
                      <a:avLst/>
                    </a:prstGeom>
                    <a:ln>
                      <a:noFill/>
                    </a:ln>
                    <a:extLst>
                      <a:ext uri="{53640926-AAD7-44D8-BBD7-CCE9431645EC}">
                        <a14:shadowObscured xmlns:a14="http://schemas.microsoft.com/office/drawing/2010/main"/>
                      </a:ext>
                    </a:extLst>
                  </pic:spPr>
                </pic:pic>
              </a:graphicData>
            </a:graphic>
          </wp:inline>
        </w:drawing>
      </w:r>
    </w:p>
    <w:p w14:paraId="2DB3004E" w14:textId="77777777" w:rsidR="00DF0A92" w:rsidRDefault="00DF0A92" w:rsidP="00086FAC">
      <w:pPr>
        <w:autoSpaceDE w:val="0"/>
        <w:autoSpaceDN w:val="0"/>
        <w:adjustRightInd w:val="0"/>
        <w:spacing w:after="0" w:line="240" w:lineRule="auto"/>
        <w:rPr>
          <w:rFonts w:cstheme="minorHAnsi"/>
          <w:b/>
        </w:rPr>
      </w:pPr>
      <w:bookmarkStart w:id="48" w:name="question2b49"/>
      <w:bookmarkEnd w:id="48"/>
    </w:p>
    <w:p w14:paraId="6C1A86C4" w14:textId="46906D04" w:rsidR="00086FAC" w:rsidRDefault="00086FAC" w:rsidP="00086FAC">
      <w:pPr>
        <w:autoSpaceDE w:val="0"/>
        <w:autoSpaceDN w:val="0"/>
        <w:adjustRightInd w:val="0"/>
        <w:spacing w:after="0" w:line="240" w:lineRule="auto"/>
        <w:rPr>
          <w:rFonts w:cstheme="minorHAnsi"/>
        </w:rPr>
      </w:pPr>
      <w:r>
        <w:rPr>
          <w:rFonts w:cstheme="minorHAnsi"/>
          <w:b/>
        </w:rPr>
        <w:t xml:space="preserve">2b3.9. Results of </w:t>
      </w:r>
      <w:r w:rsidRPr="00A25024">
        <w:rPr>
          <w:rFonts w:cstheme="minorHAnsi"/>
          <w:b/>
        </w:rPr>
        <w:t>Risk Stratification Analysis</w:t>
      </w:r>
      <w:r w:rsidRPr="00A25024">
        <w:rPr>
          <w:rFonts w:cstheme="minorHAnsi"/>
        </w:rPr>
        <w:t>:</w:t>
      </w:r>
    </w:p>
    <w:p w14:paraId="7F71ABA0" w14:textId="35853AAF" w:rsidR="003F1EB0" w:rsidRPr="007D17AA" w:rsidRDefault="003F1EB0" w:rsidP="00086FAC">
      <w:pPr>
        <w:autoSpaceDE w:val="0"/>
        <w:autoSpaceDN w:val="0"/>
        <w:adjustRightInd w:val="0"/>
        <w:spacing w:after="0" w:line="240" w:lineRule="auto"/>
        <w:rPr>
          <w:rFonts w:cstheme="minorHAnsi"/>
          <w:b/>
          <w:bCs/>
          <w:color w:val="0070C0"/>
        </w:rPr>
      </w:pPr>
      <w:r w:rsidRPr="007D17AA">
        <w:rPr>
          <w:rFonts w:cstheme="minorHAnsi"/>
          <w:bCs/>
          <w:color w:val="0070C0"/>
        </w:rPr>
        <w:t xml:space="preserve">Not applicable, this measure is not risk stratified. </w:t>
      </w:r>
    </w:p>
    <w:p w14:paraId="0519A3A6" w14:textId="77777777" w:rsidR="007D1A99" w:rsidRDefault="007D1A99" w:rsidP="00086FAC">
      <w:pPr>
        <w:autoSpaceDE w:val="0"/>
        <w:autoSpaceDN w:val="0"/>
        <w:adjustRightInd w:val="0"/>
        <w:spacing w:after="0" w:line="240" w:lineRule="auto"/>
        <w:rPr>
          <w:rFonts w:cstheme="minorHAnsi"/>
          <w:b/>
          <w:bCs/>
        </w:rPr>
      </w:pPr>
    </w:p>
    <w:p w14:paraId="3239CDAB" w14:textId="0BCE5182" w:rsidR="00086FAC" w:rsidRDefault="00086FAC" w:rsidP="00086FAC">
      <w:pPr>
        <w:autoSpaceDE w:val="0"/>
        <w:autoSpaceDN w:val="0"/>
        <w:adjustRightInd w:val="0"/>
        <w:spacing w:after="0" w:line="240" w:lineRule="auto"/>
        <w:rPr>
          <w:rFonts w:cstheme="minorHAnsi"/>
          <w:bCs/>
        </w:rPr>
      </w:pPr>
      <w:r>
        <w:rPr>
          <w:rFonts w:cstheme="minorHAnsi"/>
          <w:b/>
          <w:bCs/>
        </w:rPr>
        <w:t xml:space="preserve">2b3.10. </w:t>
      </w:r>
      <w:r w:rsidRPr="00A25024">
        <w:rPr>
          <w:rFonts w:cstheme="minorHAnsi"/>
          <w:b/>
          <w:bCs/>
        </w:rPr>
        <w:t>What is your interpretation of the results in terms of demonstrating adequacy of controlling for differences in patient characteristics (case mix)?</w:t>
      </w:r>
      <w:r w:rsidRPr="00A25024">
        <w:rPr>
          <w:rFonts w:cstheme="minorHAnsi"/>
          <w:bCs/>
        </w:rPr>
        <w:t xml:space="preserve"> (i</w:t>
      </w:r>
      <w:r w:rsidRPr="00A25024">
        <w:rPr>
          <w:rFonts w:cstheme="minorHAnsi"/>
          <w:bCs/>
          <w:i/>
        </w:rPr>
        <w:t>.e., what do the results mean and what are the norms for the test conducted</w:t>
      </w:r>
      <w:r w:rsidRPr="00A25024">
        <w:rPr>
          <w:rFonts w:cstheme="minorHAnsi"/>
          <w:bCs/>
        </w:rPr>
        <w:t>)</w:t>
      </w:r>
    </w:p>
    <w:p w14:paraId="270718B6" w14:textId="5B798D17" w:rsidR="006C1D66" w:rsidRPr="007D17AA" w:rsidRDefault="006C1D66" w:rsidP="006C1D66">
      <w:pPr>
        <w:spacing w:after="120" w:line="240" w:lineRule="auto"/>
        <w:rPr>
          <w:rFonts w:cstheme="minorHAnsi"/>
          <w:bCs/>
          <w:color w:val="0070C0"/>
        </w:rPr>
      </w:pPr>
      <w:r w:rsidRPr="007D17AA">
        <w:rPr>
          <w:color w:val="0070C0"/>
        </w:rPr>
        <w:t xml:space="preserve">Risk adjustment model performance parameters showed excellent calibration with no indication of over-fitting. The mean observed IPF readmission rate </w:t>
      </w:r>
      <w:r w:rsidR="007D1A99">
        <w:rPr>
          <w:color w:val="0070C0"/>
        </w:rPr>
        <w:t>range</w:t>
      </w:r>
      <w:r w:rsidRPr="007D17AA">
        <w:rPr>
          <w:color w:val="0070C0"/>
        </w:rPr>
        <w:t xml:space="preserve"> from </w:t>
      </w:r>
      <w:r w:rsidR="00411642" w:rsidRPr="007D17AA">
        <w:rPr>
          <w:color w:val="0070C0"/>
        </w:rPr>
        <w:t>37.9</w:t>
      </w:r>
      <w:r w:rsidR="00C73842" w:rsidRPr="007D17AA">
        <w:rPr>
          <w:color w:val="0070C0"/>
        </w:rPr>
        <w:t xml:space="preserve"> percent</w:t>
      </w:r>
      <w:r w:rsidRPr="007D17AA">
        <w:rPr>
          <w:color w:val="0070C0"/>
        </w:rPr>
        <w:t xml:space="preserve"> observed 30-day readmission rate in the highest decile to </w:t>
      </w:r>
      <w:r w:rsidR="00411642" w:rsidRPr="007D17AA">
        <w:rPr>
          <w:color w:val="0070C0"/>
        </w:rPr>
        <w:t>8.4</w:t>
      </w:r>
      <w:r w:rsidR="00A508C5" w:rsidRPr="007D17AA">
        <w:rPr>
          <w:color w:val="0070C0"/>
        </w:rPr>
        <w:t xml:space="preserve"> percent</w:t>
      </w:r>
      <w:r w:rsidRPr="007D17AA">
        <w:rPr>
          <w:color w:val="0070C0"/>
        </w:rPr>
        <w:t xml:space="preserve"> in the lowest decile, an absolute difference of </w:t>
      </w:r>
      <w:r w:rsidR="00411642" w:rsidRPr="007D17AA">
        <w:rPr>
          <w:color w:val="0070C0"/>
        </w:rPr>
        <w:t>29.5</w:t>
      </w:r>
      <w:r w:rsidR="00A508C5" w:rsidRPr="007D17AA">
        <w:rPr>
          <w:color w:val="0070C0"/>
        </w:rPr>
        <w:t xml:space="preserve"> percent</w:t>
      </w:r>
      <w:r w:rsidRPr="007D17AA">
        <w:rPr>
          <w:color w:val="0070C0"/>
        </w:rPr>
        <w:t xml:space="preserve">, suggesting good discrimination. </w:t>
      </w:r>
      <w:r w:rsidRPr="007D17AA">
        <w:rPr>
          <w:rFonts w:ascii="Calibri" w:eastAsia="Times New Roman" w:hAnsi="Calibri" w:cs="Calibri"/>
          <w:color w:val="0070C0"/>
        </w:rPr>
        <w:t>The ratio of observed to predicted IPF readmission rates is close to 1.0 for each decile, suggesting adequate calibration of the model. The Hosmer-</w:t>
      </w:r>
      <w:proofErr w:type="spellStart"/>
      <w:r w:rsidRPr="007D17AA">
        <w:rPr>
          <w:rFonts w:ascii="Calibri" w:eastAsia="Times New Roman" w:hAnsi="Calibri" w:cs="Calibri"/>
          <w:color w:val="0070C0"/>
        </w:rPr>
        <w:t>Lemeshow</w:t>
      </w:r>
      <w:proofErr w:type="spellEnd"/>
      <w:r w:rsidRPr="007D17AA">
        <w:rPr>
          <w:rFonts w:ascii="Calibri" w:eastAsia="Times New Roman" w:hAnsi="Calibri" w:cs="Calibri"/>
          <w:color w:val="0070C0"/>
        </w:rPr>
        <w:t xml:space="preserve"> statistic was </w:t>
      </w:r>
      <w:r w:rsidR="00411642" w:rsidRPr="007D17AA">
        <w:rPr>
          <w:rFonts w:ascii="Calibri" w:eastAsia="Times New Roman" w:hAnsi="Calibri" w:cs="Calibri"/>
          <w:color w:val="0070C0"/>
        </w:rPr>
        <w:t>484</w:t>
      </w:r>
      <w:r w:rsidRPr="007D17AA">
        <w:rPr>
          <w:rFonts w:ascii="Calibri" w:eastAsia="Times New Roman" w:hAnsi="Calibri" w:cs="Calibri"/>
          <w:color w:val="0070C0"/>
        </w:rPr>
        <w:t>.</w:t>
      </w:r>
      <w:r w:rsidR="00411642" w:rsidRPr="007D17AA">
        <w:rPr>
          <w:rFonts w:ascii="Calibri" w:eastAsia="Times New Roman" w:hAnsi="Calibri" w:cs="Calibri"/>
          <w:color w:val="0070C0"/>
        </w:rPr>
        <w:t>8</w:t>
      </w:r>
      <w:r w:rsidRPr="007D17AA">
        <w:rPr>
          <w:rFonts w:ascii="Calibri" w:eastAsia="Times New Roman" w:hAnsi="Calibri" w:cs="Calibri"/>
          <w:color w:val="0070C0"/>
        </w:rPr>
        <w:t xml:space="preserve"> (df=</w:t>
      </w:r>
      <w:r w:rsidR="00411642" w:rsidRPr="007D17AA">
        <w:rPr>
          <w:rFonts w:ascii="Calibri" w:eastAsia="Times New Roman" w:hAnsi="Calibri" w:cs="Calibri"/>
          <w:color w:val="0070C0"/>
        </w:rPr>
        <w:t>8</w:t>
      </w:r>
      <w:r w:rsidRPr="007D17AA">
        <w:rPr>
          <w:rFonts w:ascii="Calibri" w:eastAsia="Times New Roman" w:hAnsi="Calibri" w:cs="Calibri"/>
          <w:color w:val="0070C0"/>
        </w:rPr>
        <w:t xml:space="preserve">; p&lt;0.001). </w:t>
      </w:r>
      <w:r w:rsidRPr="007D17AA">
        <w:rPr>
          <w:rFonts w:ascii="Calibri" w:eastAsiaTheme="minorHAnsi" w:hAnsi="Calibri" w:cs="Calibri"/>
          <w:color w:val="0070C0"/>
        </w:rPr>
        <w:t>Given the sensitivity of the Hosmer-</w:t>
      </w:r>
      <w:proofErr w:type="spellStart"/>
      <w:r w:rsidRPr="007D17AA">
        <w:rPr>
          <w:rFonts w:ascii="Calibri" w:eastAsiaTheme="minorHAnsi" w:hAnsi="Calibri" w:cs="Calibri"/>
          <w:color w:val="0070C0"/>
        </w:rPr>
        <w:t>Lemeshow</w:t>
      </w:r>
      <w:proofErr w:type="spellEnd"/>
      <w:r w:rsidRPr="007D17AA">
        <w:rPr>
          <w:rFonts w:ascii="Calibri" w:eastAsiaTheme="minorHAnsi" w:hAnsi="Calibri" w:cs="Calibri"/>
          <w:color w:val="0070C0"/>
        </w:rPr>
        <w:t xml:space="preserve"> statistic to sample size, calibration was reassessed using 20 random samples of 5,000 patients taken from the sample.</w:t>
      </w:r>
      <w:r w:rsidRPr="007D17AA">
        <w:rPr>
          <w:rFonts w:ascii="Calibri" w:eastAsiaTheme="minorHAnsi" w:hAnsi="Calibri" w:cs="Calibri"/>
          <w:color w:val="0070C0"/>
          <w:sz w:val="14"/>
          <w:szCs w:val="14"/>
        </w:rPr>
        <w:t xml:space="preserve"> </w:t>
      </w:r>
      <w:r w:rsidR="000414DD" w:rsidRPr="007D17AA">
        <w:rPr>
          <w:rFonts w:ascii="Calibri" w:eastAsiaTheme="minorHAnsi" w:hAnsi="Calibri" w:cs="Calibri"/>
          <w:color w:val="0070C0"/>
        </w:rPr>
        <w:t>Sixteen</w:t>
      </w:r>
      <w:r w:rsidRPr="007D17AA">
        <w:rPr>
          <w:rFonts w:ascii="Calibri" w:eastAsiaTheme="minorHAnsi" w:hAnsi="Calibri" w:cs="Calibri"/>
          <w:color w:val="0070C0"/>
        </w:rPr>
        <w:t xml:space="preserve"> of the 20 randomly selected samples of 5,000 patients showed non-significant H-L statistics</w:t>
      </w:r>
      <w:r w:rsidR="00A508C5" w:rsidRPr="007D17AA">
        <w:rPr>
          <w:rFonts w:ascii="Calibri" w:eastAsiaTheme="minorHAnsi" w:hAnsi="Calibri" w:cs="Calibri"/>
          <w:color w:val="0070C0"/>
        </w:rPr>
        <w:t>,</w:t>
      </w:r>
      <w:r w:rsidRPr="007D17AA">
        <w:rPr>
          <w:rFonts w:ascii="Calibri" w:eastAsiaTheme="minorHAnsi" w:hAnsi="Calibri" w:cs="Calibri"/>
          <w:color w:val="0070C0"/>
        </w:rPr>
        <w:t xml:space="preserve"> supporting the evidence that the model is correctly specified and fits the data well. </w:t>
      </w:r>
      <w:r w:rsidRPr="007D17AA">
        <w:rPr>
          <w:color w:val="0070C0"/>
        </w:rPr>
        <w:t xml:space="preserve">The </w:t>
      </w:r>
      <w:r w:rsidR="00A508C5" w:rsidRPr="007D17AA">
        <w:rPr>
          <w:color w:val="0070C0"/>
        </w:rPr>
        <w:t>C</w:t>
      </w:r>
      <w:r w:rsidRPr="007D17AA">
        <w:rPr>
          <w:color w:val="0070C0"/>
        </w:rPr>
        <w:t>-statistic of 0.65</w:t>
      </w:r>
      <w:r w:rsidR="00563053" w:rsidRPr="007D17AA">
        <w:rPr>
          <w:color w:val="0070C0"/>
        </w:rPr>
        <w:t>7</w:t>
      </w:r>
      <w:r w:rsidRPr="007D17AA">
        <w:rPr>
          <w:color w:val="0070C0"/>
        </w:rPr>
        <w:t xml:space="preserve"> suggests moderate predictive discrimination, expressed as the model’s ability to distinguish between index admissions that are and are not </w:t>
      </w:r>
      <w:r w:rsidR="00E9317E">
        <w:rPr>
          <w:color w:val="0070C0"/>
        </w:rPr>
        <w:t xml:space="preserve">followed by a </w:t>
      </w:r>
      <w:r w:rsidR="00E9317E" w:rsidRPr="007D17AA">
        <w:rPr>
          <w:color w:val="0070C0"/>
        </w:rPr>
        <w:t>readmi</w:t>
      </w:r>
      <w:r w:rsidR="00E9317E">
        <w:rPr>
          <w:color w:val="0070C0"/>
        </w:rPr>
        <w:t xml:space="preserve">ssion </w:t>
      </w:r>
      <w:r w:rsidRPr="007D17AA">
        <w:rPr>
          <w:color w:val="0070C0"/>
        </w:rPr>
        <w:t xml:space="preserve">. Statistical findings of </w:t>
      </w:r>
      <w:r w:rsidRPr="007D17AA">
        <w:rPr>
          <w:color w:val="0070C0"/>
        </w:rPr>
        <w:lastRenderedPageBreak/>
        <w:t xml:space="preserve">excellent calibration are confirmed when comparing observed to predicted probabilities by risk deciles (see plot in 2b3.8). </w:t>
      </w:r>
      <w:r w:rsidR="00B07A0A" w:rsidRPr="007D17AA">
        <w:rPr>
          <w:color w:val="0070C0"/>
        </w:rPr>
        <w:t>The results are in-line with the other NQF-endorsed readmission measures developed for other settings, such as Hospital 30-Day Heart Failure Readmission measure (0.601); Hospital 30-Day Pneumonia Readmission Measure (0.630); Hospital 30-Day Acute Myocardial Infarction Readmission Measure (0.630); Hospital-Wide Readmission Measure (0.64 to 0.71</w:t>
      </w:r>
      <w:r w:rsidRPr="007D17AA">
        <w:rPr>
          <w:color w:val="0070C0"/>
        </w:rPr>
        <w:t>).</w:t>
      </w:r>
      <w:r w:rsidR="00744E76" w:rsidRPr="007D17AA">
        <w:rPr>
          <w:rStyle w:val="EndnoteReference"/>
          <w:color w:val="0070C0"/>
        </w:rPr>
        <w:endnoteReference w:id="43"/>
      </w:r>
    </w:p>
    <w:p w14:paraId="4768C0D1" w14:textId="77777777" w:rsidR="00086FAC" w:rsidRPr="00A25024" w:rsidRDefault="00086FAC" w:rsidP="00086FAC">
      <w:pPr>
        <w:spacing w:after="0" w:line="240" w:lineRule="auto"/>
        <w:rPr>
          <w:rFonts w:cstheme="minorHAnsi"/>
        </w:rPr>
      </w:pPr>
    </w:p>
    <w:p w14:paraId="18B9E759" w14:textId="77777777" w:rsidR="00086FAC" w:rsidRDefault="00086FAC" w:rsidP="00086FAC">
      <w:pPr>
        <w:spacing w:after="0" w:line="240" w:lineRule="auto"/>
        <w:rPr>
          <w:rFonts w:cstheme="minorHAnsi"/>
        </w:rPr>
      </w:pPr>
      <w:r w:rsidRPr="00BE47C7">
        <w:rPr>
          <w:rFonts w:cstheme="minorHAnsi"/>
          <w:b/>
        </w:rPr>
        <w:t>2b3.11.</w:t>
      </w:r>
      <w:r w:rsidRPr="00BE47C7">
        <w:rPr>
          <w:rFonts w:cstheme="minorHAnsi"/>
        </w:rPr>
        <w:t xml:space="preserve"> </w:t>
      </w:r>
      <w:r w:rsidRPr="00BE47C7">
        <w:rPr>
          <w:rFonts w:cstheme="minorHAnsi"/>
          <w:b/>
        </w:rPr>
        <w:t>Optional Additional Testing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 e.g., testing of risk model in another data set; sensitivity analysis for missing data; other methods that were assessed</w:t>
      </w:r>
      <w:r>
        <w:rPr>
          <w:rFonts w:cstheme="minorHAnsi"/>
        </w:rPr>
        <w:t>)</w:t>
      </w:r>
    </w:p>
    <w:p w14:paraId="75D0516B" w14:textId="7EA08731" w:rsidR="009B4D9E" w:rsidRPr="007D17AA" w:rsidRDefault="009B4D9E" w:rsidP="009B4D9E">
      <w:pPr>
        <w:spacing w:after="120" w:line="240" w:lineRule="auto"/>
        <w:rPr>
          <w:color w:val="0070C0"/>
        </w:rPr>
      </w:pPr>
      <w:r w:rsidRPr="007D17AA">
        <w:rPr>
          <w:color w:val="0070C0"/>
        </w:rPr>
        <w:t>The IPF Readmission measure was developed to align with national guidelines for publicly reported outcome measures. The definition of the measure and construction of the risk</w:t>
      </w:r>
      <w:r w:rsidR="00CF63E3" w:rsidRPr="007D17AA">
        <w:rPr>
          <w:color w:val="0070C0"/>
        </w:rPr>
        <w:t>-</w:t>
      </w:r>
      <w:r w:rsidRPr="007D17AA">
        <w:rPr>
          <w:color w:val="0070C0"/>
        </w:rPr>
        <w:t>adjustment model are consistent with established standards for outcome measurement defined in the NQF guidance for outcome measures,</w:t>
      </w:r>
      <w:r w:rsidRPr="007D17AA">
        <w:rPr>
          <w:color w:val="0070C0"/>
        </w:rPr>
        <w:fldChar w:fldCharType="begin"/>
      </w:r>
      <w:r w:rsidRPr="007D17AA">
        <w:rPr>
          <w:color w:val="0070C0"/>
        </w:rPr>
        <w:instrText xml:space="preserve"> ADDIN EN.CITE &lt;EndNote&gt;&lt;Cite ExcludeAuth="1"&gt;&lt;Year&gt;2015&lt;/Year&gt;&lt;RecNum&gt;0&lt;/RecNum&gt;&lt;IDText&gt;Measure Evaluation Criteria and Guidance&lt;/IDText&gt;&lt;DisplayText&gt;&lt;style face="superscript"&gt;10&lt;/style&gt;&lt;/DisplayText&gt;&lt;record&gt;&lt;urls&gt;&lt;related-urls&gt;&lt;url&gt;http://www.qualityforum.org/Measuring_Performance/Submitting_Standards.aspx&lt;/url&gt;&lt;/related-urls&gt;&lt;/urls&gt;&lt;titles&gt;&lt;title&gt;Measure Evaluation Criteria and Guidance&amp;#xA;for Evaluating Measures for Endorsement&lt;/title&gt;&lt;/titles&gt;&lt;added-date format="utc"&gt;1447262910&lt;/added-date&gt;&lt;ref-type name="Web Page"&gt;12&lt;/ref-type&gt;&lt;dates&gt;&lt;year&gt;2015&lt;/year&gt;&lt;/dates&gt;&lt;rec-number&gt;19&lt;/rec-number&gt;&lt;publisher&gt;National Quality Forum&lt;/publisher&gt;&lt;last-updated-date format="utc"&gt;1447369886&lt;/last-updated-date&gt;&lt;/record&gt;&lt;/Cite&gt;&lt;/EndNote&gt;</w:instrText>
      </w:r>
      <w:r w:rsidRPr="007D17AA">
        <w:rPr>
          <w:color w:val="0070C0"/>
        </w:rPr>
        <w:fldChar w:fldCharType="end"/>
      </w:r>
      <w:r w:rsidRPr="007D17AA">
        <w:rPr>
          <w:color w:val="0070C0"/>
        </w:rPr>
        <w:t xml:space="preserve"> the CMS Measures Management System guidance, and the American Heart Association scientific statement on statistical modeling of outcome measures.</w:t>
      </w:r>
      <w:r w:rsidRPr="007D17AA">
        <w:rPr>
          <w:rStyle w:val="EndnoteReference"/>
          <w:color w:val="0070C0"/>
        </w:rPr>
        <w:endnoteReference w:id="44"/>
      </w:r>
      <w:r w:rsidRPr="007D17AA">
        <w:rPr>
          <w:color w:val="0070C0"/>
        </w:rPr>
        <w:t xml:space="preserve"> </w:t>
      </w:r>
    </w:p>
    <w:p w14:paraId="69B740D9" w14:textId="682EBCE4" w:rsidR="009B4D9E" w:rsidRPr="007D17AA" w:rsidRDefault="009B4D9E" w:rsidP="009B4D9E">
      <w:pPr>
        <w:spacing w:before="120" w:after="120" w:line="240" w:lineRule="auto"/>
        <w:rPr>
          <w:color w:val="0070C0"/>
        </w:rPr>
      </w:pPr>
      <w:r w:rsidRPr="007D17AA">
        <w:rPr>
          <w:color w:val="0070C0"/>
        </w:rPr>
        <w:t xml:space="preserve">For risk adjustment, </w:t>
      </w:r>
      <w:r w:rsidR="00D756B4" w:rsidRPr="007D17AA">
        <w:rPr>
          <w:color w:val="0070C0"/>
        </w:rPr>
        <w:t xml:space="preserve">we conducted </w:t>
      </w:r>
      <w:r w:rsidRPr="007D17AA">
        <w:rPr>
          <w:color w:val="0070C0"/>
        </w:rPr>
        <w:t>a systematic literature review to identify all risk factors used in studies that aimed to explain readmission in psychiatric patients. Risk factor selection employed both clinical assessment of risk factor frequencies and plausibility of univariate associations as well as a standard statistical selection process aimed at maximizing the predictive ability of the model.</w:t>
      </w:r>
    </w:p>
    <w:p w14:paraId="363FAA49" w14:textId="70FCB27A" w:rsidR="009B4D9E" w:rsidRPr="007D17AA" w:rsidRDefault="00D756B4" w:rsidP="007438D5">
      <w:pPr>
        <w:spacing w:after="0" w:line="240" w:lineRule="auto"/>
        <w:rPr>
          <w:rFonts w:eastAsia="Times New Roman"/>
          <w:color w:val="0070C0"/>
        </w:rPr>
      </w:pPr>
      <w:r w:rsidRPr="007D17AA">
        <w:rPr>
          <w:color w:val="0070C0"/>
        </w:rPr>
        <w:t xml:space="preserve">In ascertaining risk factor, we paid </w:t>
      </w:r>
      <w:proofErr w:type="gramStart"/>
      <w:r w:rsidRPr="007D17AA">
        <w:rPr>
          <w:color w:val="0070C0"/>
        </w:rPr>
        <w:t>p</w:t>
      </w:r>
      <w:r w:rsidR="009B4D9E" w:rsidRPr="007D17AA">
        <w:rPr>
          <w:color w:val="0070C0"/>
        </w:rPr>
        <w:t>articular attention</w:t>
      </w:r>
      <w:proofErr w:type="gramEnd"/>
      <w:r w:rsidR="009B4D9E" w:rsidRPr="007D17AA">
        <w:rPr>
          <w:color w:val="0070C0"/>
        </w:rPr>
        <w:t xml:space="preserve"> to both sensitivity and specificity by including diagnoses from outpatient billing records, which captured a variety of non-psychiatric comorbidities not recorded in the index admission claims. To ensure that the diagnoses assigned to outpatient encounters truly captured the manifestation of a disease as opposed to diagnostic work-up, </w:t>
      </w:r>
      <w:r w:rsidRPr="007D17AA">
        <w:rPr>
          <w:color w:val="0070C0"/>
        </w:rPr>
        <w:t xml:space="preserve">we restricted </w:t>
      </w:r>
      <w:r w:rsidR="009B4D9E" w:rsidRPr="007D17AA">
        <w:rPr>
          <w:color w:val="0070C0"/>
        </w:rPr>
        <w:t xml:space="preserve">outpatient claims to those with </w:t>
      </w:r>
      <w:r w:rsidRPr="007D17AA">
        <w:rPr>
          <w:rStyle w:val="acopre"/>
          <w:color w:val="0070C0"/>
        </w:rPr>
        <w:t>evaluation and management</w:t>
      </w:r>
      <w:r w:rsidRPr="007D17AA">
        <w:rPr>
          <w:rFonts w:eastAsia="Times New Roman"/>
          <w:color w:val="0070C0"/>
        </w:rPr>
        <w:t xml:space="preserve"> </w:t>
      </w:r>
      <w:r w:rsidR="009B4D9E" w:rsidRPr="007D17AA">
        <w:rPr>
          <w:color w:val="0070C0"/>
        </w:rPr>
        <w:t xml:space="preserve">procedure codes and required a minimum of two claims with diagnoses within the same </w:t>
      </w:r>
      <w:r w:rsidRPr="007D17AA">
        <w:rPr>
          <w:color w:val="0070C0"/>
        </w:rPr>
        <w:t>c</w:t>
      </w:r>
      <w:r w:rsidR="009B4D9E" w:rsidRPr="007D17AA">
        <w:rPr>
          <w:color w:val="0070C0"/>
        </w:rPr>
        <w:t xml:space="preserve">ondition </w:t>
      </w:r>
      <w:r w:rsidRPr="007D17AA">
        <w:rPr>
          <w:color w:val="0070C0"/>
        </w:rPr>
        <w:t>c</w:t>
      </w:r>
      <w:r w:rsidR="009B4D9E" w:rsidRPr="007D17AA">
        <w:rPr>
          <w:color w:val="0070C0"/>
        </w:rPr>
        <w:t xml:space="preserve">ategory (CC) grouping. </w:t>
      </w:r>
    </w:p>
    <w:p w14:paraId="43748A1C" w14:textId="7981489E" w:rsidR="009B4D9E" w:rsidRPr="007D17AA" w:rsidRDefault="009B4D9E" w:rsidP="009B4D9E">
      <w:pPr>
        <w:spacing w:before="120" w:after="120" w:line="240" w:lineRule="auto"/>
        <w:rPr>
          <w:color w:val="0070C0"/>
        </w:rPr>
      </w:pPr>
      <w:r w:rsidRPr="007D17AA">
        <w:rPr>
          <w:color w:val="0070C0"/>
        </w:rPr>
        <w:t xml:space="preserve">For risk factor selection, measure developers considered both psychiatric and non-psychiatric problems that may necessitate readmission separately to ensure a comprehensive approach to address both etiologies. Because psychiatric etiologies were expected to be dominant, </w:t>
      </w:r>
      <w:r w:rsidR="00E77C87" w:rsidRPr="007D17AA">
        <w:rPr>
          <w:color w:val="0070C0"/>
        </w:rPr>
        <w:t>we</w:t>
      </w:r>
      <w:r w:rsidR="0088527A" w:rsidRPr="007D17AA">
        <w:rPr>
          <w:color w:val="0070C0"/>
        </w:rPr>
        <w:t xml:space="preserve"> paid </w:t>
      </w:r>
      <w:r w:rsidRPr="007D17AA">
        <w:rPr>
          <w:color w:val="0070C0"/>
        </w:rPr>
        <w:t>special attention to the sensitivity and specificity of psychiatric risk factors in distinguishing low- and high-risk groups for readmission. Specifically, developers carefully considered the most appropriate way to cluster psychiatric diagnosis codes for risk adjustment. We extracted all ICD-10-CM codes that are included in the AHRQ CCS</w:t>
      </w:r>
      <w:r w:rsidRPr="007D17AA">
        <w:rPr>
          <w:rStyle w:val="FootnoteReference"/>
          <w:color w:val="0070C0"/>
        </w:rPr>
        <w:footnoteReference w:id="5"/>
      </w:r>
      <w:r w:rsidRPr="007D17AA">
        <w:rPr>
          <w:color w:val="0070C0"/>
        </w:rPr>
        <w:t xml:space="preserve"> for principal discharge diagnoses and CMS CC diagnosis classifications that represent mental illness.</w:t>
      </w:r>
      <w:r w:rsidRPr="007D17AA">
        <w:rPr>
          <w:rFonts w:cs="Times New Roman"/>
          <w:color w:val="0070C0"/>
          <w:szCs w:val="24"/>
        </w:rPr>
        <w:t xml:space="preserve"> This mapping exercise resulted in a total of 2,063 distinct</w:t>
      </w:r>
      <w:r w:rsidRPr="007D17AA">
        <w:rPr>
          <w:color w:val="0070C0"/>
        </w:rPr>
        <w:t xml:space="preserve"> ICD-10-CM codes that we grouped into a mental illness category by at least one of the classification algorithms. We then determined differences between the grouping approaches, reviewed frequencies and readmission rates for individual categories </w:t>
      </w:r>
      <w:r w:rsidR="00AC6EDC" w:rsidRPr="007D17AA">
        <w:rPr>
          <w:color w:val="0070C0"/>
        </w:rPr>
        <w:t>and</w:t>
      </w:r>
      <w:r w:rsidRPr="007D17AA">
        <w:rPr>
          <w:color w:val="0070C0"/>
        </w:rPr>
        <w:t xml:space="preserve"> individual ICD-10-CM </w:t>
      </w:r>
      <w:proofErr w:type="gramStart"/>
      <w:r w:rsidRPr="007D17AA">
        <w:rPr>
          <w:color w:val="0070C0"/>
        </w:rPr>
        <w:t>codes</w:t>
      </w:r>
      <w:r w:rsidR="00E77C87" w:rsidRPr="007D17AA">
        <w:rPr>
          <w:color w:val="0070C0"/>
        </w:rPr>
        <w:t>,</w:t>
      </w:r>
      <w:r w:rsidRPr="007D17AA">
        <w:rPr>
          <w:color w:val="0070C0"/>
        </w:rPr>
        <w:t xml:space="preserve"> and</w:t>
      </w:r>
      <w:proofErr w:type="gramEnd"/>
      <w:r w:rsidRPr="007D17AA">
        <w:rPr>
          <w:color w:val="0070C0"/>
        </w:rPr>
        <w:t xml:space="preserve"> sought clinical expertise to assess clinical coherence of groupings. This process resulted in regrouping or splitting of several CC and/or CCS categories to optimize the explanatory contribution of each variable in the risk</w:t>
      </w:r>
      <w:r w:rsidR="00AC6EDC" w:rsidRPr="007D17AA">
        <w:rPr>
          <w:color w:val="0070C0"/>
        </w:rPr>
        <w:t>-</w:t>
      </w:r>
      <w:r w:rsidRPr="007D17AA">
        <w:rPr>
          <w:color w:val="0070C0"/>
        </w:rPr>
        <w:t xml:space="preserve">adjustment model. Out of these </w:t>
      </w:r>
      <w:bookmarkStart w:id="49" w:name="_Hlk57730686"/>
      <w:r w:rsidRPr="007D17AA">
        <w:rPr>
          <w:color w:val="0070C0"/>
        </w:rPr>
        <w:t>2,063 unique ICD-10-CM codes</w:t>
      </w:r>
      <w:r w:rsidR="00AC6EDC" w:rsidRPr="007D17AA">
        <w:rPr>
          <w:color w:val="0070C0"/>
        </w:rPr>
        <w:t>,</w:t>
      </w:r>
      <w:r w:rsidRPr="007D17AA">
        <w:rPr>
          <w:color w:val="0070C0"/>
        </w:rPr>
        <w:t xml:space="preserve"> 612 were present in the data</w:t>
      </w:r>
      <w:bookmarkEnd w:id="49"/>
      <w:r w:rsidRPr="007D17AA">
        <w:rPr>
          <w:color w:val="0070C0"/>
        </w:rPr>
        <w:t xml:space="preserve">. </w:t>
      </w:r>
    </w:p>
    <w:p w14:paraId="53DFF637" w14:textId="77777777" w:rsidR="00086FAC" w:rsidRPr="00A25024" w:rsidRDefault="00086FAC" w:rsidP="00086FAC">
      <w:pPr>
        <w:autoSpaceDE w:val="0"/>
        <w:autoSpaceDN w:val="0"/>
        <w:adjustRightInd w:val="0"/>
        <w:spacing w:after="0" w:line="240" w:lineRule="auto"/>
        <w:rPr>
          <w:rFonts w:cstheme="minorHAnsi"/>
          <w:bCs/>
        </w:rPr>
      </w:pPr>
      <w:r>
        <w:rPr>
          <w:rFonts w:cstheme="minorHAnsi"/>
          <w:bCs/>
        </w:rPr>
        <w:t>_______________________</w:t>
      </w:r>
    </w:p>
    <w:p w14:paraId="51F57A77" w14:textId="77777777" w:rsidR="00086FAC" w:rsidRPr="00A25024" w:rsidRDefault="00086FAC" w:rsidP="00086FAC">
      <w:pPr>
        <w:autoSpaceDE w:val="0"/>
        <w:autoSpaceDN w:val="0"/>
        <w:adjustRightInd w:val="0"/>
        <w:spacing w:after="0" w:line="240" w:lineRule="auto"/>
        <w:rPr>
          <w:rFonts w:cstheme="minorHAnsi"/>
          <w:b/>
          <w:bCs/>
        </w:rPr>
      </w:pPr>
      <w:bookmarkStart w:id="50" w:name="section2b5"/>
      <w:bookmarkEnd w:id="50"/>
      <w:r>
        <w:rPr>
          <w:rFonts w:cstheme="minorHAnsi"/>
          <w:b/>
          <w:bCs/>
        </w:rPr>
        <w:t>2b4</w:t>
      </w:r>
      <w:r w:rsidRPr="00A25024">
        <w:rPr>
          <w:rFonts w:cstheme="minorHAnsi"/>
          <w:b/>
          <w:bCs/>
        </w:rPr>
        <w:t>. IDENTIFICATION OF STATISTICALLY SIGNIFICANT &amp; MEANINGFUL DIFFERENCES IN PERFORMANCE</w:t>
      </w:r>
    </w:p>
    <w:p w14:paraId="516802F1" w14:textId="26BFB5FB" w:rsidR="00086FAC" w:rsidRPr="007D17AA" w:rsidRDefault="00086FAC" w:rsidP="00086FAC">
      <w:pPr>
        <w:spacing w:after="120" w:line="240" w:lineRule="auto"/>
        <w:rPr>
          <w:color w:val="0070C0"/>
        </w:rPr>
      </w:pPr>
      <w:r>
        <w:rPr>
          <w:rFonts w:cstheme="minorHAnsi"/>
          <w:b/>
          <w:bCs/>
        </w:rPr>
        <w:t>2b4.1.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r>
      <w:r w:rsidR="00947701" w:rsidRPr="007D17AA">
        <w:rPr>
          <w:color w:val="0070C0"/>
        </w:rPr>
        <w:lastRenderedPageBreak/>
        <w:t xml:space="preserve">We estimated the </w:t>
      </w:r>
      <w:r w:rsidRPr="007D17AA">
        <w:rPr>
          <w:color w:val="0070C0"/>
        </w:rPr>
        <w:t>RSRR</w:t>
      </w:r>
      <w:r w:rsidR="00947701" w:rsidRPr="007D17AA">
        <w:rPr>
          <w:color w:val="0070C0"/>
        </w:rPr>
        <w:t>s</w:t>
      </w:r>
      <w:r w:rsidRPr="007D17AA">
        <w:rPr>
          <w:color w:val="0070C0"/>
        </w:rPr>
        <w:t xml:space="preserve"> for each IPF from the results of the hierarchical logistic regression model as follows. The standardized risk ratio was calculated as the predicted number of readmissions over the expected number of readmissions (P/E) for each IPF. This is analogous to the observed over expected ratio (O/E) calculated using simple logistic regression. We estimated the </w:t>
      </w:r>
      <w:r w:rsidRPr="007D17AA">
        <w:rPr>
          <w:i/>
          <w:color w:val="0070C0"/>
        </w:rPr>
        <w:t>predicted</w:t>
      </w:r>
      <w:r w:rsidRPr="007D17AA">
        <w:rPr>
          <w:color w:val="0070C0"/>
        </w:rPr>
        <w:t xml:space="preserve"> number of readmissions for each IPF using the sum of the estimated probability of readmission for each index admission at that IPF that was calculated from the hospital-specific intercept </w:t>
      </w:r>
      <w:r w:rsidRPr="007D17AA">
        <w:rPr>
          <w:rFonts w:ascii="Lucida Grande" w:hAnsi="Lucida Grande" w:cs="Lucida Grande"/>
          <w:color w:val="0070C0"/>
        </w:rPr>
        <w:t>α</w:t>
      </w:r>
      <w:r w:rsidR="00E9317E" w:rsidRPr="00E9317E">
        <w:rPr>
          <w:rFonts w:ascii="Lucida Grande" w:hAnsi="Lucida Grande" w:cs="Lucida Grande"/>
          <w:color w:val="0070C0"/>
          <w:vertAlign w:val="subscript"/>
        </w:rPr>
        <w:t>j</w:t>
      </w:r>
      <w:r w:rsidRPr="007D17AA">
        <w:rPr>
          <w:color w:val="0070C0"/>
        </w:rPr>
        <w:t xml:space="preserve"> (random effect) and all other risk factors. </w:t>
      </w:r>
      <w:r w:rsidR="00CF6BAC" w:rsidRPr="007D17AA">
        <w:rPr>
          <w:color w:val="0070C0"/>
        </w:rPr>
        <w:t>We then calculated t</w:t>
      </w:r>
      <w:r w:rsidRPr="007D17AA">
        <w:rPr>
          <w:color w:val="0070C0"/>
        </w:rPr>
        <w:t xml:space="preserve">he expected number of readmissions for each hospital using the same sum of readmission probabilities for each index admission that </w:t>
      </w:r>
      <w:r w:rsidR="00CF6BAC" w:rsidRPr="007D17AA">
        <w:rPr>
          <w:color w:val="0070C0"/>
        </w:rPr>
        <w:t>we</w:t>
      </w:r>
      <w:r w:rsidRPr="007D17AA">
        <w:rPr>
          <w:color w:val="0070C0"/>
        </w:rPr>
        <w:t xml:space="preserve"> calculated from the average intercept and all other risk factors. </w:t>
      </w:r>
    </w:p>
    <w:p w14:paraId="1C4227C4" w14:textId="77777777" w:rsidR="00F93648" w:rsidRPr="007D17AA" w:rsidRDefault="00F93648" w:rsidP="00F93648">
      <w:pPr>
        <w:spacing w:after="120" w:line="240" w:lineRule="auto"/>
        <w:rPr>
          <w:color w:val="0070C0"/>
        </w:rPr>
      </w:pPr>
      <w:r w:rsidRPr="007D17AA">
        <w:rPr>
          <w:color w:val="0070C0"/>
        </w:rPr>
        <w:t xml:space="preserve">The standardized risk ratio is then calculated as </w:t>
      </w:r>
    </w:p>
    <w:p w14:paraId="30FC4972" w14:textId="77777777" w:rsidR="00F93648" w:rsidRPr="007D17AA" w:rsidRDefault="00F93648" w:rsidP="00F93648">
      <w:pPr>
        <w:tabs>
          <w:tab w:val="left" w:pos="5670"/>
        </w:tabs>
        <w:ind w:left="720" w:firstLine="720"/>
        <w:rPr>
          <w:color w:val="0070C0"/>
        </w:rPr>
      </w:pPr>
      <w:proofErr w:type="spellStart"/>
      <w:r w:rsidRPr="007D17AA">
        <w:rPr>
          <w:color w:val="0070C0"/>
        </w:rPr>
        <w:t>SRR</w:t>
      </w:r>
      <w:r w:rsidRPr="007D17AA">
        <w:rPr>
          <w:i/>
          <w:color w:val="0070C0"/>
          <w:vertAlign w:val="subscript"/>
        </w:rPr>
        <w:t>j</w:t>
      </w:r>
      <w:proofErr w:type="spellEnd"/>
      <w:r w:rsidRPr="007D17AA">
        <w:rPr>
          <w:color w:val="0070C0"/>
        </w:rPr>
        <w:t xml:space="preserve"> = </w:t>
      </w:r>
      <w:proofErr w:type="spellStart"/>
      <w:r w:rsidRPr="007D17AA">
        <w:rPr>
          <w:color w:val="0070C0"/>
        </w:rPr>
        <w:t>pred</w:t>
      </w:r>
      <w:r w:rsidRPr="007D17AA">
        <w:rPr>
          <w:i/>
          <w:color w:val="0070C0"/>
          <w:vertAlign w:val="subscript"/>
        </w:rPr>
        <w:t>j</w:t>
      </w:r>
      <w:proofErr w:type="spellEnd"/>
      <w:r w:rsidRPr="007D17AA">
        <w:rPr>
          <w:color w:val="0070C0"/>
        </w:rPr>
        <w:t>/</w:t>
      </w:r>
      <w:proofErr w:type="spellStart"/>
      <w:r w:rsidRPr="007D17AA">
        <w:rPr>
          <w:color w:val="0070C0"/>
        </w:rPr>
        <w:t>exp</w:t>
      </w:r>
      <w:r w:rsidRPr="007D17AA">
        <w:rPr>
          <w:i/>
          <w:color w:val="0070C0"/>
          <w:vertAlign w:val="subscript"/>
        </w:rPr>
        <w:t>j</w:t>
      </w:r>
      <w:proofErr w:type="spellEnd"/>
      <w:r w:rsidRPr="007D17AA">
        <w:rPr>
          <w:color w:val="0070C0"/>
        </w:rPr>
        <w:tab/>
        <w:t>(2)</w:t>
      </w:r>
    </w:p>
    <w:p w14:paraId="599A5994" w14:textId="77777777" w:rsidR="00F93648" w:rsidRPr="007D17AA" w:rsidRDefault="00F93648" w:rsidP="00F93648">
      <w:pPr>
        <w:spacing w:after="120" w:line="240" w:lineRule="auto"/>
        <w:rPr>
          <w:color w:val="0070C0"/>
        </w:rPr>
      </w:pPr>
      <w:r w:rsidRPr="007D17AA">
        <w:rPr>
          <w:color w:val="0070C0"/>
        </w:rPr>
        <w:t>where</w:t>
      </w:r>
    </w:p>
    <w:p w14:paraId="116B6154" w14:textId="77777777" w:rsidR="00F93648" w:rsidRPr="007D17AA" w:rsidRDefault="00F93648" w:rsidP="00F93648">
      <w:pPr>
        <w:tabs>
          <w:tab w:val="left" w:pos="5670"/>
        </w:tabs>
        <w:spacing w:after="120" w:line="240" w:lineRule="auto"/>
        <w:ind w:left="720" w:firstLine="720"/>
        <w:rPr>
          <w:rFonts w:cs="Times New Roman"/>
          <w:color w:val="0070C0"/>
        </w:rPr>
      </w:pPr>
      <w:proofErr w:type="spellStart"/>
      <w:r w:rsidRPr="007D17AA">
        <w:rPr>
          <w:color w:val="0070C0"/>
        </w:rPr>
        <w:t>pred</w:t>
      </w:r>
      <w:r w:rsidRPr="007D17AA">
        <w:rPr>
          <w:i/>
          <w:color w:val="0070C0"/>
          <w:vertAlign w:val="subscript"/>
        </w:rPr>
        <w:t>j</w:t>
      </w:r>
      <w:proofErr w:type="spellEnd"/>
      <w:r w:rsidRPr="007D17AA">
        <w:rPr>
          <w:color w:val="0070C0"/>
        </w:rPr>
        <w:t xml:space="preserve"> = </w:t>
      </w:r>
      <w:r w:rsidRPr="007D17AA">
        <w:rPr>
          <w:rFonts w:ascii="Lucida Grande" w:hAnsi="Lucida Grande" w:cs="Lucida Grande"/>
          <w:color w:val="0070C0"/>
        </w:rPr>
        <w:t>Σ</w:t>
      </w:r>
      <w:r w:rsidRPr="007D17AA">
        <w:rPr>
          <w:rFonts w:cs="Times New Roman"/>
          <w:color w:val="0070C0"/>
        </w:rPr>
        <w:t>logit</w:t>
      </w:r>
      <w:r w:rsidRPr="007D17AA">
        <w:rPr>
          <w:rFonts w:cs="Times New Roman"/>
          <w:color w:val="0070C0"/>
          <w:vertAlign w:val="superscript"/>
        </w:rPr>
        <w:t>-1</w:t>
      </w:r>
      <w:r w:rsidRPr="007D17AA">
        <w:rPr>
          <w:rFonts w:cs="Times New Roman"/>
          <w:color w:val="0070C0"/>
        </w:rPr>
        <w:t xml:space="preserve"> (</w:t>
      </w:r>
      <w:r w:rsidRPr="007D17AA">
        <w:rPr>
          <w:rFonts w:ascii="Lucida Grande" w:hAnsi="Lucida Grande" w:cs="Lucida Grande"/>
          <w:color w:val="0070C0"/>
        </w:rPr>
        <w:t>α</w:t>
      </w:r>
      <w:r w:rsidRPr="007D17AA">
        <w:rPr>
          <w:rFonts w:ascii="Lucida Grande" w:hAnsi="Lucida Grande" w:cs="Lucida Grande"/>
          <w:color w:val="0070C0"/>
          <w:vertAlign w:val="subscript"/>
        </w:rPr>
        <w:t>j</w:t>
      </w:r>
      <w:r w:rsidRPr="007D17AA">
        <w:rPr>
          <w:color w:val="0070C0"/>
        </w:rPr>
        <w:t xml:space="preserve"> + </w:t>
      </w:r>
      <w:r w:rsidRPr="007D17AA">
        <w:rPr>
          <w:rFonts w:ascii="Lucida Grande" w:hAnsi="Lucida Grande" w:cs="Lucida Grande"/>
          <w:color w:val="0070C0"/>
        </w:rPr>
        <w:t>β</w:t>
      </w:r>
      <w:r w:rsidRPr="007D17AA">
        <w:rPr>
          <w:rFonts w:cs="Times New Roman"/>
          <w:color w:val="0070C0"/>
        </w:rPr>
        <w:t>*Z</w:t>
      </w:r>
      <w:r w:rsidRPr="007D17AA">
        <w:rPr>
          <w:rFonts w:cs="Times New Roman"/>
          <w:i/>
          <w:color w:val="0070C0"/>
          <w:vertAlign w:val="subscript"/>
        </w:rPr>
        <w:t>ij</w:t>
      </w:r>
      <w:r w:rsidRPr="007D17AA">
        <w:rPr>
          <w:rFonts w:cs="Times New Roman"/>
          <w:color w:val="0070C0"/>
        </w:rPr>
        <w:t>)</w:t>
      </w:r>
      <w:r w:rsidRPr="007D17AA">
        <w:rPr>
          <w:rFonts w:cs="Times New Roman"/>
          <w:color w:val="0070C0"/>
        </w:rPr>
        <w:tab/>
        <w:t>(3)</w:t>
      </w:r>
    </w:p>
    <w:p w14:paraId="5F818FD5" w14:textId="77777777" w:rsidR="00F93648" w:rsidRPr="007D17AA" w:rsidRDefault="00F93648" w:rsidP="00F93648">
      <w:pPr>
        <w:spacing w:after="120" w:line="240" w:lineRule="auto"/>
        <w:rPr>
          <w:rFonts w:cs="Times New Roman"/>
          <w:color w:val="0070C0"/>
        </w:rPr>
      </w:pPr>
      <w:r w:rsidRPr="007D17AA">
        <w:rPr>
          <w:color w:val="0070C0"/>
        </w:rPr>
        <w:t xml:space="preserve">where the sum is over all stays in IPF </w:t>
      </w:r>
      <w:r w:rsidRPr="007D17AA">
        <w:rPr>
          <w:i/>
          <w:iCs/>
          <w:color w:val="0070C0"/>
        </w:rPr>
        <w:t>j</w:t>
      </w:r>
      <w:r w:rsidRPr="007D17AA">
        <w:rPr>
          <w:color w:val="0070C0"/>
        </w:rPr>
        <w:t xml:space="preserve">, </w:t>
      </w:r>
      <w:proofErr w:type="spellStart"/>
      <w:r w:rsidRPr="007D17AA">
        <w:rPr>
          <w:rFonts w:ascii="Lucida Grande" w:hAnsi="Lucida Grande" w:cs="Lucida Grande"/>
          <w:color w:val="0070C0"/>
        </w:rPr>
        <w:t>a</w:t>
      </w:r>
      <w:r w:rsidRPr="007D17AA">
        <w:rPr>
          <w:color w:val="0070C0"/>
          <w:vertAlign w:val="subscript"/>
        </w:rPr>
        <w:t>j</w:t>
      </w:r>
      <w:proofErr w:type="spellEnd"/>
      <w:r w:rsidRPr="007D17AA">
        <w:rPr>
          <w:color w:val="0070C0"/>
        </w:rPr>
        <w:t xml:space="preserve"> is the random intercept for an IPF </w:t>
      </w:r>
      <w:r w:rsidRPr="007D17AA">
        <w:rPr>
          <w:i/>
          <w:iCs/>
          <w:color w:val="0070C0"/>
        </w:rPr>
        <w:t>j</w:t>
      </w:r>
      <w:r w:rsidRPr="007D17AA">
        <w:rPr>
          <w:color w:val="0070C0"/>
        </w:rPr>
        <w:t>.</w:t>
      </w:r>
    </w:p>
    <w:p w14:paraId="0877C0B0" w14:textId="77777777" w:rsidR="00F93648" w:rsidRPr="007D17AA" w:rsidRDefault="00F93648" w:rsidP="00F93648">
      <w:pPr>
        <w:tabs>
          <w:tab w:val="left" w:pos="5670"/>
        </w:tabs>
        <w:spacing w:after="120" w:line="240" w:lineRule="auto"/>
        <w:ind w:left="720" w:firstLine="720"/>
        <w:rPr>
          <w:rFonts w:cs="Times New Roman"/>
          <w:color w:val="0070C0"/>
        </w:rPr>
      </w:pPr>
      <w:proofErr w:type="spellStart"/>
      <w:r w:rsidRPr="007D17AA">
        <w:rPr>
          <w:rFonts w:cs="Times New Roman"/>
          <w:color w:val="0070C0"/>
        </w:rPr>
        <w:t>ex</w:t>
      </w:r>
      <w:r w:rsidRPr="007D17AA">
        <w:rPr>
          <w:color w:val="0070C0"/>
        </w:rPr>
        <w:t>p</w:t>
      </w:r>
      <w:r w:rsidRPr="007D17AA">
        <w:rPr>
          <w:i/>
          <w:color w:val="0070C0"/>
          <w:vertAlign w:val="subscript"/>
        </w:rPr>
        <w:t>j</w:t>
      </w:r>
      <w:proofErr w:type="spellEnd"/>
      <w:r w:rsidRPr="007D17AA">
        <w:rPr>
          <w:color w:val="0070C0"/>
        </w:rPr>
        <w:t xml:space="preserve"> = </w:t>
      </w:r>
      <w:r w:rsidRPr="007D17AA">
        <w:rPr>
          <w:rFonts w:ascii="Lucida Grande" w:hAnsi="Lucida Grande" w:cs="Lucida Grande"/>
          <w:color w:val="0070C0"/>
        </w:rPr>
        <w:t>Σ</w:t>
      </w:r>
      <w:r w:rsidRPr="007D17AA">
        <w:rPr>
          <w:rFonts w:cs="Times New Roman"/>
          <w:color w:val="0070C0"/>
        </w:rPr>
        <w:t>logit</w:t>
      </w:r>
      <w:r w:rsidRPr="007D17AA">
        <w:rPr>
          <w:rFonts w:cs="Times New Roman"/>
          <w:color w:val="0070C0"/>
          <w:vertAlign w:val="superscript"/>
        </w:rPr>
        <w:t>-1</w:t>
      </w:r>
      <w:r w:rsidRPr="007D17AA">
        <w:rPr>
          <w:rFonts w:cs="Times New Roman"/>
          <w:color w:val="0070C0"/>
        </w:rPr>
        <w:t xml:space="preserve"> (</w:t>
      </w:r>
      <w:r w:rsidRPr="007D17AA">
        <w:rPr>
          <w:rFonts w:ascii="Lucida Grande" w:hAnsi="Lucida Grande" w:cs="Lucida Grande"/>
          <w:color w:val="0070C0"/>
        </w:rPr>
        <w:t>μ</w:t>
      </w:r>
      <w:r w:rsidRPr="007D17AA" w:rsidDel="003C5774">
        <w:rPr>
          <w:rFonts w:ascii="Lucida Grande" w:hAnsi="Lucida Grande" w:cs="Lucida Grande"/>
          <w:color w:val="0070C0"/>
        </w:rPr>
        <w:t xml:space="preserve"> </w:t>
      </w:r>
      <w:r w:rsidRPr="007D17AA">
        <w:rPr>
          <w:rFonts w:cs="Times New Roman"/>
          <w:color w:val="0070C0"/>
        </w:rPr>
        <w:t xml:space="preserve">+ </w:t>
      </w:r>
      <w:r w:rsidRPr="007D17AA">
        <w:rPr>
          <w:rFonts w:ascii="Lucida Grande" w:hAnsi="Lucida Grande" w:cs="Lucida Grande"/>
          <w:color w:val="0070C0"/>
        </w:rPr>
        <w:t>β</w:t>
      </w:r>
      <w:r w:rsidRPr="007D17AA">
        <w:rPr>
          <w:rFonts w:cs="Times New Roman"/>
          <w:color w:val="0070C0"/>
        </w:rPr>
        <w:t>*Z</w:t>
      </w:r>
      <w:r w:rsidRPr="007D17AA">
        <w:rPr>
          <w:rFonts w:cs="Times New Roman"/>
          <w:i/>
          <w:color w:val="0070C0"/>
          <w:vertAlign w:val="subscript"/>
        </w:rPr>
        <w:t>ij</w:t>
      </w:r>
      <w:r w:rsidRPr="007D17AA">
        <w:rPr>
          <w:rFonts w:cs="Times New Roman"/>
          <w:color w:val="0070C0"/>
        </w:rPr>
        <w:t>)</w:t>
      </w:r>
      <w:r w:rsidRPr="007D17AA">
        <w:rPr>
          <w:rFonts w:cs="Times New Roman"/>
          <w:color w:val="0070C0"/>
        </w:rPr>
        <w:tab/>
        <w:t>(4)</w:t>
      </w:r>
    </w:p>
    <w:p w14:paraId="7527DF66" w14:textId="77777777" w:rsidR="00F93648" w:rsidRPr="007D17AA" w:rsidRDefault="00F93648" w:rsidP="00F93648">
      <w:pPr>
        <w:spacing w:after="120" w:line="240" w:lineRule="auto"/>
        <w:rPr>
          <w:rFonts w:cs="Times New Roman"/>
          <w:color w:val="0070C0"/>
        </w:rPr>
      </w:pPr>
      <w:r w:rsidRPr="007D17AA">
        <w:rPr>
          <w:color w:val="0070C0"/>
        </w:rPr>
        <w:t xml:space="preserve">where the sum is over all stays in IPF </w:t>
      </w:r>
      <w:r w:rsidRPr="007D17AA">
        <w:rPr>
          <w:i/>
          <w:iCs/>
          <w:color w:val="0070C0"/>
        </w:rPr>
        <w:t>j</w:t>
      </w:r>
      <w:r w:rsidRPr="007D17AA">
        <w:rPr>
          <w:color w:val="0070C0"/>
        </w:rPr>
        <w:t xml:space="preserve">, </w:t>
      </w:r>
      <w:r w:rsidRPr="007D17AA">
        <w:rPr>
          <w:rFonts w:ascii="Lucida Grande" w:hAnsi="Lucida Grande" w:cs="Lucida Grande"/>
          <w:color w:val="0070C0"/>
        </w:rPr>
        <w:t>μ</w:t>
      </w:r>
      <w:r w:rsidRPr="007D17AA">
        <w:rPr>
          <w:color w:val="0070C0"/>
        </w:rPr>
        <w:t xml:space="preserve"> is the mean readmission rate across all IPFs.</w:t>
      </w:r>
    </w:p>
    <w:p w14:paraId="62A1053C" w14:textId="43461837" w:rsidR="00086FAC" w:rsidRPr="007D17AA" w:rsidRDefault="00086FAC" w:rsidP="00086FAC">
      <w:pPr>
        <w:spacing w:after="120" w:line="240" w:lineRule="auto"/>
        <w:rPr>
          <w:rFonts w:eastAsia="MS Gothic"/>
          <w:color w:val="0070C0"/>
        </w:rPr>
      </w:pPr>
      <w:r w:rsidRPr="007D17AA">
        <w:rPr>
          <w:rFonts w:eastAsia="MS Gothic"/>
          <w:color w:val="0070C0"/>
        </w:rPr>
        <w:t xml:space="preserve">Because </w:t>
      </w:r>
      <w:r w:rsidR="00CF6BAC" w:rsidRPr="007D17AA">
        <w:rPr>
          <w:rFonts w:eastAsia="MS Gothic"/>
          <w:color w:val="0070C0"/>
        </w:rPr>
        <w:t xml:space="preserve">we calculated </w:t>
      </w:r>
      <w:r w:rsidRPr="007D17AA">
        <w:rPr>
          <w:rFonts w:eastAsia="MS Gothic"/>
          <w:color w:val="0070C0"/>
        </w:rPr>
        <w:t xml:space="preserve">the predicted number of readmissions based on the hospital’s performance and its observed case mix and </w:t>
      </w:r>
      <w:r w:rsidR="00CF6BAC" w:rsidRPr="007D17AA">
        <w:rPr>
          <w:rFonts w:eastAsia="MS Gothic"/>
          <w:color w:val="0070C0"/>
        </w:rPr>
        <w:t xml:space="preserve">calculated </w:t>
      </w:r>
      <w:r w:rsidRPr="007D17AA">
        <w:rPr>
          <w:rFonts w:eastAsia="MS Gothic"/>
          <w:color w:val="0070C0"/>
        </w:rPr>
        <w:t xml:space="preserve">the expected number based on the national performance and its observed case mix, an SRR greater than 1 indicates worse quality of care compared to the national average. An SRR less than 1 indicates better quality of care. </w:t>
      </w:r>
    </w:p>
    <w:p w14:paraId="5652C901" w14:textId="22F538FC" w:rsidR="00086FAC" w:rsidRPr="007D17AA" w:rsidRDefault="00CF6BAC" w:rsidP="00E9317E">
      <w:pPr>
        <w:autoSpaceDE w:val="0"/>
        <w:autoSpaceDN w:val="0"/>
        <w:adjustRightInd w:val="0"/>
        <w:spacing w:after="0" w:line="280" w:lineRule="exact"/>
        <w:rPr>
          <w:rFonts w:cstheme="minorHAnsi"/>
          <w:bCs/>
          <w:color w:val="0070C0"/>
        </w:rPr>
      </w:pPr>
      <w:r w:rsidRPr="007D17AA">
        <w:rPr>
          <w:rFonts w:cs="Times New Roman"/>
          <w:color w:val="0070C0"/>
        </w:rPr>
        <w:t>We then used t</w:t>
      </w:r>
      <w:r w:rsidR="00086FAC" w:rsidRPr="007D17AA">
        <w:rPr>
          <w:rFonts w:cs="Times New Roman"/>
          <w:color w:val="0070C0"/>
        </w:rPr>
        <w:t xml:space="preserve">he SRR to calculate RSRR by multiplying SRR by the overall raw readmission rate for all index admissions in the cohort. </w:t>
      </w:r>
      <w:bookmarkStart w:id="51" w:name="_Hlk57651100"/>
      <w:bookmarkStart w:id="52" w:name="_Hlk40357136"/>
      <w:r w:rsidR="00086FAC" w:rsidRPr="007D17AA">
        <w:rPr>
          <w:rFonts w:cs="Times New Roman"/>
          <w:color w:val="0070C0"/>
        </w:rPr>
        <w:t>We used bootstrapping to calculate 95</w:t>
      </w:r>
      <w:r w:rsidRPr="007D17AA">
        <w:rPr>
          <w:rFonts w:cs="Times New Roman"/>
          <w:color w:val="0070C0"/>
        </w:rPr>
        <w:t xml:space="preserve"> percent</w:t>
      </w:r>
      <w:r w:rsidR="00086FAC" w:rsidRPr="007D17AA">
        <w:rPr>
          <w:rFonts w:cs="Times New Roman"/>
          <w:color w:val="0070C0"/>
        </w:rPr>
        <w:t xml:space="preserve"> confidence intervals for the RSRR to characterize the uncertainty of the estimate</w:t>
      </w:r>
      <w:bookmarkEnd w:id="51"/>
      <w:r w:rsidR="00086FAC" w:rsidRPr="007D17AA">
        <w:rPr>
          <w:rFonts w:cs="Times New Roman"/>
          <w:color w:val="0070C0"/>
        </w:rPr>
        <w:t xml:space="preserve">. </w:t>
      </w:r>
      <w:bookmarkStart w:id="53" w:name="_Hlk57651150"/>
      <w:r w:rsidR="00086FAC" w:rsidRPr="007D17AA">
        <w:rPr>
          <w:rFonts w:cs="Times New Roman"/>
          <w:color w:val="0070C0"/>
        </w:rPr>
        <w:t xml:space="preserve">Specifically, we sampled the IPFs with replacement for the bootstrap sample. All index admissions were included in the bootstrap sample if a </w:t>
      </w:r>
      <w:proofErr w:type="gramStart"/>
      <w:r w:rsidR="00086FAC" w:rsidRPr="007D17AA">
        <w:rPr>
          <w:rFonts w:cs="Times New Roman"/>
          <w:color w:val="0070C0"/>
        </w:rPr>
        <w:t>particular IPF</w:t>
      </w:r>
      <w:proofErr w:type="gramEnd"/>
      <w:r w:rsidR="00086FAC" w:rsidRPr="007D17AA">
        <w:rPr>
          <w:rFonts w:cs="Times New Roman"/>
          <w:color w:val="0070C0"/>
        </w:rPr>
        <w:t xml:space="preserve"> was sampled. IPFs sampled more than once were treated as different hospitals. We ran hierarchical logistic regression on the bootstrap samples.</w:t>
      </w:r>
      <w:bookmarkEnd w:id="53"/>
      <w:r w:rsidR="00086FAC" w:rsidRPr="007D17AA">
        <w:rPr>
          <w:rFonts w:cs="Times New Roman"/>
          <w:color w:val="0070C0"/>
        </w:rPr>
        <w:t xml:space="preserve"> The model results provide the set of hospital-specific intercepts and corresponding variances: {</w:t>
      </w:r>
      <w:r w:rsidR="00086FAC" w:rsidRPr="007D17AA">
        <w:rPr>
          <w:rFonts w:ascii="Lucida Grande" w:hAnsi="Lucida Grande" w:cs="Lucida Grande"/>
          <w:color w:val="0070C0"/>
        </w:rPr>
        <w:t>α</w:t>
      </w:r>
      <w:r w:rsidR="00086FAC" w:rsidRPr="007D17AA">
        <w:rPr>
          <w:rFonts w:cs="Times New Roman"/>
          <w:i/>
          <w:color w:val="0070C0"/>
          <w:vertAlign w:val="subscript"/>
        </w:rPr>
        <w:t>j</w:t>
      </w:r>
      <w:r w:rsidR="00086FAC" w:rsidRPr="007D17AA">
        <w:rPr>
          <w:rFonts w:ascii="Lucida Grande" w:hAnsi="Lucida Grande" w:cs="Lucida Grande"/>
          <w:color w:val="0070C0"/>
        </w:rPr>
        <w:t xml:space="preserve"> </w:t>
      </w:r>
      <w:r w:rsidR="00086FAC" w:rsidRPr="007D17AA">
        <w:rPr>
          <w:rFonts w:cs="Times New Roman"/>
          <w:color w:val="0070C0"/>
        </w:rPr>
        <w:t>, var[</w:t>
      </w:r>
      <w:r w:rsidR="00086FAC" w:rsidRPr="007D17AA">
        <w:rPr>
          <w:rFonts w:ascii="Lucida Grande" w:hAnsi="Lucida Grande" w:cs="Lucida Grande"/>
          <w:color w:val="0070C0"/>
        </w:rPr>
        <w:t>α</w:t>
      </w:r>
      <w:r w:rsidR="00086FAC" w:rsidRPr="007D17AA">
        <w:rPr>
          <w:rFonts w:cs="Times New Roman"/>
          <w:i/>
          <w:color w:val="0070C0"/>
          <w:vertAlign w:val="subscript"/>
        </w:rPr>
        <w:t>j</w:t>
      </w:r>
      <w:r w:rsidR="00086FAC" w:rsidRPr="007D17AA">
        <w:rPr>
          <w:rFonts w:cs="Times New Roman"/>
          <w:color w:val="0070C0"/>
        </w:rPr>
        <w:t xml:space="preserve">]}. Since we included the same index admissions for the same IPF in each bootstrap sample, to account for the variability in the hospital random effect, we sampled the hospital-specific intercept from </w:t>
      </w:r>
      <m:oMath>
        <m:sSubSup>
          <m:sSubSupPr>
            <m:ctrlPr>
              <w:rPr>
                <w:rFonts w:ascii="Cambria Math" w:hAnsi="Cambria Math" w:cs="Times New Roman"/>
                <w:i/>
                <w:color w:val="0070C0"/>
                <w:szCs w:val="24"/>
              </w:rPr>
            </m:ctrlPr>
          </m:sSubSupPr>
          <m:e>
            <m:r>
              <m:rPr>
                <m:sty m:val="p"/>
              </m:rPr>
              <w:rPr>
                <w:rFonts w:ascii="Cambria Math" w:hAnsi="Cambria Math" w:cs="Lucida Grande"/>
                <w:color w:val="0070C0"/>
              </w:rPr>
              <m:t>α</m:t>
            </m:r>
          </m:e>
          <m:sub>
            <m:r>
              <w:rPr>
                <w:rFonts w:ascii="Cambria Math" w:hAnsi="Cambria Math" w:cs="Times New Roman"/>
                <w:color w:val="0070C0"/>
                <w:szCs w:val="24"/>
              </w:rPr>
              <m:t>j</m:t>
            </m:r>
          </m:sub>
          <m:sup>
            <m:r>
              <w:rPr>
                <w:rFonts w:ascii="Cambria Math" w:hAnsi="Cambria Math" w:cs="Times New Roman"/>
                <w:color w:val="0070C0"/>
                <w:szCs w:val="24"/>
              </w:rPr>
              <m:t>*</m:t>
            </m:r>
          </m:sup>
        </m:sSubSup>
      </m:oMath>
      <w:r w:rsidR="00086FAC" w:rsidRPr="007D17AA">
        <w:rPr>
          <w:rFonts w:eastAsia="MS Mincho" w:cs="Times New Roman"/>
          <w:color w:val="0070C0"/>
        </w:rPr>
        <w:t xml:space="preserve"> </w:t>
      </w:r>
      <w:r w:rsidR="00086FAC" w:rsidRPr="007D17AA">
        <w:rPr>
          <w:rFonts w:cs="Times New Roman"/>
          <w:color w:val="0070C0"/>
        </w:rPr>
        <w:t>N(</w:t>
      </w:r>
      <w:r w:rsidR="00086FAC" w:rsidRPr="007D17AA">
        <w:rPr>
          <w:rFonts w:ascii="Lucida Grande" w:hAnsi="Lucida Grande" w:cs="Lucida Grande"/>
          <w:color w:val="0070C0"/>
        </w:rPr>
        <w:t>α</w:t>
      </w:r>
      <w:r w:rsidR="00086FAC" w:rsidRPr="007D17AA">
        <w:rPr>
          <w:rFonts w:cs="Times New Roman"/>
          <w:i/>
          <w:color w:val="0070C0"/>
          <w:vertAlign w:val="subscript"/>
        </w:rPr>
        <w:t>j</w:t>
      </w:r>
      <w:r w:rsidR="00086FAC" w:rsidRPr="007D17AA">
        <w:rPr>
          <w:rFonts w:cs="Times New Roman"/>
          <w:color w:val="0070C0"/>
        </w:rPr>
        <w:t xml:space="preserve"> , var[</w:t>
      </w:r>
      <w:r w:rsidR="00086FAC" w:rsidRPr="007D17AA">
        <w:rPr>
          <w:rFonts w:ascii="Lucida Grande" w:hAnsi="Lucida Grande" w:cs="Lucida Grande"/>
          <w:color w:val="0070C0"/>
        </w:rPr>
        <w:t>α</w:t>
      </w:r>
      <w:r w:rsidR="00086FAC" w:rsidRPr="007D17AA">
        <w:rPr>
          <w:rFonts w:cs="Times New Roman"/>
          <w:i/>
          <w:color w:val="0070C0"/>
          <w:vertAlign w:val="subscript"/>
        </w:rPr>
        <w:t>j</w:t>
      </w:r>
      <w:r w:rsidR="00086FAC" w:rsidRPr="007D17AA">
        <w:rPr>
          <w:rFonts w:cs="Times New Roman"/>
          <w:color w:val="0070C0"/>
        </w:rPr>
        <w:t>]). We then calculated SRR and RSRR</w:t>
      </w:r>
      <w:r w:rsidR="001E0E48">
        <w:rPr>
          <w:rFonts w:cs="Times New Roman"/>
          <w:color w:val="0070C0"/>
        </w:rPr>
        <w:t xml:space="preserve"> for each hospital</w:t>
      </w:r>
      <w:r w:rsidR="00086FAC" w:rsidRPr="007D17AA">
        <w:rPr>
          <w:rFonts w:cs="Times New Roman"/>
          <w:color w:val="0070C0"/>
        </w:rPr>
        <w:t xml:space="preserve">, where SRR is calculated as </w:t>
      </w:r>
      <w:proofErr w:type="spellStart"/>
      <w:r w:rsidR="00086FAC" w:rsidRPr="007D17AA">
        <w:rPr>
          <w:color w:val="0070C0"/>
        </w:rPr>
        <w:t>SRR</w:t>
      </w:r>
      <w:r w:rsidR="00086FAC" w:rsidRPr="007D17AA">
        <w:rPr>
          <w:i/>
          <w:color w:val="0070C0"/>
          <w:vertAlign w:val="subscript"/>
        </w:rPr>
        <w:t>j</w:t>
      </w:r>
      <w:proofErr w:type="spellEnd"/>
      <w:r w:rsidR="00086FAC" w:rsidRPr="007D17AA">
        <w:rPr>
          <w:color w:val="0070C0"/>
        </w:rPr>
        <w:t xml:space="preserve"> = </w:t>
      </w:r>
      <w:r w:rsidR="00086FAC" w:rsidRPr="007D17AA">
        <w:rPr>
          <w:rFonts w:ascii="Lucida Grande" w:hAnsi="Lucida Grande" w:cs="Lucida Grande"/>
          <w:color w:val="0070C0"/>
        </w:rPr>
        <w:t>Σ</w:t>
      </w:r>
      <w:r w:rsidR="00086FAC" w:rsidRPr="007D17AA">
        <w:rPr>
          <w:rFonts w:cs="Times New Roman"/>
          <w:color w:val="0070C0"/>
        </w:rPr>
        <w:t>logit</w:t>
      </w:r>
      <w:r w:rsidR="00086FAC" w:rsidRPr="007D17AA">
        <w:rPr>
          <w:rFonts w:cs="Times New Roman"/>
          <w:color w:val="0070C0"/>
          <w:vertAlign w:val="superscript"/>
        </w:rPr>
        <w:t>-1</w:t>
      </w:r>
      <w:r w:rsidR="00086FAC" w:rsidRPr="007D17AA">
        <w:rPr>
          <w:rFonts w:cs="Times New Roman"/>
          <w:color w:val="0070C0"/>
        </w:rPr>
        <w:t xml:space="preserve"> (</w:t>
      </w:r>
      <w:r w:rsidR="00086FAC" w:rsidRPr="007D17AA">
        <w:rPr>
          <w:rFonts w:ascii="Cambria Math" w:hAnsi="Cambria Math" w:cs="Times New Roman"/>
          <w:i/>
          <w:color w:val="0070C0"/>
          <w:szCs w:val="24"/>
        </w:rPr>
        <w:fldChar w:fldCharType="begin"/>
      </w:r>
      <w:r w:rsidR="00086FAC" w:rsidRPr="007D17AA">
        <w:rPr>
          <w:rFonts w:ascii="Cambria Math" w:hAnsi="Cambria Math" w:cs="Times New Roman"/>
          <w:i/>
          <w:color w:val="0070C0"/>
          <w:szCs w:val="24"/>
        </w:rPr>
        <w:instrText xml:space="preserve"> QUOTE </w:instrText>
      </w:r>
      <m:oMath>
        <m:sSubSup>
          <m:sSubSupPr>
            <m:ctrlPr>
              <w:rPr>
                <w:rFonts w:ascii="Cambria Math" w:hAnsi="Cambria Math" w:cs="Lucida Grande"/>
                <w:i/>
                <w:color w:val="0070C0"/>
              </w:rPr>
            </m:ctrlPr>
          </m:sSubSupPr>
          <m:e>
            <m:r>
              <m:rPr>
                <m:sty m:val="p"/>
              </m:rPr>
              <w:rPr>
                <w:rFonts w:ascii="Cambria Math" w:hAnsi="Cambria Math" w:cs="Lucida Grande"/>
                <w:color w:val="0070C0"/>
              </w:rPr>
              <m:t>α</m:t>
            </m:r>
          </m:e>
          <m:sub>
            <m:r>
              <m:rPr>
                <m:sty m:val="p"/>
              </m:rPr>
              <w:rPr>
                <w:rFonts w:ascii="Cambria Math" w:hAnsi="Cambria Math" w:cs="Lucida Grande"/>
                <w:color w:val="0070C0"/>
              </w:rPr>
              <m:t>j</m:t>
            </m:r>
          </m:sub>
          <m:sup>
            <m:r>
              <m:rPr>
                <m:sty m:val="p"/>
              </m:rPr>
              <w:rPr>
                <w:rFonts w:ascii="Cambria Math" w:hAnsi="Cambria Math" w:cs="Lucida Grande"/>
                <w:color w:val="0070C0"/>
              </w:rPr>
              <m:t>*</m:t>
            </m:r>
          </m:sup>
        </m:sSubSup>
      </m:oMath>
      <w:r w:rsidR="00086FAC" w:rsidRPr="007D17AA">
        <w:rPr>
          <w:rFonts w:ascii="Cambria Math" w:hAnsi="Cambria Math" w:cs="Times New Roman"/>
          <w:i/>
          <w:color w:val="0070C0"/>
          <w:szCs w:val="24"/>
        </w:rPr>
        <w:instrText xml:space="preserve"> </w:instrText>
      </w:r>
      <w:r w:rsidR="00086FAC" w:rsidRPr="007D17AA">
        <w:rPr>
          <w:rFonts w:ascii="Cambria Math" w:hAnsi="Cambria Math" w:cs="Times New Roman"/>
          <w:i/>
          <w:color w:val="0070C0"/>
          <w:szCs w:val="24"/>
        </w:rPr>
        <w:fldChar w:fldCharType="separate"/>
      </w:r>
      <m:oMath>
        <m:sSub>
          <m:sSubPr>
            <m:ctrlPr>
              <w:rPr>
                <w:rFonts w:ascii="Cambria Math" w:hAnsi="Cambria Math"/>
                <w:i/>
                <w:color w:val="0070C0"/>
              </w:rPr>
            </m:ctrlPr>
          </m:sSubPr>
          <m:e>
            <m:r>
              <m:rPr>
                <m:sty m:val="p"/>
              </m:rPr>
              <w:rPr>
                <w:rFonts w:ascii="Cambria Math" w:hAnsi="Cambria Math"/>
                <w:color w:val="0070C0"/>
              </w:rPr>
              <m:t>a</m:t>
            </m:r>
          </m:e>
          <m:sub>
            <m:r>
              <m:rPr>
                <m:sty m:val="p"/>
              </m:rPr>
              <w:rPr>
                <w:rFonts w:ascii="Cambria Math" w:hAnsi="Cambria Math"/>
                <w:color w:val="0070C0"/>
              </w:rPr>
              <m:t>j</m:t>
            </m:r>
          </m:sub>
        </m:sSub>
      </m:oMath>
      <w:r w:rsidR="00086FAC" w:rsidRPr="007D17AA">
        <w:rPr>
          <w:color w:val="0070C0"/>
        </w:rPr>
        <w:t xml:space="preserve"> </w:t>
      </w:r>
      <w:r w:rsidR="00086FAC" w:rsidRPr="007D17AA">
        <w:rPr>
          <w:rFonts w:ascii="Cambria Math" w:hAnsi="Cambria Math" w:cs="Times New Roman"/>
          <w:i/>
          <w:color w:val="0070C0"/>
          <w:szCs w:val="24"/>
        </w:rPr>
        <w:fldChar w:fldCharType="end"/>
      </w:r>
      <w:r w:rsidR="00086FAC" w:rsidRPr="007D17AA">
        <w:rPr>
          <w:rFonts w:cs="Times New Roman"/>
          <w:color w:val="0070C0"/>
        </w:rPr>
        <w:t xml:space="preserve">+ </w:t>
      </w:r>
      <w:r w:rsidR="00086FAC" w:rsidRPr="007D17AA">
        <w:rPr>
          <w:rFonts w:ascii="Lucida Grande" w:hAnsi="Lucida Grande" w:cs="Lucida Grande"/>
          <w:color w:val="0070C0"/>
        </w:rPr>
        <w:t>β</w:t>
      </w:r>
      <w:r w:rsidR="00086FAC" w:rsidRPr="007D17AA">
        <w:rPr>
          <w:rFonts w:cs="Times New Roman"/>
          <w:color w:val="0070C0"/>
        </w:rPr>
        <w:t>*Z</w:t>
      </w:r>
      <w:r w:rsidR="00086FAC" w:rsidRPr="007D17AA">
        <w:rPr>
          <w:rFonts w:cs="Times New Roman"/>
          <w:i/>
          <w:color w:val="0070C0"/>
          <w:vertAlign w:val="subscript"/>
        </w:rPr>
        <w:t>ij</w:t>
      </w:r>
      <w:r w:rsidR="00086FAC" w:rsidRPr="007D17AA">
        <w:rPr>
          <w:rFonts w:cs="Times New Roman"/>
          <w:color w:val="0070C0"/>
        </w:rPr>
        <w:t>)</w:t>
      </w:r>
      <w:r w:rsidR="00086FAC" w:rsidRPr="007D17AA">
        <w:rPr>
          <w:color w:val="0070C0"/>
        </w:rPr>
        <w:t>/</w:t>
      </w:r>
      <w:r w:rsidR="00086FAC" w:rsidRPr="007D17AA">
        <w:rPr>
          <w:rFonts w:ascii="Lucida Grande" w:hAnsi="Lucida Grande" w:cs="Lucida Grande"/>
          <w:color w:val="0070C0"/>
        </w:rPr>
        <w:t>Σ</w:t>
      </w:r>
      <w:r w:rsidR="00086FAC" w:rsidRPr="007D17AA">
        <w:rPr>
          <w:rFonts w:cs="Times New Roman"/>
          <w:color w:val="0070C0"/>
        </w:rPr>
        <w:t>logit</w:t>
      </w:r>
      <w:r w:rsidR="00086FAC" w:rsidRPr="007D17AA">
        <w:rPr>
          <w:rFonts w:cs="Times New Roman"/>
          <w:color w:val="0070C0"/>
          <w:vertAlign w:val="superscript"/>
        </w:rPr>
        <w:t>-1</w:t>
      </w:r>
      <w:r w:rsidR="00086FAC" w:rsidRPr="007D17AA">
        <w:rPr>
          <w:rFonts w:cs="Times New Roman"/>
          <w:color w:val="0070C0"/>
        </w:rPr>
        <w:t xml:space="preserve"> (</w:t>
      </w:r>
      <w:r w:rsidR="00086FAC" w:rsidRPr="007D17AA">
        <w:rPr>
          <w:rFonts w:ascii="Lucida Grande" w:hAnsi="Lucida Grande" w:cs="Lucida Grande"/>
          <w:color w:val="0070C0"/>
        </w:rPr>
        <w:t>μ</w:t>
      </w:r>
      <w:r w:rsidR="00086FAC" w:rsidRPr="007D17AA">
        <w:rPr>
          <w:rFonts w:cs="Times New Roman"/>
          <w:color w:val="0070C0"/>
        </w:rPr>
        <w:t xml:space="preserve"> + </w:t>
      </w:r>
      <w:r w:rsidR="00086FAC" w:rsidRPr="007D17AA">
        <w:rPr>
          <w:rFonts w:ascii="Lucida Grande" w:hAnsi="Lucida Grande" w:cs="Lucida Grande"/>
          <w:color w:val="0070C0"/>
        </w:rPr>
        <w:t>β</w:t>
      </w:r>
      <w:r w:rsidR="00086FAC" w:rsidRPr="007D17AA">
        <w:rPr>
          <w:rFonts w:cs="Times New Roman"/>
          <w:color w:val="0070C0"/>
        </w:rPr>
        <w:t>*Z</w:t>
      </w:r>
      <w:r w:rsidR="00086FAC" w:rsidRPr="007D17AA">
        <w:rPr>
          <w:rFonts w:cs="Times New Roman"/>
          <w:i/>
          <w:color w:val="0070C0"/>
          <w:vertAlign w:val="subscript"/>
        </w:rPr>
        <w:t>ij</w:t>
      </w:r>
      <w:r w:rsidR="00086FAC" w:rsidRPr="007D17AA">
        <w:rPr>
          <w:rFonts w:cs="Times New Roman"/>
          <w:color w:val="0070C0"/>
        </w:rPr>
        <w:t xml:space="preserve">). </w:t>
      </w:r>
      <w:bookmarkStart w:id="54" w:name="_Hlk57651204"/>
      <w:r w:rsidR="00086FAC" w:rsidRPr="007D17AA">
        <w:rPr>
          <w:rFonts w:cs="Times New Roman"/>
          <w:color w:val="0070C0"/>
        </w:rPr>
        <w:t xml:space="preserve">For IPFs sampled more than once in the bootstrap sample, we randomly selected one SRR and RSRR for this sample. </w:t>
      </w:r>
      <w:bookmarkStart w:id="55" w:name="_Hlk57651076"/>
      <w:bookmarkEnd w:id="54"/>
      <w:r w:rsidR="00086FAC" w:rsidRPr="007D17AA">
        <w:rPr>
          <w:rFonts w:cs="Times New Roman"/>
          <w:color w:val="0070C0"/>
        </w:rPr>
        <w:t>Finally, for each IPF, we had 1,000 SRR/RSRR results derived from 1,000 bootstrap samples. We calculated the 2.5</w:t>
      </w:r>
      <w:r w:rsidR="00086FAC" w:rsidRPr="007D17AA">
        <w:rPr>
          <w:rFonts w:cs="Times New Roman"/>
          <w:color w:val="0070C0"/>
          <w:vertAlign w:val="superscript"/>
        </w:rPr>
        <w:t>th</w:t>
      </w:r>
      <w:r w:rsidR="00086FAC" w:rsidRPr="007D17AA">
        <w:rPr>
          <w:rFonts w:cs="Times New Roman"/>
          <w:color w:val="0070C0"/>
        </w:rPr>
        <w:t xml:space="preserve"> and 97.5</w:t>
      </w:r>
      <w:r w:rsidR="00086FAC" w:rsidRPr="007D17AA">
        <w:rPr>
          <w:rFonts w:cs="Times New Roman"/>
          <w:color w:val="0070C0"/>
          <w:vertAlign w:val="superscript"/>
        </w:rPr>
        <w:t>th</w:t>
      </w:r>
      <w:r w:rsidR="00086FAC" w:rsidRPr="007D17AA">
        <w:rPr>
          <w:rFonts w:cs="Times New Roman"/>
          <w:color w:val="0070C0"/>
        </w:rPr>
        <w:t xml:space="preserve"> percentile of RSRR estimates </w:t>
      </w:r>
      <w:r w:rsidR="001E0E48">
        <w:rPr>
          <w:rFonts w:cs="Times New Roman"/>
          <w:color w:val="0070C0"/>
        </w:rPr>
        <w:t xml:space="preserve">from 1,000 bootstrap samples </w:t>
      </w:r>
      <w:r w:rsidR="00086FAC" w:rsidRPr="007D17AA">
        <w:rPr>
          <w:rFonts w:cs="Times New Roman"/>
          <w:color w:val="0070C0"/>
        </w:rPr>
        <w:t>as the 95</w:t>
      </w:r>
      <w:r w:rsidR="00CD6DFD" w:rsidRPr="007D17AA">
        <w:rPr>
          <w:rFonts w:cs="Times New Roman"/>
          <w:color w:val="0070C0"/>
        </w:rPr>
        <w:t xml:space="preserve"> percent</w:t>
      </w:r>
      <w:r w:rsidR="00086FAC" w:rsidRPr="007D17AA">
        <w:rPr>
          <w:rFonts w:cs="Times New Roman"/>
          <w:color w:val="0070C0"/>
        </w:rPr>
        <w:t xml:space="preserve"> confidence interval of RSRR.</w:t>
      </w:r>
      <w:bookmarkEnd w:id="52"/>
      <w:r w:rsidR="00086FAC" w:rsidRPr="007D17AA">
        <w:rPr>
          <w:rFonts w:cstheme="minorHAnsi"/>
          <w:bCs/>
          <w:color w:val="0070C0"/>
        </w:rPr>
        <w:t xml:space="preserve"> </w:t>
      </w:r>
      <w:bookmarkEnd w:id="55"/>
    </w:p>
    <w:p w14:paraId="40F60F05" w14:textId="77777777" w:rsidR="00086FAC" w:rsidRPr="00A25024" w:rsidRDefault="00086FAC" w:rsidP="00086FAC">
      <w:pPr>
        <w:autoSpaceDE w:val="0"/>
        <w:autoSpaceDN w:val="0"/>
        <w:adjustRightInd w:val="0"/>
        <w:spacing w:after="0" w:line="240" w:lineRule="auto"/>
        <w:rPr>
          <w:rFonts w:cstheme="minorHAnsi"/>
          <w:bCs/>
        </w:rPr>
      </w:pPr>
    </w:p>
    <w:p w14:paraId="3AAAFC9F" w14:textId="3CF43609" w:rsidR="00086FAC" w:rsidRDefault="00086FAC" w:rsidP="00086FAC">
      <w:pPr>
        <w:autoSpaceDE w:val="0"/>
        <w:autoSpaceDN w:val="0"/>
        <w:adjustRightInd w:val="0"/>
        <w:spacing w:after="0" w:line="240" w:lineRule="auto"/>
        <w:rPr>
          <w:rFonts w:cstheme="minorHAnsi"/>
          <w:bCs/>
        </w:rPr>
      </w:pPr>
      <w:r>
        <w:rPr>
          <w:rFonts w:cstheme="minorHAnsi"/>
          <w:b/>
          <w:bCs/>
        </w:rPr>
        <w:t xml:space="preserve">2b4.2. </w:t>
      </w:r>
      <w:r w:rsidRPr="00A25024">
        <w:rPr>
          <w:rFonts w:cstheme="minorHAnsi"/>
          <w:b/>
          <w:bCs/>
        </w:rPr>
        <w:t xml:space="preserve">What were the statistical results from testing the ability to identify </w:t>
      </w:r>
      <w:r>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Pr>
          <w:rFonts w:cstheme="minorHAnsi"/>
          <w:bCs/>
          <w:i/>
        </w:rPr>
        <w:t xml:space="preserve">of entities with scores 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Pr>
          <w:rFonts w:cstheme="minorHAnsi"/>
          <w:bCs/>
          <w:i/>
        </w:rPr>
        <w:t>or some benchmark, different from expected; how was meaningful difference defined</w:t>
      </w:r>
      <w:r w:rsidRPr="00A25024">
        <w:rPr>
          <w:rFonts w:cstheme="minorHAnsi"/>
          <w:bCs/>
        </w:rPr>
        <w:t>)</w:t>
      </w:r>
    </w:p>
    <w:p w14:paraId="7FC9DA65" w14:textId="7DCC60CE" w:rsidR="007438D5" w:rsidRDefault="007438D5" w:rsidP="00086FAC">
      <w:pPr>
        <w:autoSpaceDE w:val="0"/>
        <w:autoSpaceDN w:val="0"/>
        <w:adjustRightInd w:val="0"/>
        <w:spacing w:after="0" w:line="240" w:lineRule="auto"/>
        <w:rPr>
          <w:rFonts w:cstheme="minorHAnsi"/>
          <w:bCs/>
        </w:rPr>
      </w:pPr>
    </w:p>
    <w:p w14:paraId="24AAB274" w14:textId="78EF2C02" w:rsidR="007438D5" w:rsidRPr="007D17AA" w:rsidRDefault="007438D5" w:rsidP="00086FAC">
      <w:pPr>
        <w:autoSpaceDE w:val="0"/>
        <w:autoSpaceDN w:val="0"/>
        <w:adjustRightInd w:val="0"/>
        <w:spacing w:after="0" w:line="240" w:lineRule="auto"/>
        <w:rPr>
          <w:rFonts w:cstheme="minorHAnsi"/>
          <w:bCs/>
          <w:color w:val="0070C0"/>
        </w:rPr>
      </w:pPr>
      <w:r w:rsidRPr="007D17AA">
        <w:rPr>
          <w:color w:val="0070C0"/>
        </w:rPr>
        <w:t>Comparative performance for IPFs with 25 or more eligible discharges is classified as follows:</w:t>
      </w:r>
    </w:p>
    <w:p w14:paraId="4CAA3661" w14:textId="03725876" w:rsidR="00086FAC" w:rsidRPr="007D17AA" w:rsidRDefault="00086FAC" w:rsidP="000C0983">
      <w:pPr>
        <w:pStyle w:val="Caption"/>
      </w:pPr>
      <w:bookmarkStart w:id="56" w:name="_Hlk55837281"/>
      <w:bookmarkStart w:id="57" w:name="_Hlk40353543"/>
      <w:r w:rsidRPr="007D17AA">
        <w:lastRenderedPageBreak/>
        <w:t>Table</w:t>
      </w:r>
      <w:r w:rsidR="0078380D" w:rsidRPr="007D17AA">
        <w:t>2b4.2</w:t>
      </w:r>
      <w:r w:rsidRPr="007D17AA">
        <w:t>. Distribution of IPF performance categorization</w:t>
      </w:r>
    </w:p>
    <w:bookmarkEnd w:id="56"/>
    <w:tbl>
      <w:tblPr>
        <w:tblStyle w:val="MathUBaseTable"/>
        <w:tblW w:w="5000" w:type="pct"/>
        <w:tblLook w:val="04A0" w:firstRow="1" w:lastRow="0" w:firstColumn="1" w:lastColumn="0" w:noHBand="0" w:noVBand="1"/>
      </w:tblPr>
      <w:tblGrid>
        <w:gridCol w:w="4501"/>
        <w:gridCol w:w="2233"/>
        <w:gridCol w:w="2626"/>
      </w:tblGrid>
      <w:tr w:rsidR="00086FAC" w:rsidRPr="00766C9B" w14:paraId="07B61E90" w14:textId="77777777" w:rsidTr="00EA0734">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404" w:type="pct"/>
            <w:hideMark/>
          </w:tcPr>
          <w:p w14:paraId="38F5002E" w14:textId="77777777" w:rsidR="00086FAC" w:rsidRPr="00766C9B" w:rsidRDefault="00086FAC" w:rsidP="00EA0734">
            <w:pPr>
              <w:pStyle w:val="TableHeaderLeft"/>
            </w:pPr>
          </w:p>
        </w:tc>
        <w:tc>
          <w:tcPr>
            <w:tcW w:w="1193" w:type="pct"/>
            <w:hideMark/>
          </w:tcPr>
          <w:p w14:paraId="2A14AF7E" w14:textId="77777777" w:rsidR="00086FAC" w:rsidRPr="00766C9B" w:rsidRDefault="00086FAC" w:rsidP="00EA0734">
            <w:pPr>
              <w:pStyle w:val="TableHeaderCenter"/>
              <w:cnfStyle w:val="100000000000" w:firstRow="1" w:lastRow="0" w:firstColumn="0" w:lastColumn="0" w:oddVBand="0" w:evenVBand="0" w:oddHBand="0" w:evenHBand="0" w:firstRowFirstColumn="0" w:firstRowLastColumn="0" w:lastRowFirstColumn="0" w:lastRowLastColumn="0"/>
              <w:rPr>
                <w:b w:val="0"/>
              </w:rPr>
            </w:pPr>
            <w:r w:rsidRPr="00766C9B">
              <w:t># of IPFs</w:t>
            </w:r>
          </w:p>
        </w:tc>
        <w:tc>
          <w:tcPr>
            <w:tcW w:w="1403" w:type="pct"/>
            <w:hideMark/>
          </w:tcPr>
          <w:p w14:paraId="769D32E3" w14:textId="77777777" w:rsidR="00086FAC" w:rsidRPr="00766C9B" w:rsidRDefault="00086FAC" w:rsidP="00EA0734">
            <w:pPr>
              <w:pStyle w:val="TableHeaderCenter"/>
              <w:cnfStyle w:val="100000000000" w:firstRow="1" w:lastRow="0" w:firstColumn="0" w:lastColumn="0" w:oddVBand="0" w:evenVBand="0" w:oddHBand="0" w:evenHBand="0" w:firstRowFirstColumn="0" w:firstRowLastColumn="0" w:lastRowFirstColumn="0" w:lastRowLastColumn="0"/>
              <w:rPr>
                <w:b w:val="0"/>
              </w:rPr>
            </w:pPr>
            <w:r w:rsidRPr="00766C9B">
              <w:t>Percent of IPFs</w:t>
            </w:r>
          </w:p>
        </w:tc>
      </w:tr>
      <w:tr w:rsidR="00881E15" w:rsidRPr="00766C9B" w14:paraId="5AA814C9" w14:textId="77777777" w:rsidTr="00EA0734">
        <w:trPr>
          <w:trHeight w:val="120"/>
        </w:trPr>
        <w:tc>
          <w:tcPr>
            <w:cnfStyle w:val="001000000000" w:firstRow="0" w:lastRow="0" w:firstColumn="1" w:lastColumn="0" w:oddVBand="0" w:evenVBand="0" w:oddHBand="0" w:evenHBand="0" w:firstRowFirstColumn="0" w:firstRowLastColumn="0" w:lastRowFirstColumn="0" w:lastRowLastColumn="0"/>
            <w:tcW w:w="2404" w:type="pct"/>
            <w:hideMark/>
          </w:tcPr>
          <w:p w14:paraId="70BF2398" w14:textId="77777777" w:rsidR="00881E15" w:rsidRPr="00766C9B" w:rsidRDefault="00881E15" w:rsidP="00EA0734">
            <w:pPr>
              <w:pStyle w:val="TableTextLeft"/>
            </w:pPr>
            <w:bookmarkStart w:id="58" w:name="_Hlk55852733"/>
            <w:r w:rsidRPr="00766C9B">
              <w:t>Better than national rate</w:t>
            </w:r>
          </w:p>
        </w:tc>
        <w:tc>
          <w:tcPr>
            <w:tcW w:w="1193" w:type="pct"/>
            <w:hideMark/>
          </w:tcPr>
          <w:p w14:paraId="6FC581A4" w14:textId="2410C1FE" w:rsidR="00881E15" w:rsidRPr="00766C9B" w:rsidRDefault="002420F7"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9</w:t>
            </w:r>
            <w:r w:rsidR="00171F5D">
              <w:t>6</w:t>
            </w:r>
          </w:p>
        </w:tc>
        <w:tc>
          <w:tcPr>
            <w:tcW w:w="1403" w:type="pct"/>
            <w:hideMark/>
          </w:tcPr>
          <w:p w14:paraId="070B6180" w14:textId="31EF02FE" w:rsidR="00881E15" w:rsidRPr="00766C9B" w:rsidRDefault="00881E15"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5.</w:t>
            </w:r>
            <w:r w:rsidR="00171F5D">
              <w:t>65</w:t>
            </w:r>
          </w:p>
        </w:tc>
      </w:tr>
      <w:tr w:rsidR="00881E15" w:rsidRPr="00766C9B" w14:paraId="0EDCA47D" w14:textId="77777777" w:rsidTr="00EA0734">
        <w:trPr>
          <w:trHeight w:val="120"/>
        </w:trPr>
        <w:tc>
          <w:tcPr>
            <w:cnfStyle w:val="001000000000" w:firstRow="0" w:lastRow="0" w:firstColumn="1" w:lastColumn="0" w:oddVBand="0" w:evenVBand="0" w:oddHBand="0" w:evenHBand="0" w:firstRowFirstColumn="0" w:firstRowLastColumn="0" w:lastRowFirstColumn="0" w:lastRowLastColumn="0"/>
            <w:tcW w:w="2404" w:type="pct"/>
            <w:hideMark/>
          </w:tcPr>
          <w:p w14:paraId="7D324014" w14:textId="77777777" w:rsidR="00881E15" w:rsidRPr="00766C9B" w:rsidRDefault="00881E15" w:rsidP="00EA0734">
            <w:pPr>
              <w:pStyle w:val="TableTextLeft"/>
            </w:pPr>
            <w:r w:rsidRPr="00766C9B">
              <w:t>No different than national rate</w:t>
            </w:r>
          </w:p>
        </w:tc>
        <w:tc>
          <w:tcPr>
            <w:tcW w:w="1193" w:type="pct"/>
            <w:hideMark/>
          </w:tcPr>
          <w:p w14:paraId="0BD13009" w14:textId="39529C52" w:rsidR="00881E15" w:rsidRPr="00766C9B" w:rsidRDefault="00881E15"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1,</w:t>
            </w:r>
            <w:r w:rsidR="002420F7" w:rsidRPr="00766C9B">
              <w:t>35</w:t>
            </w:r>
            <w:r w:rsidR="00171F5D">
              <w:t>5</w:t>
            </w:r>
          </w:p>
        </w:tc>
        <w:tc>
          <w:tcPr>
            <w:tcW w:w="1403" w:type="pct"/>
            <w:hideMark/>
          </w:tcPr>
          <w:p w14:paraId="732C8AFB" w14:textId="10E8CC05" w:rsidR="00881E15" w:rsidRPr="00766C9B" w:rsidRDefault="00881E15"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79.</w:t>
            </w:r>
            <w:r w:rsidR="00171F5D">
              <w:t>71</w:t>
            </w:r>
          </w:p>
        </w:tc>
      </w:tr>
      <w:tr w:rsidR="002420F7" w:rsidRPr="00766C9B" w14:paraId="1E1300EB" w14:textId="77777777" w:rsidTr="00EA0734">
        <w:trPr>
          <w:trHeight w:val="120"/>
        </w:trPr>
        <w:tc>
          <w:tcPr>
            <w:cnfStyle w:val="001000000000" w:firstRow="0" w:lastRow="0" w:firstColumn="1" w:lastColumn="0" w:oddVBand="0" w:evenVBand="0" w:oddHBand="0" w:evenHBand="0" w:firstRowFirstColumn="0" w:firstRowLastColumn="0" w:lastRowFirstColumn="0" w:lastRowLastColumn="0"/>
            <w:tcW w:w="2404" w:type="pct"/>
          </w:tcPr>
          <w:p w14:paraId="2B0BB6E3" w14:textId="334CD902" w:rsidR="002420F7" w:rsidRPr="00766C9B" w:rsidRDefault="002420F7" w:rsidP="00EA0734">
            <w:pPr>
              <w:pStyle w:val="TableTextLeft"/>
            </w:pPr>
            <w:r w:rsidRPr="00766C9B">
              <w:t>Worse than national rate</w:t>
            </w:r>
          </w:p>
        </w:tc>
        <w:tc>
          <w:tcPr>
            <w:tcW w:w="1193" w:type="pct"/>
          </w:tcPr>
          <w:p w14:paraId="7B73E73F" w14:textId="262DE949" w:rsidR="002420F7" w:rsidRPr="00766C9B" w:rsidRDefault="002420F7"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157</w:t>
            </w:r>
          </w:p>
        </w:tc>
        <w:tc>
          <w:tcPr>
            <w:tcW w:w="1403" w:type="pct"/>
          </w:tcPr>
          <w:p w14:paraId="287B525A" w14:textId="4A5B5AE7" w:rsidR="002420F7" w:rsidRPr="00766C9B" w:rsidRDefault="002420F7"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9.24</w:t>
            </w:r>
          </w:p>
        </w:tc>
      </w:tr>
      <w:tr w:rsidR="002420F7" w:rsidRPr="00766C9B" w14:paraId="2DDF5E0E" w14:textId="77777777" w:rsidTr="00EA0734">
        <w:trPr>
          <w:trHeight w:val="120"/>
        </w:trPr>
        <w:tc>
          <w:tcPr>
            <w:cnfStyle w:val="001000000000" w:firstRow="0" w:lastRow="0" w:firstColumn="1" w:lastColumn="0" w:oddVBand="0" w:evenVBand="0" w:oddHBand="0" w:evenHBand="0" w:firstRowFirstColumn="0" w:firstRowLastColumn="0" w:lastRowFirstColumn="0" w:lastRowLastColumn="0"/>
            <w:tcW w:w="2404" w:type="pct"/>
            <w:hideMark/>
          </w:tcPr>
          <w:p w14:paraId="419F1911" w14:textId="17863D28" w:rsidR="002420F7" w:rsidRPr="00766C9B" w:rsidRDefault="002420F7" w:rsidP="00EA0734">
            <w:pPr>
              <w:pStyle w:val="TableTextLeft"/>
            </w:pPr>
            <w:r w:rsidRPr="00766C9B">
              <w:t>Fewer than 25 cases during performance period</w:t>
            </w:r>
            <w:r>
              <w:t xml:space="preserve"> </w:t>
            </w:r>
          </w:p>
        </w:tc>
        <w:tc>
          <w:tcPr>
            <w:tcW w:w="1193" w:type="pct"/>
            <w:hideMark/>
          </w:tcPr>
          <w:p w14:paraId="0F9169DC" w14:textId="780D2C6C" w:rsidR="002420F7" w:rsidRPr="00766C9B" w:rsidRDefault="002420F7"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92</w:t>
            </w:r>
          </w:p>
        </w:tc>
        <w:tc>
          <w:tcPr>
            <w:tcW w:w="1403" w:type="pct"/>
            <w:hideMark/>
          </w:tcPr>
          <w:p w14:paraId="5896D7BD" w14:textId="2C6E19E8" w:rsidR="002420F7" w:rsidRPr="00766C9B" w:rsidRDefault="002420F7" w:rsidP="00EA0734">
            <w:pPr>
              <w:pStyle w:val="TableTextCentered"/>
              <w:cnfStyle w:val="000000000000" w:firstRow="0" w:lastRow="0" w:firstColumn="0" w:lastColumn="0" w:oddVBand="0" w:evenVBand="0" w:oddHBand="0" w:evenHBand="0" w:firstRowFirstColumn="0" w:firstRowLastColumn="0" w:lastRowFirstColumn="0" w:lastRowLastColumn="0"/>
            </w:pPr>
            <w:r w:rsidRPr="00766C9B">
              <w:t>5.41</w:t>
            </w:r>
          </w:p>
        </w:tc>
      </w:tr>
    </w:tbl>
    <w:bookmarkEnd w:id="57"/>
    <w:bookmarkEnd w:id="58"/>
    <w:p w14:paraId="31B6EC08" w14:textId="4D719BB4" w:rsidR="000530F7" w:rsidRPr="007D17AA" w:rsidRDefault="000530F7" w:rsidP="000530F7">
      <w:pPr>
        <w:pStyle w:val="TableSourceCaption"/>
        <w:tabs>
          <w:tab w:val="left" w:pos="0"/>
        </w:tabs>
        <w:rPr>
          <w:rFonts w:asciiTheme="minorHAnsi" w:hAnsiTheme="minorHAnsi" w:cstheme="minorHAnsi"/>
          <w:color w:val="0070C0"/>
        </w:rPr>
      </w:pPr>
      <w:r w:rsidRPr="007D17AA">
        <w:rPr>
          <w:rFonts w:asciiTheme="minorHAnsi" w:hAnsiTheme="minorHAnsi" w:cstheme="minorHAnsi"/>
          <w:color w:val="0070C0"/>
        </w:rPr>
        <w:t>Source:</w:t>
      </w:r>
      <w:r w:rsidRPr="007D17AA">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1A6F16FE" w14:textId="41836831" w:rsidR="00171F5D" w:rsidRPr="007D17AA" w:rsidRDefault="00171F5D" w:rsidP="000530F7">
      <w:pPr>
        <w:pStyle w:val="TableSourceCaption"/>
        <w:tabs>
          <w:tab w:val="left" w:pos="0"/>
        </w:tabs>
        <w:rPr>
          <w:rFonts w:asciiTheme="minorHAnsi" w:hAnsiTheme="minorHAnsi" w:cstheme="minorHAnsi"/>
          <w:color w:val="0070C0"/>
        </w:rPr>
      </w:pPr>
      <w:r w:rsidRPr="007D17AA">
        <w:rPr>
          <w:rFonts w:asciiTheme="minorHAnsi" w:hAnsiTheme="minorHAnsi" w:cstheme="minorHAnsi"/>
          <w:color w:val="0070C0"/>
        </w:rPr>
        <w:t xml:space="preserve">Notes: </w:t>
      </w:r>
      <w:r w:rsidRPr="007D17AA">
        <w:rPr>
          <w:rFonts w:asciiTheme="minorHAnsi" w:hAnsiTheme="minorHAnsi" w:cstheme="minorHAnsi"/>
          <w:color w:val="0070C0"/>
        </w:rPr>
        <w:tab/>
        <w:t>Percentages may not sum to 1</w:t>
      </w:r>
      <w:r w:rsidR="009227BC">
        <w:rPr>
          <w:rFonts w:asciiTheme="minorHAnsi" w:hAnsiTheme="minorHAnsi" w:cstheme="minorHAnsi"/>
          <w:color w:val="0070C0"/>
        </w:rPr>
        <w:t>00</w:t>
      </w:r>
      <w:r w:rsidRPr="007D17AA">
        <w:rPr>
          <w:rFonts w:asciiTheme="minorHAnsi" w:hAnsiTheme="minorHAnsi" w:cstheme="minorHAnsi"/>
          <w:color w:val="0070C0"/>
        </w:rPr>
        <w:t xml:space="preserve"> </w:t>
      </w:r>
      <w:proofErr w:type="gramStart"/>
      <w:r w:rsidRPr="007D17AA">
        <w:rPr>
          <w:rFonts w:asciiTheme="minorHAnsi" w:hAnsiTheme="minorHAnsi" w:cstheme="minorHAnsi"/>
          <w:color w:val="0070C0"/>
        </w:rPr>
        <w:t>due</w:t>
      </w:r>
      <w:proofErr w:type="gramEnd"/>
      <w:r w:rsidRPr="007D17AA">
        <w:rPr>
          <w:rFonts w:asciiTheme="minorHAnsi" w:hAnsiTheme="minorHAnsi" w:cstheme="minorHAnsi"/>
          <w:color w:val="0070C0"/>
        </w:rPr>
        <w:t xml:space="preserve"> to rounding</w:t>
      </w:r>
      <w:r w:rsidR="009227BC">
        <w:rPr>
          <w:rFonts w:asciiTheme="minorHAnsi" w:hAnsiTheme="minorHAnsi" w:cstheme="minorHAnsi"/>
          <w:color w:val="0070C0"/>
        </w:rPr>
        <w:t>.</w:t>
      </w:r>
    </w:p>
    <w:p w14:paraId="38C1A769" w14:textId="77777777" w:rsidR="000530F7" w:rsidRPr="00927027" w:rsidRDefault="000530F7" w:rsidP="00086FAC">
      <w:pPr>
        <w:autoSpaceDE w:val="0"/>
        <w:autoSpaceDN w:val="0"/>
        <w:adjustRightInd w:val="0"/>
        <w:spacing w:after="0" w:line="240" w:lineRule="auto"/>
        <w:rPr>
          <w:rFonts w:cstheme="minorHAnsi"/>
          <w:bCs/>
        </w:rPr>
      </w:pPr>
    </w:p>
    <w:p w14:paraId="743D5262"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2b4.3. </w:t>
      </w:r>
      <w:r w:rsidRPr="00A25024">
        <w:rPr>
          <w:rFonts w:cstheme="minorHAnsi"/>
          <w:b/>
          <w:bCs/>
        </w:rPr>
        <w:t>What is your interpretation of the results in terms of demonstrating the ability to identify statistically significant and</w:t>
      </w:r>
      <w:r>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Pr>
          <w:rFonts w:cstheme="minorHAnsi"/>
          <w:bCs/>
          <w:i/>
        </w:rPr>
        <w:t>o the results mean in terms of statistical and meaningful differences?</w:t>
      </w:r>
      <w:r w:rsidRPr="00A25024">
        <w:rPr>
          <w:rFonts w:cstheme="minorHAnsi"/>
          <w:bCs/>
        </w:rPr>
        <w:t>)</w:t>
      </w:r>
    </w:p>
    <w:p w14:paraId="6F8E5F47" w14:textId="437E56C8" w:rsidR="00086FAC" w:rsidRPr="005F22EB" w:rsidRDefault="00086FAC" w:rsidP="00086FAC">
      <w:pPr>
        <w:autoSpaceDE w:val="0"/>
        <w:autoSpaceDN w:val="0"/>
        <w:adjustRightInd w:val="0"/>
        <w:spacing w:after="0" w:line="240" w:lineRule="auto"/>
        <w:rPr>
          <w:rFonts w:cstheme="minorHAnsi"/>
          <w:bCs/>
          <w:color w:val="0070C0"/>
        </w:rPr>
      </w:pPr>
      <w:r w:rsidRPr="005F22EB">
        <w:rPr>
          <w:rFonts w:cstheme="minorHAnsi"/>
          <w:bCs/>
          <w:color w:val="0070C0"/>
        </w:rPr>
        <w:t>T</w:t>
      </w:r>
      <w:r>
        <w:rPr>
          <w:rFonts w:cstheme="minorHAnsi"/>
          <w:bCs/>
          <w:color w:val="0070C0"/>
        </w:rPr>
        <w:t>he higher proportion</w:t>
      </w:r>
      <w:r w:rsidRPr="005F22EB">
        <w:rPr>
          <w:rFonts w:cstheme="minorHAnsi"/>
          <w:bCs/>
          <w:color w:val="0070C0"/>
        </w:rPr>
        <w:t xml:space="preserve"> of facilities that are categorized as “better than” or “worse than” the national rate </w:t>
      </w:r>
      <w:r>
        <w:rPr>
          <w:rFonts w:cstheme="minorHAnsi"/>
          <w:bCs/>
          <w:color w:val="0070C0"/>
        </w:rPr>
        <w:t>relative to some other NQF-endorsed readmission measures (e.g., NQF #1789 Hospital-Wide Readmission Measure</w:t>
      </w:r>
      <w:r w:rsidR="007438D5">
        <w:rPr>
          <w:rStyle w:val="EndnoteReference"/>
          <w:rFonts w:cstheme="minorHAnsi"/>
          <w:bCs/>
          <w:color w:val="0070C0"/>
        </w:rPr>
        <w:endnoteReference w:id="45"/>
      </w:r>
      <w:r>
        <w:rPr>
          <w:rFonts w:cstheme="minorHAnsi"/>
          <w:bCs/>
          <w:color w:val="0070C0"/>
        </w:rPr>
        <w:t xml:space="preserve">) </w:t>
      </w:r>
      <w:r w:rsidRPr="005F22EB">
        <w:rPr>
          <w:rFonts w:cstheme="minorHAnsi"/>
          <w:bCs/>
          <w:color w:val="0070C0"/>
        </w:rPr>
        <w:t>indicates that the measure is able to discriminate between facilities with varying degrees of performance.</w:t>
      </w:r>
      <w:r w:rsidR="00E36ABF">
        <w:rPr>
          <w:rFonts w:cstheme="minorHAnsi"/>
          <w:bCs/>
          <w:color w:val="0070C0"/>
        </w:rPr>
        <w:t xml:space="preserve"> </w:t>
      </w:r>
      <w:r w:rsidR="00E36ABF" w:rsidRPr="00E36ABF">
        <w:rPr>
          <w:rFonts w:cstheme="minorHAnsi"/>
          <w:bCs/>
          <w:color w:val="0070C0"/>
        </w:rPr>
        <w:t xml:space="preserve">This variation in the readmission rates </w:t>
      </w:r>
      <w:r w:rsidR="00E36ABF">
        <w:rPr>
          <w:rFonts w:cstheme="minorHAnsi"/>
          <w:bCs/>
          <w:color w:val="0070C0"/>
        </w:rPr>
        <w:t xml:space="preserve">also </w:t>
      </w:r>
      <w:r w:rsidR="00E36ABF" w:rsidRPr="00E36ABF">
        <w:rPr>
          <w:rFonts w:cstheme="minorHAnsi"/>
          <w:bCs/>
          <w:color w:val="0070C0"/>
        </w:rPr>
        <w:t>shows a quality gap</w:t>
      </w:r>
      <w:r w:rsidR="00E36ABF">
        <w:rPr>
          <w:rFonts w:cstheme="minorHAnsi"/>
          <w:bCs/>
          <w:color w:val="0070C0"/>
        </w:rPr>
        <w:t xml:space="preserve"> between facilities</w:t>
      </w:r>
      <w:r w:rsidR="00E36ABF" w:rsidRPr="00E36ABF">
        <w:rPr>
          <w:rFonts w:cstheme="minorHAnsi"/>
          <w:bCs/>
          <w:color w:val="0070C0"/>
        </w:rPr>
        <w:t>, as some IPFs can achieve substantially lower readmission rates than an average facility, while other</w:t>
      </w:r>
      <w:r w:rsidR="005A3C38">
        <w:rPr>
          <w:rFonts w:cstheme="minorHAnsi"/>
          <w:bCs/>
          <w:color w:val="0070C0"/>
        </w:rPr>
        <w:t>s</w:t>
      </w:r>
      <w:r w:rsidR="00E36ABF" w:rsidRPr="00E36ABF">
        <w:rPr>
          <w:rFonts w:cstheme="minorHAnsi"/>
          <w:bCs/>
          <w:color w:val="0070C0"/>
        </w:rPr>
        <w:t xml:space="preserve"> are performing worse than an average facility.</w:t>
      </w:r>
      <w:r w:rsidR="00E36ABF">
        <w:rPr>
          <w:rFonts w:cstheme="minorHAnsi"/>
          <w:bCs/>
          <w:color w:val="0070C0"/>
        </w:rPr>
        <w:t xml:space="preserve"> </w:t>
      </w:r>
      <w:r w:rsidR="00B54422">
        <w:rPr>
          <w:rFonts w:cstheme="minorHAnsi"/>
          <w:bCs/>
          <w:color w:val="0070C0"/>
        </w:rPr>
        <w:t>T</w:t>
      </w:r>
      <w:r w:rsidR="00E36ABF" w:rsidRPr="00B54422">
        <w:rPr>
          <w:rFonts w:cstheme="minorHAnsi"/>
          <w:bCs/>
          <w:color w:val="0070C0"/>
        </w:rPr>
        <w:t xml:space="preserve">hese results suggest that there is substantial need to both reduce the </w:t>
      </w:r>
      <w:r w:rsidR="00B54422" w:rsidRPr="00B54422">
        <w:rPr>
          <w:rFonts w:cstheme="minorHAnsi"/>
          <w:bCs/>
          <w:color w:val="0070C0"/>
        </w:rPr>
        <w:t>readmission rate</w:t>
      </w:r>
      <w:r w:rsidR="00E36ABF" w:rsidRPr="00B54422">
        <w:rPr>
          <w:rFonts w:cstheme="minorHAnsi"/>
          <w:bCs/>
          <w:color w:val="0070C0"/>
        </w:rPr>
        <w:t xml:space="preserve"> and the variation in rates across </w:t>
      </w:r>
      <w:r w:rsidR="00B54422" w:rsidRPr="00B54422">
        <w:rPr>
          <w:rFonts w:cstheme="minorHAnsi"/>
          <w:bCs/>
          <w:color w:val="0070C0"/>
        </w:rPr>
        <w:t>IPFs</w:t>
      </w:r>
      <w:r w:rsidR="00B54422">
        <w:rPr>
          <w:rFonts w:cstheme="minorHAnsi"/>
          <w:bCs/>
          <w:color w:val="0070C0"/>
        </w:rPr>
        <w:t xml:space="preserve"> (see </w:t>
      </w:r>
      <w:r w:rsidR="006312E3" w:rsidRPr="006312E3">
        <w:rPr>
          <w:rFonts w:cstheme="minorHAnsi"/>
          <w:bCs/>
          <w:color w:val="0070C0"/>
        </w:rPr>
        <w:t>2b3.4b.c</w:t>
      </w:r>
      <w:r w:rsidR="00B54422">
        <w:rPr>
          <w:rFonts w:cstheme="minorHAnsi"/>
          <w:bCs/>
          <w:color w:val="0070C0"/>
        </w:rPr>
        <w:t>)</w:t>
      </w:r>
      <w:r w:rsidR="00E36ABF" w:rsidRPr="00B54422">
        <w:rPr>
          <w:rFonts w:cstheme="minorHAnsi"/>
          <w:bCs/>
          <w:color w:val="0070C0"/>
        </w:rPr>
        <w:t>, and that this improvement goal is achievable.</w:t>
      </w:r>
    </w:p>
    <w:p w14:paraId="43EA135D" w14:textId="77777777" w:rsidR="00086FAC" w:rsidRDefault="00086FAC" w:rsidP="00086FAC">
      <w:pPr>
        <w:spacing w:after="0" w:line="240" w:lineRule="auto"/>
        <w:rPr>
          <w:rFonts w:cstheme="minorHAnsi"/>
          <w:b/>
          <w:bCs/>
        </w:rPr>
      </w:pPr>
      <w:r>
        <w:rPr>
          <w:rFonts w:cstheme="minorHAnsi"/>
          <w:b/>
          <w:bCs/>
        </w:rPr>
        <w:t>_______________________________________</w:t>
      </w:r>
    </w:p>
    <w:p w14:paraId="05F5B845" w14:textId="77777777" w:rsidR="00086FAC" w:rsidRDefault="00086FAC" w:rsidP="00086FAC">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5</w:t>
      </w:r>
      <w:r w:rsidRPr="00A25024">
        <w:rPr>
          <w:rFonts w:cstheme="minorHAnsi"/>
          <w:b/>
          <w:bCs/>
        </w:rPr>
        <w:t xml:space="preserve">. COMPARABILITY OF PERFORMANCE SCORES </w:t>
      </w:r>
      <w:r>
        <w:rPr>
          <w:rFonts w:cstheme="minorHAnsi"/>
          <w:b/>
          <w:bCs/>
        </w:rPr>
        <w:t>WHEN</w:t>
      </w:r>
      <w:r w:rsidRPr="00A25024">
        <w:rPr>
          <w:rFonts w:cstheme="minorHAnsi"/>
          <w:b/>
          <w:bCs/>
        </w:rPr>
        <w:t xml:space="preserve"> MORE THAN ONE SET OF SPECIFICATIONS </w:t>
      </w:r>
    </w:p>
    <w:p w14:paraId="3EAAEE9B" w14:textId="77777777" w:rsidR="00086FAC" w:rsidRPr="0086464B" w:rsidRDefault="00086FAC" w:rsidP="00086FAC">
      <w:pPr>
        <w:spacing w:after="0" w:line="240" w:lineRule="auto"/>
        <w:rPr>
          <w:rFonts w:cstheme="minorHAnsi"/>
          <w:b/>
          <w:bCs/>
        </w:rPr>
      </w:pPr>
      <w:r w:rsidRPr="00BE47C7">
        <w:rPr>
          <w:rFonts w:cstheme="minorHAnsi"/>
          <w:b/>
          <w:bCs/>
          <w:i/>
        </w:rPr>
        <w:t>If only one set of specifications, this section can be skipped.</w:t>
      </w:r>
    </w:p>
    <w:p w14:paraId="3E908B59" w14:textId="77777777" w:rsidR="00086FAC" w:rsidRPr="00A25024" w:rsidRDefault="00086FAC" w:rsidP="00086FAC">
      <w:pPr>
        <w:autoSpaceDE w:val="0"/>
        <w:autoSpaceDN w:val="0"/>
        <w:adjustRightInd w:val="0"/>
        <w:spacing w:after="0" w:line="240" w:lineRule="auto"/>
        <w:rPr>
          <w:rFonts w:cstheme="minorHAnsi"/>
          <w:b/>
          <w:bCs/>
        </w:rPr>
      </w:pPr>
    </w:p>
    <w:p w14:paraId="4A3EA368" w14:textId="1AA2A1D8" w:rsidR="00086FAC" w:rsidRDefault="00086FAC" w:rsidP="00086FAC">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Pr>
          <w:rFonts w:ascii="Calibri-Italic" w:eastAsiaTheme="minorHAnsi" w:hAnsi="Calibri-Italic" w:cs="Calibri-Italic"/>
          <w:i/>
          <w:iCs/>
        </w:rPr>
        <w:t xml:space="preserve">This item is directed to measures that are risk-adjusted (with or without social risk factors) </w:t>
      </w:r>
      <w:r w:rsidRPr="00084055">
        <w:rPr>
          <w:rFonts w:ascii="Calibri-Italic" w:eastAsiaTheme="minorHAnsi" w:hAnsi="Calibri-Italic" w:cs="Calibri-Italic"/>
          <w:b/>
          <w:i/>
          <w:iCs/>
        </w:rPr>
        <w:t>OR</w:t>
      </w:r>
      <w:r>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Pr>
          <w:rFonts w:ascii="Calibri-Italic" w:eastAsiaTheme="minorHAnsi" w:hAnsi="Calibri-Italic" w:cs="Calibri-Italic"/>
          <w:i/>
          <w:iCs/>
        </w:rPr>
        <w:t>eMeasures</w:t>
      </w:r>
      <w:proofErr w:type="spellEnd"/>
      <w:r>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Pr="005133A2">
        <w:rPr>
          <w:rFonts w:ascii="Calibri-BoldItalic" w:eastAsiaTheme="minorHAnsi" w:hAnsi="Calibri-BoldItalic" w:cs="Calibri-BoldItalic"/>
          <w:b/>
          <w:bCs/>
          <w:i/>
          <w:iCs/>
        </w:rPr>
        <w:t>Co</w:t>
      </w:r>
      <w:r>
        <w:rPr>
          <w:rFonts w:ascii="Calibri-BoldItalic" w:eastAsiaTheme="minorHAnsi" w:hAnsi="Calibri-BoldItalic" w:cs="Calibri-BoldItalic"/>
          <w:b/>
          <w:bCs/>
          <w:i/>
          <w:iCs/>
        </w:rPr>
        <w:t xml:space="preserve">mparability is not required when comparing performance scores </w:t>
      </w:r>
      <w:r w:rsidRPr="005133A2">
        <w:rPr>
          <w:rFonts w:ascii="Calibri-BoldItalic" w:eastAsiaTheme="minorHAnsi" w:hAnsi="Calibri-BoldItalic" w:cs="Calibri-BoldItalic"/>
          <w:b/>
          <w:bCs/>
          <w:i/>
          <w:iCs/>
        </w:rPr>
        <w:t xml:space="preserve">with and without </w:t>
      </w:r>
      <w:r>
        <w:rPr>
          <w:rFonts w:ascii="Calibri-BoldItalic" w:eastAsiaTheme="minorHAnsi" w:hAnsi="Calibri-BoldItalic" w:cs="Calibri-BoldItalic"/>
          <w:b/>
          <w:bCs/>
          <w:i/>
          <w:iCs/>
        </w:rPr>
        <w:t>social risk</w:t>
      </w:r>
      <w:r w:rsidRPr="005133A2">
        <w:rPr>
          <w:rFonts w:ascii="Calibri-BoldItalic" w:eastAsiaTheme="minorHAnsi" w:hAnsi="Calibri-BoldItalic" w:cs="Calibri-BoldItalic"/>
          <w:b/>
          <w:bCs/>
          <w:i/>
          <w:iCs/>
        </w:rPr>
        <w:t xml:space="preserve"> factors in the risk adjustment model</w:t>
      </w:r>
      <w:r>
        <w:rPr>
          <w:rFonts w:ascii="Calibri-BoldItalic" w:eastAsiaTheme="minorHAnsi" w:hAnsi="Calibri-BoldItalic" w:cs="Calibri-BoldItalic"/>
          <w:b/>
          <w:bCs/>
          <w:i/>
          <w:iCs/>
        </w:rPr>
        <w:t>.</w:t>
      </w:r>
      <w:r w:rsidR="00150B13">
        <w:rPr>
          <w:rFonts w:ascii="Calibri-BoldItalic" w:eastAsiaTheme="minorHAnsi" w:hAnsi="Calibri-BoldItalic" w:cs="Calibri-BoldItalic"/>
          <w:b/>
          <w:bCs/>
          <w:i/>
          <w:iCs/>
        </w:rPr>
        <w:t xml:space="preserve"> </w:t>
      </w:r>
      <w:r>
        <w:rPr>
          <w:rFonts w:ascii="Calibri-BoldItalic" w:eastAsiaTheme="minorHAnsi" w:hAnsi="Calibri-BoldItalic" w:cs="Calibri-BoldItalic"/>
          <w:b/>
          <w:bCs/>
          <w:i/>
          <w:iCs/>
        </w:rPr>
        <w:t>However, if comparability is not demonstrated</w:t>
      </w:r>
      <w:r w:rsidRPr="005133A2">
        <w:rPr>
          <w:rFonts w:ascii="Calibri-BoldItalic" w:eastAsiaTheme="minorHAnsi" w:hAnsi="Calibri-BoldItalic" w:cs="Calibri-BoldItalic"/>
          <w:b/>
          <w:bCs/>
          <w:i/>
          <w:iCs/>
        </w:rPr>
        <w:t xml:space="preserve"> for measures with more than one set of specifications/instructions</w:t>
      </w:r>
      <w:r>
        <w:rPr>
          <w:rFonts w:ascii="Calibri-BoldItalic" w:eastAsiaTheme="minorHAnsi" w:hAnsi="Calibri-BoldItalic" w:cs="Calibri-BoldItalic"/>
          <w:b/>
          <w:bCs/>
          <w:i/>
          <w:iCs/>
        </w:rPr>
        <w:t>, the different specifications (e.g., for medical records vs. claims) should be submitted as separate measures.</w:t>
      </w:r>
    </w:p>
    <w:p w14:paraId="600FB0F5" w14:textId="77777777" w:rsidR="00086FAC" w:rsidRPr="00A25024" w:rsidRDefault="00086FAC" w:rsidP="00086FAC">
      <w:pPr>
        <w:autoSpaceDE w:val="0"/>
        <w:autoSpaceDN w:val="0"/>
        <w:adjustRightInd w:val="0"/>
        <w:spacing w:after="0" w:line="240" w:lineRule="auto"/>
        <w:rPr>
          <w:rFonts w:cstheme="minorHAnsi"/>
          <w:bCs/>
        </w:rPr>
      </w:pPr>
    </w:p>
    <w:p w14:paraId="5504A196"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2b5.1. Describe the method of </w:t>
      </w:r>
      <w:r w:rsidRPr="00A25024">
        <w:rPr>
          <w:rFonts w:cstheme="minorHAnsi"/>
          <w:b/>
          <w:bCs/>
        </w:rPr>
        <w:t>testing conducted</w:t>
      </w:r>
      <w:r>
        <w:rPr>
          <w:rFonts w:cstheme="minorHAnsi"/>
          <w:b/>
          <w:bCs/>
        </w:rPr>
        <w:t xml:space="preserve"> to compare</w:t>
      </w:r>
      <w:r w:rsidRPr="00A25024">
        <w:rPr>
          <w:rFonts w:cstheme="minorHAnsi"/>
          <w:b/>
          <w:bCs/>
        </w:rPr>
        <w:t xml:space="preserve"> performance scores for the same entities across the different </w:t>
      </w:r>
      <w:r>
        <w:rPr>
          <w:rFonts w:cstheme="minorHAnsi"/>
          <w:b/>
          <w:bCs/>
        </w:rPr>
        <w:t>data sources/</w:t>
      </w:r>
      <w:r w:rsidRPr="00A25024">
        <w:rPr>
          <w:rFonts w:cstheme="minorHAnsi"/>
          <w:b/>
          <w:bCs/>
        </w:rPr>
        <w:t>specifications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14:paraId="2DB7D7A0" w14:textId="77777777" w:rsidR="00086FAC" w:rsidRPr="00136404" w:rsidRDefault="00086FAC" w:rsidP="00086FAC">
      <w:pPr>
        <w:autoSpaceDE w:val="0"/>
        <w:autoSpaceDN w:val="0"/>
        <w:adjustRightInd w:val="0"/>
        <w:spacing w:after="120" w:line="240" w:lineRule="auto"/>
        <w:rPr>
          <w:rFonts w:cstheme="minorHAnsi"/>
          <w:bCs/>
          <w:color w:val="0070C0"/>
        </w:rPr>
      </w:pPr>
      <w:r w:rsidRPr="00136404">
        <w:rPr>
          <w:rFonts w:cstheme="minorHAnsi"/>
          <w:bCs/>
          <w:color w:val="0070C0"/>
        </w:rPr>
        <w:t>Not applicable</w:t>
      </w:r>
      <w:r>
        <w:rPr>
          <w:rFonts w:cstheme="minorHAnsi"/>
          <w:bCs/>
          <w:color w:val="0070C0"/>
        </w:rPr>
        <w:t xml:space="preserve"> – only claims data were used.</w:t>
      </w:r>
    </w:p>
    <w:p w14:paraId="00D7F0B1"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2b5.2. </w:t>
      </w:r>
      <w:r w:rsidRPr="00A25024">
        <w:rPr>
          <w:rFonts w:cstheme="minorHAnsi"/>
          <w:b/>
          <w:bCs/>
        </w:rPr>
        <w:t xml:space="preserve">What were the statistical results from testing comparability of performance scores for the same entities when using different </w:t>
      </w:r>
      <w:r>
        <w:rPr>
          <w:rFonts w:cstheme="minorHAnsi"/>
          <w:b/>
          <w:bCs/>
        </w:rPr>
        <w:t>data sources/</w:t>
      </w:r>
      <w:r w:rsidRPr="00A25024">
        <w:rPr>
          <w:rFonts w:cstheme="minorHAnsi"/>
          <w:b/>
          <w:bCs/>
        </w:rPr>
        <w:t>specifications?</w:t>
      </w:r>
      <w:r w:rsidRPr="00A25024">
        <w:rPr>
          <w:rFonts w:cstheme="minorHAnsi"/>
          <w:bCs/>
        </w:rPr>
        <w:t xml:space="preserve"> (</w:t>
      </w:r>
      <w:r w:rsidRPr="00A25024">
        <w:rPr>
          <w:rFonts w:cstheme="minorHAnsi"/>
          <w:bCs/>
          <w:i/>
        </w:rPr>
        <w:t>e.g., correlation</w:t>
      </w:r>
      <w:r>
        <w:rPr>
          <w:rFonts w:cstheme="minorHAnsi"/>
          <w:bCs/>
          <w:i/>
        </w:rPr>
        <w:t>, rank order</w:t>
      </w:r>
      <w:r w:rsidRPr="00A25024">
        <w:rPr>
          <w:rFonts w:cstheme="minorHAnsi"/>
          <w:bCs/>
        </w:rPr>
        <w:t>)</w:t>
      </w:r>
    </w:p>
    <w:p w14:paraId="7739686D" w14:textId="33FB126D" w:rsidR="00086FAC" w:rsidRDefault="00086FAC" w:rsidP="00086FAC">
      <w:pPr>
        <w:pStyle w:val="Default"/>
        <w:spacing w:after="120"/>
        <w:rPr>
          <w:sz w:val="22"/>
          <w:szCs w:val="22"/>
        </w:rPr>
      </w:pPr>
      <w:r>
        <w:rPr>
          <w:color w:val="0070C0"/>
          <w:sz w:val="22"/>
          <w:szCs w:val="22"/>
        </w:rPr>
        <w:t>Not applicable</w:t>
      </w:r>
      <w:r w:rsidR="005A3C38">
        <w:rPr>
          <w:color w:val="0070C0"/>
          <w:sz w:val="22"/>
          <w:szCs w:val="22"/>
        </w:rPr>
        <w:t>.</w:t>
      </w:r>
    </w:p>
    <w:p w14:paraId="70680B4B"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 xml:space="preserve">What is your interpretation of the results in terms of </w:t>
      </w:r>
      <w:r>
        <w:rPr>
          <w:rFonts w:cstheme="minorHAnsi"/>
          <w:b/>
          <w:bCs/>
        </w:rPr>
        <w:t>the differences in</w:t>
      </w:r>
      <w:r w:rsidRPr="00A25024">
        <w:rPr>
          <w:rFonts w:cstheme="minorHAnsi"/>
          <w:b/>
          <w:bCs/>
        </w:rPr>
        <w:t xml:space="preserve"> performance measure scores for the same entities across the different </w:t>
      </w:r>
      <w:r>
        <w:rPr>
          <w:rFonts w:cstheme="minorHAnsi"/>
          <w:b/>
          <w:bCs/>
        </w:rPr>
        <w:t>data sources/</w:t>
      </w:r>
      <w:r w:rsidRPr="00A25024">
        <w:rPr>
          <w:rFonts w:cstheme="minorHAnsi"/>
          <w:b/>
          <w:bCs/>
        </w:rPr>
        <w:t>specifications?</w:t>
      </w:r>
      <w:r w:rsidRPr="00A25024">
        <w:rPr>
          <w:rFonts w:cstheme="minorHAnsi"/>
          <w:bCs/>
        </w:rPr>
        <w:t xml:space="preserve"> (i</w:t>
      </w:r>
      <w:r w:rsidRPr="00A25024">
        <w:rPr>
          <w:rFonts w:cstheme="minorHAnsi"/>
          <w:bCs/>
          <w:i/>
        </w:rPr>
        <w:t>.e., what do the results mean and what are the norms for the test conducted</w:t>
      </w:r>
      <w:r w:rsidRPr="00A25024">
        <w:rPr>
          <w:rFonts w:cstheme="minorHAnsi"/>
          <w:bCs/>
        </w:rPr>
        <w:t>)</w:t>
      </w:r>
    </w:p>
    <w:p w14:paraId="62861EA0" w14:textId="771677B3" w:rsidR="00086FAC" w:rsidRDefault="00086FAC" w:rsidP="00086FAC">
      <w:pPr>
        <w:pStyle w:val="Default"/>
        <w:spacing w:after="120"/>
        <w:rPr>
          <w:sz w:val="22"/>
          <w:szCs w:val="22"/>
        </w:rPr>
      </w:pPr>
      <w:r>
        <w:rPr>
          <w:color w:val="0070C0"/>
          <w:sz w:val="22"/>
          <w:szCs w:val="22"/>
        </w:rPr>
        <w:t>Not applicable</w:t>
      </w:r>
      <w:r w:rsidR="005A3C38">
        <w:rPr>
          <w:color w:val="0070C0"/>
          <w:sz w:val="22"/>
          <w:szCs w:val="22"/>
        </w:rPr>
        <w:t>.</w:t>
      </w:r>
    </w:p>
    <w:p w14:paraId="4E51CCFF" w14:textId="77777777" w:rsidR="00086FAC" w:rsidRDefault="00086FAC" w:rsidP="00086FAC">
      <w:pPr>
        <w:spacing w:after="0" w:line="240" w:lineRule="auto"/>
        <w:rPr>
          <w:rFonts w:cstheme="minorHAnsi"/>
          <w:b/>
          <w:bCs/>
        </w:rPr>
      </w:pPr>
      <w:r>
        <w:rPr>
          <w:rFonts w:cstheme="minorHAnsi"/>
          <w:b/>
          <w:bCs/>
        </w:rPr>
        <w:lastRenderedPageBreak/>
        <w:t>_______________________________________</w:t>
      </w:r>
    </w:p>
    <w:p w14:paraId="3332298E" w14:textId="77777777" w:rsidR="00086FAC" w:rsidRDefault="00086FAC" w:rsidP="00086FAC">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6</w:t>
      </w:r>
      <w:r w:rsidRPr="00A25024">
        <w:rPr>
          <w:rFonts w:cstheme="minorHAnsi"/>
          <w:b/>
          <w:bCs/>
        </w:rPr>
        <w:t xml:space="preserve">. </w:t>
      </w:r>
      <w:r>
        <w:rPr>
          <w:rFonts w:cstheme="minorHAnsi"/>
          <w:b/>
          <w:bCs/>
        </w:rPr>
        <w:t xml:space="preserve">MISSING DATA ANALYSIS AND MINIMIZING BIAS </w:t>
      </w:r>
    </w:p>
    <w:p w14:paraId="2670FB0A" w14:textId="77777777" w:rsidR="00086FAC" w:rsidRDefault="00086FAC" w:rsidP="00086FAC">
      <w:pPr>
        <w:autoSpaceDE w:val="0"/>
        <w:autoSpaceDN w:val="0"/>
        <w:adjustRightInd w:val="0"/>
        <w:spacing w:after="0" w:line="240" w:lineRule="auto"/>
        <w:rPr>
          <w:rFonts w:cstheme="minorHAnsi"/>
          <w:bCs/>
        </w:rPr>
      </w:pPr>
    </w:p>
    <w:p w14:paraId="575B68ED" w14:textId="5740D3B0" w:rsidR="00086FAC" w:rsidRDefault="00086FAC" w:rsidP="00086FAC">
      <w:pPr>
        <w:autoSpaceDE w:val="0"/>
        <w:autoSpaceDN w:val="0"/>
        <w:adjustRightInd w:val="0"/>
        <w:spacing w:after="0" w:line="240" w:lineRule="auto"/>
        <w:rPr>
          <w:rFonts w:cstheme="minorHAnsi"/>
          <w:bCs/>
        </w:rPr>
      </w:pPr>
      <w:bookmarkStart w:id="59" w:name="_Hlk58309262"/>
      <w:bookmarkStart w:id="60" w:name="_Hlk28086922"/>
      <w:r>
        <w:rPr>
          <w:rFonts w:cstheme="minorHAnsi"/>
          <w:b/>
          <w:bCs/>
        </w:rPr>
        <w:t xml:space="preserve">2b6.1.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Pr="008B604D">
        <w:rPr>
          <w:rFonts w:ascii="Calibri" w:eastAsia="Calibri" w:hAnsi="Calibri" w:cs="Calibri"/>
          <w:b/>
        </w:rPr>
        <w:t>identify the extent and distribution of missing data (or nonresponse) and demonstrate that 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bookmarkEnd w:id="59"/>
      <w:r w:rsidRPr="00A25024">
        <w:rPr>
          <w:rFonts w:cstheme="minorHAnsi"/>
          <w:bCs/>
        </w:rPr>
        <w:br/>
      </w:r>
      <w:bookmarkStart w:id="61" w:name="_Hlk58309333"/>
      <w:r w:rsidRPr="00B8344E">
        <w:rPr>
          <w:rFonts w:cstheme="minorHAnsi"/>
          <w:bCs/>
          <w:color w:val="0070C0"/>
        </w:rPr>
        <w:t xml:space="preserve">Missing data </w:t>
      </w:r>
      <w:r>
        <w:rPr>
          <w:rFonts w:cstheme="minorHAnsi"/>
          <w:bCs/>
          <w:color w:val="0070C0"/>
        </w:rPr>
        <w:t>were</w:t>
      </w:r>
      <w:r w:rsidRPr="00B8344E">
        <w:rPr>
          <w:rFonts w:cstheme="minorHAnsi"/>
          <w:bCs/>
          <w:color w:val="0070C0"/>
        </w:rPr>
        <w:t xml:space="preserve"> not a problem</w:t>
      </w:r>
      <w:r>
        <w:rPr>
          <w:rFonts w:cstheme="minorHAnsi"/>
          <w:bCs/>
          <w:color w:val="0070C0"/>
        </w:rPr>
        <w:t>, given that we used processed claims</w:t>
      </w:r>
      <w:r w:rsidRPr="00B8344E">
        <w:rPr>
          <w:rFonts w:cstheme="minorHAnsi"/>
          <w:bCs/>
          <w:color w:val="0070C0"/>
        </w:rPr>
        <w:t>.</w:t>
      </w:r>
      <w:bookmarkEnd w:id="61"/>
    </w:p>
    <w:p w14:paraId="68D53213" w14:textId="77777777" w:rsidR="00086FAC" w:rsidRPr="009D3882" w:rsidRDefault="00086FAC" w:rsidP="00086FAC">
      <w:pPr>
        <w:pStyle w:val="ListParagraph"/>
        <w:autoSpaceDE w:val="0"/>
        <w:autoSpaceDN w:val="0"/>
        <w:adjustRightInd w:val="0"/>
        <w:spacing w:after="0" w:line="240" w:lineRule="auto"/>
        <w:ind w:left="0"/>
        <w:rPr>
          <w:rFonts w:cstheme="minorHAnsi"/>
          <w:bCs/>
          <w:sz w:val="18"/>
        </w:rPr>
      </w:pPr>
    </w:p>
    <w:p w14:paraId="55EEE4E8" w14:textId="5E353E2A" w:rsidR="00086FAC" w:rsidRPr="00E93477" w:rsidRDefault="00086FAC" w:rsidP="00086FAC">
      <w:pPr>
        <w:autoSpaceDE w:val="0"/>
        <w:autoSpaceDN w:val="0"/>
        <w:adjustRightInd w:val="0"/>
        <w:spacing w:after="0" w:line="240" w:lineRule="auto"/>
        <w:rPr>
          <w:rFonts w:cstheme="minorHAnsi"/>
          <w:bCs/>
          <w:color w:val="0070C0"/>
        </w:rPr>
      </w:pPr>
      <w:r>
        <w:rPr>
          <w:rFonts w:cstheme="minorHAnsi"/>
          <w:b/>
          <w:bCs/>
        </w:rPr>
        <w:t xml:space="preserve">2b6.2. </w:t>
      </w:r>
      <w:r w:rsidRPr="00FC5DE1">
        <w:rPr>
          <w:rFonts w:cstheme="minorHAnsi"/>
          <w:b/>
          <w:bCs/>
        </w:rPr>
        <w:t>What is the overall frequency of missing data</w:t>
      </w:r>
      <w:r>
        <w:rPr>
          <w:rFonts w:cstheme="minorHAnsi"/>
          <w:b/>
          <w:bCs/>
        </w:rPr>
        <w:t>,</w:t>
      </w:r>
      <w:r w:rsidRPr="00FC5DE1">
        <w:rPr>
          <w:rFonts w:cstheme="minorHAnsi"/>
          <w:b/>
          <w:bCs/>
        </w:rPr>
        <w:t xml:space="preserve"> the distribution of missing data across providers</w:t>
      </w:r>
      <w:r>
        <w:rPr>
          <w:rFonts w:cstheme="minorHAnsi"/>
          <w:b/>
          <w:bCs/>
        </w:rPr>
        <w:t>,</w:t>
      </w:r>
      <w:r w:rsidRPr="00A25024">
        <w:rPr>
          <w:rFonts w:cstheme="minorHAnsi"/>
          <w:b/>
          <w:bCs/>
        </w:rPr>
        <w:t xml:space="preserve"> </w:t>
      </w:r>
      <w:r>
        <w:rPr>
          <w:rFonts w:cstheme="minorHAnsi"/>
          <w:b/>
          <w:bCs/>
        </w:rPr>
        <w:t>and the</w:t>
      </w:r>
      <w:r w:rsidRPr="00A25024">
        <w:rPr>
          <w:rFonts w:cstheme="minorHAnsi"/>
          <w:b/>
          <w:bCs/>
        </w:rPr>
        <w:t xml:space="preserve"> results from testing </w:t>
      </w:r>
      <w:r>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Pr="008B604D">
        <w:rPr>
          <w:rFonts w:cstheme="minorHAnsi"/>
          <w:b/>
          <w:bCs/>
        </w:rPr>
        <w:t xml:space="preserve"> </w:t>
      </w:r>
      <w:r w:rsidRPr="00FC5DE1">
        <w:rPr>
          <w:rFonts w:cstheme="minorHAnsi"/>
          <w:bCs/>
          <w:i/>
        </w:rPr>
        <w:t xml:space="preserve">results of sensitivity analysis of </w:t>
      </w:r>
      <w:r>
        <w:rPr>
          <w:rFonts w:cstheme="minorHAnsi"/>
          <w:bCs/>
          <w:i/>
        </w:rPr>
        <w:t xml:space="preserve">the </w:t>
      </w:r>
      <w:r w:rsidRPr="00FC5DE1">
        <w:rPr>
          <w:rFonts w:cstheme="minorHAnsi"/>
          <w:bCs/>
          <w:i/>
        </w:rPr>
        <w:t>effect of various rules for missing data</w:t>
      </w:r>
      <w:r>
        <w:rPr>
          <w:rFonts w:cstheme="minorHAnsi"/>
          <w:bCs/>
          <w:i/>
        </w:rPr>
        <w:t>/nonresponse</w:t>
      </w:r>
      <w:r w:rsidRPr="00FC5DE1">
        <w:rPr>
          <w:rFonts w:cstheme="minorHAnsi"/>
          <w:bCs/>
          <w:i/>
        </w:rPr>
        <w:t xml:space="preserve">; </w:t>
      </w:r>
      <w:r w:rsidRPr="00FC5DE1">
        <w:rPr>
          <w:rFonts w:cstheme="minorHAnsi"/>
          <w:bCs/>
          <w:i/>
          <w:u w:val="single"/>
        </w:rPr>
        <w:t xml:space="preserve">if no empirical </w:t>
      </w:r>
      <w:r>
        <w:rPr>
          <w:rFonts w:cstheme="minorHAnsi"/>
          <w:bCs/>
          <w:i/>
          <w:u w:val="single"/>
        </w:rPr>
        <w:t xml:space="preserve">sensitivity </w:t>
      </w:r>
      <w:r w:rsidRPr="00FC5DE1">
        <w:rPr>
          <w:rFonts w:cstheme="minorHAnsi"/>
          <w:bCs/>
          <w:i/>
          <w:u w:val="single"/>
        </w:rPr>
        <w:t>analysis</w:t>
      </w:r>
      <w:r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sidRPr="00B8344E">
        <w:rPr>
          <w:rFonts w:cstheme="minorHAnsi"/>
          <w:bCs/>
          <w:color w:val="0070C0"/>
        </w:rPr>
        <w:t>Not applicable</w:t>
      </w:r>
      <w:r w:rsidR="006C3D01">
        <w:rPr>
          <w:rFonts w:cstheme="minorHAnsi"/>
          <w:bCs/>
          <w:color w:val="0070C0"/>
        </w:rPr>
        <w:t>.</w:t>
      </w:r>
    </w:p>
    <w:p w14:paraId="48D08899" w14:textId="77777777" w:rsidR="00086FAC" w:rsidRPr="00E1508F" w:rsidRDefault="00086FAC" w:rsidP="00086FAC">
      <w:pPr>
        <w:autoSpaceDE w:val="0"/>
        <w:autoSpaceDN w:val="0"/>
        <w:adjustRightInd w:val="0"/>
        <w:spacing w:after="0" w:line="240" w:lineRule="auto"/>
        <w:rPr>
          <w:rFonts w:cstheme="minorHAnsi"/>
          <w:bCs/>
        </w:rPr>
      </w:pPr>
    </w:p>
    <w:p w14:paraId="03153A24" w14:textId="77777777" w:rsidR="00086FAC" w:rsidRDefault="00086FAC" w:rsidP="00086FAC">
      <w:pPr>
        <w:autoSpaceDE w:val="0"/>
        <w:autoSpaceDN w:val="0"/>
        <w:adjustRightInd w:val="0"/>
        <w:spacing w:after="0" w:line="240" w:lineRule="auto"/>
        <w:rPr>
          <w:rFonts w:cstheme="minorHAnsi"/>
          <w:bCs/>
        </w:rPr>
      </w:pPr>
      <w:r>
        <w:rPr>
          <w:rFonts w:cstheme="minorHAnsi"/>
          <w:b/>
          <w:bCs/>
        </w:rPr>
        <w:t xml:space="preserve">2b6.3. </w:t>
      </w:r>
      <w:r w:rsidRPr="00A25024">
        <w:rPr>
          <w:rFonts w:cstheme="minorHAnsi"/>
          <w:b/>
          <w:bCs/>
        </w:rPr>
        <w:t>What is your interpretation of the results in terms of demonstrating</w:t>
      </w:r>
      <w:r>
        <w:rPr>
          <w:rFonts w:cstheme="minorHAnsi"/>
          <w:b/>
          <w:bCs/>
        </w:rPr>
        <w:t xml:space="preserve"> that </w:t>
      </w:r>
      <w:r w:rsidRPr="00A831B4">
        <w:rPr>
          <w:rFonts w:ascii="Calibri" w:eastAsia="Calibri" w:hAnsi="Calibri" w:cs="Calibri"/>
          <w:b/>
        </w:rPr>
        <w:t>performance results are not biased</w:t>
      </w:r>
      <w:r w:rsidRPr="006A028C">
        <w:rPr>
          <w:rFonts w:ascii="Calibri" w:eastAsia="Calibri" w:hAnsi="Calibri" w:cs="Calibri"/>
        </w:rPr>
        <w:t xml:space="preserve"> due to systematic missing data (or differences between responders and </w:t>
      </w:r>
      <w:proofErr w:type="spellStart"/>
      <w:r w:rsidRPr="006A028C">
        <w:rPr>
          <w:rFonts w:ascii="Calibri" w:eastAsia="Calibri" w:hAnsi="Calibri" w:cs="Calibri"/>
        </w:rPr>
        <w:t>nonresponders</w:t>
      </w:r>
      <w:proofErr w:type="spellEnd"/>
      <w:r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Pr="00FC5DE1">
        <w:rPr>
          <w:rFonts w:cstheme="minorHAnsi"/>
          <w:bCs/>
          <w:i/>
        </w:rPr>
        <w:t>in terms of supporting the selected approach for missing data</w:t>
      </w:r>
      <w:r w:rsidRPr="00A25024">
        <w:rPr>
          <w:rFonts w:cstheme="minorHAnsi"/>
          <w:bCs/>
          <w:i/>
        </w:rPr>
        <w:t xml:space="preserve"> and what are the norms for the test conducted</w:t>
      </w:r>
      <w:r>
        <w:rPr>
          <w:rFonts w:cstheme="minorHAnsi"/>
          <w:bCs/>
          <w:i/>
        </w:rPr>
        <w:t>;</w:t>
      </w:r>
      <w:r w:rsidRPr="00FC5DE1">
        <w:rPr>
          <w:rFonts w:cstheme="minorHAnsi"/>
          <w:bCs/>
          <w:i/>
        </w:rPr>
        <w:t xml:space="preserve"> </w:t>
      </w:r>
      <w:r w:rsidRPr="00FC5DE1">
        <w:rPr>
          <w:rFonts w:cstheme="minorHAnsi"/>
          <w:bCs/>
          <w:i/>
          <w:u w:val="single"/>
        </w:rPr>
        <w:t>if no empirical analysis</w:t>
      </w:r>
      <w:r w:rsidRPr="00FC5DE1">
        <w:rPr>
          <w:rFonts w:cstheme="minorHAnsi"/>
          <w:bCs/>
          <w:i/>
        </w:rPr>
        <w:t>, provide rationale for the selected approach for missing data</w:t>
      </w:r>
      <w:r w:rsidRPr="00A25024">
        <w:rPr>
          <w:rFonts w:cstheme="minorHAnsi"/>
          <w:bCs/>
        </w:rPr>
        <w:t>)</w:t>
      </w:r>
    </w:p>
    <w:bookmarkEnd w:id="60"/>
    <w:p w14:paraId="60642169" w14:textId="3B9EA81A" w:rsidR="00086FAC" w:rsidRDefault="00086FAC" w:rsidP="00086FAC">
      <w:pPr>
        <w:autoSpaceDE w:val="0"/>
        <w:autoSpaceDN w:val="0"/>
        <w:adjustRightInd w:val="0"/>
        <w:spacing w:after="0" w:line="240" w:lineRule="auto"/>
        <w:rPr>
          <w:rFonts w:cstheme="minorHAnsi"/>
          <w:bCs/>
        </w:rPr>
      </w:pPr>
      <w:r w:rsidRPr="00B8344E">
        <w:rPr>
          <w:rFonts w:cstheme="minorHAnsi"/>
          <w:bCs/>
          <w:color w:val="0070C0"/>
        </w:rPr>
        <w:t>Not applicable</w:t>
      </w:r>
      <w:r w:rsidR="006C3D01">
        <w:rPr>
          <w:rFonts w:cstheme="minorHAnsi"/>
          <w:bCs/>
          <w:color w:val="0070C0"/>
        </w:rPr>
        <w:t>.</w:t>
      </w:r>
    </w:p>
    <w:p w14:paraId="7C62AB09" w14:textId="77777777" w:rsidR="00086FAC" w:rsidRPr="00F777FD" w:rsidRDefault="00086FAC" w:rsidP="00086FAC">
      <w:pPr>
        <w:autoSpaceDE w:val="0"/>
        <w:autoSpaceDN w:val="0"/>
        <w:adjustRightInd w:val="0"/>
        <w:spacing w:before="60" w:after="120" w:line="240" w:lineRule="auto"/>
        <w:rPr>
          <w:color w:val="0000FF"/>
        </w:rPr>
      </w:pPr>
      <w:r w:rsidRPr="00B47D27">
        <w:rPr>
          <w:color w:val="0000FF"/>
        </w:rPr>
        <w:t xml:space="preserve"> </w:t>
      </w:r>
    </w:p>
    <w:p w14:paraId="70486CB5" w14:textId="27E1D68A" w:rsidR="007C6C70" w:rsidRDefault="007C6C70">
      <w:pPr>
        <w:spacing w:after="160" w:line="259" w:lineRule="auto"/>
      </w:pPr>
      <w:r>
        <w:br w:type="page"/>
      </w:r>
    </w:p>
    <w:p w14:paraId="5EAFF9A1" w14:textId="01B4EB04" w:rsidR="007C6C70" w:rsidRPr="00F93648" w:rsidRDefault="007C6C70" w:rsidP="007C6C70">
      <w:pPr>
        <w:rPr>
          <w:rFonts w:eastAsiaTheme="minorHAnsi" w:cstheme="minorHAnsi"/>
          <w:b/>
          <w:bCs/>
        </w:rPr>
      </w:pPr>
      <w:r w:rsidRPr="00F93648">
        <w:rPr>
          <w:rFonts w:cstheme="minorHAnsi"/>
          <w:b/>
          <w:bCs/>
        </w:rPr>
        <w:lastRenderedPageBreak/>
        <w:t>Appendix A. Candidate Risk Factor Frequencies</w:t>
      </w:r>
      <w:r w:rsidR="00804B91" w:rsidRPr="00F93648">
        <w:rPr>
          <w:rFonts w:cstheme="minorHAnsi"/>
          <w:b/>
          <w:bCs/>
        </w:rPr>
        <w:t>, Readmission Rates, and Selection Status</w:t>
      </w:r>
    </w:p>
    <w:tbl>
      <w:tblPr>
        <w:tblStyle w:val="MathUBaseTable"/>
        <w:tblW w:w="10165" w:type="dxa"/>
        <w:tblLayout w:type="fixed"/>
        <w:tblLook w:val="04A0" w:firstRow="1" w:lastRow="0" w:firstColumn="1" w:lastColumn="0" w:noHBand="0" w:noVBand="1"/>
      </w:tblPr>
      <w:tblGrid>
        <w:gridCol w:w="2695"/>
        <w:gridCol w:w="1170"/>
        <w:gridCol w:w="1170"/>
        <w:gridCol w:w="1485"/>
        <w:gridCol w:w="1485"/>
        <w:gridCol w:w="1080"/>
        <w:gridCol w:w="1080"/>
      </w:tblGrid>
      <w:tr w:rsidR="0043087C" w:rsidRPr="00BE47C7" w14:paraId="36D5B16F" w14:textId="1AAAA357" w:rsidTr="00BB4985">
        <w:trPr>
          <w:cnfStyle w:val="100000000000" w:firstRow="1" w:lastRow="0" w:firstColumn="0" w:lastColumn="0" w:oddVBand="0" w:evenVBand="0" w:oddHBand="0" w:evenHBand="0" w:firstRowFirstColumn="0" w:firstRowLastColumn="0" w:lastRowFirstColumn="0" w:lastRowLastColumn="0"/>
          <w:trHeight w:val="120"/>
          <w:tblHeader/>
        </w:trPr>
        <w:tc>
          <w:tcPr>
            <w:cnfStyle w:val="001000000000" w:firstRow="0" w:lastRow="0" w:firstColumn="1" w:lastColumn="0" w:oddVBand="0" w:evenVBand="0" w:oddHBand="0" w:evenHBand="0" w:firstRowFirstColumn="0" w:firstRowLastColumn="0" w:lastRowFirstColumn="0" w:lastRowLastColumn="0"/>
            <w:tcW w:w="2695" w:type="dxa"/>
            <w:hideMark/>
          </w:tcPr>
          <w:p w14:paraId="20087E2A" w14:textId="77777777" w:rsidR="00804B91" w:rsidRPr="00BE47C7" w:rsidRDefault="00804B91" w:rsidP="00BB4985">
            <w:pPr>
              <w:pStyle w:val="TableHeaderLeft"/>
              <w:rPr>
                <w:b w:val="0"/>
              </w:rPr>
            </w:pPr>
            <w:r w:rsidRPr="00BE47C7">
              <w:t>Risk Factor</w:t>
            </w:r>
          </w:p>
        </w:tc>
        <w:tc>
          <w:tcPr>
            <w:tcW w:w="1170" w:type="dxa"/>
            <w:hideMark/>
          </w:tcPr>
          <w:p w14:paraId="00DCE196" w14:textId="71E330C3"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Freq</w:t>
            </w:r>
            <w:r w:rsidR="00752117" w:rsidRPr="00BE47C7">
              <w:t>uency</w:t>
            </w:r>
          </w:p>
        </w:tc>
        <w:tc>
          <w:tcPr>
            <w:tcW w:w="1170" w:type="dxa"/>
            <w:hideMark/>
          </w:tcPr>
          <w:p w14:paraId="34C6E02E" w14:textId="77777777"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Percent</w:t>
            </w:r>
          </w:p>
        </w:tc>
        <w:tc>
          <w:tcPr>
            <w:tcW w:w="1485" w:type="dxa"/>
            <w:hideMark/>
          </w:tcPr>
          <w:p w14:paraId="4C931064" w14:textId="3BF2FED9"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Observed Read. Rate with Risk Factor</w:t>
            </w:r>
          </w:p>
        </w:tc>
        <w:tc>
          <w:tcPr>
            <w:tcW w:w="1485" w:type="dxa"/>
            <w:hideMark/>
          </w:tcPr>
          <w:p w14:paraId="40E89CD7" w14:textId="11FD42A9"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Observed Read. Rate without Risk Factor</w:t>
            </w:r>
          </w:p>
        </w:tc>
        <w:tc>
          <w:tcPr>
            <w:tcW w:w="1080" w:type="dxa"/>
          </w:tcPr>
          <w:p w14:paraId="1C84DBE2" w14:textId="77777777"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Selected</w:t>
            </w:r>
          </w:p>
          <w:p w14:paraId="1F48EFBD" w14:textId="49802244" w:rsidR="007034F1" w:rsidRPr="00BE47C7" w:rsidRDefault="007034F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(Y/N)</w:t>
            </w:r>
          </w:p>
        </w:tc>
        <w:tc>
          <w:tcPr>
            <w:tcW w:w="1080" w:type="dxa"/>
          </w:tcPr>
          <w:p w14:paraId="4C21E2CD" w14:textId="6FD1D751" w:rsidR="00804B91" w:rsidRPr="00BE47C7" w:rsidRDefault="00804B91" w:rsidP="00BB4985">
            <w:pPr>
              <w:pStyle w:val="TableHeaderCenter"/>
              <w:cnfStyle w:val="100000000000" w:firstRow="1" w:lastRow="0" w:firstColumn="0" w:lastColumn="0" w:oddVBand="0" w:evenVBand="0" w:oddHBand="0" w:evenHBand="0" w:firstRowFirstColumn="0" w:firstRowLastColumn="0" w:lastRowFirstColumn="0" w:lastRowLastColumn="0"/>
              <w:rPr>
                <w:b w:val="0"/>
              </w:rPr>
            </w:pPr>
            <w:r w:rsidRPr="00BE47C7">
              <w:t>% Selected</w:t>
            </w:r>
          </w:p>
        </w:tc>
      </w:tr>
      <w:tr w:rsidR="007034F1" w:rsidRPr="00BE47C7" w14:paraId="789440A5" w14:textId="4B06B4B4"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4F7D58E" w14:textId="77777777" w:rsidR="007034F1" w:rsidRPr="00BB4985" w:rsidRDefault="007034F1" w:rsidP="00BB4985">
            <w:pPr>
              <w:pStyle w:val="TableTextLeft"/>
              <w:rPr>
                <w:b/>
                <w:bCs/>
              </w:rPr>
            </w:pPr>
            <w:r w:rsidRPr="00BB4985">
              <w:rPr>
                <w:b/>
                <w:bCs/>
              </w:rPr>
              <w:t>Principal Diagnosis</w:t>
            </w:r>
          </w:p>
        </w:tc>
        <w:tc>
          <w:tcPr>
            <w:tcW w:w="1170" w:type="dxa"/>
          </w:tcPr>
          <w:p w14:paraId="22C87E62"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p>
        </w:tc>
        <w:tc>
          <w:tcPr>
            <w:tcW w:w="1170" w:type="dxa"/>
          </w:tcPr>
          <w:p w14:paraId="3F04B42F" w14:textId="1CBDB5E5"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p>
        </w:tc>
        <w:tc>
          <w:tcPr>
            <w:tcW w:w="1485" w:type="dxa"/>
          </w:tcPr>
          <w:p w14:paraId="32814624"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p>
        </w:tc>
        <w:tc>
          <w:tcPr>
            <w:tcW w:w="1485" w:type="dxa"/>
          </w:tcPr>
          <w:p w14:paraId="246CAF77"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p>
        </w:tc>
        <w:tc>
          <w:tcPr>
            <w:tcW w:w="1080" w:type="dxa"/>
          </w:tcPr>
          <w:p w14:paraId="5B4F3C40" w14:textId="2FEA4CA3"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9C73B72" w14:textId="545A8F33"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w:t>
            </w:r>
            <w:r w:rsidR="00752117" w:rsidRPr="00BE47C7">
              <w:t>.00</w:t>
            </w:r>
            <w:r w:rsidRPr="00BE47C7">
              <w:t>%</w:t>
            </w:r>
          </w:p>
        </w:tc>
      </w:tr>
      <w:tr w:rsidR="00B23F6D" w:rsidRPr="00BE47C7" w14:paraId="53F98438" w14:textId="3B402FE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A80E0AA" w14:textId="77777777" w:rsidR="00B23F6D" w:rsidRPr="00BE47C7" w:rsidRDefault="00B23F6D" w:rsidP="00B23F6D">
            <w:pPr>
              <w:pStyle w:val="TableTextIndent"/>
            </w:pPr>
            <w:r w:rsidRPr="00BE47C7">
              <w:t xml:space="preserve">CCS 650 Adjustment disorder </w:t>
            </w:r>
          </w:p>
        </w:tc>
        <w:tc>
          <w:tcPr>
            <w:tcW w:w="1170" w:type="dxa"/>
            <w:hideMark/>
          </w:tcPr>
          <w:p w14:paraId="6D37DB28"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5,390</w:t>
            </w:r>
          </w:p>
        </w:tc>
        <w:tc>
          <w:tcPr>
            <w:tcW w:w="1170" w:type="dxa"/>
            <w:hideMark/>
          </w:tcPr>
          <w:p w14:paraId="12DF81F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0.99</w:t>
            </w:r>
          </w:p>
        </w:tc>
        <w:tc>
          <w:tcPr>
            <w:tcW w:w="1485" w:type="dxa"/>
            <w:hideMark/>
          </w:tcPr>
          <w:p w14:paraId="2389EB6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0.16</w:t>
            </w:r>
          </w:p>
        </w:tc>
        <w:tc>
          <w:tcPr>
            <w:tcW w:w="1485" w:type="dxa"/>
            <w:hideMark/>
          </w:tcPr>
          <w:p w14:paraId="7D197063" w14:textId="5626F34F"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28796557" w14:textId="1A53D0A3"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54318096" w14:textId="4721D2FF"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5CD5D155" w14:textId="0A1EED5C"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65234BB" w14:textId="77777777" w:rsidR="00B23F6D" w:rsidRPr="00BE47C7" w:rsidRDefault="00B23F6D" w:rsidP="00B23F6D">
            <w:pPr>
              <w:pStyle w:val="TableTextIndent"/>
            </w:pPr>
            <w:r w:rsidRPr="00BE47C7">
              <w:t>CCS 651 Anxiety</w:t>
            </w:r>
          </w:p>
        </w:tc>
        <w:tc>
          <w:tcPr>
            <w:tcW w:w="1170" w:type="dxa"/>
            <w:hideMark/>
          </w:tcPr>
          <w:p w14:paraId="3ABDC25A"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7,211</w:t>
            </w:r>
          </w:p>
        </w:tc>
        <w:tc>
          <w:tcPr>
            <w:tcW w:w="1170" w:type="dxa"/>
            <w:hideMark/>
          </w:tcPr>
          <w:p w14:paraId="1CD5B710"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1.32</w:t>
            </w:r>
          </w:p>
        </w:tc>
        <w:tc>
          <w:tcPr>
            <w:tcW w:w="1485" w:type="dxa"/>
            <w:hideMark/>
          </w:tcPr>
          <w:p w14:paraId="4DDC956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485" w:type="dxa"/>
            <w:hideMark/>
          </w:tcPr>
          <w:p w14:paraId="225CCA9E" w14:textId="2F50F418"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5F84A75B" w14:textId="1C77C9A6"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7F152C17" w14:textId="77A8493D"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625457D2" w14:textId="6A496CFB"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1CCA417" w14:textId="77777777" w:rsidR="00B23F6D" w:rsidRPr="00BE47C7" w:rsidRDefault="00B23F6D" w:rsidP="00B23F6D">
            <w:pPr>
              <w:pStyle w:val="TableTextIndent"/>
            </w:pPr>
            <w:r w:rsidRPr="00BE47C7">
              <w:t>CCS 652/654/655 ADD/developmental/childhood disorders</w:t>
            </w:r>
          </w:p>
        </w:tc>
        <w:tc>
          <w:tcPr>
            <w:tcW w:w="1170" w:type="dxa"/>
            <w:hideMark/>
          </w:tcPr>
          <w:p w14:paraId="72BFC3A5"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1,324</w:t>
            </w:r>
          </w:p>
        </w:tc>
        <w:tc>
          <w:tcPr>
            <w:tcW w:w="1170" w:type="dxa"/>
            <w:hideMark/>
          </w:tcPr>
          <w:p w14:paraId="41C1811C"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0.24</w:t>
            </w:r>
          </w:p>
        </w:tc>
        <w:tc>
          <w:tcPr>
            <w:tcW w:w="1485" w:type="dxa"/>
            <w:hideMark/>
          </w:tcPr>
          <w:p w14:paraId="3782E5D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485" w:type="dxa"/>
            <w:hideMark/>
          </w:tcPr>
          <w:p w14:paraId="33B92F32" w14:textId="4FB100C1"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1DE6D87D" w14:textId="33B53378"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3C0BFE30" w14:textId="47E92FE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2BC723CE" w14:textId="33235BEB"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58B9F824" w14:textId="77777777" w:rsidR="00B23F6D" w:rsidRPr="00BE47C7" w:rsidRDefault="00B23F6D" w:rsidP="00B23F6D">
            <w:pPr>
              <w:pStyle w:val="TableTextIndent"/>
            </w:pPr>
            <w:r w:rsidRPr="00BE47C7">
              <w:t>CCS 653 Dementia</w:t>
            </w:r>
          </w:p>
        </w:tc>
        <w:tc>
          <w:tcPr>
            <w:tcW w:w="1170" w:type="dxa"/>
            <w:hideMark/>
          </w:tcPr>
          <w:p w14:paraId="717169A6"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72,024</w:t>
            </w:r>
          </w:p>
        </w:tc>
        <w:tc>
          <w:tcPr>
            <w:tcW w:w="1170" w:type="dxa"/>
            <w:hideMark/>
          </w:tcPr>
          <w:p w14:paraId="26EEE6B7"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13.16</w:t>
            </w:r>
          </w:p>
        </w:tc>
        <w:tc>
          <w:tcPr>
            <w:tcW w:w="1485" w:type="dxa"/>
            <w:hideMark/>
          </w:tcPr>
          <w:p w14:paraId="3615B30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0.16</w:t>
            </w:r>
          </w:p>
        </w:tc>
        <w:tc>
          <w:tcPr>
            <w:tcW w:w="1485" w:type="dxa"/>
            <w:hideMark/>
          </w:tcPr>
          <w:p w14:paraId="7982D8E1" w14:textId="5476C341"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.21</w:t>
            </w:r>
          </w:p>
        </w:tc>
        <w:tc>
          <w:tcPr>
            <w:tcW w:w="1080" w:type="dxa"/>
          </w:tcPr>
          <w:p w14:paraId="6E8A1019" w14:textId="49845AA2"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41988518" w14:textId="57DF8BA8"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10FD7A6E" w14:textId="1336C6DC"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1B55740" w14:textId="77777777" w:rsidR="00B23F6D" w:rsidRPr="00BE47C7" w:rsidRDefault="00B23F6D" w:rsidP="00B23F6D">
            <w:pPr>
              <w:pStyle w:val="TableTextIndent"/>
            </w:pPr>
            <w:r w:rsidRPr="00BE47C7">
              <w:t>CCS 656 Impulse control disorders</w:t>
            </w:r>
          </w:p>
        </w:tc>
        <w:tc>
          <w:tcPr>
            <w:tcW w:w="1170" w:type="dxa"/>
            <w:hideMark/>
          </w:tcPr>
          <w:p w14:paraId="74E0FBA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2,060</w:t>
            </w:r>
          </w:p>
        </w:tc>
        <w:tc>
          <w:tcPr>
            <w:tcW w:w="1170" w:type="dxa"/>
            <w:hideMark/>
          </w:tcPr>
          <w:p w14:paraId="76241C5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0.38</w:t>
            </w:r>
          </w:p>
        </w:tc>
        <w:tc>
          <w:tcPr>
            <w:tcW w:w="1485" w:type="dxa"/>
            <w:hideMark/>
          </w:tcPr>
          <w:p w14:paraId="62606FF3"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485" w:type="dxa"/>
            <w:hideMark/>
          </w:tcPr>
          <w:p w14:paraId="28B3B397" w14:textId="6B2D77F7"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377790EE" w14:textId="63410758"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00FFDE58" w14:textId="50C3B121"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649283A5" w14:textId="73018E5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74E87E1" w14:textId="77777777" w:rsidR="00B23F6D" w:rsidRPr="00BE47C7" w:rsidRDefault="00B23F6D" w:rsidP="00B23F6D">
            <w:pPr>
              <w:pStyle w:val="TableTextIndent"/>
            </w:pPr>
            <w:r w:rsidRPr="00BE47C7">
              <w:t>CCS 657.1 Bipolar disorder</w:t>
            </w:r>
          </w:p>
        </w:tc>
        <w:tc>
          <w:tcPr>
            <w:tcW w:w="1170" w:type="dxa"/>
            <w:hideMark/>
          </w:tcPr>
          <w:p w14:paraId="4ABFAC3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105,173</w:t>
            </w:r>
          </w:p>
        </w:tc>
        <w:tc>
          <w:tcPr>
            <w:tcW w:w="1170" w:type="dxa"/>
            <w:hideMark/>
          </w:tcPr>
          <w:p w14:paraId="363F706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19.22</w:t>
            </w:r>
          </w:p>
        </w:tc>
        <w:tc>
          <w:tcPr>
            <w:tcW w:w="1485" w:type="dxa"/>
            <w:hideMark/>
          </w:tcPr>
          <w:p w14:paraId="3AC8343A"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0.21</w:t>
            </w:r>
          </w:p>
        </w:tc>
        <w:tc>
          <w:tcPr>
            <w:tcW w:w="1485" w:type="dxa"/>
            <w:hideMark/>
          </w:tcPr>
          <w:p w14:paraId="2D8864DF" w14:textId="4A603963"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1DBD83AF" w14:textId="7E6F29FB"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0A718FE4" w14:textId="09AA9113"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19ED13B7" w14:textId="41A9E3F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3D13977" w14:textId="77777777" w:rsidR="00B23F6D" w:rsidRPr="00BE47C7" w:rsidRDefault="00B23F6D" w:rsidP="00B23F6D">
            <w:pPr>
              <w:pStyle w:val="TableTextIndent"/>
            </w:pPr>
            <w:r w:rsidRPr="00BE47C7">
              <w:t>CCS 657.2/662 Depressive disorder</w:t>
            </w:r>
          </w:p>
        </w:tc>
        <w:tc>
          <w:tcPr>
            <w:tcW w:w="1170" w:type="dxa"/>
            <w:hideMark/>
          </w:tcPr>
          <w:p w14:paraId="6C9672FA"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128,442</w:t>
            </w:r>
          </w:p>
        </w:tc>
        <w:tc>
          <w:tcPr>
            <w:tcW w:w="1170" w:type="dxa"/>
            <w:hideMark/>
          </w:tcPr>
          <w:p w14:paraId="62C5DE7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23.47</w:t>
            </w:r>
          </w:p>
        </w:tc>
        <w:tc>
          <w:tcPr>
            <w:tcW w:w="1485" w:type="dxa"/>
            <w:hideMark/>
          </w:tcPr>
          <w:p w14:paraId="5BF4B952"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0.18</w:t>
            </w:r>
          </w:p>
        </w:tc>
        <w:tc>
          <w:tcPr>
            <w:tcW w:w="1485" w:type="dxa"/>
            <w:hideMark/>
          </w:tcPr>
          <w:p w14:paraId="5676782C" w14:textId="68867224"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.21</w:t>
            </w:r>
          </w:p>
        </w:tc>
        <w:tc>
          <w:tcPr>
            <w:tcW w:w="1080" w:type="dxa"/>
          </w:tcPr>
          <w:p w14:paraId="2D9B2ECF" w14:textId="6F8C485C"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355F77E4" w14:textId="73C0F60B"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02FE4E75" w14:textId="2A87449D"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71A2441" w14:textId="77777777" w:rsidR="00B23F6D" w:rsidRPr="00BE47C7" w:rsidRDefault="00B23F6D" w:rsidP="00B23F6D">
            <w:pPr>
              <w:pStyle w:val="TableTextIndent"/>
            </w:pPr>
            <w:r w:rsidRPr="00BE47C7">
              <w:t>CCS 658 Personality disorder</w:t>
            </w:r>
          </w:p>
        </w:tc>
        <w:tc>
          <w:tcPr>
            <w:tcW w:w="1170" w:type="dxa"/>
            <w:hideMark/>
          </w:tcPr>
          <w:p w14:paraId="00EDA41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2,230</w:t>
            </w:r>
          </w:p>
        </w:tc>
        <w:tc>
          <w:tcPr>
            <w:tcW w:w="1170" w:type="dxa"/>
            <w:hideMark/>
          </w:tcPr>
          <w:p w14:paraId="37BD9F7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0.41</w:t>
            </w:r>
          </w:p>
        </w:tc>
        <w:tc>
          <w:tcPr>
            <w:tcW w:w="1485" w:type="dxa"/>
            <w:hideMark/>
          </w:tcPr>
          <w:p w14:paraId="009C45AC"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06298C76" w14:textId="08D5AD7E"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22600C42" w14:textId="4CABF151"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59C315EB" w14:textId="7B558ADC"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5CF7AD57" w14:textId="2C2CBF53"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71149754" w14:textId="77777777" w:rsidR="00B23F6D" w:rsidRPr="00BE47C7" w:rsidRDefault="00B23F6D" w:rsidP="00B23F6D">
            <w:pPr>
              <w:pStyle w:val="TableTextIndent"/>
            </w:pPr>
            <w:r w:rsidRPr="00BE47C7">
              <w:t xml:space="preserve">CCS 659.1 </w:t>
            </w:r>
            <w:proofErr w:type="spellStart"/>
            <w:r w:rsidRPr="00BE47C7">
              <w:t>Schizo</w:t>
            </w:r>
            <w:proofErr w:type="spellEnd"/>
            <w:r w:rsidRPr="00BE47C7">
              <w:t>-affective disorder</w:t>
            </w:r>
          </w:p>
        </w:tc>
        <w:tc>
          <w:tcPr>
            <w:tcW w:w="1170" w:type="dxa"/>
            <w:hideMark/>
          </w:tcPr>
          <w:p w14:paraId="3DFE749F"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98,962</w:t>
            </w:r>
          </w:p>
        </w:tc>
        <w:tc>
          <w:tcPr>
            <w:tcW w:w="1170" w:type="dxa"/>
            <w:hideMark/>
          </w:tcPr>
          <w:p w14:paraId="65CCBD85"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18.09</w:t>
            </w:r>
          </w:p>
        </w:tc>
        <w:tc>
          <w:tcPr>
            <w:tcW w:w="1485" w:type="dxa"/>
            <w:hideMark/>
          </w:tcPr>
          <w:p w14:paraId="7A8F7546"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6C92F616" w14:textId="086D6928"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.19</w:t>
            </w:r>
          </w:p>
        </w:tc>
        <w:tc>
          <w:tcPr>
            <w:tcW w:w="1080" w:type="dxa"/>
          </w:tcPr>
          <w:p w14:paraId="4BB49CA8" w14:textId="65199D9D"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6AEABA23" w14:textId="22C078DD"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38131086" w14:textId="49F3BA24"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4C1CC7B" w14:textId="77777777" w:rsidR="00B23F6D" w:rsidRPr="00BE47C7" w:rsidRDefault="00B23F6D" w:rsidP="00B23F6D">
            <w:pPr>
              <w:pStyle w:val="TableTextIndent"/>
            </w:pPr>
            <w:r w:rsidRPr="00BE47C7">
              <w:t xml:space="preserve">CCS 659.2 Psychosis </w:t>
            </w:r>
          </w:p>
        </w:tc>
        <w:tc>
          <w:tcPr>
            <w:tcW w:w="1170" w:type="dxa"/>
            <w:hideMark/>
          </w:tcPr>
          <w:p w14:paraId="39CE5769"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89,881</w:t>
            </w:r>
          </w:p>
        </w:tc>
        <w:tc>
          <w:tcPr>
            <w:tcW w:w="1170" w:type="dxa"/>
            <w:hideMark/>
          </w:tcPr>
          <w:p w14:paraId="3BFC30FC"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16.43</w:t>
            </w:r>
          </w:p>
        </w:tc>
        <w:tc>
          <w:tcPr>
            <w:tcW w:w="1485" w:type="dxa"/>
            <w:hideMark/>
          </w:tcPr>
          <w:p w14:paraId="54F00538"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0.21</w:t>
            </w:r>
          </w:p>
        </w:tc>
        <w:tc>
          <w:tcPr>
            <w:tcW w:w="1485" w:type="dxa"/>
            <w:hideMark/>
          </w:tcPr>
          <w:p w14:paraId="17050EBC" w14:textId="6867E7B7"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2638C06F" w14:textId="4CE96E2E"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6A3B357E" w14:textId="3234C7E2"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292BDFCD" w14:textId="7C80147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E6DB06E" w14:textId="77777777" w:rsidR="00B23F6D" w:rsidRPr="00BE47C7" w:rsidRDefault="00B23F6D" w:rsidP="00B23F6D">
            <w:pPr>
              <w:pStyle w:val="TableTextIndent"/>
            </w:pPr>
            <w:r w:rsidRPr="00BE47C7">
              <w:t>CCS 660 Alcohol disorder</w:t>
            </w:r>
          </w:p>
        </w:tc>
        <w:tc>
          <w:tcPr>
            <w:tcW w:w="1170" w:type="dxa"/>
            <w:hideMark/>
          </w:tcPr>
          <w:p w14:paraId="61165E4D"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17,703</w:t>
            </w:r>
          </w:p>
        </w:tc>
        <w:tc>
          <w:tcPr>
            <w:tcW w:w="1170" w:type="dxa"/>
            <w:hideMark/>
          </w:tcPr>
          <w:p w14:paraId="322C90DB"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3.24</w:t>
            </w:r>
          </w:p>
        </w:tc>
        <w:tc>
          <w:tcPr>
            <w:tcW w:w="1485" w:type="dxa"/>
            <w:hideMark/>
          </w:tcPr>
          <w:p w14:paraId="72BDF613"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0.21</w:t>
            </w:r>
          </w:p>
        </w:tc>
        <w:tc>
          <w:tcPr>
            <w:tcW w:w="1485" w:type="dxa"/>
            <w:hideMark/>
          </w:tcPr>
          <w:p w14:paraId="7C9632E8" w14:textId="75313C8E"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589CFB95" w14:textId="08A41568"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196C5660" w14:textId="19D5E1DE"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25D136FD" w14:textId="6C3A7325"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3357625" w14:textId="77777777" w:rsidR="00B23F6D" w:rsidRPr="00BE47C7" w:rsidRDefault="00B23F6D" w:rsidP="00B23F6D">
            <w:pPr>
              <w:pStyle w:val="TableTextIndent"/>
            </w:pPr>
            <w:r w:rsidRPr="00BE47C7">
              <w:t>CCS 661 Drug disorder</w:t>
            </w:r>
          </w:p>
        </w:tc>
        <w:tc>
          <w:tcPr>
            <w:tcW w:w="1170" w:type="dxa"/>
            <w:hideMark/>
          </w:tcPr>
          <w:p w14:paraId="0502258A"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15,569</w:t>
            </w:r>
          </w:p>
        </w:tc>
        <w:tc>
          <w:tcPr>
            <w:tcW w:w="1170" w:type="dxa"/>
            <w:hideMark/>
          </w:tcPr>
          <w:p w14:paraId="3E66C62C"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2.85</w:t>
            </w:r>
          </w:p>
        </w:tc>
        <w:tc>
          <w:tcPr>
            <w:tcW w:w="1485" w:type="dxa"/>
            <w:hideMark/>
          </w:tcPr>
          <w:p w14:paraId="07CD51D1"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485" w:type="dxa"/>
            <w:hideMark/>
          </w:tcPr>
          <w:p w14:paraId="6AC86B81" w14:textId="7CED150F"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19603D38" w14:textId="4E151282"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1C193AAE" w14:textId="0B4497BE"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2FA023A2" w14:textId="0EECD492"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6375CF4" w14:textId="77777777" w:rsidR="00B23F6D" w:rsidRPr="00BE47C7" w:rsidRDefault="00B23F6D" w:rsidP="00B23F6D">
            <w:pPr>
              <w:pStyle w:val="TableTextIndent"/>
            </w:pPr>
            <w:r w:rsidRPr="00BE47C7">
              <w:t>CCS 670/663 Other mental disorder</w:t>
            </w:r>
          </w:p>
        </w:tc>
        <w:tc>
          <w:tcPr>
            <w:tcW w:w="1170" w:type="dxa"/>
            <w:hideMark/>
          </w:tcPr>
          <w:p w14:paraId="74F5DCB2"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1,227</w:t>
            </w:r>
          </w:p>
        </w:tc>
        <w:tc>
          <w:tcPr>
            <w:tcW w:w="1170" w:type="dxa"/>
            <w:hideMark/>
          </w:tcPr>
          <w:p w14:paraId="172093A0"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0.22</w:t>
            </w:r>
          </w:p>
        </w:tc>
        <w:tc>
          <w:tcPr>
            <w:tcW w:w="1485" w:type="dxa"/>
            <w:hideMark/>
          </w:tcPr>
          <w:p w14:paraId="57CC1772"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485" w:type="dxa"/>
            <w:hideMark/>
          </w:tcPr>
          <w:p w14:paraId="4BAC64B4" w14:textId="2E4DDBDC"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.20</w:t>
            </w:r>
          </w:p>
        </w:tc>
        <w:tc>
          <w:tcPr>
            <w:tcW w:w="1080" w:type="dxa"/>
          </w:tcPr>
          <w:p w14:paraId="2EA390B9" w14:textId="617E0793"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53F3DF13" w14:textId="3AF56B0B"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43087C" w:rsidRPr="00BE47C7" w14:paraId="08F7B2BF" w14:textId="72FDE8EF"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35D0F1E" w14:textId="77777777" w:rsidR="00752117" w:rsidRPr="00F85098" w:rsidRDefault="00752117" w:rsidP="00BB4985">
            <w:pPr>
              <w:pStyle w:val="TableTextLeft"/>
              <w:rPr>
                <w:b/>
                <w:bCs/>
              </w:rPr>
            </w:pPr>
            <w:r w:rsidRPr="00F85098">
              <w:rPr>
                <w:b/>
                <w:bCs/>
              </w:rPr>
              <w:t>Other Infection</w:t>
            </w:r>
          </w:p>
        </w:tc>
        <w:tc>
          <w:tcPr>
            <w:tcW w:w="1170" w:type="dxa"/>
            <w:hideMark/>
          </w:tcPr>
          <w:p w14:paraId="4419C598"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87,295</w:t>
            </w:r>
          </w:p>
        </w:tc>
        <w:tc>
          <w:tcPr>
            <w:tcW w:w="1170" w:type="dxa"/>
            <w:hideMark/>
          </w:tcPr>
          <w:p w14:paraId="2BBE2DF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15.95</w:t>
            </w:r>
          </w:p>
        </w:tc>
        <w:tc>
          <w:tcPr>
            <w:tcW w:w="1485" w:type="dxa"/>
            <w:hideMark/>
          </w:tcPr>
          <w:p w14:paraId="39F5223C"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0C2F2DAB"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11DE1D13" w14:textId="0952D51B"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110E2C4F" w14:textId="49C62155"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4C649FCC" w14:textId="67C6945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190F0A7" w14:textId="77777777" w:rsidR="00752117" w:rsidRPr="00F85098" w:rsidRDefault="00752117" w:rsidP="00BB4985">
            <w:pPr>
              <w:pStyle w:val="TableTextLeft"/>
              <w:rPr>
                <w:b/>
                <w:bCs/>
              </w:rPr>
            </w:pPr>
            <w:r w:rsidRPr="00F85098">
              <w:rPr>
                <w:b/>
                <w:bCs/>
              </w:rPr>
              <w:t>Diabetes Acute Complications</w:t>
            </w:r>
          </w:p>
        </w:tc>
        <w:tc>
          <w:tcPr>
            <w:tcW w:w="1170" w:type="dxa"/>
            <w:hideMark/>
          </w:tcPr>
          <w:p w14:paraId="506CF109"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2,926</w:t>
            </w:r>
          </w:p>
        </w:tc>
        <w:tc>
          <w:tcPr>
            <w:tcW w:w="1170" w:type="dxa"/>
            <w:hideMark/>
          </w:tcPr>
          <w:p w14:paraId="7E67D336"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0.53</w:t>
            </w:r>
          </w:p>
        </w:tc>
        <w:tc>
          <w:tcPr>
            <w:tcW w:w="1485" w:type="dxa"/>
            <w:hideMark/>
          </w:tcPr>
          <w:p w14:paraId="701EC2DD"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0.31</w:t>
            </w:r>
          </w:p>
        </w:tc>
        <w:tc>
          <w:tcPr>
            <w:tcW w:w="1485" w:type="dxa"/>
            <w:hideMark/>
          </w:tcPr>
          <w:p w14:paraId="6726890D"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48358594" w14:textId="0B369F4C"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48524C8A" w14:textId="4989D909"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82.80%</w:t>
            </w:r>
          </w:p>
        </w:tc>
      </w:tr>
      <w:tr w:rsidR="0043087C" w:rsidRPr="00BE47C7" w14:paraId="1120DCA8" w14:textId="184F38CE"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B533A69" w14:textId="77777777" w:rsidR="00752117" w:rsidRPr="00F85098" w:rsidRDefault="00752117" w:rsidP="00BB4985">
            <w:pPr>
              <w:pStyle w:val="TableTextLeft"/>
              <w:rPr>
                <w:b/>
                <w:bCs/>
              </w:rPr>
            </w:pPr>
            <w:r w:rsidRPr="00F85098">
              <w:rPr>
                <w:b/>
                <w:bCs/>
              </w:rPr>
              <w:t>Diabetes Chronic Complications</w:t>
            </w:r>
          </w:p>
        </w:tc>
        <w:tc>
          <w:tcPr>
            <w:tcW w:w="1170" w:type="dxa"/>
            <w:hideMark/>
          </w:tcPr>
          <w:p w14:paraId="52F4BE29"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73,317</w:t>
            </w:r>
          </w:p>
        </w:tc>
        <w:tc>
          <w:tcPr>
            <w:tcW w:w="1170" w:type="dxa"/>
            <w:hideMark/>
          </w:tcPr>
          <w:p w14:paraId="123019F1" w14:textId="7CFA091A"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13.4</w:t>
            </w:r>
            <w:r w:rsidR="009E7B77" w:rsidRPr="00BE47C7">
              <w:rPr>
                <w:color w:val="000000"/>
              </w:rPr>
              <w:t>0</w:t>
            </w:r>
          </w:p>
        </w:tc>
        <w:tc>
          <w:tcPr>
            <w:tcW w:w="1485" w:type="dxa"/>
            <w:hideMark/>
          </w:tcPr>
          <w:p w14:paraId="5A5FED5E"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0.23</w:t>
            </w:r>
          </w:p>
        </w:tc>
        <w:tc>
          <w:tcPr>
            <w:tcW w:w="1485" w:type="dxa"/>
            <w:hideMark/>
          </w:tcPr>
          <w:p w14:paraId="2D221F8B"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3242F52D" w14:textId="4134C1BD"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N</w:t>
            </w:r>
          </w:p>
        </w:tc>
        <w:tc>
          <w:tcPr>
            <w:tcW w:w="1080" w:type="dxa"/>
          </w:tcPr>
          <w:p w14:paraId="4DC49DFB" w14:textId="1FF941DC"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19.90%</w:t>
            </w:r>
          </w:p>
        </w:tc>
      </w:tr>
      <w:tr w:rsidR="0043087C" w:rsidRPr="00BE47C7" w14:paraId="536F4F03" w14:textId="0AED8FD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4BDE59C" w14:textId="77777777" w:rsidR="00752117" w:rsidRPr="00F85098" w:rsidRDefault="00752117" w:rsidP="00BB4985">
            <w:pPr>
              <w:pStyle w:val="TableTextLeft"/>
              <w:rPr>
                <w:b/>
                <w:bCs/>
              </w:rPr>
            </w:pPr>
            <w:r w:rsidRPr="00F85098">
              <w:rPr>
                <w:b/>
                <w:bCs/>
              </w:rPr>
              <w:t>Diabetes</w:t>
            </w:r>
          </w:p>
        </w:tc>
        <w:tc>
          <w:tcPr>
            <w:tcW w:w="1170" w:type="dxa"/>
            <w:hideMark/>
          </w:tcPr>
          <w:p w14:paraId="741E5D9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134,491</w:t>
            </w:r>
          </w:p>
        </w:tc>
        <w:tc>
          <w:tcPr>
            <w:tcW w:w="1170" w:type="dxa"/>
            <w:hideMark/>
          </w:tcPr>
          <w:p w14:paraId="4BF8AA51"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24.58</w:t>
            </w:r>
          </w:p>
        </w:tc>
        <w:tc>
          <w:tcPr>
            <w:tcW w:w="1485" w:type="dxa"/>
            <w:hideMark/>
          </w:tcPr>
          <w:p w14:paraId="1DAABE1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0.22</w:t>
            </w:r>
          </w:p>
        </w:tc>
        <w:tc>
          <w:tcPr>
            <w:tcW w:w="1485" w:type="dxa"/>
            <w:hideMark/>
          </w:tcPr>
          <w:p w14:paraId="3A4A677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56B3BC90" w14:textId="1EE64D4C"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4855C684" w14:textId="0430321B"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5FF6215E" w14:textId="1DAD8681"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703714AE" w14:textId="77777777" w:rsidR="00752117" w:rsidRPr="00F85098" w:rsidRDefault="00752117" w:rsidP="00BB4985">
            <w:pPr>
              <w:pStyle w:val="TableTextLeft"/>
              <w:rPr>
                <w:b/>
                <w:bCs/>
              </w:rPr>
            </w:pPr>
            <w:r w:rsidRPr="00F85098">
              <w:rPr>
                <w:b/>
                <w:bCs/>
              </w:rPr>
              <w:t>Hematological Disorder</w:t>
            </w:r>
          </w:p>
        </w:tc>
        <w:tc>
          <w:tcPr>
            <w:tcW w:w="1170" w:type="dxa"/>
            <w:hideMark/>
          </w:tcPr>
          <w:p w14:paraId="0C215B5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1,658</w:t>
            </w:r>
          </w:p>
        </w:tc>
        <w:tc>
          <w:tcPr>
            <w:tcW w:w="1170" w:type="dxa"/>
            <w:hideMark/>
          </w:tcPr>
          <w:p w14:paraId="76B8C887" w14:textId="1F3C313E"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0.3</w:t>
            </w:r>
            <w:r w:rsidR="009E7B77" w:rsidRPr="00BE47C7">
              <w:rPr>
                <w:color w:val="000000"/>
              </w:rPr>
              <w:t>0</w:t>
            </w:r>
          </w:p>
        </w:tc>
        <w:tc>
          <w:tcPr>
            <w:tcW w:w="1485" w:type="dxa"/>
            <w:hideMark/>
          </w:tcPr>
          <w:p w14:paraId="29F1D34A"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0.29</w:t>
            </w:r>
          </w:p>
        </w:tc>
        <w:tc>
          <w:tcPr>
            <w:tcW w:w="1485" w:type="dxa"/>
            <w:hideMark/>
          </w:tcPr>
          <w:p w14:paraId="3D437541"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250DC075" w14:textId="2EF34261"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1B9D07D2" w14:textId="45465549"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98.90%</w:t>
            </w:r>
          </w:p>
        </w:tc>
      </w:tr>
      <w:tr w:rsidR="0043087C" w:rsidRPr="00BE47C7" w14:paraId="78DB7C35" w14:textId="7241C96B"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006AFC6D" w14:textId="77777777" w:rsidR="00752117" w:rsidRPr="00F85098" w:rsidRDefault="00752117" w:rsidP="00BB4985">
            <w:pPr>
              <w:pStyle w:val="TableTextLeft"/>
              <w:rPr>
                <w:b/>
                <w:bCs/>
              </w:rPr>
            </w:pPr>
            <w:r w:rsidRPr="00F85098">
              <w:rPr>
                <w:b/>
                <w:bCs/>
              </w:rPr>
              <w:t>Seizures</w:t>
            </w:r>
          </w:p>
        </w:tc>
        <w:tc>
          <w:tcPr>
            <w:tcW w:w="1170" w:type="dxa"/>
            <w:hideMark/>
          </w:tcPr>
          <w:p w14:paraId="23629CF1"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73,958</w:t>
            </w:r>
          </w:p>
        </w:tc>
        <w:tc>
          <w:tcPr>
            <w:tcW w:w="1170" w:type="dxa"/>
            <w:hideMark/>
          </w:tcPr>
          <w:p w14:paraId="192B9E0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13.52</w:t>
            </w:r>
          </w:p>
        </w:tc>
        <w:tc>
          <w:tcPr>
            <w:tcW w:w="1485" w:type="dxa"/>
            <w:hideMark/>
          </w:tcPr>
          <w:p w14:paraId="395919D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0.29</w:t>
            </w:r>
          </w:p>
        </w:tc>
        <w:tc>
          <w:tcPr>
            <w:tcW w:w="1485" w:type="dxa"/>
            <w:hideMark/>
          </w:tcPr>
          <w:p w14:paraId="2A401E69"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60D90EAC" w14:textId="36F35AE5"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214BF9E" w14:textId="30F2C8A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7FC9FBAF" w14:textId="7107CFC9"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738E3D5" w14:textId="77777777" w:rsidR="00752117" w:rsidRPr="00F85098" w:rsidRDefault="00752117" w:rsidP="00BB4985">
            <w:pPr>
              <w:pStyle w:val="TableTextLeft"/>
              <w:rPr>
                <w:b/>
                <w:bCs/>
              </w:rPr>
            </w:pPr>
            <w:r w:rsidRPr="00F85098">
              <w:rPr>
                <w:b/>
                <w:bCs/>
              </w:rPr>
              <w:t>Heart Failure</w:t>
            </w:r>
          </w:p>
        </w:tc>
        <w:tc>
          <w:tcPr>
            <w:tcW w:w="1170" w:type="dxa"/>
            <w:hideMark/>
          </w:tcPr>
          <w:p w14:paraId="7C892F7A"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48,555</w:t>
            </w:r>
          </w:p>
        </w:tc>
        <w:tc>
          <w:tcPr>
            <w:tcW w:w="1170" w:type="dxa"/>
            <w:hideMark/>
          </w:tcPr>
          <w:p w14:paraId="35EF580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8.87</w:t>
            </w:r>
          </w:p>
        </w:tc>
        <w:tc>
          <w:tcPr>
            <w:tcW w:w="1485" w:type="dxa"/>
            <w:hideMark/>
          </w:tcPr>
          <w:p w14:paraId="3A0FDB6E"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0D61E63A"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53BB457C" w14:textId="4A2B769F"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5265935E" w14:textId="00728DB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26E595F2" w14:textId="1DD35784"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02C966C2" w14:textId="77777777" w:rsidR="007034F1" w:rsidRPr="00F85098" w:rsidRDefault="007034F1" w:rsidP="00BB4985">
            <w:pPr>
              <w:pStyle w:val="TableTextLeft"/>
              <w:rPr>
                <w:b/>
                <w:bCs/>
              </w:rPr>
            </w:pPr>
            <w:r w:rsidRPr="00F85098">
              <w:rPr>
                <w:b/>
                <w:bCs/>
              </w:rPr>
              <w:t>Arrhythmia</w:t>
            </w:r>
          </w:p>
        </w:tc>
        <w:tc>
          <w:tcPr>
            <w:tcW w:w="1170" w:type="dxa"/>
            <w:hideMark/>
          </w:tcPr>
          <w:p w14:paraId="0377CF76"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70,101</w:t>
            </w:r>
          </w:p>
        </w:tc>
        <w:tc>
          <w:tcPr>
            <w:tcW w:w="1170" w:type="dxa"/>
            <w:hideMark/>
          </w:tcPr>
          <w:p w14:paraId="265E9114"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12.81</w:t>
            </w:r>
          </w:p>
        </w:tc>
        <w:tc>
          <w:tcPr>
            <w:tcW w:w="1485" w:type="dxa"/>
            <w:hideMark/>
          </w:tcPr>
          <w:p w14:paraId="14F06102"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0.23</w:t>
            </w:r>
          </w:p>
        </w:tc>
        <w:tc>
          <w:tcPr>
            <w:tcW w:w="1485" w:type="dxa"/>
            <w:hideMark/>
          </w:tcPr>
          <w:p w14:paraId="64C64F85"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4FD118AD" w14:textId="13308568"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3AC87C1" w14:textId="76E65507"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4DC207F9" w14:textId="2CE0C7F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50B62102" w14:textId="77777777" w:rsidR="007034F1" w:rsidRPr="00F85098" w:rsidRDefault="007034F1" w:rsidP="00BB4985">
            <w:pPr>
              <w:pStyle w:val="TableTextLeft"/>
              <w:rPr>
                <w:b/>
                <w:bCs/>
              </w:rPr>
            </w:pPr>
            <w:r w:rsidRPr="00F85098">
              <w:rPr>
                <w:b/>
                <w:bCs/>
              </w:rPr>
              <w:t>Asthma</w:t>
            </w:r>
          </w:p>
        </w:tc>
        <w:tc>
          <w:tcPr>
            <w:tcW w:w="1170" w:type="dxa"/>
            <w:hideMark/>
          </w:tcPr>
          <w:p w14:paraId="761D1720"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81,441</w:t>
            </w:r>
          </w:p>
        </w:tc>
        <w:tc>
          <w:tcPr>
            <w:tcW w:w="1170" w:type="dxa"/>
            <w:hideMark/>
          </w:tcPr>
          <w:p w14:paraId="550D18D1"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14.88</w:t>
            </w:r>
          </w:p>
        </w:tc>
        <w:tc>
          <w:tcPr>
            <w:tcW w:w="1485" w:type="dxa"/>
            <w:hideMark/>
          </w:tcPr>
          <w:p w14:paraId="727DDCDE"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618F33C5"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466401D5" w14:textId="477AB322"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5A71D94" w14:textId="7D58F78F"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474F4DC0" w14:textId="77265808"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7B8BB84" w14:textId="77777777" w:rsidR="007034F1" w:rsidRPr="00F85098" w:rsidRDefault="007034F1" w:rsidP="00BB4985">
            <w:pPr>
              <w:pStyle w:val="TableTextLeft"/>
              <w:rPr>
                <w:b/>
                <w:bCs/>
              </w:rPr>
            </w:pPr>
            <w:r w:rsidRPr="00F85098">
              <w:rPr>
                <w:b/>
                <w:bCs/>
              </w:rPr>
              <w:t>Dialysis</w:t>
            </w:r>
          </w:p>
        </w:tc>
        <w:tc>
          <w:tcPr>
            <w:tcW w:w="1170" w:type="dxa"/>
            <w:hideMark/>
          </w:tcPr>
          <w:p w14:paraId="74FE8B8B"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2,257</w:t>
            </w:r>
          </w:p>
        </w:tc>
        <w:tc>
          <w:tcPr>
            <w:tcW w:w="1170" w:type="dxa"/>
            <w:hideMark/>
          </w:tcPr>
          <w:p w14:paraId="643C5678"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0.41</w:t>
            </w:r>
          </w:p>
        </w:tc>
        <w:tc>
          <w:tcPr>
            <w:tcW w:w="1485" w:type="dxa"/>
            <w:hideMark/>
          </w:tcPr>
          <w:p w14:paraId="79CE26E9"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0.34</w:t>
            </w:r>
          </w:p>
        </w:tc>
        <w:tc>
          <w:tcPr>
            <w:tcW w:w="1485" w:type="dxa"/>
            <w:hideMark/>
          </w:tcPr>
          <w:p w14:paraId="74B7B95E"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150C1DA0" w14:textId="4936FCB6"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CD93A33" w14:textId="591E1944"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188ACBE3" w14:textId="049A7D6A"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866894E" w14:textId="77777777" w:rsidR="007034F1" w:rsidRPr="00F85098" w:rsidRDefault="007034F1" w:rsidP="00BB4985">
            <w:pPr>
              <w:pStyle w:val="TableTextLeft"/>
              <w:rPr>
                <w:b/>
                <w:bCs/>
              </w:rPr>
            </w:pPr>
            <w:r w:rsidRPr="00F85098">
              <w:rPr>
                <w:b/>
                <w:bCs/>
              </w:rPr>
              <w:t>Endocrine Disease</w:t>
            </w:r>
          </w:p>
        </w:tc>
        <w:tc>
          <w:tcPr>
            <w:tcW w:w="1170" w:type="dxa"/>
            <w:hideMark/>
          </w:tcPr>
          <w:p w14:paraId="20AE44E9"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155,854</w:t>
            </w:r>
          </w:p>
        </w:tc>
        <w:tc>
          <w:tcPr>
            <w:tcW w:w="1170" w:type="dxa"/>
            <w:hideMark/>
          </w:tcPr>
          <w:p w14:paraId="589674BC"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28.48</w:t>
            </w:r>
          </w:p>
        </w:tc>
        <w:tc>
          <w:tcPr>
            <w:tcW w:w="1485" w:type="dxa"/>
            <w:hideMark/>
          </w:tcPr>
          <w:p w14:paraId="1F094530"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41B003B3"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0.18</w:t>
            </w:r>
          </w:p>
        </w:tc>
        <w:tc>
          <w:tcPr>
            <w:tcW w:w="1080" w:type="dxa"/>
          </w:tcPr>
          <w:p w14:paraId="35C9F88A" w14:textId="5D89B865"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050A658" w14:textId="72BC2A54"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6C8C9944" w14:textId="510A3A23"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FBC7F7C" w14:textId="77777777" w:rsidR="007034F1" w:rsidRPr="00F85098" w:rsidRDefault="007034F1" w:rsidP="00BB4985">
            <w:pPr>
              <w:pStyle w:val="TableTextLeft"/>
              <w:rPr>
                <w:b/>
                <w:bCs/>
              </w:rPr>
            </w:pPr>
            <w:r w:rsidRPr="00F85098">
              <w:rPr>
                <w:b/>
                <w:bCs/>
              </w:rPr>
              <w:t>Anemia</w:t>
            </w:r>
          </w:p>
        </w:tc>
        <w:tc>
          <w:tcPr>
            <w:tcW w:w="1170" w:type="dxa"/>
            <w:hideMark/>
          </w:tcPr>
          <w:p w14:paraId="1D737E7B"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145,077</w:t>
            </w:r>
          </w:p>
        </w:tc>
        <w:tc>
          <w:tcPr>
            <w:tcW w:w="1170" w:type="dxa"/>
            <w:hideMark/>
          </w:tcPr>
          <w:p w14:paraId="72C804A1"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26.51</w:t>
            </w:r>
          </w:p>
        </w:tc>
        <w:tc>
          <w:tcPr>
            <w:tcW w:w="1485" w:type="dxa"/>
            <w:hideMark/>
          </w:tcPr>
          <w:p w14:paraId="7E668D6B"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3F4C48AB"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0.18</w:t>
            </w:r>
          </w:p>
        </w:tc>
        <w:tc>
          <w:tcPr>
            <w:tcW w:w="1080" w:type="dxa"/>
          </w:tcPr>
          <w:p w14:paraId="10652516" w14:textId="0773D236"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134C84B4" w14:textId="37B0D68C"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7DCF5616" w14:textId="798B9A58"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8E0BB0A" w14:textId="77777777" w:rsidR="007034F1" w:rsidRPr="00F85098" w:rsidRDefault="007034F1" w:rsidP="00BB4985">
            <w:pPr>
              <w:pStyle w:val="TableTextLeft"/>
              <w:rPr>
                <w:b/>
                <w:bCs/>
              </w:rPr>
            </w:pPr>
            <w:r w:rsidRPr="00F85098">
              <w:rPr>
                <w:b/>
                <w:bCs/>
              </w:rPr>
              <w:t>Pancreatic Disease</w:t>
            </w:r>
          </w:p>
        </w:tc>
        <w:tc>
          <w:tcPr>
            <w:tcW w:w="1170" w:type="dxa"/>
            <w:hideMark/>
          </w:tcPr>
          <w:p w14:paraId="107459DC"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4,145</w:t>
            </w:r>
          </w:p>
        </w:tc>
        <w:tc>
          <w:tcPr>
            <w:tcW w:w="1170" w:type="dxa"/>
            <w:hideMark/>
          </w:tcPr>
          <w:p w14:paraId="5AA7FDA0"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0.76</w:t>
            </w:r>
          </w:p>
        </w:tc>
        <w:tc>
          <w:tcPr>
            <w:tcW w:w="1485" w:type="dxa"/>
            <w:hideMark/>
          </w:tcPr>
          <w:p w14:paraId="79B9BF82"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0.32</w:t>
            </w:r>
          </w:p>
        </w:tc>
        <w:tc>
          <w:tcPr>
            <w:tcW w:w="1485" w:type="dxa"/>
            <w:hideMark/>
          </w:tcPr>
          <w:p w14:paraId="65F4DD01"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7BAD2191" w14:textId="01541B17"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3BEDC4C4" w14:textId="1623806B"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17C237A2" w14:textId="2BA26E3E"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6268B52" w14:textId="77777777" w:rsidR="007034F1" w:rsidRPr="00F85098" w:rsidRDefault="007034F1" w:rsidP="00BB4985">
            <w:pPr>
              <w:pStyle w:val="TableTextLeft"/>
              <w:rPr>
                <w:b/>
                <w:bCs/>
              </w:rPr>
            </w:pPr>
            <w:r w:rsidRPr="00F85098">
              <w:rPr>
                <w:b/>
                <w:bCs/>
              </w:rPr>
              <w:t>Urinary Tract Disorder</w:t>
            </w:r>
          </w:p>
        </w:tc>
        <w:tc>
          <w:tcPr>
            <w:tcW w:w="1170" w:type="dxa"/>
            <w:hideMark/>
          </w:tcPr>
          <w:p w14:paraId="5FBB900B"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32,663</w:t>
            </w:r>
          </w:p>
        </w:tc>
        <w:tc>
          <w:tcPr>
            <w:tcW w:w="1170" w:type="dxa"/>
            <w:hideMark/>
          </w:tcPr>
          <w:p w14:paraId="3991EC3C"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5.97</w:t>
            </w:r>
          </w:p>
        </w:tc>
        <w:tc>
          <w:tcPr>
            <w:tcW w:w="1485" w:type="dxa"/>
            <w:hideMark/>
          </w:tcPr>
          <w:p w14:paraId="2E208567"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30AA7E76" w14:textId="77777777" w:rsidR="007034F1" w:rsidRPr="00BE47C7" w:rsidRDefault="007034F1"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116C0E9A" w14:textId="12A0010C"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7978E7C2" w14:textId="6A5A489C" w:rsidR="007034F1"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99.70</w:t>
            </w:r>
            <w:r w:rsidR="00CD405B" w:rsidRPr="00BE47C7">
              <w:t>%</w:t>
            </w:r>
          </w:p>
        </w:tc>
      </w:tr>
      <w:tr w:rsidR="0043087C" w:rsidRPr="00BE47C7" w14:paraId="68D47838" w14:textId="2E5FF81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0DCEF43" w14:textId="77777777" w:rsidR="00752117" w:rsidRPr="00F85098" w:rsidRDefault="00752117" w:rsidP="00BB4985">
            <w:pPr>
              <w:pStyle w:val="TableTextLeft"/>
              <w:rPr>
                <w:b/>
                <w:bCs/>
              </w:rPr>
            </w:pPr>
            <w:r w:rsidRPr="00F85098">
              <w:rPr>
                <w:b/>
                <w:bCs/>
              </w:rPr>
              <w:t>Coagulation Defects</w:t>
            </w:r>
          </w:p>
        </w:tc>
        <w:tc>
          <w:tcPr>
            <w:tcW w:w="1170" w:type="dxa"/>
            <w:hideMark/>
          </w:tcPr>
          <w:p w14:paraId="06D393AB"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25,800</w:t>
            </w:r>
          </w:p>
        </w:tc>
        <w:tc>
          <w:tcPr>
            <w:tcW w:w="1170" w:type="dxa"/>
            <w:hideMark/>
          </w:tcPr>
          <w:p w14:paraId="7DD4AEAE"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4.71</w:t>
            </w:r>
          </w:p>
        </w:tc>
        <w:tc>
          <w:tcPr>
            <w:tcW w:w="1485" w:type="dxa"/>
            <w:hideMark/>
          </w:tcPr>
          <w:p w14:paraId="633E45D1"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0.27</w:t>
            </w:r>
          </w:p>
        </w:tc>
        <w:tc>
          <w:tcPr>
            <w:tcW w:w="1485" w:type="dxa"/>
            <w:hideMark/>
          </w:tcPr>
          <w:p w14:paraId="67093F76"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32BC3795" w14:textId="7EE2079C"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79AD2AB0" w14:textId="08DFFCFE"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72.90%</w:t>
            </w:r>
          </w:p>
        </w:tc>
      </w:tr>
      <w:tr w:rsidR="0043087C" w:rsidRPr="00BE47C7" w14:paraId="7BA6F6B6" w14:textId="034BA0CC"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A14DAD4" w14:textId="77777777" w:rsidR="00752117" w:rsidRPr="00F85098" w:rsidRDefault="00752117" w:rsidP="00BB4985">
            <w:pPr>
              <w:pStyle w:val="TableTextLeft"/>
              <w:rPr>
                <w:b/>
                <w:bCs/>
              </w:rPr>
            </w:pPr>
            <w:r w:rsidRPr="00F85098">
              <w:rPr>
                <w:b/>
                <w:bCs/>
              </w:rPr>
              <w:t>Peptic Ulcer</w:t>
            </w:r>
          </w:p>
        </w:tc>
        <w:tc>
          <w:tcPr>
            <w:tcW w:w="1170" w:type="dxa"/>
            <w:hideMark/>
          </w:tcPr>
          <w:p w14:paraId="4D1BD2BA"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31,239</w:t>
            </w:r>
          </w:p>
        </w:tc>
        <w:tc>
          <w:tcPr>
            <w:tcW w:w="1170" w:type="dxa"/>
            <w:hideMark/>
          </w:tcPr>
          <w:p w14:paraId="3F700FFF"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5.71</w:t>
            </w:r>
          </w:p>
        </w:tc>
        <w:tc>
          <w:tcPr>
            <w:tcW w:w="1485" w:type="dxa"/>
            <w:hideMark/>
          </w:tcPr>
          <w:p w14:paraId="49228F17"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0.27</w:t>
            </w:r>
          </w:p>
        </w:tc>
        <w:tc>
          <w:tcPr>
            <w:tcW w:w="1485" w:type="dxa"/>
            <w:hideMark/>
          </w:tcPr>
          <w:p w14:paraId="4DD83CF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07645328" w14:textId="404AE95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ED6DCFB" w14:textId="13F9412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4DF85E2F" w14:textId="03E8638B"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F53AC69" w14:textId="77777777" w:rsidR="00752117" w:rsidRPr="00F85098" w:rsidRDefault="00752117" w:rsidP="00BB4985">
            <w:pPr>
              <w:pStyle w:val="TableTextLeft"/>
              <w:rPr>
                <w:b/>
                <w:bCs/>
              </w:rPr>
            </w:pPr>
            <w:r w:rsidRPr="00F85098">
              <w:rPr>
                <w:b/>
                <w:bCs/>
              </w:rPr>
              <w:t>Infection</w:t>
            </w:r>
          </w:p>
        </w:tc>
        <w:tc>
          <w:tcPr>
            <w:tcW w:w="1170" w:type="dxa"/>
            <w:hideMark/>
          </w:tcPr>
          <w:p w14:paraId="580A2191"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56,709</w:t>
            </w:r>
          </w:p>
        </w:tc>
        <w:tc>
          <w:tcPr>
            <w:tcW w:w="1170" w:type="dxa"/>
            <w:hideMark/>
          </w:tcPr>
          <w:p w14:paraId="17B6A75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10.36</w:t>
            </w:r>
          </w:p>
        </w:tc>
        <w:tc>
          <w:tcPr>
            <w:tcW w:w="1485" w:type="dxa"/>
            <w:hideMark/>
          </w:tcPr>
          <w:p w14:paraId="553DC0FD"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0.27</w:t>
            </w:r>
          </w:p>
        </w:tc>
        <w:tc>
          <w:tcPr>
            <w:tcW w:w="1485" w:type="dxa"/>
            <w:hideMark/>
          </w:tcPr>
          <w:p w14:paraId="3D219FB3"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053F71FA" w14:textId="14E60686"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6E042E90" w14:textId="5C44C3A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332F3079" w14:textId="317B4F59"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C4207D7" w14:textId="77777777" w:rsidR="00752117" w:rsidRPr="00F85098" w:rsidRDefault="00752117" w:rsidP="00BB4985">
            <w:pPr>
              <w:pStyle w:val="TableTextLeft"/>
              <w:rPr>
                <w:b/>
                <w:bCs/>
              </w:rPr>
            </w:pPr>
            <w:r w:rsidRPr="00F85098">
              <w:rPr>
                <w:b/>
                <w:bCs/>
              </w:rPr>
              <w:t>Liver Disease</w:t>
            </w:r>
          </w:p>
        </w:tc>
        <w:tc>
          <w:tcPr>
            <w:tcW w:w="1170" w:type="dxa"/>
            <w:hideMark/>
          </w:tcPr>
          <w:p w14:paraId="1C33A9FC"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54,241</w:t>
            </w:r>
          </w:p>
        </w:tc>
        <w:tc>
          <w:tcPr>
            <w:tcW w:w="1170" w:type="dxa"/>
            <w:hideMark/>
          </w:tcPr>
          <w:p w14:paraId="050CEB16"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9.91</w:t>
            </w:r>
          </w:p>
        </w:tc>
        <w:tc>
          <w:tcPr>
            <w:tcW w:w="1485" w:type="dxa"/>
            <w:hideMark/>
          </w:tcPr>
          <w:p w14:paraId="5BA369DB"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0.28</w:t>
            </w:r>
          </w:p>
        </w:tc>
        <w:tc>
          <w:tcPr>
            <w:tcW w:w="1485" w:type="dxa"/>
            <w:hideMark/>
          </w:tcPr>
          <w:p w14:paraId="2720DF9C"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629FE352" w14:textId="33BEA06A"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AE0A066" w14:textId="331CC532"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3E5EDF2A" w14:textId="06763A35"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46372C4" w14:textId="77777777" w:rsidR="0043087C" w:rsidRPr="00F85098" w:rsidRDefault="0043087C" w:rsidP="00BB4985">
            <w:pPr>
              <w:pStyle w:val="TableTextLeft"/>
              <w:rPr>
                <w:b/>
                <w:bCs/>
              </w:rPr>
            </w:pPr>
            <w:r w:rsidRPr="00F85098">
              <w:rPr>
                <w:b/>
                <w:bCs/>
              </w:rPr>
              <w:t>Heart Disease</w:t>
            </w:r>
          </w:p>
        </w:tc>
        <w:tc>
          <w:tcPr>
            <w:tcW w:w="1170" w:type="dxa"/>
            <w:hideMark/>
          </w:tcPr>
          <w:p w14:paraId="663696C0"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148,995</w:t>
            </w:r>
          </w:p>
        </w:tc>
        <w:tc>
          <w:tcPr>
            <w:tcW w:w="1170" w:type="dxa"/>
            <w:hideMark/>
          </w:tcPr>
          <w:p w14:paraId="574243E0"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27.23</w:t>
            </w:r>
          </w:p>
        </w:tc>
        <w:tc>
          <w:tcPr>
            <w:tcW w:w="1485" w:type="dxa"/>
            <w:hideMark/>
          </w:tcPr>
          <w:p w14:paraId="2432D972"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0.22</w:t>
            </w:r>
          </w:p>
        </w:tc>
        <w:tc>
          <w:tcPr>
            <w:tcW w:w="1485" w:type="dxa"/>
            <w:hideMark/>
          </w:tcPr>
          <w:p w14:paraId="4DCCA190"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00A3ABDF" w14:textId="09A41CCE"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205285C" w14:textId="77F1C859"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34729658" w14:textId="3AEA1A8E"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58A41D88" w14:textId="77777777" w:rsidR="0043087C" w:rsidRPr="00F85098" w:rsidRDefault="0043087C" w:rsidP="00BB4985">
            <w:pPr>
              <w:pStyle w:val="TableTextLeft"/>
              <w:rPr>
                <w:b/>
                <w:bCs/>
              </w:rPr>
            </w:pPr>
            <w:r w:rsidRPr="00F85098">
              <w:rPr>
                <w:b/>
                <w:bCs/>
              </w:rPr>
              <w:t>COPD/Fibrosis</w:t>
            </w:r>
          </w:p>
        </w:tc>
        <w:tc>
          <w:tcPr>
            <w:tcW w:w="1170" w:type="dxa"/>
            <w:hideMark/>
          </w:tcPr>
          <w:p w14:paraId="2B0DCAFE"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118,035</w:t>
            </w:r>
          </w:p>
        </w:tc>
        <w:tc>
          <w:tcPr>
            <w:tcW w:w="1170" w:type="dxa"/>
            <w:hideMark/>
          </w:tcPr>
          <w:p w14:paraId="4B312AEB"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21.57</w:t>
            </w:r>
          </w:p>
        </w:tc>
        <w:tc>
          <w:tcPr>
            <w:tcW w:w="1485" w:type="dxa"/>
            <w:hideMark/>
          </w:tcPr>
          <w:p w14:paraId="38485F80"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4B847B14"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4209835A" w14:textId="11A00368"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200FA0D" w14:textId="42AF7709"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4992B403" w14:textId="7A857CD7"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AFE6CE9" w14:textId="77777777" w:rsidR="0043087C" w:rsidRPr="00F85098" w:rsidRDefault="0043087C" w:rsidP="00BB4985">
            <w:pPr>
              <w:pStyle w:val="TableTextLeft"/>
              <w:rPr>
                <w:b/>
                <w:bCs/>
              </w:rPr>
            </w:pPr>
            <w:r w:rsidRPr="00F85098">
              <w:rPr>
                <w:b/>
                <w:bCs/>
              </w:rPr>
              <w:t>Injury</w:t>
            </w:r>
          </w:p>
        </w:tc>
        <w:tc>
          <w:tcPr>
            <w:tcW w:w="1170" w:type="dxa"/>
            <w:hideMark/>
          </w:tcPr>
          <w:p w14:paraId="7DA4F04C"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239,299</w:t>
            </w:r>
          </w:p>
        </w:tc>
        <w:tc>
          <w:tcPr>
            <w:tcW w:w="1170" w:type="dxa"/>
            <w:hideMark/>
          </w:tcPr>
          <w:p w14:paraId="3BA382A7"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43.73</w:t>
            </w:r>
          </w:p>
        </w:tc>
        <w:tc>
          <w:tcPr>
            <w:tcW w:w="1485" w:type="dxa"/>
            <w:hideMark/>
          </w:tcPr>
          <w:p w14:paraId="0AD82201"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209D31F8"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080" w:type="dxa"/>
          </w:tcPr>
          <w:p w14:paraId="6E13462E" w14:textId="0261C6CD"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74785037" w14:textId="7C145FCA"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0FCCE3F8" w14:textId="46AA3169"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C10A46B" w14:textId="5F76C55C" w:rsidR="00CD405B" w:rsidRPr="00F85098" w:rsidRDefault="007F5C9C" w:rsidP="00BB4985">
            <w:pPr>
              <w:pStyle w:val="TableTextLeft"/>
              <w:rPr>
                <w:b/>
                <w:bCs/>
              </w:rPr>
            </w:pPr>
            <w:r w:rsidRPr="00F85098">
              <w:rPr>
                <w:b/>
                <w:bCs/>
              </w:rPr>
              <w:t>Delirium</w:t>
            </w:r>
          </w:p>
        </w:tc>
        <w:tc>
          <w:tcPr>
            <w:tcW w:w="1170" w:type="dxa"/>
            <w:hideMark/>
          </w:tcPr>
          <w:p w14:paraId="458061BB"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28,422</w:t>
            </w:r>
          </w:p>
        </w:tc>
        <w:tc>
          <w:tcPr>
            <w:tcW w:w="1170" w:type="dxa"/>
            <w:hideMark/>
          </w:tcPr>
          <w:p w14:paraId="69321A00"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rPr>
                <w:color w:val="000000"/>
              </w:rPr>
              <w:t>5.19</w:t>
            </w:r>
          </w:p>
        </w:tc>
        <w:tc>
          <w:tcPr>
            <w:tcW w:w="1485" w:type="dxa"/>
            <w:hideMark/>
          </w:tcPr>
          <w:p w14:paraId="421C4E63"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0.29</w:t>
            </w:r>
          </w:p>
        </w:tc>
        <w:tc>
          <w:tcPr>
            <w:tcW w:w="1485" w:type="dxa"/>
            <w:hideMark/>
          </w:tcPr>
          <w:p w14:paraId="52F80461"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0A36647C" w14:textId="1D14DDA6"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63B9ACA1" w14:textId="4487EBB1"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04E963C5" w14:textId="6520968B"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25255B2" w14:textId="77777777" w:rsidR="0043087C" w:rsidRPr="00F85098" w:rsidRDefault="0043087C" w:rsidP="00BB4985">
            <w:pPr>
              <w:pStyle w:val="TableTextLeft"/>
              <w:rPr>
                <w:b/>
                <w:bCs/>
              </w:rPr>
            </w:pPr>
            <w:r w:rsidRPr="00F85098">
              <w:rPr>
                <w:b/>
                <w:bCs/>
              </w:rPr>
              <w:t>Drug/Alcohol Psychosis</w:t>
            </w:r>
          </w:p>
        </w:tc>
        <w:tc>
          <w:tcPr>
            <w:tcW w:w="1170" w:type="dxa"/>
            <w:hideMark/>
          </w:tcPr>
          <w:p w14:paraId="6BAE54C5"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19,641</w:t>
            </w:r>
          </w:p>
        </w:tc>
        <w:tc>
          <w:tcPr>
            <w:tcW w:w="1170" w:type="dxa"/>
            <w:hideMark/>
          </w:tcPr>
          <w:p w14:paraId="19F6F1DF"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3.59</w:t>
            </w:r>
          </w:p>
        </w:tc>
        <w:tc>
          <w:tcPr>
            <w:tcW w:w="1485" w:type="dxa"/>
            <w:hideMark/>
          </w:tcPr>
          <w:p w14:paraId="31A9A57F"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0.32</w:t>
            </w:r>
          </w:p>
        </w:tc>
        <w:tc>
          <w:tcPr>
            <w:tcW w:w="1485" w:type="dxa"/>
            <w:hideMark/>
          </w:tcPr>
          <w:p w14:paraId="543EB66D"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2E3C4E94" w14:textId="147A70FD"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5A9F55D0" w14:textId="384D51F6"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99.70%</w:t>
            </w:r>
          </w:p>
        </w:tc>
      </w:tr>
      <w:tr w:rsidR="0043087C" w:rsidRPr="00BE47C7" w14:paraId="76DE4635" w14:textId="2DABE26F"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08A52CD3" w14:textId="77777777" w:rsidR="0043087C" w:rsidRPr="00F85098" w:rsidRDefault="0043087C" w:rsidP="00BB4985">
            <w:pPr>
              <w:pStyle w:val="TableTextLeft"/>
              <w:rPr>
                <w:b/>
                <w:bCs/>
              </w:rPr>
            </w:pPr>
            <w:r w:rsidRPr="00F85098">
              <w:rPr>
                <w:b/>
                <w:bCs/>
              </w:rPr>
              <w:t>Drug/Alcohol Dependence/Abuse</w:t>
            </w:r>
          </w:p>
        </w:tc>
        <w:tc>
          <w:tcPr>
            <w:tcW w:w="1170" w:type="dxa"/>
            <w:hideMark/>
          </w:tcPr>
          <w:p w14:paraId="43B54D3B"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232,603</w:t>
            </w:r>
          </w:p>
        </w:tc>
        <w:tc>
          <w:tcPr>
            <w:tcW w:w="1170" w:type="dxa"/>
            <w:hideMark/>
          </w:tcPr>
          <w:p w14:paraId="1D609B37"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42.51</w:t>
            </w:r>
          </w:p>
        </w:tc>
        <w:tc>
          <w:tcPr>
            <w:tcW w:w="1485" w:type="dxa"/>
            <w:hideMark/>
          </w:tcPr>
          <w:p w14:paraId="1E2F4B19"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1760C7D0"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080" w:type="dxa"/>
          </w:tcPr>
          <w:p w14:paraId="361A75F2" w14:textId="094E0FC1"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302B928B" w14:textId="12BF1A3C"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72.90%</w:t>
            </w:r>
          </w:p>
        </w:tc>
      </w:tr>
      <w:tr w:rsidR="0043087C" w:rsidRPr="00BE47C7" w14:paraId="6C9B2C09" w14:textId="12A198DE"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83862AE" w14:textId="77777777" w:rsidR="0043087C" w:rsidRPr="00F85098" w:rsidRDefault="0043087C" w:rsidP="00BB4985">
            <w:pPr>
              <w:pStyle w:val="TableTextLeft"/>
              <w:rPr>
                <w:b/>
                <w:bCs/>
              </w:rPr>
            </w:pPr>
            <w:r w:rsidRPr="00F85098">
              <w:rPr>
                <w:b/>
                <w:bCs/>
              </w:rPr>
              <w:lastRenderedPageBreak/>
              <w:t>Nicotine Dependence Disorder</w:t>
            </w:r>
          </w:p>
        </w:tc>
        <w:tc>
          <w:tcPr>
            <w:tcW w:w="1170" w:type="dxa"/>
            <w:hideMark/>
          </w:tcPr>
          <w:p w14:paraId="362E77C4"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253,605</w:t>
            </w:r>
          </w:p>
        </w:tc>
        <w:tc>
          <w:tcPr>
            <w:tcW w:w="1170" w:type="dxa"/>
            <w:hideMark/>
          </w:tcPr>
          <w:p w14:paraId="2FB569C7"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46.35</w:t>
            </w:r>
          </w:p>
        </w:tc>
        <w:tc>
          <w:tcPr>
            <w:tcW w:w="1485" w:type="dxa"/>
            <w:hideMark/>
          </w:tcPr>
          <w:p w14:paraId="5DA7CD62"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097F1D7E" w14:textId="7777777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0.16</w:t>
            </w:r>
          </w:p>
        </w:tc>
        <w:tc>
          <w:tcPr>
            <w:tcW w:w="1080" w:type="dxa"/>
          </w:tcPr>
          <w:p w14:paraId="5C72433B" w14:textId="485E2F56"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68A0C52" w14:textId="604AD147" w:rsidR="0043087C" w:rsidRPr="00BE47C7" w:rsidRDefault="0043087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0AFBA787" w14:textId="1907701F"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7F53721" w14:textId="77777777" w:rsidR="00CD405B" w:rsidRPr="00F85098" w:rsidRDefault="00CD405B" w:rsidP="00BB4985">
            <w:pPr>
              <w:pStyle w:val="TableTextLeft"/>
              <w:rPr>
                <w:b/>
                <w:bCs/>
              </w:rPr>
            </w:pPr>
            <w:r w:rsidRPr="00F85098">
              <w:rPr>
                <w:b/>
                <w:bCs/>
              </w:rPr>
              <w:t>Schizophrenia/Psychosis</w:t>
            </w:r>
          </w:p>
        </w:tc>
        <w:tc>
          <w:tcPr>
            <w:tcW w:w="1170" w:type="dxa"/>
            <w:hideMark/>
          </w:tcPr>
          <w:p w14:paraId="3550A928"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240,773</w:t>
            </w:r>
          </w:p>
        </w:tc>
        <w:tc>
          <w:tcPr>
            <w:tcW w:w="1170" w:type="dxa"/>
            <w:hideMark/>
          </w:tcPr>
          <w:p w14:paraId="727637E6" w14:textId="7CAC670B"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44</w:t>
            </w:r>
            <w:r w:rsidR="009E7B77" w:rsidRPr="00BE47C7">
              <w:rPr>
                <w:color w:val="000000"/>
              </w:rPr>
              <w:t>.00</w:t>
            </w:r>
          </w:p>
        </w:tc>
        <w:tc>
          <w:tcPr>
            <w:tcW w:w="1485" w:type="dxa"/>
            <w:hideMark/>
          </w:tcPr>
          <w:p w14:paraId="3C4B60A0"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32C6AD85"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0.16</w:t>
            </w:r>
          </w:p>
        </w:tc>
        <w:tc>
          <w:tcPr>
            <w:tcW w:w="1080" w:type="dxa"/>
          </w:tcPr>
          <w:p w14:paraId="4D650FEE" w14:textId="1D7222DB"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3920FFEB" w14:textId="3EAFF4C4"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2FA0726E" w14:textId="4206A7C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7356A235" w14:textId="77777777" w:rsidR="00CD405B" w:rsidRPr="00F85098" w:rsidRDefault="00CD405B" w:rsidP="00BB4985">
            <w:pPr>
              <w:pStyle w:val="TableTextLeft"/>
              <w:rPr>
                <w:b/>
                <w:bCs/>
              </w:rPr>
            </w:pPr>
            <w:r w:rsidRPr="00F85098">
              <w:rPr>
                <w:b/>
                <w:bCs/>
              </w:rPr>
              <w:t>Bipolar Disorder</w:t>
            </w:r>
          </w:p>
        </w:tc>
        <w:tc>
          <w:tcPr>
            <w:tcW w:w="1170" w:type="dxa"/>
            <w:hideMark/>
          </w:tcPr>
          <w:p w14:paraId="5D99C5FC"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208,446</w:t>
            </w:r>
          </w:p>
        </w:tc>
        <w:tc>
          <w:tcPr>
            <w:tcW w:w="1170" w:type="dxa"/>
            <w:hideMark/>
          </w:tcPr>
          <w:p w14:paraId="6F4D42C4"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38.09</w:t>
            </w:r>
          </w:p>
        </w:tc>
        <w:tc>
          <w:tcPr>
            <w:tcW w:w="1485" w:type="dxa"/>
            <w:hideMark/>
          </w:tcPr>
          <w:p w14:paraId="02073A77"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0.26</w:t>
            </w:r>
          </w:p>
        </w:tc>
        <w:tc>
          <w:tcPr>
            <w:tcW w:w="1485" w:type="dxa"/>
            <w:hideMark/>
          </w:tcPr>
          <w:p w14:paraId="6A5A9203"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080" w:type="dxa"/>
          </w:tcPr>
          <w:p w14:paraId="145F22C3" w14:textId="3F9B473C"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0C53F6D" w14:textId="430890CE"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30249A74" w14:textId="4A1EEEFF"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952C1AD" w14:textId="77777777" w:rsidR="00CD405B" w:rsidRPr="00F85098" w:rsidRDefault="00CD405B" w:rsidP="00BB4985">
            <w:pPr>
              <w:pStyle w:val="TableTextLeft"/>
              <w:rPr>
                <w:b/>
                <w:bCs/>
              </w:rPr>
            </w:pPr>
            <w:r w:rsidRPr="00F85098">
              <w:rPr>
                <w:b/>
                <w:bCs/>
              </w:rPr>
              <w:t>Depressive Disorder</w:t>
            </w:r>
          </w:p>
        </w:tc>
        <w:tc>
          <w:tcPr>
            <w:tcW w:w="1170" w:type="dxa"/>
            <w:hideMark/>
          </w:tcPr>
          <w:p w14:paraId="36DCC9EA"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268,133</w:t>
            </w:r>
          </w:p>
        </w:tc>
        <w:tc>
          <w:tcPr>
            <w:tcW w:w="1170" w:type="dxa"/>
            <w:hideMark/>
          </w:tcPr>
          <w:p w14:paraId="4F3AD519" w14:textId="7523AAB0"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49</w:t>
            </w:r>
            <w:r w:rsidR="009E7B77" w:rsidRPr="00BE47C7">
              <w:rPr>
                <w:color w:val="000000"/>
              </w:rPr>
              <w:t>.00</w:t>
            </w:r>
          </w:p>
        </w:tc>
        <w:tc>
          <w:tcPr>
            <w:tcW w:w="1485" w:type="dxa"/>
            <w:hideMark/>
          </w:tcPr>
          <w:p w14:paraId="1F0DF7AD"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0.23</w:t>
            </w:r>
          </w:p>
        </w:tc>
        <w:tc>
          <w:tcPr>
            <w:tcW w:w="1485" w:type="dxa"/>
            <w:hideMark/>
          </w:tcPr>
          <w:p w14:paraId="75E36848"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080" w:type="dxa"/>
          </w:tcPr>
          <w:p w14:paraId="1FC38188" w14:textId="3AA7F7AB"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A4D1088" w14:textId="58D523E0"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254366D2" w14:textId="697FE7E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07461735" w14:textId="77777777" w:rsidR="00CD405B" w:rsidRPr="00F85098" w:rsidRDefault="00CD405B" w:rsidP="00BB4985">
            <w:pPr>
              <w:pStyle w:val="TableTextLeft"/>
              <w:rPr>
                <w:b/>
                <w:bCs/>
              </w:rPr>
            </w:pPr>
            <w:r w:rsidRPr="00F85098">
              <w:rPr>
                <w:b/>
                <w:bCs/>
              </w:rPr>
              <w:t>Antisocial Disorder</w:t>
            </w:r>
          </w:p>
        </w:tc>
        <w:tc>
          <w:tcPr>
            <w:tcW w:w="1170" w:type="dxa"/>
            <w:hideMark/>
          </w:tcPr>
          <w:p w14:paraId="26F4EF2C"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10,438</w:t>
            </w:r>
          </w:p>
        </w:tc>
        <w:tc>
          <w:tcPr>
            <w:tcW w:w="1170" w:type="dxa"/>
            <w:hideMark/>
          </w:tcPr>
          <w:p w14:paraId="1D883730"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1.91</w:t>
            </w:r>
          </w:p>
        </w:tc>
        <w:tc>
          <w:tcPr>
            <w:tcW w:w="1485" w:type="dxa"/>
            <w:hideMark/>
          </w:tcPr>
          <w:p w14:paraId="0DB9FBDD"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0.38</w:t>
            </w:r>
          </w:p>
        </w:tc>
        <w:tc>
          <w:tcPr>
            <w:tcW w:w="1485" w:type="dxa"/>
            <w:hideMark/>
          </w:tcPr>
          <w:p w14:paraId="33001571"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6AEF7E99" w14:textId="475E5242"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0D8A7F3" w14:textId="0886923C"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1292D92E" w14:textId="12AFCC34"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5CC46CE" w14:textId="77777777" w:rsidR="00CD405B" w:rsidRPr="00F85098" w:rsidRDefault="00CD405B" w:rsidP="00BB4985">
            <w:pPr>
              <w:pStyle w:val="TableTextLeft"/>
              <w:rPr>
                <w:b/>
                <w:bCs/>
              </w:rPr>
            </w:pPr>
            <w:r w:rsidRPr="00F85098">
              <w:rPr>
                <w:b/>
                <w:bCs/>
              </w:rPr>
              <w:t>Other Personality Disorders</w:t>
            </w:r>
          </w:p>
        </w:tc>
        <w:tc>
          <w:tcPr>
            <w:tcW w:w="1170" w:type="dxa"/>
            <w:hideMark/>
          </w:tcPr>
          <w:p w14:paraId="28C50F60"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69,800</w:t>
            </w:r>
          </w:p>
        </w:tc>
        <w:tc>
          <w:tcPr>
            <w:tcW w:w="1170" w:type="dxa"/>
            <w:hideMark/>
          </w:tcPr>
          <w:p w14:paraId="2AEB94BE"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12.76</w:t>
            </w:r>
          </w:p>
        </w:tc>
        <w:tc>
          <w:tcPr>
            <w:tcW w:w="1485" w:type="dxa"/>
            <w:hideMark/>
          </w:tcPr>
          <w:p w14:paraId="2AB5FFB6"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0.27</w:t>
            </w:r>
          </w:p>
        </w:tc>
        <w:tc>
          <w:tcPr>
            <w:tcW w:w="1485" w:type="dxa"/>
            <w:hideMark/>
          </w:tcPr>
          <w:p w14:paraId="231FB5EC"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7D399FD5" w14:textId="2DA4BC9F"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26B5BBE2" w14:textId="23E4FBC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CD405B" w:rsidRPr="00BE47C7" w14:paraId="3B8D3DE2" w14:textId="24F594F6"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6A28743" w14:textId="77777777" w:rsidR="00CD405B" w:rsidRPr="00F85098" w:rsidRDefault="00CD405B" w:rsidP="00BB4985">
            <w:pPr>
              <w:pStyle w:val="TableTextLeft"/>
              <w:rPr>
                <w:b/>
                <w:bCs/>
              </w:rPr>
            </w:pPr>
            <w:r w:rsidRPr="00F85098">
              <w:rPr>
                <w:b/>
                <w:bCs/>
              </w:rPr>
              <w:t>Anxiety</w:t>
            </w:r>
          </w:p>
        </w:tc>
        <w:tc>
          <w:tcPr>
            <w:tcW w:w="1170" w:type="dxa"/>
            <w:hideMark/>
          </w:tcPr>
          <w:p w14:paraId="442BEF1B"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312,352</w:t>
            </w:r>
          </w:p>
        </w:tc>
        <w:tc>
          <w:tcPr>
            <w:tcW w:w="1170" w:type="dxa"/>
            <w:hideMark/>
          </w:tcPr>
          <w:p w14:paraId="6480A983"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57.08</w:t>
            </w:r>
          </w:p>
        </w:tc>
        <w:tc>
          <w:tcPr>
            <w:tcW w:w="1485" w:type="dxa"/>
            <w:hideMark/>
          </w:tcPr>
          <w:p w14:paraId="36F3E41A"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0.22</w:t>
            </w:r>
          </w:p>
        </w:tc>
        <w:tc>
          <w:tcPr>
            <w:tcW w:w="1485" w:type="dxa"/>
            <w:hideMark/>
          </w:tcPr>
          <w:p w14:paraId="4582874C"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0.17</w:t>
            </w:r>
          </w:p>
        </w:tc>
        <w:tc>
          <w:tcPr>
            <w:tcW w:w="1080" w:type="dxa"/>
          </w:tcPr>
          <w:p w14:paraId="7C605C42" w14:textId="3C9CF694"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17C04757" w14:textId="6CAC5066"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43087C" w:rsidRPr="00BE47C7" w14:paraId="33141F97" w14:textId="467D95B8"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348BE7AF" w14:textId="77777777" w:rsidR="00752117" w:rsidRPr="00F85098" w:rsidRDefault="00752117" w:rsidP="00BB4985">
            <w:pPr>
              <w:pStyle w:val="TableTextLeft"/>
              <w:rPr>
                <w:b/>
                <w:bCs/>
              </w:rPr>
            </w:pPr>
            <w:r w:rsidRPr="00F85098">
              <w:rPr>
                <w:b/>
                <w:bCs/>
              </w:rPr>
              <w:t>PTSD</w:t>
            </w:r>
          </w:p>
        </w:tc>
        <w:tc>
          <w:tcPr>
            <w:tcW w:w="1170" w:type="dxa"/>
            <w:hideMark/>
          </w:tcPr>
          <w:p w14:paraId="76440395"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91,186</w:t>
            </w:r>
          </w:p>
        </w:tc>
        <w:tc>
          <w:tcPr>
            <w:tcW w:w="1170" w:type="dxa"/>
            <w:hideMark/>
          </w:tcPr>
          <w:p w14:paraId="2A4A514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16.66</w:t>
            </w:r>
          </w:p>
        </w:tc>
        <w:tc>
          <w:tcPr>
            <w:tcW w:w="1485" w:type="dxa"/>
            <w:hideMark/>
          </w:tcPr>
          <w:p w14:paraId="001C1AA3"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0.25</w:t>
            </w:r>
          </w:p>
        </w:tc>
        <w:tc>
          <w:tcPr>
            <w:tcW w:w="1485" w:type="dxa"/>
            <w:hideMark/>
          </w:tcPr>
          <w:p w14:paraId="51368188"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5AE587C3" w14:textId="29954195" w:rsidR="00752117"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N</w:t>
            </w:r>
          </w:p>
        </w:tc>
        <w:tc>
          <w:tcPr>
            <w:tcW w:w="1080" w:type="dxa"/>
          </w:tcPr>
          <w:p w14:paraId="32962E77" w14:textId="210EC51E" w:rsidR="00752117"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46.20%</w:t>
            </w:r>
          </w:p>
        </w:tc>
      </w:tr>
      <w:tr w:rsidR="00CD405B" w:rsidRPr="00BE47C7" w14:paraId="33DE3385" w14:textId="468150EA"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260CBC46" w14:textId="77777777" w:rsidR="00CD405B" w:rsidRPr="00F85098" w:rsidRDefault="00CD405B" w:rsidP="00BB4985">
            <w:pPr>
              <w:pStyle w:val="TableTextLeft"/>
              <w:rPr>
                <w:b/>
                <w:bCs/>
              </w:rPr>
            </w:pPr>
            <w:r w:rsidRPr="00F85098">
              <w:rPr>
                <w:b/>
                <w:bCs/>
              </w:rPr>
              <w:t>Other Psychiatric Disorders</w:t>
            </w:r>
          </w:p>
        </w:tc>
        <w:tc>
          <w:tcPr>
            <w:tcW w:w="1170" w:type="dxa"/>
            <w:hideMark/>
          </w:tcPr>
          <w:p w14:paraId="519F89CB"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95,202</w:t>
            </w:r>
          </w:p>
        </w:tc>
        <w:tc>
          <w:tcPr>
            <w:tcW w:w="1170" w:type="dxa"/>
            <w:hideMark/>
          </w:tcPr>
          <w:p w14:paraId="70760BB5" w14:textId="2B9DA9EE"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17.4</w:t>
            </w:r>
            <w:r w:rsidR="009E7B77" w:rsidRPr="00BE47C7">
              <w:rPr>
                <w:color w:val="000000"/>
              </w:rPr>
              <w:t>0</w:t>
            </w:r>
          </w:p>
        </w:tc>
        <w:tc>
          <w:tcPr>
            <w:tcW w:w="1485" w:type="dxa"/>
            <w:hideMark/>
          </w:tcPr>
          <w:p w14:paraId="7BAC0C39"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0.26</w:t>
            </w:r>
          </w:p>
        </w:tc>
        <w:tc>
          <w:tcPr>
            <w:tcW w:w="1485" w:type="dxa"/>
            <w:hideMark/>
          </w:tcPr>
          <w:p w14:paraId="125DCF16" w14:textId="7777777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6A09F7FF" w14:textId="0CB65D57"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1B7BED6C" w14:textId="4B2790B8" w:rsidR="00CD405B" w:rsidRPr="00BE47C7" w:rsidRDefault="00CD405B"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100.00%</w:t>
            </w:r>
          </w:p>
        </w:tc>
      </w:tr>
      <w:tr w:rsidR="007F5C9C" w:rsidRPr="00BE47C7" w14:paraId="5C4E4854" w14:textId="7C4FFE67"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E6B3574" w14:textId="77777777" w:rsidR="007F5C9C" w:rsidRPr="00F85098" w:rsidRDefault="007F5C9C" w:rsidP="00BB4985">
            <w:pPr>
              <w:pStyle w:val="TableTextLeft"/>
              <w:rPr>
                <w:b/>
                <w:bCs/>
              </w:rPr>
            </w:pPr>
            <w:r w:rsidRPr="00F85098">
              <w:rPr>
                <w:b/>
                <w:bCs/>
              </w:rPr>
              <w:t>Intellectual Disability</w:t>
            </w:r>
          </w:p>
        </w:tc>
        <w:tc>
          <w:tcPr>
            <w:tcW w:w="1170" w:type="dxa"/>
            <w:hideMark/>
          </w:tcPr>
          <w:p w14:paraId="21EE8F90"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35,502</w:t>
            </w:r>
          </w:p>
        </w:tc>
        <w:tc>
          <w:tcPr>
            <w:tcW w:w="1170" w:type="dxa"/>
            <w:hideMark/>
          </w:tcPr>
          <w:p w14:paraId="58065ADB"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6.49</w:t>
            </w:r>
          </w:p>
        </w:tc>
        <w:tc>
          <w:tcPr>
            <w:tcW w:w="1485" w:type="dxa"/>
            <w:hideMark/>
          </w:tcPr>
          <w:p w14:paraId="06D871B5"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388EE0AE"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23DFC223" w14:textId="7D77F2DA"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N</w:t>
            </w:r>
          </w:p>
        </w:tc>
        <w:tc>
          <w:tcPr>
            <w:tcW w:w="1080" w:type="dxa"/>
          </w:tcPr>
          <w:p w14:paraId="5A2770FC" w14:textId="66039589"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19.60%</w:t>
            </w:r>
          </w:p>
        </w:tc>
      </w:tr>
      <w:tr w:rsidR="007F5C9C" w:rsidRPr="00BE47C7" w14:paraId="67B8D4C8" w14:textId="36265D32"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4239A58B" w14:textId="77777777" w:rsidR="007F5C9C" w:rsidRPr="00F85098" w:rsidRDefault="007F5C9C" w:rsidP="00BB4985">
            <w:pPr>
              <w:pStyle w:val="TableTextLeft"/>
              <w:rPr>
                <w:b/>
                <w:bCs/>
              </w:rPr>
            </w:pPr>
            <w:r w:rsidRPr="00F85098">
              <w:rPr>
                <w:b/>
                <w:bCs/>
              </w:rPr>
              <w:t>Development Disorders</w:t>
            </w:r>
          </w:p>
        </w:tc>
        <w:tc>
          <w:tcPr>
            <w:tcW w:w="1170" w:type="dxa"/>
            <w:hideMark/>
          </w:tcPr>
          <w:p w14:paraId="389095F8"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40,884</w:t>
            </w:r>
          </w:p>
        </w:tc>
        <w:tc>
          <w:tcPr>
            <w:tcW w:w="1170" w:type="dxa"/>
            <w:hideMark/>
          </w:tcPr>
          <w:p w14:paraId="1DD62815"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7.47</w:t>
            </w:r>
          </w:p>
        </w:tc>
        <w:tc>
          <w:tcPr>
            <w:tcW w:w="1485" w:type="dxa"/>
            <w:hideMark/>
          </w:tcPr>
          <w:p w14:paraId="3BCC7111"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0.26</w:t>
            </w:r>
          </w:p>
        </w:tc>
        <w:tc>
          <w:tcPr>
            <w:tcW w:w="1485" w:type="dxa"/>
            <w:hideMark/>
          </w:tcPr>
          <w:p w14:paraId="2D1A5EEF" w14:textId="77777777"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0.20</w:t>
            </w:r>
          </w:p>
        </w:tc>
        <w:tc>
          <w:tcPr>
            <w:tcW w:w="1080" w:type="dxa"/>
          </w:tcPr>
          <w:p w14:paraId="78D22559" w14:textId="7DAC8E80"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N</w:t>
            </w:r>
          </w:p>
        </w:tc>
        <w:tc>
          <w:tcPr>
            <w:tcW w:w="1080" w:type="dxa"/>
          </w:tcPr>
          <w:p w14:paraId="30EFAD89" w14:textId="328C8468" w:rsidR="007F5C9C" w:rsidRPr="00BE47C7" w:rsidRDefault="007F5C9C"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19.70%</w:t>
            </w:r>
          </w:p>
        </w:tc>
      </w:tr>
      <w:tr w:rsidR="00752117" w:rsidRPr="00BE47C7" w14:paraId="69F4A456" w14:textId="75E13151"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0C7EE77" w14:textId="77777777" w:rsidR="00752117" w:rsidRPr="00F85098" w:rsidRDefault="00752117" w:rsidP="00BB4985">
            <w:pPr>
              <w:pStyle w:val="TableTextLeft"/>
              <w:rPr>
                <w:b/>
                <w:bCs/>
                <w:color w:val="000000"/>
              </w:rPr>
            </w:pPr>
            <w:r w:rsidRPr="00F85098">
              <w:rPr>
                <w:b/>
                <w:bCs/>
              </w:rPr>
              <w:t>History of Discharge AMA</w:t>
            </w:r>
          </w:p>
        </w:tc>
        <w:tc>
          <w:tcPr>
            <w:tcW w:w="1170" w:type="dxa"/>
          </w:tcPr>
          <w:p w14:paraId="7114287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p>
        </w:tc>
        <w:tc>
          <w:tcPr>
            <w:tcW w:w="1170" w:type="dxa"/>
          </w:tcPr>
          <w:p w14:paraId="2D604F65"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p>
        </w:tc>
        <w:tc>
          <w:tcPr>
            <w:tcW w:w="1485" w:type="dxa"/>
          </w:tcPr>
          <w:p w14:paraId="62D28F29"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p>
        </w:tc>
        <w:tc>
          <w:tcPr>
            <w:tcW w:w="1485" w:type="dxa"/>
          </w:tcPr>
          <w:p w14:paraId="38C7F451" w14:textId="64B3CCE2"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p>
        </w:tc>
        <w:tc>
          <w:tcPr>
            <w:tcW w:w="1080" w:type="dxa"/>
          </w:tcPr>
          <w:p w14:paraId="5B2DD461" w14:textId="12FE2162"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08397312" w14:textId="6049159C"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w:t>
            </w:r>
            <w:r w:rsidR="009E7B77" w:rsidRPr="00BE47C7">
              <w:t>.00</w:t>
            </w:r>
            <w:r w:rsidRPr="00BE47C7">
              <w:t>%</w:t>
            </w:r>
          </w:p>
        </w:tc>
      </w:tr>
      <w:tr w:rsidR="00B23F6D" w:rsidRPr="00BE47C7" w14:paraId="64AB381C" w14:textId="1F00273F"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69515A12" w14:textId="05EF378C" w:rsidR="00B23F6D" w:rsidRPr="00BE47C7" w:rsidRDefault="00B23F6D" w:rsidP="00B23F6D">
            <w:pPr>
              <w:pStyle w:val="TableTextIndent"/>
            </w:pPr>
            <w:r>
              <w:t>Discharged AMA in prior 12 months</w:t>
            </w:r>
          </w:p>
        </w:tc>
        <w:tc>
          <w:tcPr>
            <w:tcW w:w="1170" w:type="dxa"/>
            <w:hideMark/>
          </w:tcPr>
          <w:p w14:paraId="70F954C7"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22,732</w:t>
            </w:r>
          </w:p>
        </w:tc>
        <w:tc>
          <w:tcPr>
            <w:tcW w:w="1170" w:type="dxa"/>
            <w:hideMark/>
          </w:tcPr>
          <w:p w14:paraId="28365A3E"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4.15</w:t>
            </w:r>
          </w:p>
        </w:tc>
        <w:tc>
          <w:tcPr>
            <w:tcW w:w="1485" w:type="dxa"/>
            <w:hideMark/>
          </w:tcPr>
          <w:p w14:paraId="4830D16B"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0.38</w:t>
            </w:r>
          </w:p>
        </w:tc>
        <w:tc>
          <w:tcPr>
            <w:tcW w:w="1485" w:type="dxa"/>
            <w:hideMark/>
          </w:tcPr>
          <w:p w14:paraId="13DEC7FF" w14:textId="6492C84C"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.19</w:t>
            </w:r>
          </w:p>
        </w:tc>
        <w:tc>
          <w:tcPr>
            <w:tcW w:w="1080" w:type="dxa"/>
          </w:tcPr>
          <w:p w14:paraId="63EE6E15" w14:textId="4B3A38E6"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4D01FF6F" w14:textId="654A8991"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0B01CE42" w14:textId="60B11D1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17946609" w14:textId="23612D25" w:rsidR="00B23F6D" w:rsidRPr="00BE47C7" w:rsidRDefault="00B23F6D" w:rsidP="00B23F6D">
            <w:pPr>
              <w:pStyle w:val="TableTextIndent"/>
            </w:pPr>
            <w:r>
              <w:t>Not discharged AMA in prior 12 months</w:t>
            </w:r>
          </w:p>
        </w:tc>
        <w:tc>
          <w:tcPr>
            <w:tcW w:w="1170" w:type="dxa"/>
            <w:hideMark/>
          </w:tcPr>
          <w:p w14:paraId="331B3545"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333,016</w:t>
            </w:r>
          </w:p>
        </w:tc>
        <w:tc>
          <w:tcPr>
            <w:tcW w:w="1170" w:type="dxa"/>
            <w:hideMark/>
          </w:tcPr>
          <w:p w14:paraId="35D77547"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60.86</w:t>
            </w:r>
          </w:p>
        </w:tc>
        <w:tc>
          <w:tcPr>
            <w:tcW w:w="1485" w:type="dxa"/>
            <w:hideMark/>
          </w:tcPr>
          <w:p w14:paraId="25BAFD23"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118DE11D" w14:textId="6E1B0943"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.14</w:t>
            </w:r>
          </w:p>
        </w:tc>
        <w:tc>
          <w:tcPr>
            <w:tcW w:w="1080" w:type="dxa"/>
          </w:tcPr>
          <w:p w14:paraId="05B4E38E" w14:textId="13A5BC0E"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078A71EA" w14:textId="778C6F8A"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B23F6D" w:rsidRPr="00BE47C7" w14:paraId="091A7823" w14:textId="6540E1BE"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5F5280B5" w14:textId="2F5A7169" w:rsidR="00B23F6D" w:rsidRPr="00BE47C7" w:rsidRDefault="00B23F6D" w:rsidP="00B23F6D">
            <w:pPr>
              <w:pStyle w:val="TableTextIndent"/>
            </w:pPr>
            <w:r w:rsidRPr="00BE47C7">
              <w:t>N</w:t>
            </w:r>
            <w:r>
              <w:t>o discharges in prior 12 months</w:t>
            </w:r>
          </w:p>
        </w:tc>
        <w:tc>
          <w:tcPr>
            <w:tcW w:w="1170" w:type="dxa"/>
            <w:hideMark/>
          </w:tcPr>
          <w:p w14:paraId="7B208B93"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191,448</w:t>
            </w:r>
          </w:p>
        </w:tc>
        <w:tc>
          <w:tcPr>
            <w:tcW w:w="1170" w:type="dxa"/>
            <w:hideMark/>
          </w:tcPr>
          <w:p w14:paraId="2A976EDB"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34.99</w:t>
            </w:r>
          </w:p>
        </w:tc>
        <w:tc>
          <w:tcPr>
            <w:tcW w:w="1485" w:type="dxa"/>
            <w:hideMark/>
          </w:tcPr>
          <w:p w14:paraId="0E848321" w14:textId="77777777"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0.12</w:t>
            </w:r>
          </w:p>
        </w:tc>
        <w:tc>
          <w:tcPr>
            <w:tcW w:w="1485" w:type="dxa"/>
            <w:hideMark/>
          </w:tcPr>
          <w:p w14:paraId="0CA74BFA" w14:textId="1E3F40A2" w:rsidR="00B23F6D" w:rsidRPr="00B23F6D" w:rsidRDefault="00B23F6D" w:rsidP="00B23F6D">
            <w:pPr>
              <w:pStyle w:val="TableTextCentered"/>
              <w:cnfStyle w:val="000000000000" w:firstRow="0" w:lastRow="0" w:firstColumn="0" w:lastColumn="0" w:oddVBand="0" w:evenVBand="0" w:oddHBand="0" w:evenHBand="0" w:firstRowFirstColumn="0" w:firstRowLastColumn="0" w:lastRowFirstColumn="0" w:lastRowLastColumn="0"/>
              <w:rPr>
                <w:color w:val="auto"/>
              </w:rPr>
            </w:pPr>
            <w:r>
              <w:rPr>
                <w:rFonts w:cs="Arial"/>
                <w:color w:val="auto"/>
                <w:szCs w:val="16"/>
              </w:rPr>
              <w:t>0</w:t>
            </w:r>
            <w:r w:rsidRPr="00B23F6D">
              <w:rPr>
                <w:rFonts w:cs="Arial"/>
                <w:color w:val="auto"/>
                <w:szCs w:val="16"/>
              </w:rPr>
              <w:t>.25</w:t>
            </w:r>
          </w:p>
        </w:tc>
        <w:tc>
          <w:tcPr>
            <w:tcW w:w="1080" w:type="dxa"/>
          </w:tcPr>
          <w:p w14:paraId="052117A9" w14:textId="582C1929"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c>
          <w:tcPr>
            <w:tcW w:w="1080" w:type="dxa"/>
          </w:tcPr>
          <w:p w14:paraId="61955581" w14:textId="61A0089A" w:rsidR="00B23F6D" w:rsidRPr="00BE47C7" w:rsidRDefault="00B23F6D" w:rsidP="00B23F6D">
            <w:pPr>
              <w:pStyle w:val="TableTextCentered"/>
              <w:cnfStyle w:val="000000000000" w:firstRow="0" w:lastRow="0" w:firstColumn="0" w:lastColumn="0" w:oddVBand="0" w:evenVBand="0" w:oddHBand="0" w:evenHBand="0" w:firstRowFirstColumn="0" w:firstRowLastColumn="0" w:lastRowFirstColumn="0" w:lastRowLastColumn="0"/>
            </w:pPr>
            <w:r w:rsidRPr="00BE47C7">
              <w:t>--</w:t>
            </w:r>
          </w:p>
        </w:tc>
      </w:tr>
      <w:tr w:rsidR="0043087C" w:rsidRPr="00BE47C7" w14:paraId="17C4D958" w14:textId="335F1EE0"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0C9EB23C" w14:textId="77777777" w:rsidR="00752117" w:rsidRPr="00F85098" w:rsidRDefault="00752117" w:rsidP="00BB4985">
            <w:pPr>
              <w:pStyle w:val="TableTextLeft"/>
              <w:rPr>
                <w:b/>
                <w:bCs/>
              </w:rPr>
            </w:pPr>
            <w:r w:rsidRPr="00F85098">
              <w:rPr>
                <w:b/>
                <w:bCs/>
              </w:rPr>
              <w:t>Suicidal Attempt/Ideation</w:t>
            </w:r>
          </w:p>
        </w:tc>
        <w:tc>
          <w:tcPr>
            <w:tcW w:w="1170" w:type="dxa"/>
            <w:hideMark/>
          </w:tcPr>
          <w:p w14:paraId="3F286CCE"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280,997</w:t>
            </w:r>
          </w:p>
        </w:tc>
        <w:tc>
          <w:tcPr>
            <w:tcW w:w="1170" w:type="dxa"/>
            <w:hideMark/>
          </w:tcPr>
          <w:p w14:paraId="0CE2FFD8"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51.35</w:t>
            </w:r>
          </w:p>
        </w:tc>
        <w:tc>
          <w:tcPr>
            <w:tcW w:w="1485" w:type="dxa"/>
            <w:hideMark/>
          </w:tcPr>
          <w:p w14:paraId="7B7DAF3F"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0.24</w:t>
            </w:r>
          </w:p>
        </w:tc>
        <w:tc>
          <w:tcPr>
            <w:tcW w:w="1485" w:type="dxa"/>
            <w:hideMark/>
          </w:tcPr>
          <w:p w14:paraId="1FB9036B"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0.16</w:t>
            </w:r>
          </w:p>
        </w:tc>
        <w:tc>
          <w:tcPr>
            <w:tcW w:w="1080" w:type="dxa"/>
          </w:tcPr>
          <w:p w14:paraId="6330350A" w14:textId="10BAF780"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4B6FAD47" w14:textId="675CF19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w:t>
            </w:r>
            <w:r w:rsidR="009E7B77" w:rsidRPr="00BE47C7">
              <w:t>.00</w:t>
            </w:r>
            <w:r w:rsidRPr="00BE47C7">
              <w:t>%</w:t>
            </w:r>
          </w:p>
        </w:tc>
      </w:tr>
      <w:tr w:rsidR="0043087C" w:rsidRPr="00BE47C7" w14:paraId="1CC95880" w14:textId="1657652C" w:rsidTr="00BB4985">
        <w:trPr>
          <w:trHeight w:val="120"/>
        </w:trPr>
        <w:tc>
          <w:tcPr>
            <w:cnfStyle w:val="001000000000" w:firstRow="0" w:lastRow="0" w:firstColumn="1" w:lastColumn="0" w:oddVBand="0" w:evenVBand="0" w:oddHBand="0" w:evenHBand="0" w:firstRowFirstColumn="0" w:firstRowLastColumn="0" w:lastRowFirstColumn="0" w:lastRowLastColumn="0"/>
            <w:tcW w:w="2695" w:type="dxa"/>
            <w:hideMark/>
          </w:tcPr>
          <w:p w14:paraId="75D2C4A8" w14:textId="77777777" w:rsidR="00752117" w:rsidRPr="00F85098" w:rsidRDefault="00752117" w:rsidP="00BB4985">
            <w:pPr>
              <w:pStyle w:val="TableTextLeft"/>
              <w:rPr>
                <w:b/>
                <w:bCs/>
              </w:rPr>
            </w:pPr>
            <w:r w:rsidRPr="00F85098">
              <w:rPr>
                <w:b/>
                <w:bCs/>
              </w:rPr>
              <w:t>Aggression</w:t>
            </w:r>
          </w:p>
        </w:tc>
        <w:tc>
          <w:tcPr>
            <w:tcW w:w="1170" w:type="dxa"/>
            <w:hideMark/>
          </w:tcPr>
          <w:p w14:paraId="31CF4A0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76,110</w:t>
            </w:r>
          </w:p>
        </w:tc>
        <w:tc>
          <w:tcPr>
            <w:tcW w:w="1170" w:type="dxa"/>
            <w:hideMark/>
          </w:tcPr>
          <w:p w14:paraId="7856F4A2"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13.91</w:t>
            </w:r>
          </w:p>
        </w:tc>
        <w:tc>
          <w:tcPr>
            <w:tcW w:w="1485" w:type="dxa"/>
            <w:hideMark/>
          </w:tcPr>
          <w:p w14:paraId="3AF3D6C0"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0.28</w:t>
            </w:r>
          </w:p>
        </w:tc>
        <w:tc>
          <w:tcPr>
            <w:tcW w:w="1485" w:type="dxa"/>
            <w:hideMark/>
          </w:tcPr>
          <w:p w14:paraId="37824CCE" w14:textId="77777777"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rPr>
                <w:color w:val="000000"/>
              </w:rPr>
            </w:pPr>
            <w:r w:rsidRPr="00BE47C7">
              <w:rPr>
                <w:color w:val="000000"/>
              </w:rPr>
              <w:t>0.19</w:t>
            </w:r>
          </w:p>
        </w:tc>
        <w:tc>
          <w:tcPr>
            <w:tcW w:w="1080" w:type="dxa"/>
          </w:tcPr>
          <w:p w14:paraId="31D0FD6F" w14:textId="509E0C21"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Y</w:t>
            </w:r>
          </w:p>
        </w:tc>
        <w:tc>
          <w:tcPr>
            <w:tcW w:w="1080" w:type="dxa"/>
          </w:tcPr>
          <w:p w14:paraId="39976ADC" w14:textId="3D52C6B4" w:rsidR="00752117" w:rsidRPr="00BE47C7" w:rsidRDefault="00752117" w:rsidP="00F85098">
            <w:pPr>
              <w:pStyle w:val="TableTextCentered"/>
              <w:cnfStyle w:val="000000000000" w:firstRow="0" w:lastRow="0" w:firstColumn="0" w:lastColumn="0" w:oddVBand="0" w:evenVBand="0" w:oddHBand="0" w:evenHBand="0" w:firstRowFirstColumn="0" w:firstRowLastColumn="0" w:lastRowFirstColumn="0" w:lastRowLastColumn="0"/>
            </w:pPr>
            <w:r w:rsidRPr="00BE47C7">
              <w:t>100</w:t>
            </w:r>
            <w:r w:rsidR="009E7B77" w:rsidRPr="00BE47C7">
              <w:t>.00</w:t>
            </w:r>
            <w:r w:rsidRPr="00BE47C7">
              <w:t>%</w:t>
            </w:r>
          </w:p>
        </w:tc>
      </w:tr>
    </w:tbl>
    <w:p w14:paraId="2B178E84" w14:textId="28938C8F" w:rsidR="009227BC" w:rsidRPr="009227BC" w:rsidRDefault="009227BC" w:rsidP="009227BC">
      <w:pPr>
        <w:pStyle w:val="TableSourceCaption"/>
        <w:tabs>
          <w:tab w:val="left" w:pos="0"/>
        </w:tabs>
        <w:rPr>
          <w:rFonts w:asciiTheme="minorHAnsi" w:hAnsiTheme="minorHAnsi" w:cstheme="minorHAnsi"/>
          <w:color w:val="0070C0"/>
        </w:rPr>
      </w:pPr>
      <w:r w:rsidRPr="009227BC">
        <w:rPr>
          <w:rFonts w:asciiTheme="minorHAnsi" w:hAnsiTheme="minorHAnsi" w:cstheme="minorHAnsi"/>
          <w:color w:val="0070C0"/>
        </w:rPr>
        <w:t>Source:</w:t>
      </w:r>
      <w:r w:rsidRPr="009227BC">
        <w:rPr>
          <w:rFonts w:asciiTheme="minorHAnsi" w:hAnsiTheme="minorHAnsi" w:cstheme="minorHAnsi"/>
          <w:color w:val="0070C0"/>
        </w:rPr>
        <w:tab/>
        <w:t>Mathematica analysis of the Medicare Fee for Service (FFS) data for the 7/1/2017-6/30/2019 performance period. Facility-level results based on 1,700 facilities with a total of 547,196 discharges.</w:t>
      </w:r>
    </w:p>
    <w:p w14:paraId="3F840D16" w14:textId="7720BAC7" w:rsidR="009227BC" w:rsidRPr="009227BC" w:rsidRDefault="009227BC" w:rsidP="009227BC">
      <w:pPr>
        <w:pStyle w:val="TableSourceCaption"/>
        <w:tabs>
          <w:tab w:val="left" w:pos="0"/>
        </w:tabs>
        <w:rPr>
          <w:rFonts w:asciiTheme="minorHAnsi" w:hAnsiTheme="minorHAnsi" w:cstheme="minorHAnsi"/>
          <w:color w:val="0070C0"/>
        </w:rPr>
      </w:pPr>
      <w:r w:rsidRPr="008F21BF">
        <w:rPr>
          <w:rFonts w:asciiTheme="minorHAnsi" w:hAnsiTheme="minorHAnsi" w:cstheme="minorHAnsi"/>
          <w:color w:val="0070C0"/>
        </w:rPr>
        <w:t>Notes:</w:t>
      </w:r>
      <w:r w:rsidRPr="008F21BF">
        <w:rPr>
          <w:rFonts w:asciiTheme="minorHAnsi" w:hAnsiTheme="minorHAnsi" w:cstheme="minorHAnsi"/>
          <w:color w:val="0070C0"/>
        </w:rPr>
        <w:tab/>
        <w:t>Percent selected represents percent of bootstrap models in which the variable was retained</w:t>
      </w:r>
    </w:p>
    <w:p w14:paraId="1DF038F0" w14:textId="41C31507" w:rsidR="007C6C70" w:rsidRPr="00F93648" w:rsidRDefault="007C6C70">
      <w:pPr>
        <w:rPr>
          <w:rFonts w:cstheme="minorHAnsi"/>
        </w:rPr>
      </w:pPr>
    </w:p>
    <w:p w14:paraId="6F4C2504" w14:textId="77777777" w:rsidR="007C6C70" w:rsidRPr="00F93648" w:rsidRDefault="007C6C70">
      <w:pPr>
        <w:spacing w:after="160" w:line="259" w:lineRule="auto"/>
        <w:rPr>
          <w:rFonts w:cstheme="minorHAnsi"/>
        </w:rPr>
      </w:pPr>
      <w:r w:rsidRPr="00F93648">
        <w:rPr>
          <w:rFonts w:cstheme="minorHAnsi"/>
        </w:rPr>
        <w:br w:type="page"/>
      </w:r>
    </w:p>
    <w:p w14:paraId="17EEF2C2" w14:textId="77777777" w:rsidR="003C457F" w:rsidRPr="00F93648" w:rsidRDefault="003C457F">
      <w:pPr>
        <w:rPr>
          <w:rFonts w:cstheme="minorHAnsi"/>
        </w:rPr>
      </w:pPr>
    </w:p>
    <w:sectPr w:rsidR="003C457F" w:rsidRPr="00F93648" w:rsidSect="00806CEB">
      <w:headerReference w:type="default" r:id="rId16"/>
      <w:footerReference w:type="default" r:id="rId17"/>
      <w:footnotePr>
        <w:numFmt w:val="lowerRoman"/>
      </w:footnotePr>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09733" w14:textId="77777777" w:rsidR="009E0BD2" w:rsidRDefault="009E0BD2" w:rsidP="00086FAC">
      <w:pPr>
        <w:spacing w:after="0" w:line="240" w:lineRule="auto"/>
      </w:pPr>
      <w:r>
        <w:separator/>
      </w:r>
    </w:p>
  </w:endnote>
  <w:endnote w:type="continuationSeparator" w:id="0">
    <w:p w14:paraId="3FF00AFD" w14:textId="77777777" w:rsidR="009E0BD2" w:rsidRDefault="009E0BD2" w:rsidP="00086FAC">
      <w:pPr>
        <w:spacing w:after="0" w:line="240" w:lineRule="auto"/>
      </w:pPr>
      <w:r>
        <w:continuationSeparator/>
      </w:r>
    </w:p>
  </w:endnote>
  <w:endnote w:type="continuationNotice" w:id="1">
    <w:p w14:paraId="6857920C" w14:textId="77777777" w:rsidR="009E0BD2" w:rsidRDefault="009E0BD2">
      <w:pPr>
        <w:spacing w:after="0" w:line="240" w:lineRule="auto"/>
      </w:pPr>
    </w:p>
  </w:endnote>
  <w:endnote w:id="2">
    <w:p w14:paraId="20D39FF9" w14:textId="1804A27E" w:rsidR="009E0BD2" w:rsidRPr="005B42B9" w:rsidRDefault="009E0BD2">
      <w:pPr>
        <w:pStyle w:val="EndnoteText"/>
        <w:rPr>
          <w:i/>
          <w:iCs/>
          <w:sz w:val="16"/>
          <w:szCs w:val="16"/>
        </w:rPr>
      </w:pPr>
      <w:r w:rsidRPr="005B42B9">
        <w:rPr>
          <w:rStyle w:val="EndnoteReference"/>
          <w:sz w:val="16"/>
          <w:szCs w:val="16"/>
        </w:rPr>
        <w:endnoteRef/>
      </w:r>
      <w:r w:rsidRPr="005B42B9">
        <w:rPr>
          <w:sz w:val="16"/>
          <w:szCs w:val="16"/>
        </w:rPr>
        <w:t xml:space="preserve"> National Quality Forum (2014). </w:t>
      </w:r>
      <w:r w:rsidRPr="005B42B9">
        <w:rPr>
          <w:i/>
          <w:iCs/>
          <w:sz w:val="16"/>
          <w:szCs w:val="16"/>
        </w:rPr>
        <w:t>Risk Adjustment for Socioeconomic Status or Other Sociodemographic Factors</w:t>
      </w:r>
      <w:r w:rsidRPr="00A84BD1">
        <w:rPr>
          <w:sz w:val="16"/>
          <w:szCs w:val="16"/>
        </w:rPr>
        <w:t xml:space="preserve">. Retrieved from </w:t>
      </w:r>
      <w:hyperlink r:id="rId1" w:history="1">
        <w:r w:rsidRPr="005B42B9">
          <w:rPr>
            <w:rStyle w:val="Hyperlink"/>
            <w:color w:val="auto"/>
            <w:sz w:val="16"/>
            <w:szCs w:val="16"/>
          </w:rPr>
          <w:t>http://www.qualityforum.org/Publications/2014/08/RA_SES_Technical_Report.aspx</w:t>
        </w:r>
      </w:hyperlink>
    </w:p>
  </w:endnote>
  <w:endnote w:id="3">
    <w:p w14:paraId="0357AEA9" w14:textId="78237A51" w:rsidR="009E0BD2" w:rsidRPr="00E031A8" w:rsidRDefault="009E0BD2" w:rsidP="00086FAC">
      <w:pPr>
        <w:pStyle w:val="EndnoteText"/>
        <w:rPr>
          <w:sz w:val="16"/>
          <w:szCs w:val="16"/>
        </w:rPr>
      </w:pPr>
      <w:r w:rsidRPr="00E031A8">
        <w:rPr>
          <w:rStyle w:val="EndnoteReference"/>
          <w:sz w:val="16"/>
          <w:szCs w:val="16"/>
        </w:rPr>
        <w:endnoteRef/>
      </w:r>
      <w:r w:rsidRPr="00E031A8">
        <w:rPr>
          <w:sz w:val="16"/>
          <w:szCs w:val="16"/>
        </w:rPr>
        <w:t xml:space="preserve"> Krieger N, Chen JT, Waterman PD, Rehkopf DH, Subramanian SV. Race/ethnicity, gender, and monitoring socioeconomic gradients in health: a comparison of area-based socioeconomic measures--the public health disparities geocoding project. </w:t>
      </w:r>
      <w:r w:rsidRPr="00E031A8">
        <w:rPr>
          <w:i/>
          <w:sz w:val="16"/>
          <w:szCs w:val="16"/>
        </w:rPr>
        <w:t>Am J Public Health</w:t>
      </w:r>
      <w:r w:rsidRPr="00E031A8">
        <w:rPr>
          <w:sz w:val="16"/>
          <w:szCs w:val="16"/>
        </w:rPr>
        <w:t>. 2003;93(10):1655-1671</w:t>
      </w:r>
    </w:p>
  </w:endnote>
  <w:endnote w:id="4">
    <w:p w14:paraId="026C20CE" w14:textId="77777777" w:rsidR="009E0BD2" w:rsidRPr="00F34FC1" w:rsidRDefault="009E0BD2" w:rsidP="00FB3A8C">
      <w:pPr>
        <w:pStyle w:val="EndnoteText"/>
        <w:rPr>
          <w:sz w:val="16"/>
          <w:szCs w:val="16"/>
        </w:rPr>
      </w:pPr>
      <w:r w:rsidRPr="00E031A8">
        <w:rPr>
          <w:rStyle w:val="EndnoteReference"/>
          <w:sz w:val="16"/>
          <w:szCs w:val="16"/>
        </w:rPr>
        <w:endnoteRef/>
      </w:r>
      <w:r w:rsidRPr="00E031A8">
        <w:rPr>
          <w:sz w:val="16"/>
          <w:szCs w:val="16"/>
        </w:rPr>
        <w:t xml:space="preserve"> Roux, A. V. D. (2001). Investigating neighborhood and area effects on health. </w:t>
      </w:r>
      <w:r w:rsidRPr="00E031A8">
        <w:rPr>
          <w:i/>
          <w:iCs/>
          <w:sz w:val="16"/>
          <w:szCs w:val="16"/>
        </w:rPr>
        <w:t>American Journal of Public Health</w:t>
      </w:r>
      <w:r w:rsidRPr="00E031A8">
        <w:rPr>
          <w:sz w:val="16"/>
          <w:szCs w:val="16"/>
        </w:rPr>
        <w:t xml:space="preserve">, </w:t>
      </w:r>
      <w:r w:rsidRPr="00E031A8">
        <w:rPr>
          <w:i/>
          <w:iCs/>
          <w:sz w:val="16"/>
          <w:szCs w:val="16"/>
        </w:rPr>
        <w:t>91</w:t>
      </w:r>
      <w:r w:rsidRPr="00E031A8">
        <w:rPr>
          <w:sz w:val="16"/>
          <w:szCs w:val="16"/>
        </w:rPr>
        <w:t xml:space="preserve">(11), 1783–1789. </w:t>
      </w:r>
      <w:r w:rsidRPr="00F34FC1">
        <w:rPr>
          <w:sz w:val="16"/>
          <w:szCs w:val="16"/>
        </w:rPr>
        <w:t>https://www.ncbi.nlm.nih.gov/pmc/articles/PMC1446876/pdf/0911783.pdf</w:t>
      </w:r>
    </w:p>
  </w:endnote>
  <w:endnote w:id="5">
    <w:p w14:paraId="0E9BA0F6" w14:textId="77777777" w:rsidR="009E0BD2" w:rsidRPr="00E031A8" w:rsidRDefault="009E0BD2" w:rsidP="00E16B28">
      <w:pPr>
        <w:pStyle w:val="EndnoteText"/>
        <w:rPr>
          <w:sz w:val="16"/>
          <w:szCs w:val="16"/>
        </w:rPr>
      </w:pPr>
      <w:r w:rsidRPr="00E031A8">
        <w:rPr>
          <w:rStyle w:val="EndnoteReference"/>
          <w:sz w:val="16"/>
          <w:szCs w:val="16"/>
        </w:rPr>
        <w:endnoteRef/>
      </w:r>
      <w:r w:rsidRPr="00E031A8">
        <w:rPr>
          <w:sz w:val="16"/>
          <w:szCs w:val="16"/>
        </w:rPr>
        <w:t xml:space="preserve"> Berkowitz, S. A., Traore, C. Y., Singer, D. E., &amp; Atlas, S. J. (2014). Evaluating Area-Based Socioeconomic Status Indicators for Monitoring Disparities within Health Care Systems: Results from a Primary Care Network. Health Services Research, 2, 398–417. https://doi.org/10.1111/1475-6773.12229</w:t>
      </w:r>
    </w:p>
  </w:endnote>
  <w:endnote w:id="6">
    <w:p w14:paraId="11A43939" w14:textId="5C604806" w:rsidR="009E0BD2" w:rsidRDefault="009E0BD2">
      <w:pPr>
        <w:pStyle w:val="EndnoteText"/>
      </w:pPr>
      <w:r w:rsidRPr="005B42B9">
        <w:rPr>
          <w:rStyle w:val="EndnoteReference"/>
          <w:sz w:val="16"/>
          <w:szCs w:val="16"/>
        </w:rPr>
        <w:endnoteRef/>
      </w:r>
      <w:r w:rsidRPr="005B42B9">
        <w:rPr>
          <w:sz w:val="16"/>
          <w:szCs w:val="16"/>
        </w:rPr>
        <w:t xml:space="preserve"> Agency for Healthcare Research and Quality. Creating and Validating an Index of Socioeconomic Status. Supplemental Digital Content. Available at </w:t>
      </w:r>
      <w:hyperlink r:id="rId2" w:history="1">
        <w:r w:rsidRPr="005B42B9">
          <w:rPr>
            <w:rStyle w:val="Hyperlink"/>
            <w:color w:val="auto"/>
            <w:sz w:val="16"/>
            <w:szCs w:val="16"/>
          </w:rPr>
          <w:t>https://cdn-links.lww.com/permalink/tp/b/tp_2015_02_27_lentine_tpa-2014-1175_sdc1.pdf</w:t>
        </w:r>
      </w:hyperlink>
      <w:r w:rsidRPr="005B42B9">
        <w:rPr>
          <w:sz w:val="16"/>
          <w:szCs w:val="16"/>
        </w:rPr>
        <w:t>. Accessed on December 7, 2020</w:t>
      </w:r>
    </w:p>
  </w:endnote>
  <w:endnote w:id="7">
    <w:p w14:paraId="4B01DF3E" w14:textId="77777777" w:rsidR="009E0BD2" w:rsidRPr="00E031A8" w:rsidRDefault="009E0BD2" w:rsidP="00086FAC">
      <w:pPr>
        <w:pStyle w:val="EndnoteText"/>
        <w:rPr>
          <w:sz w:val="16"/>
          <w:szCs w:val="16"/>
        </w:rPr>
      </w:pPr>
      <w:r w:rsidRPr="00E031A8">
        <w:rPr>
          <w:rStyle w:val="EndnoteReference"/>
          <w:sz w:val="16"/>
          <w:szCs w:val="16"/>
        </w:rPr>
        <w:endnoteRef/>
      </w:r>
      <w:r w:rsidRPr="00E031A8">
        <w:rPr>
          <w:sz w:val="16"/>
          <w:szCs w:val="16"/>
        </w:rPr>
        <w:t xml:space="preserve"> Austin, P. C., &amp; Merlo, J. (2017). Intermediate and advanced topics in multilevel logistic regression analysis. Statistics in Medicine, 36(20), 3257–3277. https://doi.org/10.1002/sim.7336</w:t>
      </w:r>
    </w:p>
  </w:endnote>
  <w:endnote w:id="8">
    <w:p w14:paraId="21DE2CFC" w14:textId="77777777" w:rsidR="009E0BD2" w:rsidRPr="00E031A8" w:rsidRDefault="009E0BD2" w:rsidP="00086FAC">
      <w:pPr>
        <w:pStyle w:val="EndnoteText"/>
        <w:rPr>
          <w:sz w:val="16"/>
          <w:szCs w:val="16"/>
        </w:rPr>
      </w:pPr>
      <w:r w:rsidRPr="00E031A8">
        <w:rPr>
          <w:rStyle w:val="EndnoteReference"/>
          <w:sz w:val="16"/>
          <w:szCs w:val="16"/>
        </w:rPr>
        <w:endnoteRef/>
      </w:r>
      <w:r w:rsidRPr="00E031A8">
        <w:rPr>
          <w:sz w:val="16"/>
          <w:szCs w:val="16"/>
        </w:rPr>
        <w:t xml:space="preserve"> Portney LG, Watkins MP. Foundations of clinical research: applications to practice. New Jersey: Prentice Hall; 2000</w:t>
      </w:r>
    </w:p>
  </w:endnote>
  <w:endnote w:id="9">
    <w:p w14:paraId="637082C1" w14:textId="77777777" w:rsidR="009E0BD2" w:rsidRPr="00F93648" w:rsidRDefault="009E0BD2" w:rsidP="00086FAC">
      <w:pPr>
        <w:pStyle w:val="EndnoteText"/>
        <w:rPr>
          <w:sz w:val="16"/>
          <w:szCs w:val="16"/>
        </w:rPr>
      </w:pPr>
      <w:r w:rsidRPr="00E031A8">
        <w:rPr>
          <w:rStyle w:val="EndnoteReference"/>
          <w:sz w:val="16"/>
          <w:szCs w:val="16"/>
        </w:rPr>
        <w:endnoteRef/>
      </w:r>
      <w:r w:rsidRPr="00E031A8">
        <w:rPr>
          <w:sz w:val="16"/>
          <w:szCs w:val="16"/>
        </w:rPr>
        <w:t xml:space="preserve"> Harrel, F. Regression modeling strategies: with applications to linear models, logistic regression, and survival analysis. New York: Springer; 2001</w:t>
      </w:r>
    </w:p>
  </w:endnote>
  <w:endnote w:id="10">
    <w:p w14:paraId="42CBB035" w14:textId="2E2583C5" w:rsidR="009E0BD2" w:rsidRPr="00F93648" w:rsidRDefault="009E0BD2">
      <w:pPr>
        <w:pStyle w:val="EndnoteText"/>
        <w:rPr>
          <w:sz w:val="16"/>
          <w:szCs w:val="16"/>
        </w:rPr>
      </w:pPr>
      <w:r w:rsidRPr="00F93648">
        <w:rPr>
          <w:rStyle w:val="EndnoteReference"/>
          <w:sz w:val="16"/>
          <w:szCs w:val="16"/>
        </w:rPr>
        <w:endnoteRef/>
      </w:r>
      <w:r w:rsidRPr="00F93648">
        <w:rPr>
          <w:sz w:val="16"/>
          <w:szCs w:val="16"/>
        </w:rPr>
        <w:t xml:space="preserve"> Rosen, O., Fridman, R., Rosen, B., Shane, R., &amp; Pevnick, J. (2017). Medication adherence as a predictor of 30-day hospital readmissions. Patient Preference and Adherence, Volume 11, 801–810. https://doi.org/10.2147/PPA.S125672</w:t>
      </w:r>
    </w:p>
  </w:endnote>
  <w:endnote w:id="11">
    <w:p w14:paraId="534727A0"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Rieke, K., McGeary, C., Schmid, K. K., &amp; Watanabe-Galloway, S. (2016). Risk Factors for Inpatient Psychiatric Readmission: Are There Gender Differences? </w:t>
      </w:r>
      <w:r w:rsidRPr="00F93648">
        <w:rPr>
          <w:i/>
          <w:iCs/>
          <w:sz w:val="16"/>
          <w:szCs w:val="16"/>
        </w:rPr>
        <w:t>Community Mental Health Journal</w:t>
      </w:r>
      <w:r w:rsidRPr="00F93648">
        <w:rPr>
          <w:sz w:val="16"/>
          <w:szCs w:val="16"/>
        </w:rPr>
        <w:t xml:space="preserve">, </w:t>
      </w:r>
      <w:r w:rsidRPr="00F93648">
        <w:rPr>
          <w:i/>
          <w:iCs/>
          <w:sz w:val="16"/>
          <w:szCs w:val="16"/>
        </w:rPr>
        <w:t>52</w:t>
      </w:r>
      <w:r w:rsidRPr="00F93648">
        <w:rPr>
          <w:sz w:val="16"/>
          <w:szCs w:val="16"/>
        </w:rPr>
        <w:t>(6), 675–682. https://doi.org/10.1007/s10597-015-9921-1</w:t>
      </w:r>
    </w:p>
  </w:endnote>
  <w:endnote w:id="12">
    <w:p w14:paraId="6BC7F55F"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Mark T, Tomic KS, Kowlessar N, Chu BC, Vandivort-Warren R, Smith S. Hospital readmission among medicaid patients with an index hospitalization for mental and/or substance use disorder. J Behav Health Ser R. 2013;40:207-21</w:t>
      </w:r>
    </w:p>
  </w:endnote>
  <w:endnote w:id="13">
    <w:p w14:paraId="711D2BF4"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Carr VJ, Lewin TJ, Sly KA, Conrad AM, Tirupati S, Cohen M, et al. Adverse incidents in acute psychiatric inpatient units: rates, correlates and pressures. AustNz J Psychiat. 2008;19:267–82.</w:t>
      </w:r>
    </w:p>
  </w:endnote>
  <w:endnote w:id="14">
    <w:p w14:paraId="072C25F5"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Rømer Thomsen, K., Thylstrup, B., Pedersen, M. M., Pedersen, M. U., Simonsen, E., &amp; Hesse, M. (2018). Drug-related predictors of readmission for schizophrenia among patients admitted to treatment for drug use disorders. </w:t>
      </w:r>
      <w:r w:rsidRPr="00F93648">
        <w:rPr>
          <w:i/>
          <w:iCs/>
          <w:sz w:val="16"/>
          <w:szCs w:val="16"/>
        </w:rPr>
        <w:t>Schizophrenia Research</w:t>
      </w:r>
      <w:r w:rsidRPr="00F93648">
        <w:rPr>
          <w:sz w:val="16"/>
          <w:szCs w:val="16"/>
        </w:rPr>
        <w:t xml:space="preserve">, </w:t>
      </w:r>
      <w:r w:rsidRPr="00F93648">
        <w:rPr>
          <w:i/>
          <w:iCs/>
          <w:sz w:val="16"/>
          <w:szCs w:val="16"/>
        </w:rPr>
        <w:t>195</w:t>
      </w:r>
      <w:r w:rsidRPr="00F93648">
        <w:rPr>
          <w:sz w:val="16"/>
          <w:szCs w:val="16"/>
        </w:rPr>
        <w:t>, 495–500. https://doi.org/10.1016/j.schres.2017.09.026</w:t>
      </w:r>
    </w:p>
  </w:endnote>
  <w:endnote w:id="15">
    <w:p w14:paraId="43B8D449"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Weiss A, Barret M, Heslin K, and Stocks C. Trends in Emergency Department Visits Involving Mental and Substance Use Disorders, 2006–2013. Rockville (MD): Agency for Healthcare Research and Quality (US); 2006</w:t>
      </w:r>
    </w:p>
  </w:endnote>
  <w:endnote w:id="16">
    <w:p w14:paraId="24B4DBC6"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Hung, Y. Y., Chan, H. Y., &amp; Pan, Y. J. (2017). Risk factors for readmission in schizophrenia patients following involuntary admission. </w:t>
      </w:r>
      <w:r w:rsidRPr="00F93648">
        <w:rPr>
          <w:i/>
          <w:iCs/>
          <w:sz w:val="16"/>
          <w:szCs w:val="16"/>
        </w:rPr>
        <w:t>PLoS ONE</w:t>
      </w:r>
      <w:r w:rsidRPr="00F93648">
        <w:rPr>
          <w:sz w:val="16"/>
          <w:szCs w:val="16"/>
        </w:rPr>
        <w:t xml:space="preserve">, </w:t>
      </w:r>
      <w:r w:rsidRPr="00F93648">
        <w:rPr>
          <w:i/>
          <w:iCs/>
          <w:sz w:val="16"/>
          <w:szCs w:val="16"/>
        </w:rPr>
        <w:t>12</w:t>
      </w:r>
      <w:r w:rsidRPr="00F93648">
        <w:rPr>
          <w:sz w:val="16"/>
          <w:szCs w:val="16"/>
        </w:rPr>
        <w:t>(10), 1–11. https://doi.org/10.1371/journal.pone.0186768</w:t>
      </w:r>
    </w:p>
  </w:endnote>
  <w:endnote w:id="17">
    <w:p w14:paraId="495FF9F2"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Vigod SN, Kurdyak PA, Dennis CL, Leszcz T, Taylor VH, Blumberger DM, et al. Transitional interventions to reduce early psychiatric readmissions in adults: systematic review. British Journal of Psychiatry. 2013 Mar;202(3):187-94.</w:t>
      </w:r>
    </w:p>
  </w:endnote>
  <w:endnote w:id="18">
    <w:p w14:paraId="0204898A"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Malla, A., Norman, R., Bechard-Evans, L., Schmitz, N., Manchanda, R., &amp; Cassidy, C. (2008). Factors influencing relapse during a 2-year follow-up of first-episode psychosis in a specialized early intervention service. </w:t>
      </w:r>
      <w:r w:rsidRPr="00F93648">
        <w:rPr>
          <w:i/>
          <w:iCs/>
          <w:sz w:val="16"/>
          <w:szCs w:val="16"/>
        </w:rPr>
        <w:t>Psychological Medicine</w:t>
      </w:r>
      <w:r w:rsidRPr="00F93648">
        <w:rPr>
          <w:sz w:val="16"/>
          <w:szCs w:val="16"/>
        </w:rPr>
        <w:t xml:space="preserve">, </w:t>
      </w:r>
      <w:r w:rsidRPr="00F93648">
        <w:rPr>
          <w:i/>
          <w:iCs/>
          <w:sz w:val="16"/>
          <w:szCs w:val="16"/>
        </w:rPr>
        <w:t>38</w:t>
      </w:r>
      <w:r w:rsidRPr="00F93648">
        <w:rPr>
          <w:sz w:val="16"/>
          <w:szCs w:val="16"/>
        </w:rPr>
        <w:t>(11), 1585–1593. https://doi.org/10.1017/S0033291707002656</w:t>
      </w:r>
    </w:p>
  </w:endnote>
  <w:endnote w:id="19">
    <w:p w14:paraId="031D37B2"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Madi N, Zhao H, Li JF. Hospital readmissions for patients with mental illness in Canada. Healthc Q. 2007;10(2):30-2. doi: 10.12927/hcq.2007.18818. PMID: 17491564.</w:t>
      </w:r>
    </w:p>
  </w:endnote>
  <w:endnote w:id="20">
    <w:p w14:paraId="12EE62DD"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Burke RE, Donzé J, Schnipper JL. Contribution of psychiatric illness and substance abuse to 30-day readmission risk. J Hosp Med. 2013 Aug;8(8):450-5. doi: 10.1002/jhm.2044. Epub 2013 Apr 16. PMID: 23589474.</w:t>
      </w:r>
    </w:p>
  </w:endnote>
  <w:endnote w:id="21">
    <w:p w14:paraId="5E536F6D"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Weiss A, Barret M, Heslin K, and Stocks C. Trends in Emergency Department Visits Involving Mental and Substance Use Disorders, 2006–2013. Rockville (MD): Agency for Healthcare Research and Quality (US); 2006</w:t>
      </w:r>
    </w:p>
  </w:endnote>
  <w:endnote w:id="22">
    <w:p w14:paraId="41E69530"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Joynt, K. E., Orav, E. J., &amp; Jha, A. K. (2011). Thirty-day readmission rates for medicare beneficiaries by race and site of care. </w:t>
      </w:r>
      <w:r w:rsidRPr="00F93648">
        <w:rPr>
          <w:i/>
          <w:iCs/>
          <w:sz w:val="16"/>
          <w:szCs w:val="16"/>
        </w:rPr>
        <w:t>JAMA - Journal of the American Medical Association</w:t>
      </w:r>
      <w:r w:rsidRPr="00F93648">
        <w:rPr>
          <w:sz w:val="16"/>
          <w:szCs w:val="16"/>
        </w:rPr>
        <w:t xml:space="preserve">, </w:t>
      </w:r>
      <w:r w:rsidRPr="00F93648">
        <w:rPr>
          <w:i/>
          <w:iCs/>
          <w:sz w:val="16"/>
          <w:szCs w:val="16"/>
        </w:rPr>
        <w:t>305</w:t>
      </w:r>
      <w:r w:rsidRPr="00F93648">
        <w:rPr>
          <w:sz w:val="16"/>
          <w:szCs w:val="16"/>
        </w:rPr>
        <w:t>(7), 675–681. https://doi.org/10.1001/jama.2011.123</w:t>
      </w:r>
    </w:p>
  </w:endnote>
  <w:endnote w:id="23">
    <w:p w14:paraId="45F62BFA"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Carson, N. J., Vesper, A., Chen, C. N., &amp; Cook, B. L. (2014). Quality of follow-up after hospitalization for mental illness among patients from racial-ethnic minority groups. </w:t>
      </w:r>
      <w:r w:rsidRPr="00F93648">
        <w:rPr>
          <w:i/>
          <w:iCs/>
          <w:sz w:val="16"/>
          <w:szCs w:val="16"/>
        </w:rPr>
        <w:t>Psychiatric Services</w:t>
      </w:r>
      <w:r w:rsidRPr="00F93648">
        <w:rPr>
          <w:sz w:val="16"/>
          <w:szCs w:val="16"/>
        </w:rPr>
        <w:t xml:space="preserve">, </w:t>
      </w:r>
      <w:r w:rsidRPr="00F93648">
        <w:rPr>
          <w:i/>
          <w:iCs/>
          <w:sz w:val="16"/>
          <w:szCs w:val="16"/>
        </w:rPr>
        <w:t>65</w:t>
      </w:r>
      <w:r w:rsidRPr="00F93648">
        <w:rPr>
          <w:sz w:val="16"/>
          <w:szCs w:val="16"/>
        </w:rPr>
        <w:t>(7), 888–896. https://doi.org/10.1176/appi.ps.201300139</w:t>
      </w:r>
    </w:p>
  </w:endnote>
  <w:endnote w:id="24">
    <w:p w14:paraId="1001F1FC"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Marcus S, Chuang CC, Ng-Mak D, Olfson M. (2017). Outpatient Follow-Up Care and Risk of Hospital Readmission in Schizophrenia and Bipolar Disorder. </w:t>
      </w:r>
      <w:r w:rsidRPr="00F93648">
        <w:rPr>
          <w:i/>
          <w:iCs/>
          <w:sz w:val="16"/>
          <w:szCs w:val="16"/>
        </w:rPr>
        <w:t>Psychiatric Services</w:t>
      </w:r>
      <w:r w:rsidRPr="00F93648">
        <w:rPr>
          <w:sz w:val="16"/>
          <w:szCs w:val="16"/>
        </w:rPr>
        <w:t xml:space="preserve">, </w:t>
      </w:r>
      <w:r w:rsidRPr="00F93648">
        <w:rPr>
          <w:i/>
          <w:iCs/>
          <w:sz w:val="16"/>
          <w:szCs w:val="16"/>
        </w:rPr>
        <w:t>68</w:t>
      </w:r>
      <w:r w:rsidRPr="00F93648">
        <w:rPr>
          <w:sz w:val="16"/>
          <w:szCs w:val="16"/>
        </w:rPr>
        <w:t>(12), 1239–1246. https://doi.org/10.1176/appi.ps.201600498</w:t>
      </w:r>
    </w:p>
  </w:endnote>
  <w:endnote w:id="25">
    <w:p w14:paraId="05037CB2" w14:textId="04548B7E" w:rsidR="009E0BD2" w:rsidRPr="00F93648" w:rsidRDefault="009E0BD2">
      <w:pPr>
        <w:pStyle w:val="EndnoteText"/>
        <w:rPr>
          <w:sz w:val="16"/>
          <w:szCs w:val="16"/>
        </w:rPr>
      </w:pPr>
      <w:r w:rsidRPr="00F93648">
        <w:rPr>
          <w:rStyle w:val="EndnoteReference"/>
          <w:sz w:val="16"/>
          <w:szCs w:val="16"/>
        </w:rPr>
        <w:endnoteRef/>
      </w:r>
      <w:r w:rsidRPr="00F93648">
        <w:rPr>
          <w:sz w:val="16"/>
          <w:szCs w:val="16"/>
        </w:rPr>
        <w:t xml:space="preserve"> Fontanella, C. A., Hiance-Steelesmith, D. L., Bridge, J. A., Lester, N., Sweeney, H. A., Hurst, M., &amp; Campo, J. V. (2016). Factors Associated With Timely Follow-Up Care After Psychiatric Hospitalization for Youths With Mood Disorders. Psychiatric Services, 67(3), 324–331. </w:t>
      </w:r>
      <w:r w:rsidRPr="00F93648">
        <w:rPr>
          <w:sz w:val="16"/>
          <w:szCs w:val="16"/>
          <w:u w:val="single"/>
        </w:rPr>
        <w:t>https://doi.org/10.1176/appi.ps.201500104</w:t>
      </w:r>
    </w:p>
  </w:endnote>
  <w:endnote w:id="26">
    <w:p w14:paraId="35AD140F"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Figueroa, R., Harman, J. &amp; Engberg, J. (2004) Use of claims data to examine the impact of length of inpatient psychiatric stay on readmission rate. Psychiatric Services: A Journal of the American Psychiatric Association, 55 (5), 560–565.</w:t>
      </w:r>
    </w:p>
  </w:endnote>
  <w:endnote w:id="27">
    <w:p w14:paraId="4BE7502D"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Heeren, O., Dixon, L., Gavirneni, S., &amp; Regenold, W. T. (2002). The Association Between Decreasing Length of Stay and Readmission Rate on a Psychogeriatric Unit. </w:t>
      </w:r>
      <w:r w:rsidRPr="00F93648">
        <w:rPr>
          <w:i/>
          <w:iCs/>
          <w:sz w:val="16"/>
          <w:szCs w:val="16"/>
        </w:rPr>
        <w:t>Psychiatric Services</w:t>
      </w:r>
      <w:r w:rsidRPr="00F93648">
        <w:rPr>
          <w:sz w:val="16"/>
          <w:szCs w:val="16"/>
        </w:rPr>
        <w:t xml:space="preserve">, </w:t>
      </w:r>
      <w:r w:rsidRPr="00F93648">
        <w:rPr>
          <w:i/>
          <w:iCs/>
          <w:sz w:val="16"/>
          <w:szCs w:val="16"/>
        </w:rPr>
        <w:t>53</w:t>
      </w:r>
      <w:r w:rsidRPr="00F93648">
        <w:rPr>
          <w:sz w:val="16"/>
          <w:szCs w:val="16"/>
        </w:rPr>
        <w:t>(1), 76–79. https://doi.org/10.1176/appi.ps.53.1.76</w:t>
      </w:r>
    </w:p>
  </w:endnote>
  <w:endnote w:id="28">
    <w:p w14:paraId="03FBA831"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Appleby, L., Luchins, D. J., Desai, P. N., Gibbons, R. D., Janicak, P. G. &amp; Marks, R. (1996) Length of inpatient stay and recidivism among patients with schizophrenia. Psychiatric Services: A Journal of the American Psychiatric Association, 47 (9), 987–990.</w:t>
      </w:r>
    </w:p>
  </w:endnote>
  <w:endnote w:id="29">
    <w:p w14:paraId="68700B1B"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Fuller, D. A., Sinclair, E., &amp; Snook, J. (2016). </w:t>
      </w:r>
      <w:r w:rsidRPr="00F93648">
        <w:rPr>
          <w:i/>
          <w:iCs/>
          <w:sz w:val="16"/>
          <w:szCs w:val="16"/>
        </w:rPr>
        <w:t>Released, Relapsed, Rehospitalized. Length of Stay and Readmission Rates in State Hospitals A Comparative State Survey Executive Summary</w:t>
      </w:r>
      <w:r w:rsidRPr="00F93648">
        <w:rPr>
          <w:sz w:val="16"/>
          <w:szCs w:val="16"/>
        </w:rPr>
        <w:t>. Retrieved from https://www.treatmentadvocacycenter.org/storage/documents/released-relapsed-rehospitalized-exec-summary.pdf</w:t>
      </w:r>
    </w:p>
  </w:endnote>
  <w:endnote w:id="30">
    <w:p w14:paraId="2D670A90"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Lorant, V., Kampfl, D., Seghers, A., Deliege, D., Closon, M.-C., &amp; Ansseau, M. (2003). Socio-economic differences in psychiatric in-patient care. </w:t>
      </w:r>
      <w:r w:rsidRPr="00F93648">
        <w:rPr>
          <w:i/>
          <w:iCs/>
          <w:sz w:val="16"/>
          <w:szCs w:val="16"/>
        </w:rPr>
        <w:t>Acta Psychiatrica Scandinavica</w:t>
      </w:r>
      <w:r w:rsidRPr="00F93648">
        <w:rPr>
          <w:sz w:val="16"/>
          <w:szCs w:val="16"/>
        </w:rPr>
        <w:t xml:space="preserve">, </w:t>
      </w:r>
      <w:r w:rsidRPr="00F93648">
        <w:rPr>
          <w:i/>
          <w:iCs/>
          <w:sz w:val="16"/>
          <w:szCs w:val="16"/>
        </w:rPr>
        <w:t>107</w:t>
      </w:r>
      <w:r w:rsidRPr="00F93648">
        <w:rPr>
          <w:sz w:val="16"/>
          <w:szCs w:val="16"/>
        </w:rPr>
        <w:t>(3), 170–177. https://doi.org/10.1034/j.1600-0447.2003.00071.x</w:t>
      </w:r>
    </w:p>
  </w:endnote>
  <w:endnote w:id="31">
    <w:p w14:paraId="650D0489"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Kalseth, J., Lassemo, E., Wahlbeck, K., Haaramo, P., &amp; Magnussen, J. (2016). Psychiatric readmissions and their association with environmental and health system characteristics: A systematic review of the literature. </w:t>
      </w:r>
      <w:r w:rsidRPr="00F93648">
        <w:rPr>
          <w:i/>
          <w:iCs/>
          <w:sz w:val="16"/>
          <w:szCs w:val="16"/>
        </w:rPr>
        <w:t>BMC Psychiatry</w:t>
      </w:r>
      <w:r w:rsidRPr="00F93648">
        <w:rPr>
          <w:sz w:val="16"/>
          <w:szCs w:val="16"/>
        </w:rPr>
        <w:t xml:space="preserve">, </w:t>
      </w:r>
      <w:r w:rsidRPr="00F93648">
        <w:rPr>
          <w:i/>
          <w:iCs/>
          <w:sz w:val="16"/>
          <w:szCs w:val="16"/>
        </w:rPr>
        <w:t>16</w:t>
      </w:r>
      <w:r w:rsidRPr="00F93648">
        <w:rPr>
          <w:sz w:val="16"/>
          <w:szCs w:val="16"/>
        </w:rPr>
        <w:t>(1), 1–9. https://doi.org/10.1186/s12888-016-1099-8</w:t>
      </w:r>
    </w:p>
  </w:endnote>
  <w:endnote w:id="32">
    <w:p w14:paraId="3F73EDE3"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Turner JT, Wan TT. Recidivism and mental illness: the role of communities. Community Ment Health J. 1993;29:3–14. doi: 10.1007/BF00760626.</w:t>
      </w:r>
    </w:p>
  </w:endnote>
  <w:endnote w:id="33">
    <w:p w14:paraId="5D79E971"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Hu, J., Gonsahn, M. D., &amp; Nerenz, D. R. (2014). Socioeconomic Status And Readmissions: Evidence From An Urban Teaching Hospital. </w:t>
      </w:r>
      <w:r w:rsidRPr="00F93648">
        <w:rPr>
          <w:i/>
          <w:iCs/>
          <w:sz w:val="16"/>
          <w:szCs w:val="16"/>
        </w:rPr>
        <w:t>Health Affairs</w:t>
      </w:r>
      <w:r w:rsidRPr="00F93648">
        <w:rPr>
          <w:sz w:val="16"/>
          <w:szCs w:val="16"/>
        </w:rPr>
        <w:t xml:space="preserve">, </w:t>
      </w:r>
      <w:r w:rsidRPr="00F93648">
        <w:rPr>
          <w:i/>
          <w:iCs/>
          <w:sz w:val="16"/>
          <w:szCs w:val="16"/>
        </w:rPr>
        <w:t>33</w:t>
      </w:r>
      <w:r w:rsidRPr="00F93648">
        <w:rPr>
          <w:sz w:val="16"/>
          <w:szCs w:val="16"/>
        </w:rPr>
        <w:t>(5), 778–785. https://doi.org/10.1377/hlthaff.2013.0816</w:t>
      </w:r>
    </w:p>
  </w:endnote>
  <w:endnote w:id="34">
    <w:p w14:paraId="28FD74EF"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Cohen, J. (1988). Statistical power analysis for the behavioral sciences (2nd ed.). Hillsdale, NJ: Lawrence Earlbaum Associates.</w:t>
      </w:r>
    </w:p>
  </w:endnote>
  <w:endnote w:id="35">
    <w:p w14:paraId="19EBF41E"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Clark, D. E., Hannan, E. L., &amp; Raudenbush, S. W. (2010). Using a hierarchical model to estimate risk-adjusted mortality for hospitals not included in the reference sample. </w:t>
      </w:r>
      <w:r w:rsidRPr="00F93648">
        <w:rPr>
          <w:i/>
          <w:iCs/>
          <w:sz w:val="16"/>
          <w:szCs w:val="16"/>
        </w:rPr>
        <w:t>Health Services Research</w:t>
      </w:r>
      <w:r w:rsidRPr="00F93648">
        <w:rPr>
          <w:sz w:val="16"/>
          <w:szCs w:val="16"/>
        </w:rPr>
        <w:t xml:space="preserve">, </w:t>
      </w:r>
      <w:r w:rsidRPr="00F93648">
        <w:rPr>
          <w:i/>
          <w:iCs/>
          <w:sz w:val="16"/>
          <w:szCs w:val="16"/>
        </w:rPr>
        <w:t>45</w:t>
      </w:r>
      <w:r w:rsidRPr="00F93648">
        <w:rPr>
          <w:sz w:val="16"/>
          <w:szCs w:val="16"/>
        </w:rPr>
        <w:t>(2), 577–587. https://doi.org/10.1111/j.1475-6773.2009.01074.x</w:t>
      </w:r>
    </w:p>
  </w:endnote>
  <w:endnote w:id="36">
    <w:p w14:paraId="0C00D687" w14:textId="77777777" w:rsidR="009E0BD2" w:rsidRPr="00F93648" w:rsidRDefault="009E0BD2" w:rsidP="00086FAC">
      <w:pPr>
        <w:pStyle w:val="EndnoteText"/>
        <w:rPr>
          <w:sz w:val="16"/>
          <w:szCs w:val="16"/>
        </w:rPr>
      </w:pPr>
      <w:r w:rsidRPr="00F93648">
        <w:rPr>
          <w:rStyle w:val="EndnoteReference"/>
          <w:sz w:val="16"/>
          <w:szCs w:val="16"/>
        </w:rPr>
        <w:endnoteRef/>
      </w:r>
      <w:r w:rsidRPr="00F93648">
        <w:rPr>
          <w:sz w:val="16"/>
          <w:szCs w:val="16"/>
        </w:rPr>
        <w:t xml:space="preserve"> Quality Indicator Empirical Methods. (2019). Agency for Healthcare Research and Quality. Retrieved from https://www.qualityindicators.ahrq.gov/Downloads/Resources/Publications/2019/Empirical_Methods_2019.pdf</w:t>
      </w:r>
    </w:p>
  </w:endnote>
  <w:endnote w:id="37">
    <w:p w14:paraId="1732B24A" w14:textId="77777777" w:rsidR="009E0BD2" w:rsidRPr="001716C2" w:rsidRDefault="009E0BD2" w:rsidP="00086FAC">
      <w:pPr>
        <w:pStyle w:val="EndnoteText"/>
        <w:rPr>
          <w:sz w:val="16"/>
          <w:szCs w:val="16"/>
        </w:rPr>
      </w:pPr>
      <w:r w:rsidRPr="00F93648">
        <w:rPr>
          <w:rStyle w:val="EndnoteReference"/>
          <w:sz w:val="16"/>
          <w:szCs w:val="16"/>
        </w:rPr>
        <w:endnoteRef/>
      </w:r>
      <w:r w:rsidRPr="00F93648">
        <w:rPr>
          <w:sz w:val="16"/>
          <w:szCs w:val="16"/>
        </w:rPr>
        <w:t xml:space="preserve"> Winterstein, A. G., Bussing, R., Goodin, A., Xu, D., Keenan, M., Turner, K., … Campbell, K. (2020). Development and Validation of an </w:t>
      </w:r>
      <w:r w:rsidRPr="001716C2">
        <w:rPr>
          <w:sz w:val="16"/>
          <w:szCs w:val="16"/>
        </w:rPr>
        <w:t>Administrative Claims-based Measure for All-cause 30-day Risk-standardized Readmissions After Discharge from Inpatient Psychiatric Facilities. Medical Care, 58(3), 225–233. https://doi.org/10.1097/MLR.0000000000001275</w:t>
      </w:r>
    </w:p>
  </w:endnote>
  <w:endnote w:id="38">
    <w:p w14:paraId="50FAACF2" w14:textId="1C95A227" w:rsidR="009E0BD2" w:rsidRDefault="009E0BD2">
      <w:pPr>
        <w:pStyle w:val="EndnoteText"/>
      </w:pPr>
      <w:r w:rsidRPr="001716C2">
        <w:rPr>
          <w:rStyle w:val="EndnoteReference"/>
          <w:sz w:val="16"/>
          <w:szCs w:val="16"/>
        </w:rPr>
        <w:endnoteRef/>
      </w:r>
      <w:r w:rsidRPr="001716C2">
        <w:rPr>
          <w:sz w:val="16"/>
          <w:szCs w:val="16"/>
        </w:rPr>
        <w:t xml:space="preserve"> Krieger N, Chen JT, Waterman PD, Rehkopf DH, Subramanian SV. Painting a truer picture of US socioeconomic and racial/ethnic health inequalities: the Public Health Disparities Geocoding Project. </w:t>
      </w:r>
      <w:r w:rsidRPr="001716C2">
        <w:rPr>
          <w:i/>
          <w:sz w:val="16"/>
          <w:szCs w:val="16"/>
        </w:rPr>
        <w:t>Am J Public Health</w:t>
      </w:r>
      <w:r w:rsidRPr="001716C2">
        <w:rPr>
          <w:sz w:val="16"/>
          <w:szCs w:val="16"/>
        </w:rPr>
        <w:t xml:space="preserve">. 2005;95(2):312-323; Marmot MW, Richard G. (eds.). </w:t>
      </w:r>
      <w:r w:rsidRPr="001716C2">
        <w:rPr>
          <w:i/>
          <w:sz w:val="16"/>
          <w:szCs w:val="16"/>
        </w:rPr>
        <w:t>Social Determinants of Health</w:t>
      </w:r>
      <w:r w:rsidRPr="001716C2">
        <w:rPr>
          <w:sz w:val="16"/>
          <w:szCs w:val="16"/>
        </w:rPr>
        <w:t xml:space="preserve">. 2nd ed. New York: Oxford University Press; 2005; Marmot M. Commentary: mental health and public health. </w:t>
      </w:r>
      <w:r w:rsidRPr="001716C2">
        <w:rPr>
          <w:i/>
          <w:sz w:val="16"/>
          <w:szCs w:val="16"/>
        </w:rPr>
        <w:t>Int J Epidemiol</w:t>
      </w:r>
      <w:r w:rsidRPr="001716C2">
        <w:rPr>
          <w:sz w:val="16"/>
          <w:szCs w:val="16"/>
        </w:rPr>
        <w:t>. 2014;43(2):293-296</w:t>
      </w:r>
    </w:p>
  </w:endnote>
  <w:endnote w:id="39">
    <w:p w14:paraId="2F1A7206" w14:textId="6E3CC5DC" w:rsidR="009E0BD2" w:rsidRPr="00F93648" w:rsidRDefault="009E0BD2">
      <w:pPr>
        <w:pStyle w:val="EndnoteText"/>
        <w:rPr>
          <w:sz w:val="16"/>
          <w:szCs w:val="16"/>
        </w:rPr>
      </w:pPr>
      <w:r w:rsidRPr="00F93648">
        <w:rPr>
          <w:rStyle w:val="EndnoteReference"/>
          <w:sz w:val="16"/>
          <w:szCs w:val="16"/>
        </w:rPr>
        <w:endnoteRef/>
      </w:r>
      <w:r w:rsidRPr="00F93648">
        <w:rPr>
          <w:sz w:val="16"/>
          <w:szCs w:val="16"/>
        </w:rPr>
        <w:t xml:space="preserve"> Harrell F. Regression modeling strategies: with applications to linear models, logistic regression, and survival analysis. New York: Springer; 2001</w:t>
      </w:r>
    </w:p>
  </w:endnote>
  <w:endnote w:id="40">
    <w:p w14:paraId="14DDDC1B" w14:textId="34032798" w:rsidR="009E0BD2" w:rsidRPr="00F93648" w:rsidRDefault="009E0BD2">
      <w:pPr>
        <w:pStyle w:val="EndnoteText"/>
        <w:rPr>
          <w:sz w:val="16"/>
          <w:szCs w:val="16"/>
        </w:rPr>
      </w:pPr>
      <w:r w:rsidRPr="00F93648">
        <w:rPr>
          <w:rStyle w:val="EndnoteReference"/>
          <w:sz w:val="16"/>
          <w:szCs w:val="16"/>
        </w:rPr>
        <w:endnoteRef/>
      </w:r>
      <w:r w:rsidRPr="00F93648">
        <w:rPr>
          <w:sz w:val="16"/>
          <w:szCs w:val="16"/>
        </w:rPr>
        <w:t xml:space="preserve"> Steyerberg, E. W. (2019). Clinical Prediction Models. Statistics for Biology and Health. 2nd edition.</w:t>
      </w:r>
    </w:p>
  </w:endnote>
  <w:endnote w:id="41">
    <w:p w14:paraId="1D8B0555" w14:textId="5564284D" w:rsidR="009E0BD2" w:rsidRPr="00B07A0A" w:rsidRDefault="009E0BD2">
      <w:pPr>
        <w:pStyle w:val="EndnoteText"/>
        <w:rPr>
          <w:sz w:val="16"/>
          <w:szCs w:val="16"/>
        </w:rPr>
      </w:pPr>
      <w:r w:rsidRPr="00F56909">
        <w:rPr>
          <w:rStyle w:val="EndnoteReference"/>
          <w:sz w:val="16"/>
          <w:szCs w:val="16"/>
        </w:rPr>
        <w:endnoteRef/>
      </w:r>
      <w:r w:rsidRPr="00F56909">
        <w:rPr>
          <w:sz w:val="16"/>
          <w:szCs w:val="16"/>
        </w:rPr>
        <w:t xml:space="preserve"> </w:t>
      </w:r>
      <w:r w:rsidRPr="00F56909">
        <w:rPr>
          <w:sz w:val="16"/>
          <w:szCs w:val="16"/>
          <w:shd w:val="clear" w:color="auto" w:fill="FFFFFF"/>
        </w:rPr>
        <w:t xml:space="preserve">Assistant Secretary for Planning and Evaluation (2020). </w:t>
      </w:r>
      <w:r w:rsidRPr="00F56909">
        <w:rPr>
          <w:sz w:val="16"/>
          <w:szCs w:val="16"/>
        </w:rPr>
        <w:t xml:space="preserve">Report to Congress: Social Risk Factors and Performance in Medicare’s Value-Based Purchasing Program. Available online at:  </w:t>
      </w:r>
      <w:hyperlink r:id="rId3" w:history="1">
        <w:r w:rsidRPr="00F56909">
          <w:rPr>
            <w:rStyle w:val="Hyperlink"/>
            <w:sz w:val="16"/>
            <w:szCs w:val="16"/>
          </w:rPr>
          <w:t>https://aspe.hhs.gov/system/files/pdf/263676/Second-IMPACT-SES-Report-to-Congress.pdf</w:t>
        </w:r>
      </w:hyperlink>
      <w:r w:rsidRPr="00F56909">
        <w:rPr>
          <w:sz w:val="16"/>
          <w:szCs w:val="16"/>
        </w:rPr>
        <w:t xml:space="preserve">. Accessed </w:t>
      </w:r>
      <w:r w:rsidRPr="00B07A0A">
        <w:rPr>
          <w:sz w:val="16"/>
          <w:szCs w:val="16"/>
        </w:rPr>
        <w:t>on 12/2/2020</w:t>
      </w:r>
    </w:p>
  </w:endnote>
  <w:endnote w:id="42">
    <w:p w14:paraId="6F043892" w14:textId="351C07CE" w:rsidR="009E0BD2" w:rsidRDefault="009E0BD2">
      <w:pPr>
        <w:pStyle w:val="EndnoteText"/>
      </w:pPr>
      <w:r w:rsidRPr="00B07A0A">
        <w:rPr>
          <w:rStyle w:val="EndnoteReference"/>
          <w:sz w:val="16"/>
          <w:szCs w:val="16"/>
        </w:rPr>
        <w:endnoteRef/>
      </w:r>
      <w:r w:rsidRPr="00B07A0A">
        <w:rPr>
          <w:sz w:val="16"/>
          <w:szCs w:val="16"/>
        </w:rPr>
        <w:t xml:space="preserve"> Downing, N. S., Wang, C., Gupta, A., Wang, Y., Nuti, S. V., Ross, J. S., Bernheim, S. M., Lin, Z., Normand, S.-L. T., &amp; Krumholz, H. M. (2018). Association of Racial and Socioeconomic Disparities With Outcomes Among Patients Hospitalized With Acute Myocardial Infarction, Heart Failure, and Pneumonia. </w:t>
      </w:r>
      <w:r w:rsidRPr="00B07A0A">
        <w:rPr>
          <w:i/>
          <w:iCs/>
          <w:sz w:val="16"/>
          <w:szCs w:val="16"/>
        </w:rPr>
        <w:t>JAMA Network Open</w:t>
      </w:r>
      <w:r w:rsidRPr="00B07A0A">
        <w:rPr>
          <w:sz w:val="16"/>
          <w:szCs w:val="16"/>
        </w:rPr>
        <w:t xml:space="preserve">, </w:t>
      </w:r>
      <w:r w:rsidRPr="00B07A0A">
        <w:rPr>
          <w:i/>
          <w:iCs/>
          <w:sz w:val="16"/>
          <w:szCs w:val="16"/>
        </w:rPr>
        <w:t>1</w:t>
      </w:r>
      <w:r w:rsidRPr="00B07A0A">
        <w:rPr>
          <w:sz w:val="16"/>
          <w:szCs w:val="16"/>
        </w:rPr>
        <w:t>(5), e182044. https://doi.org/10.1001/jamanetworkopen.2018.2044</w:t>
      </w:r>
    </w:p>
  </w:endnote>
  <w:endnote w:id="43">
    <w:p w14:paraId="6CED2A06" w14:textId="290558E0" w:rsidR="009E0BD2" w:rsidRDefault="009E0BD2">
      <w:pPr>
        <w:pStyle w:val="EndnoteText"/>
      </w:pPr>
      <w:r w:rsidRPr="00744E76">
        <w:rPr>
          <w:rStyle w:val="EndnoteReference"/>
          <w:sz w:val="16"/>
          <w:szCs w:val="16"/>
        </w:rPr>
        <w:endnoteRef/>
      </w:r>
      <w:r w:rsidRPr="00744E76">
        <w:rPr>
          <w:sz w:val="16"/>
          <w:szCs w:val="16"/>
        </w:rPr>
        <w:t xml:space="preserve"> Readmission Measures Methodology (2020). Available at: </w:t>
      </w:r>
      <w:hyperlink r:id="rId4" w:history="1">
        <w:r w:rsidRPr="00744E76">
          <w:rPr>
            <w:rStyle w:val="Hyperlink"/>
            <w:sz w:val="16"/>
            <w:szCs w:val="16"/>
          </w:rPr>
          <w:t>https://qualitynet.cms.gov/inpatient/measures/readmission/methodology</w:t>
        </w:r>
      </w:hyperlink>
      <w:r w:rsidRPr="00744E76">
        <w:rPr>
          <w:sz w:val="16"/>
          <w:szCs w:val="16"/>
        </w:rPr>
        <w:t>. Accessed on, December 12, 2020</w:t>
      </w:r>
    </w:p>
  </w:endnote>
  <w:endnote w:id="44">
    <w:p w14:paraId="2029CC61" w14:textId="77777777" w:rsidR="009E0BD2" w:rsidRPr="003449C0" w:rsidRDefault="009E0BD2" w:rsidP="009B4D9E">
      <w:pPr>
        <w:pStyle w:val="EndnoteText"/>
        <w:rPr>
          <w:sz w:val="16"/>
          <w:szCs w:val="16"/>
        </w:rPr>
      </w:pPr>
      <w:r w:rsidRPr="00F93648">
        <w:rPr>
          <w:rStyle w:val="EndnoteReference"/>
          <w:sz w:val="16"/>
          <w:szCs w:val="16"/>
        </w:rPr>
        <w:endnoteRef/>
      </w:r>
      <w:r w:rsidRPr="00F93648">
        <w:rPr>
          <w:sz w:val="16"/>
          <w:szCs w:val="16"/>
        </w:rPr>
        <w:t xml:space="preserve"> Krumholz HM, Brindis RG, 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2006;113(3):456-462).</w:t>
      </w:r>
    </w:p>
  </w:endnote>
  <w:endnote w:id="45">
    <w:p w14:paraId="4C87E428" w14:textId="7EE64B0C" w:rsidR="009E0BD2" w:rsidRDefault="009E0BD2">
      <w:pPr>
        <w:pStyle w:val="EndnoteText"/>
      </w:pPr>
      <w:r>
        <w:rPr>
          <w:rStyle w:val="EndnoteReference"/>
        </w:rPr>
        <w:endnoteRef/>
      </w:r>
      <w:r>
        <w:t xml:space="preserve"> </w:t>
      </w:r>
      <w:r w:rsidRPr="007438D5">
        <w:rPr>
          <w:sz w:val="16"/>
          <w:szCs w:val="16"/>
        </w:rPr>
        <w:t xml:space="preserve">Hospital-Wide All-Cause Unplanned Readmission Measure (NQF #1789). Available at: </w:t>
      </w:r>
      <w:hyperlink r:id="rId5" w:history="1">
        <w:r w:rsidRPr="007438D5">
          <w:rPr>
            <w:rStyle w:val="Hyperlink"/>
            <w:sz w:val="16"/>
            <w:szCs w:val="16"/>
          </w:rPr>
          <w:t>https://innovation.cms.gov/files/fact-sheet/bpciadvanced-fs-nqf1789.pdf</w:t>
        </w:r>
      </w:hyperlink>
      <w:r w:rsidRPr="007438D5">
        <w:rPr>
          <w:sz w:val="16"/>
          <w:szCs w:val="16"/>
        </w:rPr>
        <w:t>. Accessed on December 5, 2020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E0F93" w14:textId="70D33D11" w:rsidR="009E0BD2" w:rsidRDefault="009E0BD2">
    <w:pPr>
      <w:pStyle w:val="Footer"/>
    </w:pPr>
    <w:r>
      <w:t>IPF Readmission Measure Testing Attachment 1/5/2020</w:t>
    </w:r>
    <w:r>
      <w:ptab w:relativeTo="margin" w:alignment="right" w:leader="none"/>
    </w:r>
    <w:r>
      <w:fldChar w:fldCharType="begin"/>
    </w:r>
    <w:r>
      <w:instrText xml:space="preserve"> PAGE   \* MERGEFORMAT </w:instrText>
    </w:r>
    <w:r>
      <w:fldChar w:fldCharType="separate"/>
    </w:r>
    <w:r>
      <w:rPr>
        <w:noProof/>
      </w:rPr>
      <w:t>17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C48EA" w14:textId="77777777" w:rsidR="009E0BD2" w:rsidRDefault="009E0BD2" w:rsidP="00086FAC">
      <w:pPr>
        <w:spacing w:after="0" w:line="240" w:lineRule="auto"/>
      </w:pPr>
      <w:r>
        <w:separator/>
      </w:r>
    </w:p>
  </w:footnote>
  <w:footnote w:type="continuationSeparator" w:id="0">
    <w:p w14:paraId="42D34339" w14:textId="77777777" w:rsidR="009E0BD2" w:rsidRDefault="009E0BD2" w:rsidP="00086FAC">
      <w:pPr>
        <w:spacing w:after="0" w:line="240" w:lineRule="auto"/>
      </w:pPr>
      <w:r>
        <w:continuationSeparator/>
      </w:r>
    </w:p>
  </w:footnote>
  <w:footnote w:type="continuationNotice" w:id="1">
    <w:p w14:paraId="0DF5C5F0" w14:textId="77777777" w:rsidR="009E0BD2" w:rsidRDefault="009E0BD2">
      <w:pPr>
        <w:spacing w:after="0" w:line="240" w:lineRule="auto"/>
      </w:pPr>
    </w:p>
  </w:footnote>
  <w:footnote w:id="2">
    <w:p w14:paraId="4D6A6108" w14:textId="0276D0CB" w:rsidR="009E0BD2" w:rsidRPr="000530F7" w:rsidRDefault="009E0BD2" w:rsidP="00086FAC">
      <w:pPr>
        <w:spacing w:after="160" w:line="259" w:lineRule="auto"/>
        <w:rPr>
          <w:i/>
          <w:iCs/>
        </w:rPr>
      </w:pPr>
      <w:r w:rsidRPr="000530F7">
        <w:rPr>
          <w:rStyle w:val="FootnoteReference"/>
          <w:i/>
          <w:iCs/>
          <w:sz w:val="18"/>
          <w:szCs w:val="18"/>
        </w:rPr>
        <w:footnoteRef/>
      </w:r>
      <w:r w:rsidRPr="000530F7">
        <w:rPr>
          <w:i/>
          <w:iCs/>
          <w:sz w:val="18"/>
          <w:szCs w:val="18"/>
        </w:rPr>
        <w:t xml:space="preserve"> </w:t>
      </w:r>
      <w:r w:rsidRPr="000530F7">
        <w:rPr>
          <w:rStyle w:val="Emphasis"/>
          <w:rFonts w:eastAsiaTheme="minorHAnsi" w:cstheme="minorHAnsi"/>
          <w:bCs/>
          <w:i w:val="0"/>
          <w:sz w:val="18"/>
          <w:szCs w:val="18"/>
        </w:rPr>
        <w:t xml:space="preserve">Observed rates are the mean observed readmission rates for beneficiaries re-admitted to an IPF facility. Predicted rates are the hospital-adjusted rates based on the random effects model with patient characteristics and the hospital-specific outcomes (i.e. based on the best linear unbiased prediction from the hospital random effects’ model). Expected rates are the hospital-adjusted expected readmission rates for the patients at an IPF that we would expect to see if the patients were treated at a national average facility (i.e. based on the same random effects model with hospital-specific effects set to zero). For all three types of rates we computed mean readmission rates within a subgroup of patients. Difference in the readmission rates were computed using Satterthwaite approximation assuming unequal variances in two groups. </w:t>
      </w:r>
    </w:p>
  </w:footnote>
  <w:footnote w:id="3">
    <w:p w14:paraId="051954D7" w14:textId="77777777" w:rsidR="009E0BD2" w:rsidRDefault="009E0BD2" w:rsidP="00086FAC">
      <w:pPr>
        <w:pStyle w:val="FootnoteText"/>
      </w:pPr>
      <w:r>
        <w:rPr>
          <w:rStyle w:val="FootnoteReference"/>
        </w:rPr>
        <w:footnoteRef/>
      </w:r>
      <w:r>
        <w:t xml:space="preserve"> </w:t>
      </w:r>
      <w:r w:rsidRPr="00DC3138">
        <w:rPr>
          <w:rStyle w:val="Emphasis"/>
          <w:rFonts w:eastAsiaTheme="minorHAnsi" w:cstheme="minorHAnsi"/>
          <w:bCs/>
          <w:sz w:val="18"/>
          <w:szCs w:val="18"/>
        </w:rPr>
        <w:t xml:space="preserve">The IPF’s contribution to readmission is a “shrunken” estimate that weights the observed readmission rate by its reliability; that is, the hospital-specific estimate is shrunken (or “pulled”) toward zero, with the hospitals producing the least data for estimation (i.e. the hospital with the fewest number of index admissions) experiencing the greatest shrinkage (Clark, Hannan and </w:t>
      </w:r>
      <w:proofErr w:type="spellStart"/>
      <w:r w:rsidRPr="00DC3138">
        <w:rPr>
          <w:rStyle w:val="Emphasis"/>
          <w:rFonts w:eastAsiaTheme="minorHAnsi" w:cstheme="minorHAnsi"/>
          <w:bCs/>
          <w:sz w:val="18"/>
          <w:szCs w:val="18"/>
        </w:rPr>
        <w:t>Raudenbush</w:t>
      </w:r>
      <w:proofErr w:type="spellEnd"/>
      <w:r w:rsidRPr="00DC3138">
        <w:rPr>
          <w:rStyle w:val="Emphasis"/>
          <w:rFonts w:eastAsiaTheme="minorHAnsi" w:cstheme="minorHAnsi"/>
          <w:bCs/>
          <w:sz w:val="18"/>
          <w:szCs w:val="18"/>
        </w:rPr>
        <w:t>, 2010).</w:t>
      </w:r>
    </w:p>
  </w:footnote>
  <w:footnote w:id="4">
    <w:p w14:paraId="3B320C02" w14:textId="5E4DB762" w:rsidR="009E0BD2" w:rsidRDefault="009E0BD2" w:rsidP="006767EC">
      <w:pPr>
        <w:pStyle w:val="FootnoteText"/>
      </w:pPr>
      <w:r>
        <w:rPr>
          <w:rStyle w:val="FootnoteReference"/>
        </w:rPr>
        <w:footnoteRef/>
      </w:r>
      <w:r>
        <w:t xml:space="preserve"> </w:t>
      </w:r>
      <w:r w:rsidRPr="007D17AA">
        <w:rPr>
          <w:rFonts w:cstheme="minorHAnsi"/>
          <w:bCs/>
          <w:szCs w:val="24"/>
        </w:rPr>
        <w:t>Thirteen AHRQ CCS categories included a total of 2,063 unique ICD-10-CM codes, of which 612 codes were present in the discharge file.</w:t>
      </w:r>
    </w:p>
  </w:footnote>
  <w:footnote w:id="5">
    <w:p w14:paraId="2DE75EBA" w14:textId="77777777" w:rsidR="009E0BD2" w:rsidRDefault="009E0BD2" w:rsidP="009B4D9E">
      <w:pPr>
        <w:pStyle w:val="FootnoteText"/>
      </w:pPr>
      <w:r>
        <w:rPr>
          <w:rStyle w:val="FootnoteReference"/>
        </w:rPr>
        <w:footnoteRef/>
      </w:r>
      <w:r>
        <w:t xml:space="preserve"> Agency for Healthcare Research and Quality; CCS, Clinical Classification Software (AHRQ CCS)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CA624" w14:textId="77777777" w:rsidR="009E0BD2" w:rsidRPr="00105D8B" w:rsidRDefault="009E0BD2" w:rsidP="00806CE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75646"/>
    <w:multiLevelType w:val="hybridMultilevel"/>
    <w:tmpl w:val="1BBC6376"/>
    <w:lvl w:ilvl="0" w:tplc="8C807E12">
      <w:start w:val="1"/>
      <w:numFmt w:val="decimal"/>
      <w:lvlText w:val="%1."/>
      <w:lvlJc w:val="left"/>
      <w:pPr>
        <w:ind w:left="720" w:hanging="360"/>
      </w:pPr>
      <w:rPr>
        <w:rFonts w:ascii="Arial" w:hAnsi="Arial" w:cs="Arial"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923325"/>
    <w:multiLevelType w:val="hybridMultilevel"/>
    <w:tmpl w:val="BEEE2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BA50B9"/>
    <w:multiLevelType w:val="hybridMultilevel"/>
    <w:tmpl w:val="13EA7A5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177D5D1B"/>
    <w:multiLevelType w:val="hybridMultilevel"/>
    <w:tmpl w:val="21F64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F1AEF"/>
    <w:multiLevelType w:val="hybridMultilevel"/>
    <w:tmpl w:val="E56873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9A73389"/>
    <w:multiLevelType w:val="hybridMultilevel"/>
    <w:tmpl w:val="7750CB7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3E1612BB"/>
    <w:multiLevelType w:val="hybridMultilevel"/>
    <w:tmpl w:val="A2400F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5F2B54"/>
    <w:multiLevelType w:val="hybridMultilevel"/>
    <w:tmpl w:val="E7289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383C85"/>
    <w:multiLevelType w:val="hybridMultilevel"/>
    <w:tmpl w:val="06C6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636B99"/>
    <w:multiLevelType w:val="hybridMultilevel"/>
    <w:tmpl w:val="ED5C7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207988"/>
    <w:multiLevelType w:val="hybridMultilevel"/>
    <w:tmpl w:val="E2464C5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72DB0CEB"/>
    <w:multiLevelType w:val="hybridMultilevel"/>
    <w:tmpl w:val="8024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4A6468E"/>
    <w:multiLevelType w:val="hybridMultilevel"/>
    <w:tmpl w:val="0E38F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4A0F78"/>
    <w:multiLevelType w:val="hybridMultilevel"/>
    <w:tmpl w:val="A01E3D7E"/>
    <w:lvl w:ilvl="0" w:tplc="78EC686A">
      <w:start w:val="1"/>
      <w:numFmt w:val="bullet"/>
      <w:lvlText w:val=""/>
      <w:lvlJc w:val="left"/>
      <w:pPr>
        <w:ind w:left="720" w:hanging="360"/>
      </w:pPr>
      <w:rPr>
        <w:rFonts w:ascii="Symbol" w:hAnsi="Symbol" w:hint="default"/>
        <w:u w:val="none"/>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
  </w:num>
  <w:num w:numId="4">
    <w:abstractNumId w:val="12"/>
  </w:num>
  <w:num w:numId="5">
    <w:abstractNumId w:val="15"/>
  </w:num>
  <w:num w:numId="6">
    <w:abstractNumId w:val="6"/>
  </w:num>
  <w:num w:numId="7">
    <w:abstractNumId w:val="0"/>
  </w:num>
  <w:num w:numId="8">
    <w:abstractNumId w:val="11"/>
  </w:num>
  <w:num w:numId="9">
    <w:abstractNumId w:val="2"/>
  </w:num>
  <w:num w:numId="10">
    <w:abstractNumId w:val="5"/>
  </w:num>
  <w:num w:numId="11">
    <w:abstractNumId w:val="13"/>
  </w:num>
  <w:num w:numId="12">
    <w:abstractNumId w:val="4"/>
  </w:num>
  <w:num w:numId="13">
    <w:abstractNumId w:val="8"/>
  </w:num>
  <w:num w:numId="14">
    <w:abstractNumId w:val="7"/>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numFmt w:val="lowerRoman"/>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FAC"/>
    <w:rsid w:val="00002C7A"/>
    <w:rsid w:val="00003E0B"/>
    <w:rsid w:val="00007062"/>
    <w:rsid w:val="00010A65"/>
    <w:rsid w:val="0001172F"/>
    <w:rsid w:val="000122AF"/>
    <w:rsid w:val="00016F1D"/>
    <w:rsid w:val="0001743D"/>
    <w:rsid w:val="00017A0E"/>
    <w:rsid w:val="000204B2"/>
    <w:rsid w:val="00021874"/>
    <w:rsid w:val="00023FA6"/>
    <w:rsid w:val="00024204"/>
    <w:rsid w:val="00027DD7"/>
    <w:rsid w:val="00032315"/>
    <w:rsid w:val="000335D5"/>
    <w:rsid w:val="0003458D"/>
    <w:rsid w:val="00034DBB"/>
    <w:rsid w:val="000414DD"/>
    <w:rsid w:val="000422F5"/>
    <w:rsid w:val="00042547"/>
    <w:rsid w:val="0004706E"/>
    <w:rsid w:val="000530F7"/>
    <w:rsid w:val="000617FD"/>
    <w:rsid w:val="000619F9"/>
    <w:rsid w:val="00063DB8"/>
    <w:rsid w:val="000655E1"/>
    <w:rsid w:val="00065B3B"/>
    <w:rsid w:val="000671F1"/>
    <w:rsid w:val="000700BD"/>
    <w:rsid w:val="000737DC"/>
    <w:rsid w:val="00075922"/>
    <w:rsid w:val="000765AA"/>
    <w:rsid w:val="00076E05"/>
    <w:rsid w:val="00086FAC"/>
    <w:rsid w:val="0009178F"/>
    <w:rsid w:val="00092C9F"/>
    <w:rsid w:val="00092D0E"/>
    <w:rsid w:val="000955FF"/>
    <w:rsid w:val="000963A3"/>
    <w:rsid w:val="000A02B3"/>
    <w:rsid w:val="000C0983"/>
    <w:rsid w:val="000C284B"/>
    <w:rsid w:val="000C7D98"/>
    <w:rsid w:val="000D15B6"/>
    <w:rsid w:val="000D2778"/>
    <w:rsid w:val="000D2EF3"/>
    <w:rsid w:val="000D37BD"/>
    <w:rsid w:val="000D4941"/>
    <w:rsid w:val="000D4999"/>
    <w:rsid w:val="000D5647"/>
    <w:rsid w:val="000D5821"/>
    <w:rsid w:val="000D6E29"/>
    <w:rsid w:val="000D7D67"/>
    <w:rsid w:val="000E081C"/>
    <w:rsid w:val="000E3E9C"/>
    <w:rsid w:val="000E7A2E"/>
    <w:rsid w:val="000F114E"/>
    <w:rsid w:val="000F24A0"/>
    <w:rsid w:val="000F24D4"/>
    <w:rsid w:val="000F573C"/>
    <w:rsid w:val="000F752E"/>
    <w:rsid w:val="00102D1C"/>
    <w:rsid w:val="0010307D"/>
    <w:rsid w:val="001075DE"/>
    <w:rsid w:val="00107E7F"/>
    <w:rsid w:val="00111A0D"/>
    <w:rsid w:val="00113267"/>
    <w:rsid w:val="0011367A"/>
    <w:rsid w:val="00115686"/>
    <w:rsid w:val="00123639"/>
    <w:rsid w:val="0012559C"/>
    <w:rsid w:val="00131776"/>
    <w:rsid w:val="00132547"/>
    <w:rsid w:val="00132CA6"/>
    <w:rsid w:val="00135599"/>
    <w:rsid w:val="0013675D"/>
    <w:rsid w:val="0014048D"/>
    <w:rsid w:val="00141169"/>
    <w:rsid w:val="0014240E"/>
    <w:rsid w:val="00142746"/>
    <w:rsid w:val="00142DF8"/>
    <w:rsid w:val="00143151"/>
    <w:rsid w:val="00144ED5"/>
    <w:rsid w:val="00147701"/>
    <w:rsid w:val="00150B13"/>
    <w:rsid w:val="00151AD8"/>
    <w:rsid w:val="00153656"/>
    <w:rsid w:val="0015470C"/>
    <w:rsid w:val="00156088"/>
    <w:rsid w:val="00157AC2"/>
    <w:rsid w:val="00157E41"/>
    <w:rsid w:val="00164E9F"/>
    <w:rsid w:val="001716C2"/>
    <w:rsid w:val="00171F5D"/>
    <w:rsid w:val="00173064"/>
    <w:rsid w:val="00173240"/>
    <w:rsid w:val="00173841"/>
    <w:rsid w:val="0017393C"/>
    <w:rsid w:val="0018123F"/>
    <w:rsid w:val="00181B2E"/>
    <w:rsid w:val="00182F32"/>
    <w:rsid w:val="00183430"/>
    <w:rsid w:val="00190448"/>
    <w:rsid w:val="00190AF8"/>
    <w:rsid w:val="001931B8"/>
    <w:rsid w:val="00197F8A"/>
    <w:rsid w:val="001A0875"/>
    <w:rsid w:val="001A417F"/>
    <w:rsid w:val="001A5619"/>
    <w:rsid w:val="001A72F6"/>
    <w:rsid w:val="001B297A"/>
    <w:rsid w:val="001B3CF1"/>
    <w:rsid w:val="001B4B6E"/>
    <w:rsid w:val="001B644C"/>
    <w:rsid w:val="001B6BD3"/>
    <w:rsid w:val="001C0757"/>
    <w:rsid w:val="001C2708"/>
    <w:rsid w:val="001C4F93"/>
    <w:rsid w:val="001C76D1"/>
    <w:rsid w:val="001C7C54"/>
    <w:rsid w:val="001D1194"/>
    <w:rsid w:val="001D2836"/>
    <w:rsid w:val="001D37D1"/>
    <w:rsid w:val="001D4DB2"/>
    <w:rsid w:val="001D685B"/>
    <w:rsid w:val="001E0E48"/>
    <w:rsid w:val="001E2939"/>
    <w:rsid w:val="001E2E53"/>
    <w:rsid w:val="001E3909"/>
    <w:rsid w:val="001F02A2"/>
    <w:rsid w:val="001F2474"/>
    <w:rsid w:val="001F5C84"/>
    <w:rsid w:val="002033F3"/>
    <w:rsid w:val="002037C4"/>
    <w:rsid w:val="00203ADC"/>
    <w:rsid w:val="0020491A"/>
    <w:rsid w:val="002111FE"/>
    <w:rsid w:val="00211D75"/>
    <w:rsid w:val="002140C5"/>
    <w:rsid w:val="00214646"/>
    <w:rsid w:val="0022238B"/>
    <w:rsid w:val="002243DC"/>
    <w:rsid w:val="00236EA7"/>
    <w:rsid w:val="00240FA7"/>
    <w:rsid w:val="002415CE"/>
    <w:rsid w:val="002420F7"/>
    <w:rsid w:val="0024275F"/>
    <w:rsid w:val="0025346F"/>
    <w:rsid w:val="00255C72"/>
    <w:rsid w:val="002560C8"/>
    <w:rsid w:val="002569B0"/>
    <w:rsid w:val="00256E48"/>
    <w:rsid w:val="002609D5"/>
    <w:rsid w:val="00262263"/>
    <w:rsid w:val="00270500"/>
    <w:rsid w:val="00272321"/>
    <w:rsid w:val="00275589"/>
    <w:rsid w:val="002757EC"/>
    <w:rsid w:val="00276439"/>
    <w:rsid w:val="00276699"/>
    <w:rsid w:val="00281892"/>
    <w:rsid w:val="00290623"/>
    <w:rsid w:val="00292FD7"/>
    <w:rsid w:val="002A07F1"/>
    <w:rsid w:val="002A1296"/>
    <w:rsid w:val="002A4BF8"/>
    <w:rsid w:val="002A62A6"/>
    <w:rsid w:val="002A6B4E"/>
    <w:rsid w:val="002A6B73"/>
    <w:rsid w:val="002A6FF7"/>
    <w:rsid w:val="002B0469"/>
    <w:rsid w:val="002B0FBC"/>
    <w:rsid w:val="002B326E"/>
    <w:rsid w:val="002C16AB"/>
    <w:rsid w:val="002C2FB4"/>
    <w:rsid w:val="002C515D"/>
    <w:rsid w:val="002C6322"/>
    <w:rsid w:val="002D28D9"/>
    <w:rsid w:val="002D417F"/>
    <w:rsid w:val="002D5EE8"/>
    <w:rsid w:val="002D6B41"/>
    <w:rsid w:val="002D7FBA"/>
    <w:rsid w:val="002E05F8"/>
    <w:rsid w:val="002E10C8"/>
    <w:rsid w:val="002F1273"/>
    <w:rsid w:val="002F3CF5"/>
    <w:rsid w:val="00301F43"/>
    <w:rsid w:val="003025E0"/>
    <w:rsid w:val="003029AF"/>
    <w:rsid w:val="00302D28"/>
    <w:rsid w:val="003037BC"/>
    <w:rsid w:val="003069A7"/>
    <w:rsid w:val="00307681"/>
    <w:rsid w:val="00315C63"/>
    <w:rsid w:val="00323AD1"/>
    <w:rsid w:val="00325B2D"/>
    <w:rsid w:val="00327C3A"/>
    <w:rsid w:val="003304BB"/>
    <w:rsid w:val="00332B45"/>
    <w:rsid w:val="003336CB"/>
    <w:rsid w:val="00337B63"/>
    <w:rsid w:val="003406F4"/>
    <w:rsid w:val="003455F0"/>
    <w:rsid w:val="00346FC3"/>
    <w:rsid w:val="00351AC5"/>
    <w:rsid w:val="00351E57"/>
    <w:rsid w:val="00355023"/>
    <w:rsid w:val="0035598E"/>
    <w:rsid w:val="00357542"/>
    <w:rsid w:val="0036506D"/>
    <w:rsid w:val="00366BA2"/>
    <w:rsid w:val="003705D5"/>
    <w:rsid w:val="00380D1A"/>
    <w:rsid w:val="00380D8D"/>
    <w:rsid w:val="00383539"/>
    <w:rsid w:val="0038788B"/>
    <w:rsid w:val="003930C5"/>
    <w:rsid w:val="003A369F"/>
    <w:rsid w:val="003A66AF"/>
    <w:rsid w:val="003B034E"/>
    <w:rsid w:val="003B03D2"/>
    <w:rsid w:val="003C12BA"/>
    <w:rsid w:val="003C450B"/>
    <w:rsid w:val="003C457F"/>
    <w:rsid w:val="003D3745"/>
    <w:rsid w:val="003D4069"/>
    <w:rsid w:val="003E07E8"/>
    <w:rsid w:val="003E09A9"/>
    <w:rsid w:val="003E1210"/>
    <w:rsid w:val="003E1907"/>
    <w:rsid w:val="003E68B7"/>
    <w:rsid w:val="003E703A"/>
    <w:rsid w:val="003F1EB0"/>
    <w:rsid w:val="0040065F"/>
    <w:rsid w:val="00401A6C"/>
    <w:rsid w:val="00404178"/>
    <w:rsid w:val="004055FB"/>
    <w:rsid w:val="00410AB8"/>
    <w:rsid w:val="00410FA8"/>
    <w:rsid w:val="00411642"/>
    <w:rsid w:val="0041588F"/>
    <w:rsid w:val="00415BA4"/>
    <w:rsid w:val="00423140"/>
    <w:rsid w:val="00423909"/>
    <w:rsid w:val="00423B3D"/>
    <w:rsid w:val="004249BA"/>
    <w:rsid w:val="00425E0A"/>
    <w:rsid w:val="0043087C"/>
    <w:rsid w:val="00434B0F"/>
    <w:rsid w:val="00434FC4"/>
    <w:rsid w:val="00437314"/>
    <w:rsid w:val="004401B8"/>
    <w:rsid w:val="00440629"/>
    <w:rsid w:val="00442CD8"/>
    <w:rsid w:val="004441F1"/>
    <w:rsid w:val="00446B34"/>
    <w:rsid w:val="00447B25"/>
    <w:rsid w:val="004519E5"/>
    <w:rsid w:val="0045291F"/>
    <w:rsid w:val="004553F7"/>
    <w:rsid w:val="00456523"/>
    <w:rsid w:val="00456622"/>
    <w:rsid w:val="0045665E"/>
    <w:rsid w:val="004634AF"/>
    <w:rsid w:val="00470789"/>
    <w:rsid w:val="00472769"/>
    <w:rsid w:val="00472CBD"/>
    <w:rsid w:val="00473B2A"/>
    <w:rsid w:val="00477CB9"/>
    <w:rsid w:val="00481E01"/>
    <w:rsid w:val="00486C8D"/>
    <w:rsid w:val="00491289"/>
    <w:rsid w:val="00492EE6"/>
    <w:rsid w:val="00495771"/>
    <w:rsid w:val="00496A24"/>
    <w:rsid w:val="00497A54"/>
    <w:rsid w:val="004A431C"/>
    <w:rsid w:val="004A47D0"/>
    <w:rsid w:val="004B4F53"/>
    <w:rsid w:val="004B7858"/>
    <w:rsid w:val="004C08F4"/>
    <w:rsid w:val="004C2EE0"/>
    <w:rsid w:val="004D1238"/>
    <w:rsid w:val="004D333C"/>
    <w:rsid w:val="004D3F57"/>
    <w:rsid w:val="004D4F9C"/>
    <w:rsid w:val="004D6888"/>
    <w:rsid w:val="004D69D3"/>
    <w:rsid w:val="004E0AEE"/>
    <w:rsid w:val="004E22D5"/>
    <w:rsid w:val="004E32F3"/>
    <w:rsid w:val="004E52F8"/>
    <w:rsid w:val="004F444F"/>
    <w:rsid w:val="004F461F"/>
    <w:rsid w:val="004F7FBD"/>
    <w:rsid w:val="00504917"/>
    <w:rsid w:val="00504B46"/>
    <w:rsid w:val="00515F7C"/>
    <w:rsid w:val="005164F9"/>
    <w:rsid w:val="00520C19"/>
    <w:rsid w:val="00521EE0"/>
    <w:rsid w:val="00522418"/>
    <w:rsid w:val="00533902"/>
    <w:rsid w:val="00535A6A"/>
    <w:rsid w:val="00536931"/>
    <w:rsid w:val="00537A82"/>
    <w:rsid w:val="00540A4B"/>
    <w:rsid w:val="00541007"/>
    <w:rsid w:val="005416B4"/>
    <w:rsid w:val="005433EC"/>
    <w:rsid w:val="00546E38"/>
    <w:rsid w:val="005504BA"/>
    <w:rsid w:val="00551D3F"/>
    <w:rsid w:val="00553B15"/>
    <w:rsid w:val="005559AD"/>
    <w:rsid w:val="00562F80"/>
    <w:rsid w:val="00563053"/>
    <w:rsid w:val="00570AA3"/>
    <w:rsid w:val="005712D8"/>
    <w:rsid w:val="00571715"/>
    <w:rsid w:val="005729DB"/>
    <w:rsid w:val="00580C33"/>
    <w:rsid w:val="0058108A"/>
    <w:rsid w:val="00581F30"/>
    <w:rsid w:val="00583763"/>
    <w:rsid w:val="00584C7A"/>
    <w:rsid w:val="00585CCD"/>
    <w:rsid w:val="0059015B"/>
    <w:rsid w:val="00592E3A"/>
    <w:rsid w:val="00593CE9"/>
    <w:rsid w:val="005944DA"/>
    <w:rsid w:val="005972CD"/>
    <w:rsid w:val="00597A80"/>
    <w:rsid w:val="00597D51"/>
    <w:rsid w:val="005A03C4"/>
    <w:rsid w:val="005A3C38"/>
    <w:rsid w:val="005A45C1"/>
    <w:rsid w:val="005A5D9C"/>
    <w:rsid w:val="005A5E37"/>
    <w:rsid w:val="005A66E5"/>
    <w:rsid w:val="005A7494"/>
    <w:rsid w:val="005B42B9"/>
    <w:rsid w:val="005B6113"/>
    <w:rsid w:val="005B7D7D"/>
    <w:rsid w:val="005C57C2"/>
    <w:rsid w:val="005D1B7C"/>
    <w:rsid w:val="005D7EBA"/>
    <w:rsid w:val="005E12DB"/>
    <w:rsid w:val="005E16E0"/>
    <w:rsid w:val="005E2751"/>
    <w:rsid w:val="005E31D2"/>
    <w:rsid w:val="005E5A36"/>
    <w:rsid w:val="005E67FD"/>
    <w:rsid w:val="005F0547"/>
    <w:rsid w:val="005F16FB"/>
    <w:rsid w:val="005F2B17"/>
    <w:rsid w:val="005F536C"/>
    <w:rsid w:val="00601663"/>
    <w:rsid w:val="00605C37"/>
    <w:rsid w:val="00606E37"/>
    <w:rsid w:val="00610355"/>
    <w:rsid w:val="00610E73"/>
    <w:rsid w:val="006168B6"/>
    <w:rsid w:val="00616F7B"/>
    <w:rsid w:val="0062214B"/>
    <w:rsid w:val="00625533"/>
    <w:rsid w:val="00625921"/>
    <w:rsid w:val="006312E3"/>
    <w:rsid w:val="00631646"/>
    <w:rsid w:val="006321C9"/>
    <w:rsid w:val="006331AB"/>
    <w:rsid w:val="00634B2B"/>
    <w:rsid w:val="00636E6B"/>
    <w:rsid w:val="00637238"/>
    <w:rsid w:val="006405F2"/>
    <w:rsid w:val="00641085"/>
    <w:rsid w:val="00641A53"/>
    <w:rsid w:val="0064424B"/>
    <w:rsid w:val="00654C30"/>
    <w:rsid w:val="0065607B"/>
    <w:rsid w:val="00657DBF"/>
    <w:rsid w:val="00660F5F"/>
    <w:rsid w:val="00661804"/>
    <w:rsid w:val="006627FB"/>
    <w:rsid w:val="00663FE2"/>
    <w:rsid w:val="006731A6"/>
    <w:rsid w:val="006753FA"/>
    <w:rsid w:val="006767EC"/>
    <w:rsid w:val="00683628"/>
    <w:rsid w:val="006864AF"/>
    <w:rsid w:val="006935C8"/>
    <w:rsid w:val="00693A63"/>
    <w:rsid w:val="00697AB6"/>
    <w:rsid w:val="00697EC5"/>
    <w:rsid w:val="006A17F6"/>
    <w:rsid w:val="006A2C48"/>
    <w:rsid w:val="006A47FB"/>
    <w:rsid w:val="006A4937"/>
    <w:rsid w:val="006A4FED"/>
    <w:rsid w:val="006A55F6"/>
    <w:rsid w:val="006A6839"/>
    <w:rsid w:val="006A7765"/>
    <w:rsid w:val="006A7CFE"/>
    <w:rsid w:val="006B3481"/>
    <w:rsid w:val="006B3CE6"/>
    <w:rsid w:val="006B5DCA"/>
    <w:rsid w:val="006C1D66"/>
    <w:rsid w:val="006C3D01"/>
    <w:rsid w:val="006C4117"/>
    <w:rsid w:val="006D0C7C"/>
    <w:rsid w:val="006D0E3E"/>
    <w:rsid w:val="006D69B0"/>
    <w:rsid w:val="006D764F"/>
    <w:rsid w:val="006D7CDB"/>
    <w:rsid w:val="006E0032"/>
    <w:rsid w:val="006E24BE"/>
    <w:rsid w:val="006E318B"/>
    <w:rsid w:val="006E3B33"/>
    <w:rsid w:val="006E543B"/>
    <w:rsid w:val="006E56D7"/>
    <w:rsid w:val="006E5C01"/>
    <w:rsid w:val="006F2431"/>
    <w:rsid w:val="006F369D"/>
    <w:rsid w:val="006F54AF"/>
    <w:rsid w:val="006F6E7F"/>
    <w:rsid w:val="007034F1"/>
    <w:rsid w:val="00711EFE"/>
    <w:rsid w:val="007141D6"/>
    <w:rsid w:val="007144F0"/>
    <w:rsid w:val="00714D07"/>
    <w:rsid w:val="0072154E"/>
    <w:rsid w:val="007315C4"/>
    <w:rsid w:val="00731CB7"/>
    <w:rsid w:val="00732B18"/>
    <w:rsid w:val="007357C6"/>
    <w:rsid w:val="00735E0E"/>
    <w:rsid w:val="007419BD"/>
    <w:rsid w:val="00741D12"/>
    <w:rsid w:val="00742A88"/>
    <w:rsid w:val="007438D5"/>
    <w:rsid w:val="00744E76"/>
    <w:rsid w:val="00747B49"/>
    <w:rsid w:val="00747C3D"/>
    <w:rsid w:val="00752117"/>
    <w:rsid w:val="00754BE1"/>
    <w:rsid w:val="00757886"/>
    <w:rsid w:val="00760F39"/>
    <w:rsid w:val="0076253B"/>
    <w:rsid w:val="007629D1"/>
    <w:rsid w:val="00764E45"/>
    <w:rsid w:val="00765A19"/>
    <w:rsid w:val="00765B7A"/>
    <w:rsid w:val="00766C9B"/>
    <w:rsid w:val="00771380"/>
    <w:rsid w:val="00771AFF"/>
    <w:rsid w:val="00773DD6"/>
    <w:rsid w:val="0077567C"/>
    <w:rsid w:val="007772E2"/>
    <w:rsid w:val="007809B9"/>
    <w:rsid w:val="007835B8"/>
    <w:rsid w:val="0078380D"/>
    <w:rsid w:val="00784E6D"/>
    <w:rsid w:val="00791D68"/>
    <w:rsid w:val="00791E41"/>
    <w:rsid w:val="00795975"/>
    <w:rsid w:val="007A0F9D"/>
    <w:rsid w:val="007A37F5"/>
    <w:rsid w:val="007A47A4"/>
    <w:rsid w:val="007A58AD"/>
    <w:rsid w:val="007A7640"/>
    <w:rsid w:val="007B64E7"/>
    <w:rsid w:val="007C1EE1"/>
    <w:rsid w:val="007C2F54"/>
    <w:rsid w:val="007C3A14"/>
    <w:rsid w:val="007C6C70"/>
    <w:rsid w:val="007C7596"/>
    <w:rsid w:val="007D17AA"/>
    <w:rsid w:val="007D1A99"/>
    <w:rsid w:val="007D1B55"/>
    <w:rsid w:val="007D1E7D"/>
    <w:rsid w:val="007D205C"/>
    <w:rsid w:val="007D4EDB"/>
    <w:rsid w:val="007D5694"/>
    <w:rsid w:val="007D5BCE"/>
    <w:rsid w:val="007E083C"/>
    <w:rsid w:val="007E2E34"/>
    <w:rsid w:val="007E4C29"/>
    <w:rsid w:val="007E729B"/>
    <w:rsid w:val="007F5C9C"/>
    <w:rsid w:val="007F6BFE"/>
    <w:rsid w:val="007F7471"/>
    <w:rsid w:val="008036F6"/>
    <w:rsid w:val="00803A03"/>
    <w:rsid w:val="00803B3E"/>
    <w:rsid w:val="00803C22"/>
    <w:rsid w:val="00804B91"/>
    <w:rsid w:val="008058E0"/>
    <w:rsid w:val="00806CEB"/>
    <w:rsid w:val="0081170B"/>
    <w:rsid w:val="0081282E"/>
    <w:rsid w:val="00816038"/>
    <w:rsid w:val="0081689D"/>
    <w:rsid w:val="00821364"/>
    <w:rsid w:val="00822407"/>
    <w:rsid w:val="00822919"/>
    <w:rsid w:val="00822F0B"/>
    <w:rsid w:val="008235EA"/>
    <w:rsid w:val="0082463F"/>
    <w:rsid w:val="00831315"/>
    <w:rsid w:val="0083180D"/>
    <w:rsid w:val="008324E3"/>
    <w:rsid w:val="00836015"/>
    <w:rsid w:val="00836309"/>
    <w:rsid w:val="00851880"/>
    <w:rsid w:val="00854970"/>
    <w:rsid w:val="00856454"/>
    <w:rsid w:val="008603AD"/>
    <w:rsid w:val="008607CF"/>
    <w:rsid w:val="00860878"/>
    <w:rsid w:val="00861F64"/>
    <w:rsid w:val="0086244D"/>
    <w:rsid w:val="0087048C"/>
    <w:rsid w:val="00870789"/>
    <w:rsid w:val="00872643"/>
    <w:rsid w:val="00872FE3"/>
    <w:rsid w:val="00881E15"/>
    <w:rsid w:val="00882414"/>
    <w:rsid w:val="0088527A"/>
    <w:rsid w:val="00890284"/>
    <w:rsid w:val="008A0478"/>
    <w:rsid w:val="008A1073"/>
    <w:rsid w:val="008A12C0"/>
    <w:rsid w:val="008A183C"/>
    <w:rsid w:val="008A25A0"/>
    <w:rsid w:val="008A3251"/>
    <w:rsid w:val="008A5073"/>
    <w:rsid w:val="008A6899"/>
    <w:rsid w:val="008B150A"/>
    <w:rsid w:val="008B1AB2"/>
    <w:rsid w:val="008B3CFF"/>
    <w:rsid w:val="008B43E6"/>
    <w:rsid w:val="008B4FBD"/>
    <w:rsid w:val="008C7054"/>
    <w:rsid w:val="008D0806"/>
    <w:rsid w:val="008D2D00"/>
    <w:rsid w:val="008D2E67"/>
    <w:rsid w:val="008D4FB3"/>
    <w:rsid w:val="008D5994"/>
    <w:rsid w:val="008E1B0D"/>
    <w:rsid w:val="008E582C"/>
    <w:rsid w:val="008E6BC4"/>
    <w:rsid w:val="008E75EB"/>
    <w:rsid w:val="008F10BB"/>
    <w:rsid w:val="008F10FD"/>
    <w:rsid w:val="008F202C"/>
    <w:rsid w:val="008F21BF"/>
    <w:rsid w:val="008F2A13"/>
    <w:rsid w:val="008F336C"/>
    <w:rsid w:val="00903CE3"/>
    <w:rsid w:val="00905C05"/>
    <w:rsid w:val="00915ABC"/>
    <w:rsid w:val="00917DBA"/>
    <w:rsid w:val="00917EAF"/>
    <w:rsid w:val="00917FF0"/>
    <w:rsid w:val="0092032C"/>
    <w:rsid w:val="009227BC"/>
    <w:rsid w:val="00922A4F"/>
    <w:rsid w:val="0092484B"/>
    <w:rsid w:val="00927696"/>
    <w:rsid w:val="00930339"/>
    <w:rsid w:val="009321C6"/>
    <w:rsid w:val="00935288"/>
    <w:rsid w:val="00937FC1"/>
    <w:rsid w:val="00940A72"/>
    <w:rsid w:val="00942BB9"/>
    <w:rsid w:val="0094523A"/>
    <w:rsid w:val="00945B58"/>
    <w:rsid w:val="00946A05"/>
    <w:rsid w:val="00947701"/>
    <w:rsid w:val="00952695"/>
    <w:rsid w:val="00961A84"/>
    <w:rsid w:val="009631D8"/>
    <w:rsid w:val="0096400A"/>
    <w:rsid w:val="0096655D"/>
    <w:rsid w:val="0096689A"/>
    <w:rsid w:val="0096758A"/>
    <w:rsid w:val="00973065"/>
    <w:rsid w:val="00976AEB"/>
    <w:rsid w:val="009800BD"/>
    <w:rsid w:val="00980C1F"/>
    <w:rsid w:val="00980E91"/>
    <w:rsid w:val="009818D8"/>
    <w:rsid w:val="009828E1"/>
    <w:rsid w:val="00983352"/>
    <w:rsid w:val="00992559"/>
    <w:rsid w:val="00992C0F"/>
    <w:rsid w:val="00994211"/>
    <w:rsid w:val="0099487A"/>
    <w:rsid w:val="00994A80"/>
    <w:rsid w:val="009977FD"/>
    <w:rsid w:val="00997B65"/>
    <w:rsid w:val="009A06B2"/>
    <w:rsid w:val="009A596F"/>
    <w:rsid w:val="009A7AD5"/>
    <w:rsid w:val="009B3B93"/>
    <w:rsid w:val="009B4D9E"/>
    <w:rsid w:val="009B5625"/>
    <w:rsid w:val="009B78E7"/>
    <w:rsid w:val="009D194A"/>
    <w:rsid w:val="009D7630"/>
    <w:rsid w:val="009D7EA6"/>
    <w:rsid w:val="009E0BD2"/>
    <w:rsid w:val="009E0DC1"/>
    <w:rsid w:val="009E6459"/>
    <w:rsid w:val="009E7B77"/>
    <w:rsid w:val="009E7C92"/>
    <w:rsid w:val="009F12DB"/>
    <w:rsid w:val="009F3A51"/>
    <w:rsid w:val="009F5C1F"/>
    <w:rsid w:val="009F7761"/>
    <w:rsid w:val="00A00BA0"/>
    <w:rsid w:val="00A03906"/>
    <w:rsid w:val="00A064E7"/>
    <w:rsid w:val="00A143B4"/>
    <w:rsid w:val="00A146CD"/>
    <w:rsid w:val="00A17313"/>
    <w:rsid w:val="00A20AD4"/>
    <w:rsid w:val="00A20ADD"/>
    <w:rsid w:val="00A22EC5"/>
    <w:rsid w:val="00A23D36"/>
    <w:rsid w:val="00A257D0"/>
    <w:rsid w:val="00A411B9"/>
    <w:rsid w:val="00A4675B"/>
    <w:rsid w:val="00A477C7"/>
    <w:rsid w:val="00A47E01"/>
    <w:rsid w:val="00A508C5"/>
    <w:rsid w:val="00A52612"/>
    <w:rsid w:val="00A52EB7"/>
    <w:rsid w:val="00A5346D"/>
    <w:rsid w:val="00A53A22"/>
    <w:rsid w:val="00A562D6"/>
    <w:rsid w:val="00A62357"/>
    <w:rsid w:val="00A635D5"/>
    <w:rsid w:val="00A64971"/>
    <w:rsid w:val="00A66E7F"/>
    <w:rsid w:val="00A71D41"/>
    <w:rsid w:val="00A72418"/>
    <w:rsid w:val="00A776DF"/>
    <w:rsid w:val="00A81436"/>
    <w:rsid w:val="00A82CE9"/>
    <w:rsid w:val="00A83477"/>
    <w:rsid w:val="00A84BD1"/>
    <w:rsid w:val="00A84DE8"/>
    <w:rsid w:val="00A85A6D"/>
    <w:rsid w:val="00A92E82"/>
    <w:rsid w:val="00A97A7E"/>
    <w:rsid w:val="00AA05F9"/>
    <w:rsid w:val="00AA0765"/>
    <w:rsid w:val="00AA364D"/>
    <w:rsid w:val="00AA471D"/>
    <w:rsid w:val="00AB47D5"/>
    <w:rsid w:val="00AB5151"/>
    <w:rsid w:val="00AB6002"/>
    <w:rsid w:val="00AB6298"/>
    <w:rsid w:val="00AC1239"/>
    <w:rsid w:val="00AC5CB9"/>
    <w:rsid w:val="00AC6EDC"/>
    <w:rsid w:val="00AC722E"/>
    <w:rsid w:val="00AD355E"/>
    <w:rsid w:val="00AE01C1"/>
    <w:rsid w:val="00AE1A9A"/>
    <w:rsid w:val="00AE257D"/>
    <w:rsid w:val="00AE3DC0"/>
    <w:rsid w:val="00AF1EAE"/>
    <w:rsid w:val="00AF26AF"/>
    <w:rsid w:val="00B025CD"/>
    <w:rsid w:val="00B02D47"/>
    <w:rsid w:val="00B02E1A"/>
    <w:rsid w:val="00B030E0"/>
    <w:rsid w:val="00B07A0A"/>
    <w:rsid w:val="00B11EF3"/>
    <w:rsid w:val="00B13AD8"/>
    <w:rsid w:val="00B13BDB"/>
    <w:rsid w:val="00B22031"/>
    <w:rsid w:val="00B23F6D"/>
    <w:rsid w:val="00B255C6"/>
    <w:rsid w:val="00B27E43"/>
    <w:rsid w:val="00B311C3"/>
    <w:rsid w:val="00B31C61"/>
    <w:rsid w:val="00B31F85"/>
    <w:rsid w:val="00B321FA"/>
    <w:rsid w:val="00B32FD2"/>
    <w:rsid w:val="00B375DA"/>
    <w:rsid w:val="00B37A23"/>
    <w:rsid w:val="00B41BBC"/>
    <w:rsid w:val="00B41FC6"/>
    <w:rsid w:val="00B42050"/>
    <w:rsid w:val="00B46FD0"/>
    <w:rsid w:val="00B501F5"/>
    <w:rsid w:val="00B52640"/>
    <w:rsid w:val="00B54422"/>
    <w:rsid w:val="00B56108"/>
    <w:rsid w:val="00B60088"/>
    <w:rsid w:val="00B6158B"/>
    <w:rsid w:val="00B61AEA"/>
    <w:rsid w:val="00B64501"/>
    <w:rsid w:val="00B66D8F"/>
    <w:rsid w:val="00B66FA1"/>
    <w:rsid w:val="00B66FD7"/>
    <w:rsid w:val="00B705B5"/>
    <w:rsid w:val="00B742A4"/>
    <w:rsid w:val="00B80F0C"/>
    <w:rsid w:val="00B81034"/>
    <w:rsid w:val="00B82908"/>
    <w:rsid w:val="00B8580B"/>
    <w:rsid w:val="00B86733"/>
    <w:rsid w:val="00B91076"/>
    <w:rsid w:val="00B96228"/>
    <w:rsid w:val="00B97523"/>
    <w:rsid w:val="00BB19F4"/>
    <w:rsid w:val="00BB29A7"/>
    <w:rsid w:val="00BB4985"/>
    <w:rsid w:val="00BB5DA9"/>
    <w:rsid w:val="00BB69C7"/>
    <w:rsid w:val="00BB6BD6"/>
    <w:rsid w:val="00BC645F"/>
    <w:rsid w:val="00BC75AE"/>
    <w:rsid w:val="00BC7CA9"/>
    <w:rsid w:val="00BD51A2"/>
    <w:rsid w:val="00BD7385"/>
    <w:rsid w:val="00BD7A5F"/>
    <w:rsid w:val="00BE0891"/>
    <w:rsid w:val="00BE192F"/>
    <w:rsid w:val="00BE47C7"/>
    <w:rsid w:val="00BE55F0"/>
    <w:rsid w:val="00BE59A6"/>
    <w:rsid w:val="00BE5DBC"/>
    <w:rsid w:val="00BE676A"/>
    <w:rsid w:val="00BF69F4"/>
    <w:rsid w:val="00BF6CB6"/>
    <w:rsid w:val="00C004E7"/>
    <w:rsid w:val="00C02FA9"/>
    <w:rsid w:val="00C054BE"/>
    <w:rsid w:val="00C0576C"/>
    <w:rsid w:val="00C11578"/>
    <w:rsid w:val="00C1277E"/>
    <w:rsid w:val="00C14527"/>
    <w:rsid w:val="00C2317D"/>
    <w:rsid w:val="00C23E58"/>
    <w:rsid w:val="00C249A1"/>
    <w:rsid w:val="00C273D1"/>
    <w:rsid w:val="00C2759B"/>
    <w:rsid w:val="00C2790C"/>
    <w:rsid w:val="00C32A8B"/>
    <w:rsid w:val="00C34087"/>
    <w:rsid w:val="00C36B49"/>
    <w:rsid w:val="00C37291"/>
    <w:rsid w:val="00C4139E"/>
    <w:rsid w:val="00C422D5"/>
    <w:rsid w:val="00C5144E"/>
    <w:rsid w:val="00C53B4E"/>
    <w:rsid w:val="00C605E3"/>
    <w:rsid w:val="00C6089F"/>
    <w:rsid w:val="00C62299"/>
    <w:rsid w:val="00C62A78"/>
    <w:rsid w:val="00C64305"/>
    <w:rsid w:val="00C6443B"/>
    <w:rsid w:val="00C6599C"/>
    <w:rsid w:val="00C67A98"/>
    <w:rsid w:val="00C720E8"/>
    <w:rsid w:val="00C72FEA"/>
    <w:rsid w:val="00C73842"/>
    <w:rsid w:val="00C73B55"/>
    <w:rsid w:val="00C74B8C"/>
    <w:rsid w:val="00C74D35"/>
    <w:rsid w:val="00C81DD2"/>
    <w:rsid w:val="00C8499F"/>
    <w:rsid w:val="00C85705"/>
    <w:rsid w:val="00C87818"/>
    <w:rsid w:val="00C9156B"/>
    <w:rsid w:val="00C93A3F"/>
    <w:rsid w:val="00CA0808"/>
    <w:rsid w:val="00CA29F3"/>
    <w:rsid w:val="00CA3684"/>
    <w:rsid w:val="00CA43A6"/>
    <w:rsid w:val="00CA6592"/>
    <w:rsid w:val="00CB0681"/>
    <w:rsid w:val="00CB0933"/>
    <w:rsid w:val="00CB168E"/>
    <w:rsid w:val="00CB66C5"/>
    <w:rsid w:val="00CB749B"/>
    <w:rsid w:val="00CC06AF"/>
    <w:rsid w:val="00CC1DEC"/>
    <w:rsid w:val="00CC5172"/>
    <w:rsid w:val="00CC738D"/>
    <w:rsid w:val="00CD087E"/>
    <w:rsid w:val="00CD1F67"/>
    <w:rsid w:val="00CD405B"/>
    <w:rsid w:val="00CD4C6E"/>
    <w:rsid w:val="00CD4D0A"/>
    <w:rsid w:val="00CD547F"/>
    <w:rsid w:val="00CD5A79"/>
    <w:rsid w:val="00CD6DFD"/>
    <w:rsid w:val="00CE52F1"/>
    <w:rsid w:val="00CE732A"/>
    <w:rsid w:val="00CF2D53"/>
    <w:rsid w:val="00CF5A0D"/>
    <w:rsid w:val="00CF6119"/>
    <w:rsid w:val="00CF63E3"/>
    <w:rsid w:val="00CF6671"/>
    <w:rsid w:val="00CF6B0D"/>
    <w:rsid w:val="00CF6BAC"/>
    <w:rsid w:val="00CF7BF8"/>
    <w:rsid w:val="00D10754"/>
    <w:rsid w:val="00D11275"/>
    <w:rsid w:val="00D1151E"/>
    <w:rsid w:val="00D14B03"/>
    <w:rsid w:val="00D21818"/>
    <w:rsid w:val="00D231CC"/>
    <w:rsid w:val="00D23B29"/>
    <w:rsid w:val="00D24B1F"/>
    <w:rsid w:val="00D25C3C"/>
    <w:rsid w:val="00D275EB"/>
    <w:rsid w:val="00D32859"/>
    <w:rsid w:val="00D368F5"/>
    <w:rsid w:val="00D456D8"/>
    <w:rsid w:val="00D52430"/>
    <w:rsid w:val="00D53AE7"/>
    <w:rsid w:val="00D648E1"/>
    <w:rsid w:val="00D65FFE"/>
    <w:rsid w:val="00D70DCC"/>
    <w:rsid w:val="00D73754"/>
    <w:rsid w:val="00D7380B"/>
    <w:rsid w:val="00D756B4"/>
    <w:rsid w:val="00D75801"/>
    <w:rsid w:val="00D823D1"/>
    <w:rsid w:val="00D82EC3"/>
    <w:rsid w:val="00D837AF"/>
    <w:rsid w:val="00D9330B"/>
    <w:rsid w:val="00D934E7"/>
    <w:rsid w:val="00D94C23"/>
    <w:rsid w:val="00DA0B56"/>
    <w:rsid w:val="00DA0CED"/>
    <w:rsid w:val="00DA1B9F"/>
    <w:rsid w:val="00DA2037"/>
    <w:rsid w:val="00DA22C4"/>
    <w:rsid w:val="00DA2785"/>
    <w:rsid w:val="00DA2C7D"/>
    <w:rsid w:val="00DA3494"/>
    <w:rsid w:val="00DA5D71"/>
    <w:rsid w:val="00DA5E56"/>
    <w:rsid w:val="00DB1494"/>
    <w:rsid w:val="00DB280B"/>
    <w:rsid w:val="00DB5C50"/>
    <w:rsid w:val="00DB7BCC"/>
    <w:rsid w:val="00DC0EBA"/>
    <w:rsid w:val="00DC634A"/>
    <w:rsid w:val="00DC735E"/>
    <w:rsid w:val="00DD0D93"/>
    <w:rsid w:val="00DD2092"/>
    <w:rsid w:val="00DD53B4"/>
    <w:rsid w:val="00DE1478"/>
    <w:rsid w:val="00DE18B2"/>
    <w:rsid w:val="00DE2EDA"/>
    <w:rsid w:val="00DE4D85"/>
    <w:rsid w:val="00DF05F3"/>
    <w:rsid w:val="00DF0A92"/>
    <w:rsid w:val="00DF7F84"/>
    <w:rsid w:val="00E01C0D"/>
    <w:rsid w:val="00E031A8"/>
    <w:rsid w:val="00E03CB4"/>
    <w:rsid w:val="00E0466A"/>
    <w:rsid w:val="00E06A50"/>
    <w:rsid w:val="00E12AF9"/>
    <w:rsid w:val="00E16B28"/>
    <w:rsid w:val="00E23211"/>
    <w:rsid w:val="00E23C8E"/>
    <w:rsid w:val="00E24A92"/>
    <w:rsid w:val="00E26B96"/>
    <w:rsid w:val="00E33D57"/>
    <w:rsid w:val="00E36ABF"/>
    <w:rsid w:val="00E37325"/>
    <w:rsid w:val="00E37B39"/>
    <w:rsid w:val="00E51A37"/>
    <w:rsid w:val="00E56294"/>
    <w:rsid w:val="00E603D2"/>
    <w:rsid w:val="00E63100"/>
    <w:rsid w:val="00E66BBC"/>
    <w:rsid w:val="00E71F58"/>
    <w:rsid w:val="00E7745C"/>
    <w:rsid w:val="00E77C87"/>
    <w:rsid w:val="00E820CB"/>
    <w:rsid w:val="00E82716"/>
    <w:rsid w:val="00E836AB"/>
    <w:rsid w:val="00E839D4"/>
    <w:rsid w:val="00E83F87"/>
    <w:rsid w:val="00E9317E"/>
    <w:rsid w:val="00E96AB7"/>
    <w:rsid w:val="00E97E14"/>
    <w:rsid w:val="00EA0734"/>
    <w:rsid w:val="00EA3665"/>
    <w:rsid w:val="00EA617E"/>
    <w:rsid w:val="00EA6197"/>
    <w:rsid w:val="00EA740D"/>
    <w:rsid w:val="00EB06C2"/>
    <w:rsid w:val="00EB2050"/>
    <w:rsid w:val="00EB2069"/>
    <w:rsid w:val="00EB5229"/>
    <w:rsid w:val="00EB7C3E"/>
    <w:rsid w:val="00EC17D3"/>
    <w:rsid w:val="00EC4107"/>
    <w:rsid w:val="00EC43B9"/>
    <w:rsid w:val="00EC5EC0"/>
    <w:rsid w:val="00ED38C2"/>
    <w:rsid w:val="00ED6987"/>
    <w:rsid w:val="00EE06E1"/>
    <w:rsid w:val="00EE345C"/>
    <w:rsid w:val="00EE3549"/>
    <w:rsid w:val="00EE45BD"/>
    <w:rsid w:val="00EE4786"/>
    <w:rsid w:val="00EF12D5"/>
    <w:rsid w:val="00EF2215"/>
    <w:rsid w:val="00EF283C"/>
    <w:rsid w:val="00EF3353"/>
    <w:rsid w:val="00EF52F4"/>
    <w:rsid w:val="00F01B07"/>
    <w:rsid w:val="00F02974"/>
    <w:rsid w:val="00F04DC2"/>
    <w:rsid w:val="00F060C0"/>
    <w:rsid w:val="00F11374"/>
    <w:rsid w:val="00F113BB"/>
    <w:rsid w:val="00F11564"/>
    <w:rsid w:val="00F1158D"/>
    <w:rsid w:val="00F12A5A"/>
    <w:rsid w:val="00F14068"/>
    <w:rsid w:val="00F170CF"/>
    <w:rsid w:val="00F17FE5"/>
    <w:rsid w:val="00F212EC"/>
    <w:rsid w:val="00F228C1"/>
    <w:rsid w:val="00F303BE"/>
    <w:rsid w:val="00F3190A"/>
    <w:rsid w:val="00F3451D"/>
    <w:rsid w:val="00F34FC1"/>
    <w:rsid w:val="00F35673"/>
    <w:rsid w:val="00F36450"/>
    <w:rsid w:val="00F368F7"/>
    <w:rsid w:val="00F42F34"/>
    <w:rsid w:val="00F4466D"/>
    <w:rsid w:val="00F464C7"/>
    <w:rsid w:val="00F46987"/>
    <w:rsid w:val="00F47201"/>
    <w:rsid w:val="00F50277"/>
    <w:rsid w:val="00F50661"/>
    <w:rsid w:val="00F52A6F"/>
    <w:rsid w:val="00F535DF"/>
    <w:rsid w:val="00F56909"/>
    <w:rsid w:val="00F6410A"/>
    <w:rsid w:val="00F64FAF"/>
    <w:rsid w:val="00F73649"/>
    <w:rsid w:val="00F76B55"/>
    <w:rsid w:val="00F77F71"/>
    <w:rsid w:val="00F81288"/>
    <w:rsid w:val="00F8487A"/>
    <w:rsid w:val="00F85098"/>
    <w:rsid w:val="00F912FE"/>
    <w:rsid w:val="00F93648"/>
    <w:rsid w:val="00FB080D"/>
    <w:rsid w:val="00FB1B3B"/>
    <w:rsid w:val="00FB3A8C"/>
    <w:rsid w:val="00FD12D1"/>
    <w:rsid w:val="00FD53BF"/>
    <w:rsid w:val="00FD62DF"/>
    <w:rsid w:val="00FD64C7"/>
    <w:rsid w:val="00FD74F3"/>
    <w:rsid w:val="00FE0BFA"/>
    <w:rsid w:val="00FE246D"/>
    <w:rsid w:val="00FE3D3B"/>
    <w:rsid w:val="00FE5AD0"/>
    <w:rsid w:val="00FF183B"/>
    <w:rsid w:val="00FF33F9"/>
    <w:rsid w:val="00FF3FA7"/>
    <w:rsid w:val="00FF6979"/>
    <w:rsid w:val="00FF6F18"/>
    <w:rsid w:val="00FF7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BA25"/>
  <w15:chartTrackingRefBased/>
  <w15:docId w15:val="{235F4DE5-005A-4DF7-B060-73F0A651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FAC"/>
    <w:pPr>
      <w:spacing w:after="200" w:line="276" w:lineRule="auto"/>
    </w:pPr>
    <w:rPr>
      <w:rFonts w:eastAsiaTheme="minorEastAsia"/>
    </w:rPr>
  </w:style>
  <w:style w:type="paragraph" w:styleId="Heading1">
    <w:name w:val="heading 1"/>
    <w:basedOn w:val="Normal"/>
    <w:next w:val="Normal"/>
    <w:link w:val="Heading1Char"/>
    <w:uiPriority w:val="9"/>
    <w:qFormat/>
    <w:rsid w:val="00086FA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86FA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86FA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15"/>
    <w:qFormat/>
    <w:rsid w:val="00086FAC"/>
    <w:pPr>
      <w:keepNext/>
      <w:keepLines/>
      <w:spacing w:before="120" w:after="60" w:line="280" w:lineRule="exact"/>
      <w:outlineLvl w:val="3"/>
    </w:pPr>
    <w:rPr>
      <w:rFonts w:eastAsiaTheme="majorEastAsia" w:cstheme="majorBidi"/>
      <w:bCs/>
      <w:i/>
      <w:iCs/>
      <w:color w:val="4472C4"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FA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86FA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086FAC"/>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15"/>
    <w:rsid w:val="00086FAC"/>
    <w:rPr>
      <w:rFonts w:eastAsiaTheme="majorEastAsia" w:cstheme="majorBidi"/>
      <w:bCs/>
      <w:i/>
      <w:iCs/>
      <w:color w:val="4472C4" w:themeColor="accent1"/>
      <w:sz w:val="24"/>
    </w:rPr>
  </w:style>
  <w:style w:type="paragraph" w:styleId="ListParagraph">
    <w:name w:val="List Paragraph"/>
    <w:aliases w:val="Bulleted List Level 1,Numbered List"/>
    <w:basedOn w:val="Normal"/>
    <w:link w:val="ListParagraphChar"/>
    <w:uiPriority w:val="34"/>
    <w:qFormat/>
    <w:rsid w:val="00086FAC"/>
    <w:pPr>
      <w:ind w:left="720"/>
      <w:contextualSpacing/>
    </w:pPr>
  </w:style>
  <w:style w:type="character" w:customStyle="1" w:styleId="ListParagraphChar">
    <w:name w:val="List Paragraph Char"/>
    <w:aliases w:val="Bulleted List Level 1 Char,Numbered List Char"/>
    <w:basedOn w:val="DefaultParagraphFont"/>
    <w:link w:val="ListParagraph"/>
    <w:uiPriority w:val="34"/>
    <w:locked/>
    <w:rsid w:val="00086FAC"/>
    <w:rPr>
      <w:rFonts w:eastAsiaTheme="minorEastAsia"/>
    </w:rPr>
  </w:style>
  <w:style w:type="paragraph" w:styleId="Header">
    <w:name w:val="header"/>
    <w:basedOn w:val="Normal"/>
    <w:link w:val="HeaderChar"/>
    <w:uiPriority w:val="99"/>
    <w:unhideWhenUsed/>
    <w:rsid w:val="00086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6FAC"/>
    <w:rPr>
      <w:rFonts w:eastAsiaTheme="minorEastAsia"/>
    </w:rPr>
  </w:style>
  <w:style w:type="paragraph" w:styleId="Footer">
    <w:name w:val="footer"/>
    <w:basedOn w:val="Normal"/>
    <w:link w:val="FooterChar"/>
    <w:uiPriority w:val="99"/>
    <w:unhideWhenUsed/>
    <w:rsid w:val="00086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6FAC"/>
    <w:rPr>
      <w:rFonts w:eastAsiaTheme="minorEastAsia"/>
    </w:rPr>
  </w:style>
  <w:style w:type="character" w:styleId="PlaceholderText">
    <w:name w:val="Placeholder Text"/>
    <w:basedOn w:val="DefaultParagraphFont"/>
    <w:uiPriority w:val="99"/>
    <w:semiHidden/>
    <w:rsid w:val="00086FAC"/>
    <w:rPr>
      <w:color w:val="808080"/>
    </w:rPr>
  </w:style>
  <w:style w:type="character" w:styleId="CommentReference">
    <w:name w:val="annotation reference"/>
    <w:basedOn w:val="DefaultParagraphFont"/>
    <w:uiPriority w:val="99"/>
    <w:unhideWhenUsed/>
    <w:rsid w:val="00086FAC"/>
    <w:rPr>
      <w:sz w:val="16"/>
      <w:szCs w:val="16"/>
    </w:rPr>
  </w:style>
  <w:style w:type="paragraph" w:styleId="CommentText">
    <w:name w:val="annotation text"/>
    <w:aliases w:val="t"/>
    <w:basedOn w:val="Normal"/>
    <w:link w:val="CommentTextChar"/>
    <w:uiPriority w:val="99"/>
    <w:unhideWhenUsed/>
    <w:rsid w:val="00086FAC"/>
    <w:pPr>
      <w:spacing w:line="240" w:lineRule="auto"/>
    </w:pPr>
    <w:rPr>
      <w:sz w:val="20"/>
      <w:szCs w:val="20"/>
    </w:rPr>
  </w:style>
  <w:style w:type="character" w:customStyle="1" w:styleId="CommentTextChar">
    <w:name w:val="Comment Text Char"/>
    <w:aliases w:val="t Char"/>
    <w:basedOn w:val="DefaultParagraphFont"/>
    <w:link w:val="CommentText"/>
    <w:uiPriority w:val="99"/>
    <w:rsid w:val="00086FAC"/>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086FAC"/>
    <w:rPr>
      <w:b/>
      <w:bCs/>
    </w:rPr>
  </w:style>
  <w:style w:type="character" w:customStyle="1" w:styleId="CommentSubjectChar">
    <w:name w:val="Comment Subject Char"/>
    <w:basedOn w:val="CommentTextChar"/>
    <w:link w:val="CommentSubject"/>
    <w:uiPriority w:val="99"/>
    <w:semiHidden/>
    <w:rsid w:val="00086FAC"/>
    <w:rPr>
      <w:rFonts w:eastAsiaTheme="minorEastAsia"/>
      <w:b/>
      <w:bCs/>
      <w:sz w:val="20"/>
      <w:szCs w:val="20"/>
    </w:rPr>
  </w:style>
  <w:style w:type="paragraph" w:styleId="Revision">
    <w:name w:val="Revision"/>
    <w:hidden/>
    <w:uiPriority w:val="99"/>
    <w:semiHidden/>
    <w:rsid w:val="00086FAC"/>
    <w:pPr>
      <w:spacing w:after="0" w:line="240" w:lineRule="auto"/>
    </w:pPr>
    <w:rPr>
      <w:rFonts w:eastAsiaTheme="minorEastAsia"/>
    </w:rPr>
  </w:style>
  <w:style w:type="paragraph" w:styleId="BalloonText">
    <w:name w:val="Balloon Text"/>
    <w:basedOn w:val="Normal"/>
    <w:link w:val="BalloonTextChar"/>
    <w:uiPriority w:val="99"/>
    <w:semiHidden/>
    <w:unhideWhenUsed/>
    <w:rsid w:val="00086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FAC"/>
    <w:rPr>
      <w:rFonts w:ascii="Tahoma" w:eastAsiaTheme="minorEastAsia" w:hAnsi="Tahoma" w:cs="Tahoma"/>
      <w:sz w:val="16"/>
      <w:szCs w:val="16"/>
    </w:rPr>
  </w:style>
  <w:style w:type="character" w:styleId="Hyperlink">
    <w:name w:val="Hyperlink"/>
    <w:basedOn w:val="DefaultParagraphFont"/>
    <w:uiPriority w:val="99"/>
    <w:unhideWhenUsed/>
    <w:rsid w:val="00086FAC"/>
    <w:rPr>
      <w:color w:val="0563C1" w:themeColor="hyperlink"/>
      <w:u w:val="single"/>
    </w:rPr>
  </w:style>
  <w:style w:type="character" w:customStyle="1" w:styleId="Style1">
    <w:name w:val="Style1"/>
    <w:basedOn w:val="DefaultParagraphFont"/>
    <w:uiPriority w:val="1"/>
    <w:rsid w:val="00086FAC"/>
    <w:rPr>
      <w:rFonts w:asciiTheme="minorHAnsi" w:hAnsiTheme="minorHAnsi"/>
      <w:color w:val="0000FF"/>
      <w:sz w:val="22"/>
    </w:rPr>
  </w:style>
  <w:style w:type="character" w:customStyle="1" w:styleId="Style2">
    <w:name w:val="Style2"/>
    <w:basedOn w:val="DefaultParagraphFont"/>
    <w:uiPriority w:val="1"/>
    <w:rsid w:val="00086FAC"/>
    <w:rPr>
      <w:rFonts w:asciiTheme="minorHAnsi" w:hAnsiTheme="minorHAnsi"/>
      <w:color w:val="0000FF"/>
      <w:sz w:val="22"/>
      <w:u w:val="single"/>
    </w:rPr>
  </w:style>
  <w:style w:type="character" w:customStyle="1" w:styleId="Style3">
    <w:name w:val="Style3"/>
    <w:basedOn w:val="DefaultParagraphFont"/>
    <w:uiPriority w:val="1"/>
    <w:rsid w:val="00086FAC"/>
    <w:rPr>
      <w:rFonts w:asciiTheme="minorHAnsi" w:hAnsiTheme="minorHAnsi"/>
      <w:color w:val="808080" w:themeColor="background1" w:themeShade="80"/>
      <w:sz w:val="22"/>
    </w:rPr>
  </w:style>
  <w:style w:type="character" w:customStyle="1" w:styleId="Style4">
    <w:name w:val="Style4"/>
    <w:basedOn w:val="DefaultParagraphFont"/>
    <w:uiPriority w:val="1"/>
    <w:rsid w:val="00086FAC"/>
    <w:rPr>
      <w:rFonts w:ascii="Calibri" w:hAnsi="Calibri"/>
      <w:b/>
      <w:color w:val="0070C0"/>
      <w:sz w:val="22"/>
      <w:u w:val="single"/>
    </w:rPr>
  </w:style>
  <w:style w:type="table" w:styleId="TableGrid">
    <w:name w:val="Table Grid"/>
    <w:basedOn w:val="TableNormal"/>
    <w:uiPriority w:val="39"/>
    <w:rsid w:val="00086FA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86FAC"/>
    <w:rPr>
      <w:color w:val="954F72" w:themeColor="followedHyperlink"/>
      <w:u w:val="single"/>
    </w:rPr>
  </w:style>
  <w:style w:type="paragraph" w:styleId="FootnoteText">
    <w:name w:val="footnote text"/>
    <w:basedOn w:val="Normal"/>
    <w:link w:val="FootnoteTextChar"/>
    <w:qFormat/>
    <w:rsid w:val="009E0BD2"/>
    <w:pPr>
      <w:spacing w:after="0" w:line="240" w:lineRule="auto"/>
    </w:pPr>
    <w:rPr>
      <w:rFonts w:eastAsia="Calibri" w:cs="Times New Roman"/>
      <w:sz w:val="20"/>
      <w:szCs w:val="20"/>
    </w:rPr>
  </w:style>
  <w:style w:type="character" w:customStyle="1" w:styleId="FootnoteTextChar">
    <w:name w:val="Footnote Text Char"/>
    <w:basedOn w:val="DefaultParagraphFont"/>
    <w:link w:val="FootnoteText"/>
    <w:rsid w:val="009E0BD2"/>
    <w:rPr>
      <w:rFonts w:eastAsia="Calibri" w:cs="Times New Roman"/>
      <w:sz w:val="20"/>
      <w:szCs w:val="20"/>
    </w:rPr>
  </w:style>
  <w:style w:type="character" w:styleId="FootnoteReference">
    <w:name w:val="footnote reference"/>
    <w:basedOn w:val="DefaultParagraphFont"/>
    <w:qFormat/>
    <w:rsid w:val="00086FAC"/>
    <w:rPr>
      <w:rFonts w:cs="Times New Roman"/>
      <w:vertAlign w:val="superscript"/>
    </w:rPr>
  </w:style>
  <w:style w:type="character" w:styleId="Strong">
    <w:name w:val="Strong"/>
    <w:basedOn w:val="DefaultParagraphFont"/>
    <w:uiPriority w:val="22"/>
    <w:qFormat/>
    <w:rsid w:val="00086FAC"/>
    <w:rPr>
      <w:b/>
      <w:bCs/>
    </w:rPr>
  </w:style>
  <w:style w:type="paragraph" w:styleId="NormalWeb">
    <w:name w:val="Normal (Web)"/>
    <w:basedOn w:val="Normal"/>
    <w:uiPriority w:val="99"/>
    <w:unhideWhenUsed/>
    <w:rsid w:val="00086FA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086FAC"/>
    <w:pPr>
      <w:spacing w:after="0" w:line="240" w:lineRule="auto"/>
    </w:pPr>
    <w:rPr>
      <w:rFonts w:ascii="Calibri" w:eastAsia="Calibri" w:hAnsi="Calibri" w:cs="Times New Roman"/>
    </w:rPr>
  </w:style>
  <w:style w:type="table" w:customStyle="1" w:styleId="TableGrid1">
    <w:name w:val="Table Grid1"/>
    <w:basedOn w:val="TableNormal"/>
    <w:next w:val="TableGrid"/>
    <w:uiPriority w:val="59"/>
    <w:rsid w:val="00086FA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SS">
    <w:name w:val="NormalSS"/>
    <w:basedOn w:val="Normal"/>
    <w:link w:val="NormalSSChar"/>
    <w:qFormat/>
    <w:rsid w:val="00086FAC"/>
    <w:pPr>
      <w:spacing w:after="240" w:line="240" w:lineRule="auto"/>
      <w:ind w:firstLine="432"/>
    </w:pPr>
    <w:rPr>
      <w:rFonts w:ascii="Times New Roman" w:eastAsia="Times New Roman" w:hAnsi="Times New Roman" w:cs="Times New Roman"/>
      <w:sz w:val="24"/>
      <w:szCs w:val="20"/>
    </w:rPr>
  </w:style>
  <w:style w:type="character" w:customStyle="1" w:styleId="NormalSSChar">
    <w:name w:val="NormalSS Char"/>
    <w:basedOn w:val="DefaultParagraphFont"/>
    <w:link w:val="NormalSS"/>
    <w:rsid w:val="00086FAC"/>
    <w:rPr>
      <w:rFonts w:ascii="Times New Roman" w:eastAsia="Times New Roman" w:hAnsi="Times New Roman" w:cs="Times New Roman"/>
      <w:sz w:val="24"/>
      <w:szCs w:val="20"/>
    </w:rPr>
  </w:style>
  <w:style w:type="paragraph" w:customStyle="1" w:styleId="TableSourceCaption">
    <w:name w:val="Table Source_Caption"/>
    <w:qFormat/>
    <w:rsid w:val="00086FAC"/>
    <w:pPr>
      <w:tabs>
        <w:tab w:val="left" w:pos="792"/>
      </w:tabs>
      <w:spacing w:before="60" w:after="0" w:line="240" w:lineRule="auto"/>
      <w:ind w:left="792" w:hanging="792"/>
    </w:pPr>
    <w:rPr>
      <w:rFonts w:ascii="Arial" w:eastAsia="Times New Roman" w:hAnsi="Arial" w:cs="Times New Roman"/>
      <w:sz w:val="18"/>
      <w:szCs w:val="20"/>
    </w:rPr>
  </w:style>
  <w:style w:type="paragraph" w:customStyle="1" w:styleId="H3Alpha">
    <w:name w:val="H3_Alpha"/>
    <w:basedOn w:val="Heading2"/>
    <w:next w:val="NormalSS"/>
    <w:link w:val="H3AlphaChar"/>
    <w:qFormat/>
    <w:rsid w:val="00086FAC"/>
    <w:pPr>
      <w:keepLines w:val="0"/>
      <w:tabs>
        <w:tab w:val="left" w:pos="432"/>
      </w:tabs>
      <w:spacing w:before="0" w:after="120" w:line="240" w:lineRule="auto"/>
      <w:ind w:left="432" w:hanging="432"/>
      <w:outlineLvl w:val="2"/>
    </w:pPr>
    <w:rPr>
      <w:rFonts w:ascii="Arial Black" w:eastAsia="Times New Roman" w:hAnsi="Arial Black" w:cs="Times New Roman"/>
      <w:szCs w:val="20"/>
    </w:rPr>
  </w:style>
  <w:style w:type="character" w:customStyle="1" w:styleId="H3AlphaChar">
    <w:name w:val="H3_Alpha Char"/>
    <w:basedOn w:val="Heading2Char"/>
    <w:link w:val="H3Alpha"/>
    <w:rsid w:val="00086FAC"/>
    <w:rPr>
      <w:rFonts w:ascii="Arial Black" w:eastAsia="Times New Roman" w:hAnsi="Arial Black" w:cs="Times New Roman"/>
      <w:color w:val="2F5496" w:themeColor="accent1" w:themeShade="BF"/>
      <w:sz w:val="26"/>
      <w:szCs w:val="20"/>
    </w:rPr>
  </w:style>
  <w:style w:type="character" w:styleId="Emphasis">
    <w:name w:val="Emphasis"/>
    <w:basedOn w:val="DefaultParagraphFont"/>
    <w:uiPriority w:val="20"/>
    <w:qFormat/>
    <w:rsid w:val="00086FAC"/>
    <w:rPr>
      <w:i/>
      <w:iCs/>
    </w:rPr>
  </w:style>
  <w:style w:type="paragraph" w:customStyle="1" w:styleId="Default">
    <w:name w:val="Default"/>
    <w:basedOn w:val="Normal"/>
    <w:rsid w:val="00086FAC"/>
    <w:pPr>
      <w:autoSpaceDE w:val="0"/>
      <w:autoSpaceDN w:val="0"/>
      <w:spacing w:after="0" w:line="240" w:lineRule="auto"/>
    </w:pPr>
    <w:rPr>
      <w:rFonts w:ascii="Calibri" w:eastAsiaTheme="minorHAnsi" w:hAnsi="Calibri" w:cs="Calibri"/>
      <w:color w:val="000000"/>
      <w:sz w:val="24"/>
      <w:szCs w:val="24"/>
    </w:rPr>
  </w:style>
  <w:style w:type="character" w:customStyle="1" w:styleId="UnresolvedMention1">
    <w:name w:val="Unresolved Mention1"/>
    <w:basedOn w:val="DefaultParagraphFont"/>
    <w:uiPriority w:val="99"/>
    <w:semiHidden/>
    <w:unhideWhenUsed/>
    <w:rsid w:val="00086FAC"/>
    <w:rPr>
      <w:color w:val="605E5C"/>
      <w:shd w:val="clear" w:color="auto" w:fill="E1DFDD"/>
    </w:rPr>
  </w:style>
  <w:style w:type="paragraph" w:styleId="BodyText">
    <w:name w:val="Body Text"/>
    <w:basedOn w:val="Normal"/>
    <w:link w:val="BodyTextChar"/>
    <w:uiPriority w:val="1"/>
    <w:qFormat/>
    <w:rsid w:val="00086FAC"/>
    <w:pPr>
      <w:widowControl w:val="0"/>
      <w:spacing w:before="120" w:after="0" w:line="240" w:lineRule="auto"/>
      <w:ind w:left="1296" w:right="-72"/>
    </w:pPr>
    <w:rPr>
      <w:color w:val="000000" w:themeColor="text1"/>
      <w:sz w:val="24"/>
      <w:szCs w:val="24"/>
    </w:rPr>
  </w:style>
  <w:style w:type="character" w:customStyle="1" w:styleId="BodyTextChar">
    <w:name w:val="Body Text Char"/>
    <w:basedOn w:val="DefaultParagraphFont"/>
    <w:link w:val="BodyText"/>
    <w:uiPriority w:val="1"/>
    <w:rsid w:val="00086FAC"/>
    <w:rPr>
      <w:rFonts w:eastAsiaTheme="minorEastAsia"/>
      <w:color w:val="000000" w:themeColor="text1"/>
      <w:sz w:val="24"/>
      <w:szCs w:val="24"/>
    </w:rPr>
  </w:style>
  <w:style w:type="paragraph" w:styleId="Caption">
    <w:name w:val="caption"/>
    <w:basedOn w:val="Normal"/>
    <w:next w:val="Normal"/>
    <w:autoRedefine/>
    <w:unhideWhenUsed/>
    <w:qFormat/>
    <w:rsid w:val="000C0983"/>
    <w:pPr>
      <w:keepNext/>
      <w:spacing w:before="120" w:after="60" w:line="240" w:lineRule="auto"/>
      <w:ind w:left="630" w:hanging="630"/>
      <w:outlineLvl w:val="0"/>
    </w:pPr>
    <w:rPr>
      <w:rFonts w:eastAsia="Times New Roman"/>
      <w:b/>
      <w:bCs/>
      <w:color w:val="0070C0"/>
    </w:rPr>
  </w:style>
  <w:style w:type="paragraph" w:styleId="Quote">
    <w:name w:val="Quote"/>
    <w:basedOn w:val="Normal"/>
    <w:next w:val="Normal"/>
    <w:link w:val="QuoteChar"/>
    <w:uiPriority w:val="29"/>
    <w:qFormat/>
    <w:rsid w:val="00086FAC"/>
    <w:pPr>
      <w:widowControl w:val="0"/>
      <w:spacing w:before="200" w:after="160" w:line="240" w:lineRule="auto"/>
      <w:ind w:left="864" w:right="864"/>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086FAC"/>
    <w:rPr>
      <w:i/>
      <w:iCs/>
      <w:color w:val="404040" w:themeColor="text1" w:themeTint="BF"/>
    </w:rPr>
  </w:style>
  <w:style w:type="paragraph" w:customStyle="1" w:styleId="Style1a">
    <w:name w:val="Style1a"/>
    <w:basedOn w:val="NormalWeb"/>
    <w:uiPriority w:val="1"/>
    <w:qFormat/>
    <w:rsid w:val="00086FAC"/>
    <w:pPr>
      <w:spacing w:before="0" w:beforeAutospacing="0" w:after="0" w:afterAutospacing="0"/>
      <w:ind w:left="1440" w:hanging="450"/>
    </w:pPr>
    <w:rPr>
      <w:rFonts w:asciiTheme="minorHAnsi" w:eastAsiaTheme="minorEastAsia" w:hAnsiTheme="minorHAnsi" w:cstheme="minorBidi"/>
      <w:color w:val="000000" w:themeColor="text1"/>
      <w:sz w:val="20"/>
    </w:rPr>
  </w:style>
  <w:style w:type="character" w:styleId="UnresolvedMention">
    <w:name w:val="Unresolved Mention"/>
    <w:basedOn w:val="DefaultParagraphFont"/>
    <w:uiPriority w:val="99"/>
    <w:semiHidden/>
    <w:unhideWhenUsed/>
    <w:rsid w:val="00086FAC"/>
    <w:rPr>
      <w:color w:val="605E5C"/>
      <w:shd w:val="clear" w:color="auto" w:fill="E1DFDD"/>
    </w:rPr>
  </w:style>
  <w:style w:type="character" w:customStyle="1" w:styleId="element-citation">
    <w:name w:val="element-citation"/>
    <w:basedOn w:val="DefaultParagraphFont"/>
    <w:rsid w:val="00086FAC"/>
  </w:style>
  <w:style w:type="character" w:customStyle="1" w:styleId="ref-journal">
    <w:name w:val="ref-journal"/>
    <w:basedOn w:val="DefaultParagraphFont"/>
    <w:rsid w:val="00086FAC"/>
  </w:style>
  <w:style w:type="character" w:customStyle="1" w:styleId="ref-vol">
    <w:name w:val="ref-vol"/>
    <w:basedOn w:val="DefaultParagraphFont"/>
    <w:rsid w:val="00086FAC"/>
  </w:style>
  <w:style w:type="paragraph" w:customStyle="1" w:styleId="EndNoteBibliography">
    <w:name w:val="EndNote Bibliography"/>
    <w:basedOn w:val="Normal"/>
    <w:link w:val="EndNoteBibliographyChar"/>
    <w:rsid w:val="00086FAC"/>
    <w:pPr>
      <w:spacing w:after="0" w:line="240" w:lineRule="auto"/>
    </w:pPr>
    <w:rPr>
      <w:rFonts w:ascii="Times New Roman" w:eastAsia="Times New Roman" w:hAnsi="Times New Roman" w:cs="Times New Roman"/>
      <w:noProof/>
      <w:sz w:val="24"/>
    </w:rPr>
  </w:style>
  <w:style w:type="character" w:customStyle="1" w:styleId="EndNoteBibliographyChar">
    <w:name w:val="EndNote Bibliography Char"/>
    <w:link w:val="EndNoteBibliography"/>
    <w:rsid w:val="00086FAC"/>
    <w:rPr>
      <w:rFonts w:ascii="Times New Roman" w:eastAsia="Times New Roman" w:hAnsi="Times New Roman" w:cs="Times New Roman"/>
      <w:noProof/>
      <w:sz w:val="24"/>
    </w:rPr>
  </w:style>
  <w:style w:type="table" w:customStyle="1" w:styleId="GridTable5Dark-Accent11">
    <w:name w:val="Grid Table 5 Dark - Accent 11"/>
    <w:basedOn w:val="TableNormal"/>
    <w:uiPriority w:val="50"/>
    <w:rsid w:val="00086F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LightShading-Accent1">
    <w:name w:val="Light Shading Accent 1"/>
    <w:basedOn w:val="TableNormal"/>
    <w:uiPriority w:val="60"/>
    <w:rsid w:val="00086FAC"/>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idTable1Light1">
    <w:name w:val="Grid Table 1 Light1"/>
    <w:basedOn w:val="TableNormal"/>
    <w:uiPriority w:val="46"/>
    <w:rsid w:val="00086FAC"/>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ont5">
    <w:name w:val="font5"/>
    <w:basedOn w:val="Normal"/>
    <w:rsid w:val="00086FAC"/>
    <w:pPr>
      <w:spacing w:before="100" w:beforeAutospacing="1" w:after="100" w:afterAutospacing="1" w:line="240" w:lineRule="auto"/>
    </w:pPr>
    <w:rPr>
      <w:rFonts w:ascii="Arial" w:eastAsia="Times New Roman" w:hAnsi="Arial" w:cs="Arial"/>
      <w:color w:val="000000"/>
      <w:sz w:val="20"/>
      <w:szCs w:val="20"/>
    </w:rPr>
  </w:style>
  <w:style w:type="paragraph" w:customStyle="1" w:styleId="xl65">
    <w:name w:val="xl65"/>
    <w:basedOn w:val="Normal"/>
    <w:rsid w:val="00086FAC"/>
    <w:pPr>
      <w:pBdr>
        <w:top w:val="single" w:sz="8" w:space="0" w:color="auto"/>
        <w:left w:val="single" w:sz="8" w:space="0" w:color="auto"/>
        <w:bottom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66">
    <w:name w:val="xl66"/>
    <w:basedOn w:val="Normal"/>
    <w:rsid w:val="00086FAC"/>
    <w:pPr>
      <w:pBdr>
        <w:top w:val="single" w:sz="8" w:space="0" w:color="auto"/>
        <w:bottom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67">
    <w:name w:val="xl67"/>
    <w:basedOn w:val="Normal"/>
    <w:rsid w:val="00086FAC"/>
    <w:pPr>
      <w:pBdr>
        <w:top w:val="single" w:sz="8" w:space="0" w:color="auto"/>
        <w:bottom w:val="single" w:sz="8" w:space="0" w:color="auto"/>
        <w:right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68">
    <w:name w:val="xl68"/>
    <w:basedOn w:val="Normal"/>
    <w:rsid w:val="00086FAC"/>
    <w:pPr>
      <w:pBdr>
        <w:top w:val="single" w:sz="8" w:space="0" w:color="auto"/>
        <w:left w:val="single" w:sz="8" w:space="0" w:color="auto"/>
        <w:bottom w:val="single" w:sz="8" w:space="0" w:color="auto"/>
      </w:pBdr>
      <w:shd w:val="clear" w:color="000000" w:fill="538DD5"/>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69">
    <w:name w:val="xl69"/>
    <w:basedOn w:val="Normal"/>
    <w:rsid w:val="00086FAC"/>
    <w:pPr>
      <w:pBdr>
        <w:top w:val="single" w:sz="8" w:space="0" w:color="auto"/>
        <w:bottom w:val="single" w:sz="8" w:space="0" w:color="auto"/>
      </w:pBdr>
      <w:shd w:val="clear" w:color="000000" w:fill="538DD5"/>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70">
    <w:name w:val="xl70"/>
    <w:basedOn w:val="Normal"/>
    <w:rsid w:val="00086FAC"/>
    <w:pPr>
      <w:pBdr>
        <w:top w:val="single" w:sz="8" w:space="0" w:color="auto"/>
        <w:bottom w:val="single" w:sz="8" w:space="0" w:color="auto"/>
        <w:right w:val="single" w:sz="8" w:space="0" w:color="auto"/>
      </w:pBdr>
      <w:shd w:val="clear" w:color="000000" w:fill="538DD5"/>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71">
    <w:name w:val="xl71"/>
    <w:basedOn w:val="Normal"/>
    <w:rsid w:val="00086FAC"/>
    <w:pPr>
      <w:pBdr>
        <w:top w:val="single" w:sz="8" w:space="0" w:color="auto"/>
        <w:left w:val="single" w:sz="8" w:space="0" w:color="auto"/>
        <w:bottom w:val="single" w:sz="8" w:space="0" w:color="auto"/>
        <w:right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72">
    <w:name w:val="xl72"/>
    <w:basedOn w:val="Normal"/>
    <w:rsid w:val="00086FA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73">
    <w:name w:val="xl73"/>
    <w:basedOn w:val="Normal"/>
    <w:rsid w:val="00086FA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74">
    <w:name w:val="xl74"/>
    <w:basedOn w:val="Normal"/>
    <w:rsid w:val="00086FAC"/>
    <w:pPr>
      <w:pBdr>
        <w:top w:val="single" w:sz="8" w:space="0" w:color="auto"/>
        <w:left w:val="single" w:sz="8" w:space="0" w:color="auto"/>
        <w:bottom w:val="single" w:sz="8" w:space="0" w:color="auto"/>
        <w:right w:val="single" w:sz="8" w:space="0" w:color="auto"/>
      </w:pBdr>
      <w:shd w:val="clear" w:color="000000" w:fill="538DD5"/>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75">
    <w:name w:val="xl75"/>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sz w:val="20"/>
      <w:szCs w:val="20"/>
    </w:rPr>
  </w:style>
  <w:style w:type="paragraph" w:customStyle="1" w:styleId="xl76">
    <w:name w:val="xl76"/>
    <w:basedOn w:val="Normal"/>
    <w:rsid w:val="00086FAC"/>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77">
    <w:name w:val="xl77"/>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Arial" w:eastAsia="Times New Roman" w:hAnsi="Arial" w:cs="Arial"/>
      <w:color w:val="000000"/>
      <w:sz w:val="20"/>
      <w:szCs w:val="20"/>
    </w:rPr>
  </w:style>
  <w:style w:type="paragraph" w:customStyle="1" w:styleId="xl78">
    <w:name w:val="xl78"/>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rPr>
  </w:style>
  <w:style w:type="paragraph" w:customStyle="1" w:styleId="xl79">
    <w:name w:val="xl79"/>
    <w:basedOn w:val="Normal"/>
    <w:rsid w:val="00086FAC"/>
    <w:pPr>
      <w:pBdr>
        <w:top w:val="single" w:sz="8" w:space="0" w:color="auto"/>
        <w:left w:val="single" w:sz="8" w:space="0" w:color="auto"/>
        <w:bottom w:val="single" w:sz="8" w:space="0" w:color="auto"/>
        <w:right w:val="single" w:sz="8" w:space="0" w:color="auto"/>
      </w:pBdr>
      <w:shd w:val="clear" w:color="000000" w:fill="538DD5"/>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80">
    <w:name w:val="xl80"/>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1">
    <w:name w:val="xl81"/>
    <w:basedOn w:val="Normal"/>
    <w:rsid w:val="00086FAC"/>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2">
    <w:name w:val="xl82"/>
    <w:basedOn w:val="Normal"/>
    <w:rsid w:val="00086FAC"/>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Arial" w:eastAsia="Times New Roman" w:hAnsi="Arial" w:cs="Arial"/>
      <w:b/>
      <w:bCs/>
      <w:sz w:val="20"/>
      <w:szCs w:val="20"/>
    </w:rPr>
  </w:style>
  <w:style w:type="paragraph" w:customStyle="1" w:styleId="xl83">
    <w:name w:val="xl83"/>
    <w:basedOn w:val="Normal"/>
    <w:rsid w:val="00086FAC"/>
    <w:pPr>
      <w:pBdr>
        <w:top w:val="single" w:sz="8" w:space="0" w:color="auto"/>
        <w:left w:val="single" w:sz="8" w:space="0" w:color="auto"/>
        <w:bottom w:val="single" w:sz="8" w:space="0" w:color="auto"/>
        <w:right w:val="single" w:sz="8" w:space="0" w:color="auto"/>
      </w:pBdr>
      <w:shd w:val="clear" w:color="000000" w:fill="548DD4"/>
      <w:spacing w:before="100" w:beforeAutospacing="1" w:after="100" w:afterAutospacing="1" w:line="240" w:lineRule="auto"/>
      <w:textAlignment w:val="center"/>
    </w:pPr>
    <w:rPr>
      <w:rFonts w:ascii="Arial" w:eastAsia="Times New Roman" w:hAnsi="Arial" w:cs="Arial"/>
      <w:b/>
      <w:bCs/>
      <w:color w:val="FFFFFF"/>
      <w:sz w:val="20"/>
      <w:szCs w:val="20"/>
    </w:rPr>
  </w:style>
  <w:style w:type="paragraph" w:customStyle="1" w:styleId="xl84">
    <w:name w:val="xl84"/>
    <w:basedOn w:val="Normal"/>
    <w:rsid w:val="00086FA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5">
    <w:name w:val="xl85"/>
    <w:basedOn w:val="Normal"/>
    <w:rsid w:val="00086FAC"/>
    <w:pPr>
      <w:pBdr>
        <w:top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6">
    <w:name w:val="xl86"/>
    <w:basedOn w:val="Normal"/>
    <w:rsid w:val="00086FAC"/>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086FAC"/>
    <w:pPr>
      <w:pBdr>
        <w:top w:val="single" w:sz="8" w:space="0" w:color="auto"/>
        <w:left w:val="single" w:sz="8" w:space="0" w:color="auto"/>
        <w:right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88">
    <w:name w:val="xl88"/>
    <w:basedOn w:val="Normal"/>
    <w:rsid w:val="00086FAC"/>
    <w:pPr>
      <w:pBdr>
        <w:left w:val="single" w:sz="8" w:space="0" w:color="auto"/>
        <w:bottom w:val="single" w:sz="8" w:space="0" w:color="auto"/>
        <w:right w:val="single" w:sz="8" w:space="0" w:color="auto"/>
      </w:pBdr>
      <w:shd w:val="clear" w:color="000000" w:fill="365F91"/>
      <w:spacing w:before="100" w:beforeAutospacing="1" w:after="100" w:afterAutospacing="1" w:line="240" w:lineRule="auto"/>
      <w:jc w:val="center"/>
      <w:textAlignment w:val="center"/>
    </w:pPr>
    <w:rPr>
      <w:rFonts w:ascii="Arial" w:eastAsia="Times New Roman" w:hAnsi="Arial" w:cs="Arial"/>
      <w:b/>
      <w:bCs/>
      <w:color w:val="FFFFFF"/>
      <w:sz w:val="20"/>
      <w:szCs w:val="20"/>
    </w:rPr>
  </w:style>
  <w:style w:type="paragraph" w:customStyle="1" w:styleId="xl89">
    <w:name w:val="xl89"/>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90">
    <w:name w:val="xl90"/>
    <w:basedOn w:val="Normal"/>
    <w:rsid w:val="00086FA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w:eastAsia="Times New Roman" w:hAnsi="Arial" w:cs="Arial"/>
      <w:color w:val="000000"/>
      <w:sz w:val="20"/>
      <w:szCs w:val="20"/>
    </w:rPr>
  </w:style>
  <w:style w:type="paragraph" w:customStyle="1" w:styleId="xl91">
    <w:name w:val="xl91"/>
    <w:basedOn w:val="Normal"/>
    <w:rsid w:val="00086F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ipmark">
    <w:name w:val="fip_mark"/>
    <w:basedOn w:val="DefaultParagraphFont"/>
    <w:rsid w:val="00086FAC"/>
  </w:style>
  <w:style w:type="paragraph" w:styleId="EndnoteText">
    <w:name w:val="endnote text"/>
    <w:basedOn w:val="Normal"/>
    <w:link w:val="EndnoteTextChar"/>
    <w:uiPriority w:val="99"/>
    <w:semiHidden/>
    <w:unhideWhenUsed/>
    <w:rsid w:val="00086FA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86FAC"/>
    <w:rPr>
      <w:rFonts w:eastAsiaTheme="minorEastAsia"/>
      <w:sz w:val="20"/>
      <w:szCs w:val="20"/>
    </w:rPr>
  </w:style>
  <w:style w:type="character" w:styleId="EndnoteReference">
    <w:name w:val="endnote reference"/>
    <w:basedOn w:val="DefaultParagraphFont"/>
    <w:uiPriority w:val="99"/>
    <w:semiHidden/>
    <w:unhideWhenUsed/>
    <w:rsid w:val="00086FAC"/>
    <w:rPr>
      <w:vertAlign w:val="superscript"/>
    </w:rPr>
  </w:style>
  <w:style w:type="character" w:customStyle="1" w:styleId="acopre">
    <w:name w:val="acopre"/>
    <w:basedOn w:val="DefaultParagraphFont"/>
    <w:rsid w:val="00D756B4"/>
  </w:style>
  <w:style w:type="paragraph" w:customStyle="1" w:styleId="TableTextLeft">
    <w:name w:val="Table Text Left"/>
    <w:qFormat/>
    <w:rsid w:val="00423B3D"/>
    <w:pPr>
      <w:spacing w:before="40" w:after="20" w:line="264" w:lineRule="auto"/>
    </w:pPr>
    <w:rPr>
      <w:rFonts w:ascii="Arial" w:hAnsi="Arial"/>
      <w:color w:val="000000" w:themeColor="text1"/>
      <w:sz w:val="16"/>
    </w:rPr>
  </w:style>
  <w:style w:type="paragraph" w:customStyle="1" w:styleId="TableHeaderCenter">
    <w:name w:val="Table Header Center"/>
    <w:basedOn w:val="TableTextLeft"/>
    <w:qFormat/>
    <w:rsid w:val="003E1210"/>
    <w:pPr>
      <w:keepNext/>
      <w:jc w:val="center"/>
    </w:pPr>
    <w:rPr>
      <w:color w:val="FFFFFF" w:themeColor="background1"/>
    </w:rPr>
  </w:style>
  <w:style w:type="paragraph" w:customStyle="1" w:styleId="TableHeaderLeft">
    <w:name w:val="Table Header Left"/>
    <w:basedOn w:val="TableTextLeft"/>
    <w:qFormat/>
    <w:rsid w:val="003E1210"/>
    <w:pPr>
      <w:keepNext/>
    </w:pPr>
    <w:rPr>
      <w:color w:val="FFFFFF" w:themeColor="background1"/>
    </w:rPr>
  </w:style>
  <w:style w:type="paragraph" w:customStyle="1" w:styleId="TableRowHead">
    <w:name w:val="Table Row Head"/>
    <w:basedOn w:val="TableTextLeft"/>
    <w:qFormat/>
    <w:rsid w:val="00C4139E"/>
    <w:rPr>
      <w:b/>
      <w:color w:val="auto"/>
    </w:rPr>
  </w:style>
  <w:style w:type="paragraph" w:customStyle="1" w:styleId="TableTextCentered">
    <w:name w:val="Table Text Centered"/>
    <w:basedOn w:val="TableTextLeft"/>
    <w:qFormat/>
    <w:rsid w:val="00C4139E"/>
    <w:pPr>
      <w:jc w:val="center"/>
    </w:pPr>
  </w:style>
  <w:style w:type="paragraph" w:customStyle="1" w:styleId="TableTextDecimal">
    <w:name w:val="Table Text Decimal"/>
    <w:basedOn w:val="TableTextLeft"/>
    <w:qFormat/>
    <w:rsid w:val="00C4139E"/>
    <w:pPr>
      <w:tabs>
        <w:tab w:val="decimal" w:pos="576"/>
      </w:tabs>
    </w:pPr>
  </w:style>
  <w:style w:type="paragraph" w:customStyle="1" w:styleId="TableTextDecimalWide">
    <w:name w:val="Table Text Decimal Wide"/>
    <w:basedOn w:val="TableTextDecimal"/>
    <w:qFormat/>
    <w:rsid w:val="00C4139E"/>
    <w:pPr>
      <w:tabs>
        <w:tab w:val="clear" w:pos="576"/>
        <w:tab w:val="decimal" w:pos="864"/>
      </w:tabs>
    </w:pPr>
  </w:style>
  <w:style w:type="paragraph" w:customStyle="1" w:styleId="TableTextDecimalNarrow">
    <w:name w:val="Table Text Decimal Narrow"/>
    <w:basedOn w:val="TableTextDecimalWide"/>
    <w:qFormat/>
    <w:rsid w:val="00C4139E"/>
    <w:pPr>
      <w:tabs>
        <w:tab w:val="clear" w:pos="864"/>
        <w:tab w:val="decimal" w:pos="360"/>
      </w:tabs>
    </w:pPr>
  </w:style>
  <w:style w:type="paragraph" w:customStyle="1" w:styleId="TableTextIndent">
    <w:name w:val="Table Text Indent"/>
    <w:basedOn w:val="TableTextLeft"/>
    <w:qFormat/>
    <w:rsid w:val="00C4139E"/>
    <w:pPr>
      <w:ind w:left="216"/>
    </w:pPr>
  </w:style>
  <w:style w:type="paragraph" w:customStyle="1" w:styleId="TableTextIndent2">
    <w:name w:val="Table Text Indent 2"/>
    <w:basedOn w:val="TableTextLeft"/>
    <w:qFormat/>
    <w:rsid w:val="00C4139E"/>
    <w:pPr>
      <w:ind w:left="432"/>
    </w:pPr>
  </w:style>
  <w:style w:type="paragraph" w:customStyle="1" w:styleId="TableTextRight">
    <w:name w:val="Table Text Right"/>
    <w:basedOn w:val="TableTextLeft"/>
    <w:qFormat/>
    <w:rsid w:val="00C4139E"/>
    <w:pPr>
      <w:jc w:val="right"/>
    </w:pPr>
  </w:style>
  <w:style w:type="character" w:customStyle="1" w:styleId="TableTextTight">
    <w:name w:val="Table Text Tight"/>
    <w:basedOn w:val="DefaultParagraphFont"/>
    <w:qFormat/>
    <w:rsid w:val="00C4139E"/>
    <w:rPr>
      <w:sz w:val="16"/>
    </w:rPr>
  </w:style>
  <w:style w:type="table" w:customStyle="1" w:styleId="MathUBaseTable">
    <w:name w:val="MathU Base Table"/>
    <w:basedOn w:val="TableNormal"/>
    <w:uiPriority w:val="99"/>
    <w:rsid w:val="00135599"/>
    <w:pPr>
      <w:spacing w:before="40" w:after="20" w:line="240" w:lineRule="auto"/>
    </w:pPr>
    <w:rPr>
      <w:rFonts w:asciiTheme="majorHAnsi" w:hAnsiTheme="majorHAnsi"/>
      <w:color w:val="000000" w:themeColor="text1"/>
      <w:sz w:val="18"/>
    </w:rPr>
    <w:tblPr>
      <w:tblBorders>
        <w:top w:val="single" w:sz="4" w:space="0" w:color="046B5C"/>
        <w:bottom w:val="single" w:sz="4" w:space="0" w:color="046B5C"/>
        <w:insideH w:val="single" w:sz="4" w:space="0" w:color="046B5C"/>
      </w:tblBorders>
      <w:tblCellMar>
        <w:left w:w="58" w:type="dxa"/>
        <w:right w:w="58" w:type="dxa"/>
      </w:tblCellMar>
    </w:tblPr>
    <w:trPr>
      <w:cantSplit/>
    </w:trPr>
    <w:tcPr>
      <w:shd w:val="clear" w:color="auto" w:fill="FFFFFF" w:themeFill="background1"/>
      <w:tcMar>
        <w:top w:w="0" w:type="dxa"/>
        <w:bottom w:w="0" w:type="dxa"/>
      </w:tcMar>
    </w:tcPr>
    <w:tblStylePr w:type="firstRow">
      <w:pPr>
        <w:jc w:val="left"/>
      </w:pPr>
      <w:rPr>
        <w:b/>
        <w:color w:val="FFFFFF" w:themeColor="background1"/>
      </w:rPr>
      <w:tblPr/>
      <w:trPr>
        <w:cantSplit w:val="0"/>
      </w:trPr>
      <w:tcPr>
        <w:shd w:val="clear" w:color="auto" w:fill="046B5C"/>
        <w:vAlign w:val="bottom"/>
      </w:tcPr>
    </w:tblStylePr>
    <w:tblStylePr w:type="lastRow">
      <w:rPr>
        <w:color w:val="FFFFFF" w:themeColor="background1"/>
      </w:rPr>
      <w:tblPr/>
      <w:tcPr>
        <w:shd w:val="clear" w:color="auto" w:fill="046B5C"/>
      </w:tcPr>
    </w:tblStylePr>
    <w:tblStylePr w:type="firstCol">
      <w:tblPr/>
      <w:tcPr>
        <w:tcBorders>
          <w:right w:val="nil"/>
        </w:tcBorders>
        <w:shd w:val="clear" w:color="auto" w:fill="FFFFFF" w:themeFill="background1"/>
      </w:tcPr>
    </w:tblStylePr>
    <w:tblStylePr w:type="lastCol">
      <w:tblPr/>
      <w:tcPr>
        <w:tcBorders>
          <w:top w:val="nil"/>
          <w:left w:val="nil"/>
          <w:bottom w:val="nil"/>
          <w:right w:val="nil"/>
          <w:insideH w:val="single" w:sz="4" w:space="0" w:color="5B9BD5" w:themeColor="accent5"/>
          <w:insideV w:val="nil"/>
          <w:tl2br w:val="nil"/>
          <w:tr2bl w:val="nil"/>
        </w:tcBorders>
        <w:shd w:val="clear" w:color="auto" w:fill="FFFFFF" w:themeFill="background1"/>
      </w:tcPr>
    </w:tblStylePr>
    <w:tblStylePr w:type="neCell">
      <w:pPr>
        <w:jc w:val="left"/>
      </w:pPr>
      <w:tblPr/>
      <w:tcPr>
        <w:tcBorders>
          <w:right w:val="single" w:sz="4" w:space="0" w:color="FFFFFF" w:themeColor="background1"/>
        </w:tcBorders>
        <w:shd w:val="clear" w:color="auto" w:fill="44546A"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069300">
      <w:bodyDiv w:val="1"/>
      <w:marLeft w:val="0"/>
      <w:marRight w:val="0"/>
      <w:marTop w:val="0"/>
      <w:marBottom w:val="0"/>
      <w:divBdr>
        <w:top w:val="none" w:sz="0" w:space="0" w:color="auto"/>
        <w:left w:val="none" w:sz="0" w:space="0" w:color="auto"/>
        <w:bottom w:val="none" w:sz="0" w:space="0" w:color="auto"/>
        <w:right w:val="none" w:sz="0" w:space="0" w:color="auto"/>
      </w:divBdr>
    </w:div>
    <w:div w:id="66079467">
      <w:bodyDiv w:val="1"/>
      <w:marLeft w:val="0"/>
      <w:marRight w:val="0"/>
      <w:marTop w:val="0"/>
      <w:marBottom w:val="0"/>
      <w:divBdr>
        <w:top w:val="none" w:sz="0" w:space="0" w:color="auto"/>
        <w:left w:val="none" w:sz="0" w:space="0" w:color="auto"/>
        <w:bottom w:val="none" w:sz="0" w:space="0" w:color="auto"/>
        <w:right w:val="none" w:sz="0" w:space="0" w:color="auto"/>
      </w:divBdr>
    </w:div>
    <w:div w:id="83385577">
      <w:bodyDiv w:val="1"/>
      <w:marLeft w:val="0"/>
      <w:marRight w:val="0"/>
      <w:marTop w:val="0"/>
      <w:marBottom w:val="0"/>
      <w:divBdr>
        <w:top w:val="none" w:sz="0" w:space="0" w:color="auto"/>
        <w:left w:val="none" w:sz="0" w:space="0" w:color="auto"/>
        <w:bottom w:val="none" w:sz="0" w:space="0" w:color="auto"/>
        <w:right w:val="none" w:sz="0" w:space="0" w:color="auto"/>
      </w:divBdr>
    </w:div>
    <w:div w:id="83459142">
      <w:bodyDiv w:val="1"/>
      <w:marLeft w:val="0"/>
      <w:marRight w:val="0"/>
      <w:marTop w:val="0"/>
      <w:marBottom w:val="0"/>
      <w:divBdr>
        <w:top w:val="none" w:sz="0" w:space="0" w:color="auto"/>
        <w:left w:val="none" w:sz="0" w:space="0" w:color="auto"/>
        <w:bottom w:val="none" w:sz="0" w:space="0" w:color="auto"/>
        <w:right w:val="none" w:sz="0" w:space="0" w:color="auto"/>
      </w:divBdr>
    </w:div>
    <w:div w:id="111096110">
      <w:bodyDiv w:val="1"/>
      <w:marLeft w:val="0"/>
      <w:marRight w:val="0"/>
      <w:marTop w:val="0"/>
      <w:marBottom w:val="0"/>
      <w:divBdr>
        <w:top w:val="none" w:sz="0" w:space="0" w:color="auto"/>
        <w:left w:val="none" w:sz="0" w:space="0" w:color="auto"/>
        <w:bottom w:val="none" w:sz="0" w:space="0" w:color="auto"/>
        <w:right w:val="none" w:sz="0" w:space="0" w:color="auto"/>
      </w:divBdr>
    </w:div>
    <w:div w:id="147094355">
      <w:bodyDiv w:val="1"/>
      <w:marLeft w:val="0"/>
      <w:marRight w:val="0"/>
      <w:marTop w:val="0"/>
      <w:marBottom w:val="0"/>
      <w:divBdr>
        <w:top w:val="none" w:sz="0" w:space="0" w:color="auto"/>
        <w:left w:val="none" w:sz="0" w:space="0" w:color="auto"/>
        <w:bottom w:val="none" w:sz="0" w:space="0" w:color="auto"/>
        <w:right w:val="none" w:sz="0" w:space="0" w:color="auto"/>
      </w:divBdr>
    </w:div>
    <w:div w:id="186988930">
      <w:bodyDiv w:val="1"/>
      <w:marLeft w:val="0"/>
      <w:marRight w:val="0"/>
      <w:marTop w:val="0"/>
      <w:marBottom w:val="0"/>
      <w:divBdr>
        <w:top w:val="none" w:sz="0" w:space="0" w:color="auto"/>
        <w:left w:val="none" w:sz="0" w:space="0" w:color="auto"/>
        <w:bottom w:val="none" w:sz="0" w:space="0" w:color="auto"/>
        <w:right w:val="none" w:sz="0" w:space="0" w:color="auto"/>
      </w:divBdr>
    </w:div>
    <w:div w:id="192890624">
      <w:bodyDiv w:val="1"/>
      <w:marLeft w:val="0"/>
      <w:marRight w:val="0"/>
      <w:marTop w:val="0"/>
      <w:marBottom w:val="0"/>
      <w:divBdr>
        <w:top w:val="none" w:sz="0" w:space="0" w:color="auto"/>
        <w:left w:val="none" w:sz="0" w:space="0" w:color="auto"/>
        <w:bottom w:val="none" w:sz="0" w:space="0" w:color="auto"/>
        <w:right w:val="none" w:sz="0" w:space="0" w:color="auto"/>
      </w:divBdr>
    </w:div>
    <w:div w:id="207108071">
      <w:bodyDiv w:val="1"/>
      <w:marLeft w:val="0"/>
      <w:marRight w:val="0"/>
      <w:marTop w:val="0"/>
      <w:marBottom w:val="0"/>
      <w:divBdr>
        <w:top w:val="none" w:sz="0" w:space="0" w:color="auto"/>
        <w:left w:val="none" w:sz="0" w:space="0" w:color="auto"/>
        <w:bottom w:val="none" w:sz="0" w:space="0" w:color="auto"/>
        <w:right w:val="none" w:sz="0" w:space="0" w:color="auto"/>
      </w:divBdr>
    </w:div>
    <w:div w:id="216205445">
      <w:bodyDiv w:val="1"/>
      <w:marLeft w:val="0"/>
      <w:marRight w:val="0"/>
      <w:marTop w:val="0"/>
      <w:marBottom w:val="0"/>
      <w:divBdr>
        <w:top w:val="none" w:sz="0" w:space="0" w:color="auto"/>
        <w:left w:val="none" w:sz="0" w:space="0" w:color="auto"/>
        <w:bottom w:val="none" w:sz="0" w:space="0" w:color="auto"/>
        <w:right w:val="none" w:sz="0" w:space="0" w:color="auto"/>
      </w:divBdr>
    </w:div>
    <w:div w:id="286863954">
      <w:bodyDiv w:val="1"/>
      <w:marLeft w:val="0"/>
      <w:marRight w:val="0"/>
      <w:marTop w:val="0"/>
      <w:marBottom w:val="0"/>
      <w:divBdr>
        <w:top w:val="none" w:sz="0" w:space="0" w:color="auto"/>
        <w:left w:val="none" w:sz="0" w:space="0" w:color="auto"/>
        <w:bottom w:val="none" w:sz="0" w:space="0" w:color="auto"/>
        <w:right w:val="none" w:sz="0" w:space="0" w:color="auto"/>
      </w:divBdr>
    </w:div>
    <w:div w:id="317346237">
      <w:bodyDiv w:val="1"/>
      <w:marLeft w:val="0"/>
      <w:marRight w:val="0"/>
      <w:marTop w:val="0"/>
      <w:marBottom w:val="0"/>
      <w:divBdr>
        <w:top w:val="none" w:sz="0" w:space="0" w:color="auto"/>
        <w:left w:val="none" w:sz="0" w:space="0" w:color="auto"/>
        <w:bottom w:val="none" w:sz="0" w:space="0" w:color="auto"/>
        <w:right w:val="none" w:sz="0" w:space="0" w:color="auto"/>
      </w:divBdr>
    </w:div>
    <w:div w:id="327447214">
      <w:bodyDiv w:val="1"/>
      <w:marLeft w:val="0"/>
      <w:marRight w:val="0"/>
      <w:marTop w:val="0"/>
      <w:marBottom w:val="0"/>
      <w:divBdr>
        <w:top w:val="none" w:sz="0" w:space="0" w:color="auto"/>
        <w:left w:val="none" w:sz="0" w:space="0" w:color="auto"/>
        <w:bottom w:val="none" w:sz="0" w:space="0" w:color="auto"/>
        <w:right w:val="none" w:sz="0" w:space="0" w:color="auto"/>
      </w:divBdr>
    </w:div>
    <w:div w:id="345637919">
      <w:bodyDiv w:val="1"/>
      <w:marLeft w:val="0"/>
      <w:marRight w:val="0"/>
      <w:marTop w:val="0"/>
      <w:marBottom w:val="0"/>
      <w:divBdr>
        <w:top w:val="none" w:sz="0" w:space="0" w:color="auto"/>
        <w:left w:val="none" w:sz="0" w:space="0" w:color="auto"/>
        <w:bottom w:val="none" w:sz="0" w:space="0" w:color="auto"/>
        <w:right w:val="none" w:sz="0" w:space="0" w:color="auto"/>
      </w:divBdr>
    </w:div>
    <w:div w:id="432407848">
      <w:bodyDiv w:val="1"/>
      <w:marLeft w:val="0"/>
      <w:marRight w:val="0"/>
      <w:marTop w:val="0"/>
      <w:marBottom w:val="0"/>
      <w:divBdr>
        <w:top w:val="none" w:sz="0" w:space="0" w:color="auto"/>
        <w:left w:val="none" w:sz="0" w:space="0" w:color="auto"/>
        <w:bottom w:val="none" w:sz="0" w:space="0" w:color="auto"/>
        <w:right w:val="none" w:sz="0" w:space="0" w:color="auto"/>
      </w:divBdr>
    </w:div>
    <w:div w:id="459955054">
      <w:bodyDiv w:val="1"/>
      <w:marLeft w:val="0"/>
      <w:marRight w:val="0"/>
      <w:marTop w:val="0"/>
      <w:marBottom w:val="0"/>
      <w:divBdr>
        <w:top w:val="none" w:sz="0" w:space="0" w:color="auto"/>
        <w:left w:val="none" w:sz="0" w:space="0" w:color="auto"/>
        <w:bottom w:val="none" w:sz="0" w:space="0" w:color="auto"/>
        <w:right w:val="none" w:sz="0" w:space="0" w:color="auto"/>
      </w:divBdr>
    </w:div>
    <w:div w:id="459961374">
      <w:bodyDiv w:val="1"/>
      <w:marLeft w:val="0"/>
      <w:marRight w:val="0"/>
      <w:marTop w:val="0"/>
      <w:marBottom w:val="0"/>
      <w:divBdr>
        <w:top w:val="none" w:sz="0" w:space="0" w:color="auto"/>
        <w:left w:val="none" w:sz="0" w:space="0" w:color="auto"/>
        <w:bottom w:val="none" w:sz="0" w:space="0" w:color="auto"/>
        <w:right w:val="none" w:sz="0" w:space="0" w:color="auto"/>
      </w:divBdr>
      <w:divsChild>
        <w:div w:id="1699310960">
          <w:marLeft w:val="0"/>
          <w:marRight w:val="0"/>
          <w:marTop w:val="0"/>
          <w:marBottom w:val="0"/>
          <w:divBdr>
            <w:top w:val="none" w:sz="0" w:space="0" w:color="auto"/>
            <w:left w:val="none" w:sz="0" w:space="0" w:color="auto"/>
            <w:bottom w:val="none" w:sz="0" w:space="0" w:color="auto"/>
            <w:right w:val="none" w:sz="0" w:space="0" w:color="auto"/>
          </w:divBdr>
        </w:div>
      </w:divsChild>
    </w:div>
    <w:div w:id="472061882">
      <w:bodyDiv w:val="1"/>
      <w:marLeft w:val="0"/>
      <w:marRight w:val="0"/>
      <w:marTop w:val="0"/>
      <w:marBottom w:val="0"/>
      <w:divBdr>
        <w:top w:val="none" w:sz="0" w:space="0" w:color="auto"/>
        <w:left w:val="none" w:sz="0" w:space="0" w:color="auto"/>
        <w:bottom w:val="none" w:sz="0" w:space="0" w:color="auto"/>
        <w:right w:val="none" w:sz="0" w:space="0" w:color="auto"/>
      </w:divBdr>
    </w:div>
    <w:div w:id="501238023">
      <w:bodyDiv w:val="1"/>
      <w:marLeft w:val="0"/>
      <w:marRight w:val="0"/>
      <w:marTop w:val="0"/>
      <w:marBottom w:val="0"/>
      <w:divBdr>
        <w:top w:val="none" w:sz="0" w:space="0" w:color="auto"/>
        <w:left w:val="none" w:sz="0" w:space="0" w:color="auto"/>
        <w:bottom w:val="none" w:sz="0" w:space="0" w:color="auto"/>
        <w:right w:val="none" w:sz="0" w:space="0" w:color="auto"/>
      </w:divBdr>
    </w:div>
    <w:div w:id="511182917">
      <w:bodyDiv w:val="1"/>
      <w:marLeft w:val="0"/>
      <w:marRight w:val="0"/>
      <w:marTop w:val="0"/>
      <w:marBottom w:val="0"/>
      <w:divBdr>
        <w:top w:val="none" w:sz="0" w:space="0" w:color="auto"/>
        <w:left w:val="none" w:sz="0" w:space="0" w:color="auto"/>
        <w:bottom w:val="none" w:sz="0" w:space="0" w:color="auto"/>
        <w:right w:val="none" w:sz="0" w:space="0" w:color="auto"/>
      </w:divBdr>
    </w:div>
    <w:div w:id="530529941">
      <w:bodyDiv w:val="1"/>
      <w:marLeft w:val="0"/>
      <w:marRight w:val="0"/>
      <w:marTop w:val="0"/>
      <w:marBottom w:val="0"/>
      <w:divBdr>
        <w:top w:val="none" w:sz="0" w:space="0" w:color="auto"/>
        <w:left w:val="none" w:sz="0" w:space="0" w:color="auto"/>
        <w:bottom w:val="none" w:sz="0" w:space="0" w:color="auto"/>
        <w:right w:val="none" w:sz="0" w:space="0" w:color="auto"/>
      </w:divBdr>
    </w:div>
    <w:div w:id="617878468">
      <w:bodyDiv w:val="1"/>
      <w:marLeft w:val="0"/>
      <w:marRight w:val="0"/>
      <w:marTop w:val="0"/>
      <w:marBottom w:val="0"/>
      <w:divBdr>
        <w:top w:val="none" w:sz="0" w:space="0" w:color="auto"/>
        <w:left w:val="none" w:sz="0" w:space="0" w:color="auto"/>
        <w:bottom w:val="none" w:sz="0" w:space="0" w:color="auto"/>
        <w:right w:val="none" w:sz="0" w:space="0" w:color="auto"/>
      </w:divBdr>
    </w:div>
    <w:div w:id="634719261">
      <w:bodyDiv w:val="1"/>
      <w:marLeft w:val="0"/>
      <w:marRight w:val="0"/>
      <w:marTop w:val="0"/>
      <w:marBottom w:val="0"/>
      <w:divBdr>
        <w:top w:val="none" w:sz="0" w:space="0" w:color="auto"/>
        <w:left w:val="none" w:sz="0" w:space="0" w:color="auto"/>
        <w:bottom w:val="none" w:sz="0" w:space="0" w:color="auto"/>
        <w:right w:val="none" w:sz="0" w:space="0" w:color="auto"/>
      </w:divBdr>
    </w:div>
    <w:div w:id="645671831">
      <w:bodyDiv w:val="1"/>
      <w:marLeft w:val="0"/>
      <w:marRight w:val="0"/>
      <w:marTop w:val="0"/>
      <w:marBottom w:val="0"/>
      <w:divBdr>
        <w:top w:val="none" w:sz="0" w:space="0" w:color="auto"/>
        <w:left w:val="none" w:sz="0" w:space="0" w:color="auto"/>
        <w:bottom w:val="none" w:sz="0" w:space="0" w:color="auto"/>
        <w:right w:val="none" w:sz="0" w:space="0" w:color="auto"/>
      </w:divBdr>
    </w:div>
    <w:div w:id="649555967">
      <w:bodyDiv w:val="1"/>
      <w:marLeft w:val="0"/>
      <w:marRight w:val="0"/>
      <w:marTop w:val="0"/>
      <w:marBottom w:val="0"/>
      <w:divBdr>
        <w:top w:val="none" w:sz="0" w:space="0" w:color="auto"/>
        <w:left w:val="none" w:sz="0" w:space="0" w:color="auto"/>
        <w:bottom w:val="none" w:sz="0" w:space="0" w:color="auto"/>
        <w:right w:val="none" w:sz="0" w:space="0" w:color="auto"/>
      </w:divBdr>
    </w:div>
    <w:div w:id="652756514">
      <w:bodyDiv w:val="1"/>
      <w:marLeft w:val="0"/>
      <w:marRight w:val="0"/>
      <w:marTop w:val="0"/>
      <w:marBottom w:val="0"/>
      <w:divBdr>
        <w:top w:val="none" w:sz="0" w:space="0" w:color="auto"/>
        <w:left w:val="none" w:sz="0" w:space="0" w:color="auto"/>
        <w:bottom w:val="none" w:sz="0" w:space="0" w:color="auto"/>
        <w:right w:val="none" w:sz="0" w:space="0" w:color="auto"/>
      </w:divBdr>
    </w:div>
    <w:div w:id="668480909">
      <w:bodyDiv w:val="1"/>
      <w:marLeft w:val="0"/>
      <w:marRight w:val="0"/>
      <w:marTop w:val="0"/>
      <w:marBottom w:val="0"/>
      <w:divBdr>
        <w:top w:val="none" w:sz="0" w:space="0" w:color="auto"/>
        <w:left w:val="none" w:sz="0" w:space="0" w:color="auto"/>
        <w:bottom w:val="none" w:sz="0" w:space="0" w:color="auto"/>
        <w:right w:val="none" w:sz="0" w:space="0" w:color="auto"/>
      </w:divBdr>
    </w:div>
    <w:div w:id="675766628">
      <w:bodyDiv w:val="1"/>
      <w:marLeft w:val="0"/>
      <w:marRight w:val="0"/>
      <w:marTop w:val="0"/>
      <w:marBottom w:val="0"/>
      <w:divBdr>
        <w:top w:val="none" w:sz="0" w:space="0" w:color="auto"/>
        <w:left w:val="none" w:sz="0" w:space="0" w:color="auto"/>
        <w:bottom w:val="none" w:sz="0" w:space="0" w:color="auto"/>
        <w:right w:val="none" w:sz="0" w:space="0" w:color="auto"/>
      </w:divBdr>
    </w:div>
    <w:div w:id="690910508">
      <w:bodyDiv w:val="1"/>
      <w:marLeft w:val="0"/>
      <w:marRight w:val="0"/>
      <w:marTop w:val="0"/>
      <w:marBottom w:val="0"/>
      <w:divBdr>
        <w:top w:val="none" w:sz="0" w:space="0" w:color="auto"/>
        <w:left w:val="none" w:sz="0" w:space="0" w:color="auto"/>
        <w:bottom w:val="none" w:sz="0" w:space="0" w:color="auto"/>
        <w:right w:val="none" w:sz="0" w:space="0" w:color="auto"/>
      </w:divBdr>
    </w:div>
    <w:div w:id="715081761">
      <w:bodyDiv w:val="1"/>
      <w:marLeft w:val="0"/>
      <w:marRight w:val="0"/>
      <w:marTop w:val="0"/>
      <w:marBottom w:val="0"/>
      <w:divBdr>
        <w:top w:val="none" w:sz="0" w:space="0" w:color="auto"/>
        <w:left w:val="none" w:sz="0" w:space="0" w:color="auto"/>
        <w:bottom w:val="none" w:sz="0" w:space="0" w:color="auto"/>
        <w:right w:val="none" w:sz="0" w:space="0" w:color="auto"/>
      </w:divBdr>
    </w:div>
    <w:div w:id="732581008">
      <w:bodyDiv w:val="1"/>
      <w:marLeft w:val="0"/>
      <w:marRight w:val="0"/>
      <w:marTop w:val="0"/>
      <w:marBottom w:val="0"/>
      <w:divBdr>
        <w:top w:val="none" w:sz="0" w:space="0" w:color="auto"/>
        <w:left w:val="none" w:sz="0" w:space="0" w:color="auto"/>
        <w:bottom w:val="none" w:sz="0" w:space="0" w:color="auto"/>
        <w:right w:val="none" w:sz="0" w:space="0" w:color="auto"/>
      </w:divBdr>
    </w:div>
    <w:div w:id="732890574">
      <w:bodyDiv w:val="1"/>
      <w:marLeft w:val="0"/>
      <w:marRight w:val="0"/>
      <w:marTop w:val="0"/>
      <w:marBottom w:val="0"/>
      <w:divBdr>
        <w:top w:val="none" w:sz="0" w:space="0" w:color="auto"/>
        <w:left w:val="none" w:sz="0" w:space="0" w:color="auto"/>
        <w:bottom w:val="none" w:sz="0" w:space="0" w:color="auto"/>
        <w:right w:val="none" w:sz="0" w:space="0" w:color="auto"/>
      </w:divBdr>
    </w:div>
    <w:div w:id="756945517">
      <w:bodyDiv w:val="1"/>
      <w:marLeft w:val="0"/>
      <w:marRight w:val="0"/>
      <w:marTop w:val="0"/>
      <w:marBottom w:val="0"/>
      <w:divBdr>
        <w:top w:val="none" w:sz="0" w:space="0" w:color="auto"/>
        <w:left w:val="none" w:sz="0" w:space="0" w:color="auto"/>
        <w:bottom w:val="none" w:sz="0" w:space="0" w:color="auto"/>
        <w:right w:val="none" w:sz="0" w:space="0" w:color="auto"/>
      </w:divBdr>
    </w:div>
    <w:div w:id="772481724">
      <w:bodyDiv w:val="1"/>
      <w:marLeft w:val="0"/>
      <w:marRight w:val="0"/>
      <w:marTop w:val="0"/>
      <w:marBottom w:val="0"/>
      <w:divBdr>
        <w:top w:val="none" w:sz="0" w:space="0" w:color="auto"/>
        <w:left w:val="none" w:sz="0" w:space="0" w:color="auto"/>
        <w:bottom w:val="none" w:sz="0" w:space="0" w:color="auto"/>
        <w:right w:val="none" w:sz="0" w:space="0" w:color="auto"/>
      </w:divBdr>
    </w:div>
    <w:div w:id="776171431">
      <w:bodyDiv w:val="1"/>
      <w:marLeft w:val="0"/>
      <w:marRight w:val="0"/>
      <w:marTop w:val="0"/>
      <w:marBottom w:val="0"/>
      <w:divBdr>
        <w:top w:val="none" w:sz="0" w:space="0" w:color="auto"/>
        <w:left w:val="none" w:sz="0" w:space="0" w:color="auto"/>
        <w:bottom w:val="none" w:sz="0" w:space="0" w:color="auto"/>
        <w:right w:val="none" w:sz="0" w:space="0" w:color="auto"/>
      </w:divBdr>
    </w:div>
    <w:div w:id="782531103">
      <w:bodyDiv w:val="1"/>
      <w:marLeft w:val="0"/>
      <w:marRight w:val="0"/>
      <w:marTop w:val="0"/>
      <w:marBottom w:val="0"/>
      <w:divBdr>
        <w:top w:val="none" w:sz="0" w:space="0" w:color="auto"/>
        <w:left w:val="none" w:sz="0" w:space="0" w:color="auto"/>
        <w:bottom w:val="none" w:sz="0" w:space="0" w:color="auto"/>
        <w:right w:val="none" w:sz="0" w:space="0" w:color="auto"/>
      </w:divBdr>
    </w:div>
    <w:div w:id="812913558">
      <w:bodyDiv w:val="1"/>
      <w:marLeft w:val="0"/>
      <w:marRight w:val="0"/>
      <w:marTop w:val="0"/>
      <w:marBottom w:val="0"/>
      <w:divBdr>
        <w:top w:val="none" w:sz="0" w:space="0" w:color="auto"/>
        <w:left w:val="none" w:sz="0" w:space="0" w:color="auto"/>
        <w:bottom w:val="none" w:sz="0" w:space="0" w:color="auto"/>
        <w:right w:val="none" w:sz="0" w:space="0" w:color="auto"/>
      </w:divBdr>
    </w:div>
    <w:div w:id="827551802">
      <w:bodyDiv w:val="1"/>
      <w:marLeft w:val="0"/>
      <w:marRight w:val="0"/>
      <w:marTop w:val="0"/>
      <w:marBottom w:val="0"/>
      <w:divBdr>
        <w:top w:val="none" w:sz="0" w:space="0" w:color="auto"/>
        <w:left w:val="none" w:sz="0" w:space="0" w:color="auto"/>
        <w:bottom w:val="none" w:sz="0" w:space="0" w:color="auto"/>
        <w:right w:val="none" w:sz="0" w:space="0" w:color="auto"/>
      </w:divBdr>
    </w:div>
    <w:div w:id="835152784">
      <w:bodyDiv w:val="1"/>
      <w:marLeft w:val="0"/>
      <w:marRight w:val="0"/>
      <w:marTop w:val="0"/>
      <w:marBottom w:val="0"/>
      <w:divBdr>
        <w:top w:val="none" w:sz="0" w:space="0" w:color="auto"/>
        <w:left w:val="none" w:sz="0" w:space="0" w:color="auto"/>
        <w:bottom w:val="none" w:sz="0" w:space="0" w:color="auto"/>
        <w:right w:val="none" w:sz="0" w:space="0" w:color="auto"/>
      </w:divBdr>
    </w:div>
    <w:div w:id="851719097">
      <w:bodyDiv w:val="1"/>
      <w:marLeft w:val="0"/>
      <w:marRight w:val="0"/>
      <w:marTop w:val="0"/>
      <w:marBottom w:val="0"/>
      <w:divBdr>
        <w:top w:val="none" w:sz="0" w:space="0" w:color="auto"/>
        <w:left w:val="none" w:sz="0" w:space="0" w:color="auto"/>
        <w:bottom w:val="none" w:sz="0" w:space="0" w:color="auto"/>
        <w:right w:val="none" w:sz="0" w:space="0" w:color="auto"/>
      </w:divBdr>
    </w:div>
    <w:div w:id="869876051">
      <w:bodyDiv w:val="1"/>
      <w:marLeft w:val="0"/>
      <w:marRight w:val="0"/>
      <w:marTop w:val="0"/>
      <w:marBottom w:val="0"/>
      <w:divBdr>
        <w:top w:val="none" w:sz="0" w:space="0" w:color="auto"/>
        <w:left w:val="none" w:sz="0" w:space="0" w:color="auto"/>
        <w:bottom w:val="none" w:sz="0" w:space="0" w:color="auto"/>
        <w:right w:val="none" w:sz="0" w:space="0" w:color="auto"/>
      </w:divBdr>
    </w:div>
    <w:div w:id="886797755">
      <w:bodyDiv w:val="1"/>
      <w:marLeft w:val="0"/>
      <w:marRight w:val="0"/>
      <w:marTop w:val="0"/>
      <w:marBottom w:val="0"/>
      <w:divBdr>
        <w:top w:val="none" w:sz="0" w:space="0" w:color="auto"/>
        <w:left w:val="none" w:sz="0" w:space="0" w:color="auto"/>
        <w:bottom w:val="none" w:sz="0" w:space="0" w:color="auto"/>
        <w:right w:val="none" w:sz="0" w:space="0" w:color="auto"/>
      </w:divBdr>
    </w:div>
    <w:div w:id="943728472">
      <w:bodyDiv w:val="1"/>
      <w:marLeft w:val="0"/>
      <w:marRight w:val="0"/>
      <w:marTop w:val="0"/>
      <w:marBottom w:val="0"/>
      <w:divBdr>
        <w:top w:val="none" w:sz="0" w:space="0" w:color="auto"/>
        <w:left w:val="none" w:sz="0" w:space="0" w:color="auto"/>
        <w:bottom w:val="none" w:sz="0" w:space="0" w:color="auto"/>
        <w:right w:val="none" w:sz="0" w:space="0" w:color="auto"/>
      </w:divBdr>
    </w:div>
    <w:div w:id="1010839213">
      <w:bodyDiv w:val="1"/>
      <w:marLeft w:val="0"/>
      <w:marRight w:val="0"/>
      <w:marTop w:val="0"/>
      <w:marBottom w:val="0"/>
      <w:divBdr>
        <w:top w:val="none" w:sz="0" w:space="0" w:color="auto"/>
        <w:left w:val="none" w:sz="0" w:space="0" w:color="auto"/>
        <w:bottom w:val="none" w:sz="0" w:space="0" w:color="auto"/>
        <w:right w:val="none" w:sz="0" w:space="0" w:color="auto"/>
      </w:divBdr>
    </w:div>
    <w:div w:id="1012494833">
      <w:bodyDiv w:val="1"/>
      <w:marLeft w:val="0"/>
      <w:marRight w:val="0"/>
      <w:marTop w:val="0"/>
      <w:marBottom w:val="0"/>
      <w:divBdr>
        <w:top w:val="none" w:sz="0" w:space="0" w:color="auto"/>
        <w:left w:val="none" w:sz="0" w:space="0" w:color="auto"/>
        <w:bottom w:val="none" w:sz="0" w:space="0" w:color="auto"/>
        <w:right w:val="none" w:sz="0" w:space="0" w:color="auto"/>
      </w:divBdr>
    </w:div>
    <w:div w:id="1015499931">
      <w:bodyDiv w:val="1"/>
      <w:marLeft w:val="0"/>
      <w:marRight w:val="0"/>
      <w:marTop w:val="0"/>
      <w:marBottom w:val="0"/>
      <w:divBdr>
        <w:top w:val="none" w:sz="0" w:space="0" w:color="auto"/>
        <w:left w:val="none" w:sz="0" w:space="0" w:color="auto"/>
        <w:bottom w:val="none" w:sz="0" w:space="0" w:color="auto"/>
        <w:right w:val="none" w:sz="0" w:space="0" w:color="auto"/>
      </w:divBdr>
    </w:div>
    <w:div w:id="1042679953">
      <w:bodyDiv w:val="1"/>
      <w:marLeft w:val="0"/>
      <w:marRight w:val="0"/>
      <w:marTop w:val="0"/>
      <w:marBottom w:val="0"/>
      <w:divBdr>
        <w:top w:val="none" w:sz="0" w:space="0" w:color="auto"/>
        <w:left w:val="none" w:sz="0" w:space="0" w:color="auto"/>
        <w:bottom w:val="none" w:sz="0" w:space="0" w:color="auto"/>
        <w:right w:val="none" w:sz="0" w:space="0" w:color="auto"/>
      </w:divBdr>
    </w:div>
    <w:div w:id="1043486399">
      <w:bodyDiv w:val="1"/>
      <w:marLeft w:val="0"/>
      <w:marRight w:val="0"/>
      <w:marTop w:val="0"/>
      <w:marBottom w:val="0"/>
      <w:divBdr>
        <w:top w:val="none" w:sz="0" w:space="0" w:color="auto"/>
        <w:left w:val="none" w:sz="0" w:space="0" w:color="auto"/>
        <w:bottom w:val="none" w:sz="0" w:space="0" w:color="auto"/>
        <w:right w:val="none" w:sz="0" w:space="0" w:color="auto"/>
      </w:divBdr>
    </w:div>
    <w:div w:id="1110200989">
      <w:bodyDiv w:val="1"/>
      <w:marLeft w:val="0"/>
      <w:marRight w:val="0"/>
      <w:marTop w:val="0"/>
      <w:marBottom w:val="0"/>
      <w:divBdr>
        <w:top w:val="none" w:sz="0" w:space="0" w:color="auto"/>
        <w:left w:val="none" w:sz="0" w:space="0" w:color="auto"/>
        <w:bottom w:val="none" w:sz="0" w:space="0" w:color="auto"/>
        <w:right w:val="none" w:sz="0" w:space="0" w:color="auto"/>
      </w:divBdr>
    </w:div>
    <w:div w:id="1122578354">
      <w:bodyDiv w:val="1"/>
      <w:marLeft w:val="0"/>
      <w:marRight w:val="0"/>
      <w:marTop w:val="0"/>
      <w:marBottom w:val="0"/>
      <w:divBdr>
        <w:top w:val="none" w:sz="0" w:space="0" w:color="auto"/>
        <w:left w:val="none" w:sz="0" w:space="0" w:color="auto"/>
        <w:bottom w:val="none" w:sz="0" w:space="0" w:color="auto"/>
        <w:right w:val="none" w:sz="0" w:space="0" w:color="auto"/>
      </w:divBdr>
    </w:div>
    <w:div w:id="1158577700">
      <w:bodyDiv w:val="1"/>
      <w:marLeft w:val="0"/>
      <w:marRight w:val="0"/>
      <w:marTop w:val="0"/>
      <w:marBottom w:val="0"/>
      <w:divBdr>
        <w:top w:val="none" w:sz="0" w:space="0" w:color="auto"/>
        <w:left w:val="none" w:sz="0" w:space="0" w:color="auto"/>
        <w:bottom w:val="none" w:sz="0" w:space="0" w:color="auto"/>
        <w:right w:val="none" w:sz="0" w:space="0" w:color="auto"/>
      </w:divBdr>
    </w:div>
    <w:div w:id="1169129271">
      <w:bodyDiv w:val="1"/>
      <w:marLeft w:val="0"/>
      <w:marRight w:val="0"/>
      <w:marTop w:val="0"/>
      <w:marBottom w:val="0"/>
      <w:divBdr>
        <w:top w:val="none" w:sz="0" w:space="0" w:color="auto"/>
        <w:left w:val="none" w:sz="0" w:space="0" w:color="auto"/>
        <w:bottom w:val="none" w:sz="0" w:space="0" w:color="auto"/>
        <w:right w:val="none" w:sz="0" w:space="0" w:color="auto"/>
      </w:divBdr>
    </w:div>
    <w:div w:id="1193416924">
      <w:bodyDiv w:val="1"/>
      <w:marLeft w:val="0"/>
      <w:marRight w:val="0"/>
      <w:marTop w:val="0"/>
      <w:marBottom w:val="0"/>
      <w:divBdr>
        <w:top w:val="none" w:sz="0" w:space="0" w:color="auto"/>
        <w:left w:val="none" w:sz="0" w:space="0" w:color="auto"/>
        <w:bottom w:val="none" w:sz="0" w:space="0" w:color="auto"/>
        <w:right w:val="none" w:sz="0" w:space="0" w:color="auto"/>
      </w:divBdr>
    </w:div>
    <w:div w:id="1200044652">
      <w:bodyDiv w:val="1"/>
      <w:marLeft w:val="0"/>
      <w:marRight w:val="0"/>
      <w:marTop w:val="0"/>
      <w:marBottom w:val="0"/>
      <w:divBdr>
        <w:top w:val="none" w:sz="0" w:space="0" w:color="auto"/>
        <w:left w:val="none" w:sz="0" w:space="0" w:color="auto"/>
        <w:bottom w:val="none" w:sz="0" w:space="0" w:color="auto"/>
        <w:right w:val="none" w:sz="0" w:space="0" w:color="auto"/>
      </w:divBdr>
    </w:div>
    <w:div w:id="1219240253">
      <w:bodyDiv w:val="1"/>
      <w:marLeft w:val="0"/>
      <w:marRight w:val="0"/>
      <w:marTop w:val="0"/>
      <w:marBottom w:val="0"/>
      <w:divBdr>
        <w:top w:val="none" w:sz="0" w:space="0" w:color="auto"/>
        <w:left w:val="none" w:sz="0" w:space="0" w:color="auto"/>
        <w:bottom w:val="none" w:sz="0" w:space="0" w:color="auto"/>
        <w:right w:val="none" w:sz="0" w:space="0" w:color="auto"/>
      </w:divBdr>
    </w:div>
    <w:div w:id="1223100565">
      <w:bodyDiv w:val="1"/>
      <w:marLeft w:val="0"/>
      <w:marRight w:val="0"/>
      <w:marTop w:val="0"/>
      <w:marBottom w:val="0"/>
      <w:divBdr>
        <w:top w:val="none" w:sz="0" w:space="0" w:color="auto"/>
        <w:left w:val="none" w:sz="0" w:space="0" w:color="auto"/>
        <w:bottom w:val="none" w:sz="0" w:space="0" w:color="auto"/>
        <w:right w:val="none" w:sz="0" w:space="0" w:color="auto"/>
      </w:divBdr>
    </w:div>
    <w:div w:id="1234202453">
      <w:bodyDiv w:val="1"/>
      <w:marLeft w:val="0"/>
      <w:marRight w:val="0"/>
      <w:marTop w:val="0"/>
      <w:marBottom w:val="0"/>
      <w:divBdr>
        <w:top w:val="none" w:sz="0" w:space="0" w:color="auto"/>
        <w:left w:val="none" w:sz="0" w:space="0" w:color="auto"/>
        <w:bottom w:val="none" w:sz="0" w:space="0" w:color="auto"/>
        <w:right w:val="none" w:sz="0" w:space="0" w:color="auto"/>
      </w:divBdr>
    </w:div>
    <w:div w:id="1248076945">
      <w:bodyDiv w:val="1"/>
      <w:marLeft w:val="0"/>
      <w:marRight w:val="0"/>
      <w:marTop w:val="0"/>
      <w:marBottom w:val="0"/>
      <w:divBdr>
        <w:top w:val="none" w:sz="0" w:space="0" w:color="auto"/>
        <w:left w:val="none" w:sz="0" w:space="0" w:color="auto"/>
        <w:bottom w:val="none" w:sz="0" w:space="0" w:color="auto"/>
        <w:right w:val="none" w:sz="0" w:space="0" w:color="auto"/>
      </w:divBdr>
    </w:div>
    <w:div w:id="1374892240">
      <w:bodyDiv w:val="1"/>
      <w:marLeft w:val="0"/>
      <w:marRight w:val="0"/>
      <w:marTop w:val="0"/>
      <w:marBottom w:val="0"/>
      <w:divBdr>
        <w:top w:val="none" w:sz="0" w:space="0" w:color="auto"/>
        <w:left w:val="none" w:sz="0" w:space="0" w:color="auto"/>
        <w:bottom w:val="none" w:sz="0" w:space="0" w:color="auto"/>
        <w:right w:val="none" w:sz="0" w:space="0" w:color="auto"/>
      </w:divBdr>
    </w:div>
    <w:div w:id="1451851201">
      <w:bodyDiv w:val="1"/>
      <w:marLeft w:val="0"/>
      <w:marRight w:val="0"/>
      <w:marTop w:val="0"/>
      <w:marBottom w:val="0"/>
      <w:divBdr>
        <w:top w:val="none" w:sz="0" w:space="0" w:color="auto"/>
        <w:left w:val="none" w:sz="0" w:space="0" w:color="auto"/>
        <w:bottom w:val="none" w:sz="0" w:space="0" w:color="auto"/>
        <w:right w:val="none" w:sz="0" w:space="0" w:color="auto"/>
      </w:divBdr>
    </w:div>
    <w:div w:id="1480607565">
      <w:bodyDiv w:val="1"/>
      <w:marLeft w:val="0"/>
      <w:marRight w:val="0"/>
      <w:marTop w:val="0"/>
      <w:marBottom w:val="0"/>
      <w:divBdr>
        <w:top w:val="none" w:sz="0" w:space="0" w:color="auto"/>
        <w:left w:val="none" w:sz="0" w:space="0" w:color="auto"/>
        <w:bottom w:val="none" w:sz="0" w:space="0" w:color="auto"/>
        <w:right w:val="none" w:sz="0" w:space="0" w:color="auto"/>
      </w:divBdr>
    </w:div>
    <w:div w:id="1525513989">
      <w:bodyDiv w:val="1"/>
      <w:marLeft w:val="0"/>
      <w:marRight w:val="0"/>
      <w:marTop w:val="0"/>
      <w:marBottom w:val="0"/>
      <w:divBdr>
        <w:top w:val="none" w:sz="0" w:space="0" w:color="auto"/>
        <w:left w:val="none" w:sz="0" w:space="0" w:color="auto"/>
        <w:bottom w:val="none" w:sz="0" w:space="0" w:color="auto"/>
        <w:right w:val="none" w:sz="0" w:space="0" w:color="auto"/>
      </w:divBdr>
    </w:div>
    <w:div w:id="1531720245">
      <w:bodyDiv w:val="1"/>
      <w:marLeft w:val="0"/>
      <w:marRight w:val="0"/>
      <w:marTop w:val="0"/>
      <w:marBottom w:val="0"/>
      <w:divBdr>
        <w:top w:val="none" w:sz="0" w:space="0" w:color="auto"/>
        <w:left w:val="none" w:sz="0" w:space="0" w:color="auto"/>
        <w:bottom w:val="none" w:sz="0" w:space="0" w:color="auto"/>
        <w:right w:val="none" w:sz="0" w:space="0" w:color="auto"/>
      </w:divBdr>
    </w:div>
    <w:div w:id="1537354345">
      <w:bodyDiv w:val="1"/>
      <w:marLeft w:val="0"/>
      <w:marRight w:val="0"/>
      <w:marTop w:val="0"/>
      <w:marBottom w:val="0"/>
      <w:divBdr>
        <w:top w:val="none" w:sz="0" w:space="0" w:color="auto"/>
        <w:left w:val="none" w:sz="0" w:space="0" w:color="auto"/>
        <w:bottom w:val="none" w:sz="0" w:space="0" w:color="auto"/>
        <w:right w:val="none" w:sz="0" w:space="0" w:color="auto"/>
      </w:divBdr>
    </w:div>
    <w:div w:id="1567303047">
      <w:bodyDiv w:val="1"/>
      <w:marLeft w:val="0"/>
      <w:marRight w:val="0"/>
      <w:marTop w:val="0"/>
      <w:marBottom w:val="0"/>
      <w:divBdr>
        <w:top w:val="none" w:sz="0" w:space="0" w:color="auto"/>
        <w:left w:val="none" w:sz="0" w:space="0" w:color="auto"/>
        <w:bottom w:val="none" w:sz="0" w:space="0" w:color="auto"/>
        <w:right w:val="none" w:sz="0" w:space="0" w:color="auto"/>
      </w:divBdr>
    </w:div>
    <w:div w:id="1584679008">
      <w:bodyDiv w:val="1"/>
      <w:marLeft w:val="0"/>
      <w:marRight w:val="0"/>
      <w:marTop w:val="0"/>
      <w:marBottom w:val="0"/>
      <w:divBdr>
        <w:top w:val="none" w:sz="0" w:space="0" w:color="auto"/>
        <w:left w:val="none" w:sz="0" w:space="0" w:color="auto"/>
        <w:bottom w:val="none" w:sz="0" w:space="0" w:color="auto"/>
        <w:right w:val="none" w:sz="0" w:space="0" w:color="auto"/>
      </w:divBdr>
    </w:div>
    <w:div w:id="1603566834">
      <w:bodyDiv w:val="1"/>
      <w:marLeft w:val="0"/>
      <w:marRight w:val="0"/>
      <w:marTop w:val="0"/>
      <w:marBottom w:val="0"/>
      <w:divBdr>
        <w:top w:val="none" w:sz="0" w:space="0" w:color="auto"/>
        <w:left w:val="none" w:sz="0" w:space="0" w:color="auto"/>
        <w:bottom w:val="none" w:sz="0" w:space="0" w:color="auto"/>
        <w:right w:val="none" w:sz="0" w:space="0" w:color="auto"/>
      </w:divBdr>
    </w:div>
    <w:div w:id="1630209726">
      <w:bodyDiv w:val="1"/>
      <w:marLeft w:val="0"/>
      <w:marRight w:val="0"/>
      <w:marTop w:val="0"/>
      <w:marBottom w:val="0"/>
      <w:divBdr>
        <w:top w:val="none" w:sz="0" w:space="0" w:color="auto"/>
        <w:left w:val="none" w:sz="0" w:space="0" w:color="auto"/>
        <w:bottom w:val="none" w:sz="0" w:space="0" w:color="auto"/>
        <w:right w:val="none" w:sz="0" w:space="0" w:color="auto"/>
      </w:divBdr>
    </w:div>
    <w:div w:id="1675839657">
      <w:bodyDiv w:val="1"/>
      <w:marLeft w:val="0"/>
      <w:marRight w:val="0"/>
      <w:marTop w:val="0"/>
      <w:marBottom w:val="0"/>
      <w:divBdr>
        <w:top w:val="none" w:sz="0" w:space="0" w:color="auto"/>
        <w:left w:val="none" w:sz="0" w:space="0" w:color="auto"/>
        <w:bottom w:val="none" w:sz="0" w:space="0" w:color="auto"/>
        <w:right w:val="none" w:sz="0" w:space="0" w:color="auto"/>
      </w:divBdr>
    </w:div>
    <w:div w:id="1689287984">
      <w:bodyDiv w:val="1"/>
      <w:marLeft w:val="0"/>
      <w:marRight w:val="0"/>
      <w:marTop w:val="0"/>
      <w:marBottom w:val="0"/>
      <w:divBdr>
        <w:top w:val="none" w:sz="0" w:space="0" w:color="auto"/>
        <w:left w:val="none" w:sz="0" w:space="0" w:color="auto"/>
        <w:bottom w:val="none" w:sz="0" w:space="0" w:color="auto"/>
        <w:right w:val="none" w:sz="0" w:space="0" w:color="auto"/>
      </w:divBdr>
    </w:div>
    <w:div w:id="1693995847">
      <w:bodyDiv w:val="1"/>
      <w:marLeft w:val="0"/>
      <w:marRight w:val="0"/>
      <w:marTop w:val="0"/>
      <w:marBottom w:val="0"/>
      <w:divBdr>
        <w:top w:val="none" w:sz="0" w:space="0" w:color="auto"/>
        <w:left w:val="none" w:sz="0" w:space="0" w:color="auto"/>
        <w:bottom w:val="none" w:sz="0" w:space="0" w:color="auto"/>
        <w:right w:val="none" w:sz="0" w:space="0" w:color="auto"/>
      </w:divBdr>
    </w:div>
    <w:div w:id="1721905017">
      <w:bodyDiv w:val="1"/>
      <w:marLeft w:val="0"/>
      <w:marRight w:val="0"/>
      <w:marTop w:val="0"/>
      <w:marBottom w:val="0"/>
      <w:divBdr>
        <w:top w:val="none" w:sz="0" w:space="0" w:color="auto"/>
        <w:left w:val="none" w:sz="0" w:space="0" w:color="auto"/>
        <w:bottom w:val="none" w:sz="0" w:space="0" w:color="auto"/>
        <w:right w:val="none" w:sz="0" w:space="0" w:color="auto"/>
      </w:divBdr>
    </w:div>
    <w:div w:id="1731224524">
      <w:bodyDiv w:val="1"/>
      <w:marLeft w:val="0"/>
      <w:marRight w:val="0"/>
      <w:marTop w:val="0"/>
      <w:marBottom w:val="0"/>
      <w:divBdr>
        <w:top w:val="none" w:sz="0" w:space="0" w:color="auto"/>
        <w:left w:val="none" w:sz="0" w:space="0" w:color="auto"/>
        <w:bottom w:val="none" w:sz="0" w:space="0" w:color="auto"/>
        <w:right w:val="none" w:sz="0" w:space="0" w:color="auto"/>
      </w:divBdr>
    </w:div>
    <w:div w:id="1734348426">
      <w:bodyDiv w:val="1"/>
      <w:marLeft w:val="0"/>
      <w:marRight w:val="0"/>
      <w:marTop w:val="0"/>
      <w:marBottom w:val="0"/>
      <w:divBdr>
        <w:top w:val="none" w:sz="0" w:space="0" w:color="auto"/>
        <w:left w:val="none" w:sz="0" w:space="0" w:color="auto"/>
        <w:bottom w:val="none" w:sz="0" w:space="0" w:color="auto"/>
        <w:right w:val="none" w:sz="0" w:space="0" w:color="auto"/>
      </w:divBdr>
    </w:div>
    <w:div w:id="1752969236">
      <w:bodyDiv w:val="1"/>
      <w:marLeft w:val="0"/>
      <w:marRight w:val="0"/>
      <w:marTop w:val="0"/>
      <w:marBottom w:val="0"/>
      <w:divBdr>
        <w:top w:val="none" w:sz="0" w:space="0" w:color="auto"/>
        <w:left w:val="none" w:sz="0" w:space="0" w:color="auto"/>
        <w:bottom w:val="none" w:sz="0" w:space="0" w:color="auto"/>
        <w:right w:val="none" w:sz="0" w:space="0" w:color="auto"/>
      </w:divBdr>
    </w:div>
    <w:div w:id="1762213163">
      <w:bodyDiv w:val="1"/>
      <w:marLeft w:val="0"/>
      <w:marRight w:val="0"/>
      <w:marTop w:val="0"/>
      <w:marBottom w:val="0"/>
      <w:divBdr>
        <w:top w:val="none" w:sz="0" w:space="0" w:color="auto"/>
        <w:left w:val="none" w:sz="0" w:space="0" w:color="auto"/>
        <w:bottom w:val="none" w:sz="0" w:space="0" w:color="auto"/>
        <w:right w:val="none" w:sz="0" w:space="0" w:color="auto"/>
      </w:divBdr>
    </w:div>
    <w:div w:id="1786146652">
      <w:bodyDiv w:val="1"/>
      <w:marLeft w:val="0"/>
      <w:marRight w:val="0"/>
      <w:marTop w:val="0"/>
      <w:marBottom w:val="0"/>
      <w:divBdr>
        <w:top w:val="none" w:sz="0" w:space="0" w:color="auto"/>
        <w:left w:val="none" w:sz="0" w:space="0" w:color="auto"/>
        <w:bottom w:val="none" w:sz="0" w:space="0" w:color="auto"/>
        <w:right w:val="none" w:sz="0" w:space="0" w:color="auto"/>
      </w:divBdr>
    </w:div>
    <w:div w:id="1791165854">
      <w:bodyDiv w:val="1"/>
      <w:marLeft w:val="0"/>
      <w:marRight w:val="0"/>
      <w:marTop w:val="0"/>
      <w:marBottom w:val="0"/>
      <w:divBdr>
        <w:top w:val="none" w:sz="0" w:space="0" w:color="auto"/>
        <w:left w:val="none" w:sz="0" w:space="0" w:color="auto"/>
        <w:bottom w:val="none" w:sz="0" w:space="0" w:color="auto"/>
        <w:right w:val="none" w:sz="0" w:space="0" w:color="auto"/>
      </w:divBdr>
    </w:div>
    <w:div w:id="1832720275">
      <w:bodyDiv w:val="1"/>
      <w:marLeft w:val="0"/>
      <w:marRight w:val="0"/>
      <w:marTop w:val="0"/>
      <w:marBottom w:val="0"/>
      <w:divBdr>
        <w:top w:val="none" w:sz="0" w:space="0" w:color="auto"/>
        <w:left w:val="none" w:sz="0" w:space="0" w:color="auto"/>
        <w:bottom w:val="none" w:sz="0" w:space="0" w:color="auto"/>
        <w:right w:val="none" w:sz="0" w:space="0" w:color="auto"/>
      </w:divBdr>
    </w:div>
    <w:div w:id="1842160211">
      <w:bodyDiv w:val="1"/>
      <w:marLeft w:val="0"/>
      <w:marRight w:val="0"/>
      <w:marTop w:val="0"/>
      <w:marBottom w:val="0"/>
      <w:divBdr>
        <w:top w:val="none" w:sz="0" w:space="0" w:color="auto"/>
        <w:left w:val="none" w:sz="0" w:space="0" w:color="auto"/>
        <w:bottom w:val="none" w:sz="0" w:space="0" w:color="auto"/>
        <w:right w:val="none" w:sz="0" w:space="0" w:color="auto"/>
      </w:divBdr>
    </w:div>
    <w:div w:id="1873033653">
      <w:bodyDiv w:val="1"/>
      <w:marLeft w:val="0"/>
      <w:marRight w:val="0"/>
      <w:marTop w:val="0"/>
      <w:marBottom w:val="0"/>
      <w:divBdr>
        <w:top w:val="none" w:sz="0" w:space="0" w:color="auto"/>
        <w:left w:val="none" w:sz="0" w:space="0" w:color="auto"/>
        <w:bottom w:val="none" w:sz="0" w:space="0" w:color="auto"/>
        <w:right w:val="none" w:sz="0" w:space="0" w:color="auto"/>
      </w:divBdr>
    </w:div>
    <w:div w:id="1904098132">
      <w:bodyDiv w:val="1"/>
      <w:marLeft w:val="0"/>
      <w:marRight w:val="0"/>
      <w:marTop w:val="0"/>
      <w:marBottom w:val="0"/>
      <w:divBdr>
        <w:top w:val="none" w:sz="0" w:space="0" w:color="auto"/>
        <w:left w:val="none" w:sz="0" w:space="0" w:color="auto"/>
        <w:bottom w:val="none" w:sz="0" w:space="0" w:color="auto"/>
        <w:right w:val="none" w:sz="0" w:space="0" w:color="auto"/>
      </w:divBdr>
    </w:div>
    <w:div w:id="1908806577">
      <w:bodyDiv w:val="1"/>
      <w:marLeft w:val="0"/>
      <w:marRight w:val="0"/>
      <w:marTop w:val="0"/>
      <w:marBottom w:val="0"/>
      <w:divBdr>
        <w:top w:val="none" w:sz="0" w:space="0" w:color="auto"/>
        <w:left w:val="none" w:sz="0" w:space="0" w:color="auto"/>
        <w:bottom w:val="none" w:sz="0" w:space="0" w:color="auto"/>
        <w:right w:val="none" w:sz="0" w:space="0" w:color="auto"/>
      </w:divBdr>
    </w:div>
    <w:div w:id="1939363305">
      <w:bodyDiv w:val="1"/>
      <w:marLeft w:val="0"/>
      <w:marRight w:val="0"/>
      <w:marTop w:val="0"/>
      <w:marBottom w:val="0"/>
      <w:divBdr>
        <w:top w:val="none" w:sz="0" w:space="0" w:color="auto"/>
        <w:left w:val="none" w:sz="0" w:space="0" w:color="auto"/>
        <w:bottom w:val="none" w:sz="0" w:space="0" w:color="auto"/>
        <w:right w:val="none" w:sz="0" w:space="0" w:color="auto"/>
      </w:divBdr>
    </w:div>
    <w:div w:id="1998802301">
      <w:bodyDiv w:val="1"/>
      <w:marLeft w:val="0"/>
      <w:marRight w:val="0"/>
      <w:marTop w:val="0"/>
      <w:marBottom w:val="0"/>
      <w:divBdr>
        <w:top w:val="none" w:sz="0" w:space="0" w:color="auto"/>
        <w:left w:val="none" w:sz="0" w:space="0" w:color="auto"/>
        <w:bottom w:val="none" w:sz="0" w:space="0" w:color="auto"/>
        <w:right w:val="none" w:sz="0" w:space="0" w:color="auto"/>
      </w:divBdr>
      <w:divsChild>
        <w:div w:id="599028066">
          <w:marLeft w:val="0"/>
          <w:marRight w:val="0"/>
          <w:marTop w:val="0"/>
          <w:marBottom w:val="0"/>
          <w:divBdr>
            <w:top w:val="none" w:sz="0" w:space="0" w:color="auto"/>
            <w:left w:val="none" w:sz="0" w:space="0" w:color="auto"/>
            <w:bottom w:val="none" w:sz="0" w:space="0" w:color="auto"/>
            <w:right w:val="none" w:sz="0" w:space="0" w:color="auto"/>
          </w:divBdr>
        </w:div>
      </w:divsChild>
    </w:div>
    <w:div w:id="2044205148">
      <w:bodyDiv w:val="1"/>
      <w:marLeft w:val="0"/>
      <w:marRight w:val="0"/>
      <w:marTop w:val="0"/>
      <w:marBottom w:val="0"/>
      <w:divBdr>
        <w:top w:val="none" w:sz="0" w:space="0" w:color="auto"/>
        <w:left w:val="none" w:sz="0" w:space="0" w:color="auto"/>
        <w:bottom w:val="none" w:sz="0" w:space="0" w:color="auto"/>
        <w:right w:val="none" w:sz="0" w:space="0" w:color="auto"/>
      </w:divBdr>
    </w:div>
    <w:div w:id="2050061717">
      <w:bodyDiv w:val="1"/>
      <w:marLeft w:val="0"/>
      <w:marRight w:val="0"/>
      <w:marTop w:val="0"/>
      <w:marBottom w:val="0"/>
      <w:divBdr>
        <w:top w:val="none" w:sz="0" w:space="0" w:color="auto"/>
        <w:left w:val="none" w:sz="0" w:space="0" w:color="auto"/>
        <w:bottom w:val="none" w:sz="0" w:space="0" w:color="auto"/>
        <w:right w:val="none" w:sz="0" w:space="0" w:color="auto"/>
      </w:divBdr>
    </w:div>
    <w:div w:id="2050522358">
      <w:bodyDiv w:val="1"/>
      <w:marLeft w:val="0"/>
      <w:marRight w:val="0"/>
      <w:marTop w:val="0"/>
      <w:marBottom w:val="0"/>
      <w:divBdr>
        <w:top w:val="none" w:sz="0" w:space="0" w:color="auto"/>
        <w:left w:val="none" w:sz="0" w:space="0" w:color="auto"/>
        <w:bottom w:val="none" w:sz="0" w:space="0" w:color="auto"/>
        <w:right w:val="none" w:sz="0" w:space="0" w:color="auto"/>
      </w:divBdr>
    </w:div>
    <w:div w:id="2073191488">
      <w:bodyDiv w:val="1"/>
      <w:marLeft w:val="0"/>
      <w:marRight w:val="0"/>
      <w:marTop w:val="0"/>
      <w:marBottom w:val="0"/>
      <w:divBdr>
        <w:top w:val="none" w:sz="0" w:space="0" w:color="auto"/>
        <w:left w:val="none" w:sz="0" w:space="0" w:color="auto"/>
        <w:bottom w:val="none" w:sz="0" w:space="0" w:color="auto"/>
        <w:right w:val="none" w:sz="0" w:space="0" w:color="auto"/>
      </w:divBdr>
    </w:div>
    <w:div w:id="2090493638">
      <w:bodyDiv w:val="1"/>
      <w:marLeft w:val="0"/>
      <w:marRight w:val="0"/>
      <w:marTop w:val="0"/>
      <w:marBottom w:val="0"/>
      <w:divBdr>
        <w:top w:val="none" w:sz="0" w:space="0" w:color="auto"/>
        <w:left w:val="none" w:sz="0" w:space="0" w:color="auto"/>
        <w:bottom w:val="none" w:sz="0" w:space="0" w:color="auto"/>
        <w:right w:val="none" w:sz="0" w:space="0" w:color="auto"/>
      </w:divBdr>
    </w:div>
    <w:div w:id="2104064663">
      <w:bodyDiv w:val="1"/>
      <w:marLeft w:val="0"/>
      <w:marRight w:val="0"/>
      <w:marTop w:val="0"/>
      <w:marBottom w:val="0"/>
      <w:divBdr>
        <w:top w:val="none" w:sz="0" w:space="0" w:color="auto"/>
        <w:left w:val="none" w:sz="0" w:space="0" w:color="auto"/>
        <w:bottom w:val="none" w:sz="0" w:space="0" w:color="auto"/>
        <w:right w:val="none" w:sz="0" w:space="0" w:color="auto"/>
      </w:divBdr>
    </w:div>
    <w:div w:id="2111926173">
      <w:bodyDiv w:val="1"/>
      <w:marLeft w:val="0"/>
      <w:marRight w:val="0"/>
      <w:marTop w:val="0"/>
      <w:marBottom w:val="0"/>
      <w:divBdr>
        <w:top w:val="none" w:sz="0" w:space="0" w:color="auto"/>
        <w:left w:val="none" w:sz="0" w:space="0" w:color="auto"/>
        <w:bottom w:val="none" w:sz="0" w:space="0" w:color="auto"/>
        <w:right w:val="none" w:sz="0" w:space="0" w:color="auto"/>
      </w:divBdr>
    </w:div>
    <w:div w:id="2141725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image" Target="media/image4.sv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endnotes.xml.rels><?xml version="1.0" encoding="UTF-8" standalone="yes"?>
<Relationships xmlns="http://schemas.openxmlformats.org/package/2006/relationships"><Relationship Id="rId3" Type="http://schemas.openxmlformats.org/officeDocument/2006/relationships/hyperlink" Target="https://aspe.hhs.gov/system/files/pdf/263676/Second-IMPACT-SES-Report-to-Congress.pdf" TargetMode="External"/><Relationship Id="rId2" Type="http://schemas.openxmlformats.org/officeDocument/2006/relationships/hyperlink" Target="https://cdn-links.lww.com/permalink/tp/b/tp_2015_02_27_lentine_tpa-2014-1175_sdc1.pdf" TargetMode="External"/><Relationship Id="rId1" Type="http://schemas.openxmlformats.org/officeDocument/2006/relationships/hyperlink" Target="http://www.qualityforum.org/Publications/2014/08/RA_SES_Technical_Report.aspx" TargetMode="External"/><Relationship Id="rId5" Type="http://schemas.openxmlformats.org/officeDocument/2006/relationships/hyperlink" Target="https://innovation.cms.gov/files/fact-sheet/bpciadvanced-fs-nqf1789.pdf" TargetMode="External"/><Relationship Id="rId4" Type="http://schemas.openxmlformats.org/officeDocument/2006/relationships/hyperlink" Target="https://qualitynet.cms.gov/inpatient/measures/readmission/methodolog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EB101F7E214810B22A946E58187D67"/>
        <w:category>
          <w:name w:val="General"/>
          <w:gallery w:val="placeholder"/>
        </w:category>
        <w:types>
          <w:type w:val="bbPlcHdr"/>
        </w:types>
        <w:behaviors>
          <w:behavior w:val="content"/>
        </w:behaviors>
        <w:guid w:val="{07C0E58D-18F9-447A-BFA8-B314D5856C6D}"/>
      </w:docPartPr>
      <w:docPartBody>
        <w:p w:rsidR="0076158A" w:rsidRDefault="009B1B22" w:rsidP="009B1B22">
          <w:pPr>
            <w:pStyle w:val="5CEB101F7E214810B22A946E58187D67"/>
          </w:pPr>
          <w:r w:rsidRPr="00870134">
            <w:rPr>
              <w:rStyle w:val="PlaceholderText"/>
            </w:rPr>
            <w:t xml:space="preserve">Click here to enter </w:t>
          </w:r>
          <w:r>
            <w:rPr>
              <w:rStyle w:val="PlaceholderText"/>
            </w:rPr>
            <w:t>NQF number</w:t>
          </w:r>
        </w:p>
      </w:docPartBody>
    </w:docPart>
    <w:docPart>
      <w:docPartPr>
        <w:name w:val="EC97C438F9E84762AA7AC7E002C3F1AA"/>
        <w:category>
          <w:name w:val="General"/>
          <w:gallery w:val="placeholder"/>
        </w:category>
        <w:types>
          <w:type w:val="bbPlcHdr"/>
        </w:types>
        <w:behaviors>
          <w:behavior w:val="content"/>
        </w:behaviors>
        <w:guid w:val="{C919AED8-BA56-4C44-94E0-7024760DF597}"/>
      </w:docPartPr>
      <w:docPartBody>
        <w:p w:rsidR="0076158A" w:rsidRDefault="009B1B22" w:rsidP="009B1B22">
          <w:pPr>
            <w:pStyle w:val="EC97C438F9E84762AA7AC7E002C3F1AA"/>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4FE855C2338A451BA4D0700E0D51D52C"/>
        <w:category>
          <w:name w:val="General"/>
          <w:gallery w:val="placeholder"/>
        </w:category>
        <w:types>
          <w:type w:val="bbPlcHdr"/>
        </w:types>
        <w:behaviors>
          <w:behavior w:val="content"/>
        </w:behaviors>
        <w:guid w:val="{EE7CF15C-B175-4415-95B7-71D5281BDA30}"/>
      </w:docPartPr>
      <w:docPartBody>
        <w:p w:rsidR="0076158A" w:rsidRDefault="009B1B22" w:rsidP="009B1B22">
          <w:pPr>
            <w:pStyle w:val="4FE855C2338A451BA4D0700E0D51D52C"/>
          </w:pPr>
          <w:bookmarkStart w:id="1" w:name="_GoBack"/>
          <w:r w:rsidRPr="00A25024">
            <w:rPr>
              <w:rStyle w:val="PlaceholderText"/>
              <w:rFonts w:cstheme="minorHAnsi"/>
              <w:color w:val="A6A6A6" w:themeColor="background1" w:themeShade="A6"/>
            </w:rPr>
            <w:t>Click here to enter measure title</w:t>
          </w:r>
          <w:bookmarkEnd w:id="1"/>
        </w:p>
      </w:docPartBody>
    </w:docPart>
    <w:docPart>
      <w:docPartPr>
        <w:name w:val="C246A7502F3B4520B8F9AD641162F7AB"/>
        <w:category>
          <w:name w:val="General"/>
          <w:gallery w:val="placeholder"/>
        </w:category>
        <w:types>
          <w:type w:val="bbPlcHdr"/>
        </w:types>
        <w:behaviors>
          <w:behavior w:val="content"/>
        </w:behaviors>
        <w:guid w:val="{934FB6A9-F9D6-4904-81C3-2AB8295A386E}"/>
      </w:docPartPr>
      <w:docPartBody>
        <w:p w:rsidR="0076158A" w:rsidRDefault="009B1B22" w:rsidP="009B1B22">
          <w:pPr>
            <w:pStyle w:val="C246A7502F3B4520B8F9AD641162F7AB"/>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2"/>
    <w:rsid w:val="00012A5D"/>
    <w:rsid w:val="00063539"/>
    <w:rsid w:val="0006560F"/>
    <w:rsid w:val="00065AF3"/>
    <w:rsid w:val="000855B0"/>
    <w:rsid w:val="00106F22"/>
    <w:rsid w:val="001B3068"/>
    <w:rsid w:val="00216FB7"/>
    <w:rsid w:val="0023689F"/>
    <w:rsid w:val="002649CD"/>
    <w:rsid w:val="00281879"/>
    <w:rsid w:val="002F3EF6"/>
    <w:rsid w:val="003237F6"/>
    <w:rsid w:val="00392284"/>
    <w:rsid w:val="00407351"/>
    <w:rsid w:val="004234CC"/>
    <w:rsid w:val="004E3210"/>
    <w:rsid w:val="004F320F"/>
    <w:rsid w:val="00587145"/>
    <w:rsid w:val="005B45F4"/>
    <w:rsid w:val="005E5054"/>
    <w:rsid w:val="0068020C"/>
    <w:rsid w:val="00696822"/>
    <w:rsid w:val="0076158A"/>
    <w:rsid w:val="007D1701"/>
    <w:rsid w:val="008673F7"/>
    <w:rsid w:val="00894BE3"/>
    <w:rsid w:val="00897B14"/>
    <w:rsid w:val="008A4082"/>
    <w:rsid w:val="008F5BF6"/>
    <w:rsid w:val="0091368F"/>
    <w:rsid w:val="009243B0"/>
    <w:rsid w:val="009B1B22"/>
    <w:rsid w:val="009B6736"/>
    <w:rsid w:val="009C477B"/>
    <w:rsid w:val="00A82E14"/>
    <w:rsid w:val="00AB507F"/>
    <w:rsid w:val="00AB6950"/>
    <w:rsid w:val="00B14782"/>
    <w:rsid w:val="00B26338"/>
    <w:rsid w:val="00B60B62"/>
    <w:rsid w:val="00BA05D7"/>
    <w:rsid w:val="00BA5F6D"/>
    <w:rsid w:val="00BC693B"/>
    <w:rsid w:val="00BE7F6E"/>
    <w:rsid w:val="00C8370D"/>
    <w:rsid w:val="00CC14ED"/>
    <w:rsid w:val="00CF69E0"/>
    <w:rsid w:val="00D529E6"/>
    <w:rsid w:val="00E127E9"/>
    <w:rsid w:val="00E765B6"/>
    <w:rsid w:val="00EA1B04"/>
    <w:rsid w:val="00EB3F69"/>
    <w:rsid w:val="00EC0F39"/>
    <w:rsid w:val="00EC5C05"/>
    <w:rsid w:val="00F32BC8"/>
    <w:rsid w:val="00F41C39"/>
    <w:rsid w:val="00F64008"/>
    <w:rsid w:val="00FD5B73"/>
    <w:rsid w:val="00FF5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60B62"/>
    <w:rPr>
      <w:color w:val="808080"/>
    </w:rPr>
  </w:style>
  <w:style w:type="paragraph" w:customStyle="1" w:styleId="5CEB101F7E214810B22A946E58187D67">
    <w:name w:val="5CEB101F7E214810B22A946E58187D67"/>
    <w:rsid w:val="009B1B22"/>
  </w:style>
  <w:style w:type="paragraph" w:customStyle="1" w:styleId="EC97C438F9E84762AA7AC7E002C3F1AA">
    <w:name w:val="EC97C438F9E84762AA7AC7E002C3F1AA"/>
    <w:rsid w:val="009B1B22"/>
  </w:style>
  <w:style w:type="paragraph" w:customStyle="1" w:styleId="4FE855C2338A451BA4D0700E0D51D52C">
    <w:name w:val="4FE855C2338A451BA4D0700E0D51D52C"/>
    <w:rsid w:val="009B1B22"/>
  </w:style>
  <w:style w:type="paragraph" w:customStyle="1" w:styleId="C246A7502F3B4520B8F9AD641162F7AB">
    <w:name w:val="C246A7502F3B4520B8F9AD641162F7AB"/>
    <w:rsid w:val="009B1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BC9A17F18FF549A1A4E878A069D6EE" ma:contentTypeVersion="0" ma:contentTypeDescription="Create a new document." ma:contentTypeScope="" ma:versionID="fe71821fc1561602d900a6cea830e0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97C62-F274-4D8B-9D4C-7F4DD3F7C1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2DFAB16-5210-4083-A1B2-0955E72FAB5E}">
  <ds:schemaRefs>
    <ds:schemaRef ds:uri="http://schemas.openxmlformats.org/package/2006/metadata/core-properties"/>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D695383-34F4-4B12-B089-FC83B6A46F2A}">
  <ds:schemaRefs>
    <ds:schemaRef ds:uri="http://schemas.microsoft.com/sharepoint/v3/contenttype/forms"/>
  </ds:schemaRefs>
</ds:datastoreItem>
</file>

<file path=customXml/itemProps4.xml><?xml version="1.0" encoding="utf-8"?>
<ds:datastoreItem xmlns:ds="http://schemas.openxmlformats.org/officeDocument/2006/customXml" ds:itemID="{5FCC3307-4637-4893-A71D-BE0FD7221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35</Pages>
  <Words>15345</Words>
  <Characters>87471</Characters>
  <Application>Microsoft Office Word</Application>
  <DocSecurity>0</DocSecurity>
  <Lines>728</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Edelberg</dc:creator>
  <cp:keywords/>
  <dc:description/>
  <cp:lastModifiedBy>Jason Smoot</cp:lastModifiedBy>
  <cp:revision>6</cp:revision>
  <cp:lastPrinted>2020-12-03T15:40:00Z</cp:lastPrinted>
  <dcterms:created xsi:type="dcterms:W3CDTF">2021-04-16T14:53:00Z</dcterms:created>
  <dcterms:modified xsi:type="dcterms:W3CDTF">2021-04-16T18:34:00Z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0x010100FDBC9A17F18FF549A1A4E878A069D6EE</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6th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ies>
</file>