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11B98013" w:rsidR="00927027" w:rsidRDefault="000E78F6" w:rsidP="00927027">
      <w:pPr>
        <w:contextualSpacing/>
        <w:jc w:val="center"/>
        <w:rPr>
          <w:rFonts w:cstheme="minorHAnsi"/>
          <w:b/>
          <w:noProof/>
        </w:rPr>
      </w:pPr>
      <w:bookmarkStart w:id="0" w:name="_Hlk28244220"/>
      <w:bookmarkStart w:id="1" w:name="_GoBack"/>
      <w:bookmarkEnd w:id="0"/>
      <w:bookmarkEnd w:id="1"/>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77777777"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howingPlcHdr/>
        </w:sdtPr>
        <w:sdtEndPr>
          <w:rPr>
            <w:rStyle w:val="DefaultParagraphFont"/>
            <w:rFonts w:cstheme="minorHAnsi"/>
            <w:b/>
            <w:noProof/>
            <w:color w:val="auto"/>
          </w:rPr>
        </w:sdtEndPr>
        <w:sdtContent>
          <w:r w:rsidRPr="00870134">
            <w:rPr>
              <w:rStyle w:val="PlaceholderText"/>
            </w:rPr>
            <w:t xml:space="preserve">Click here to enter </w:t>
          </w:r>
          <w:r>
            <w:rPr>
              <w:rStyle w:val="PlaceholderText"/>
            </w:rPr>
            <w:t>NQF number</w:t>
          </w:r>
        </w:sdtContent>
      </w:sdt>
    </w:p>
    <w:p w14:paraId="0CABCF56" w14:textId="379F6B22"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CF2587">
            <w:rPr>
              <w:rStyle w:val="Style1"/>
              <w:rFonts w:cstheme="minorHAnsi"/>
            </w:rPr>
            <w:t>Mediation Continuation Following Inpatient Psychiatric Discharge</w:t>
          </w:r>
        </w:sdtContent>
      </w:sdt>
    </w:p>
    <w:p w14:paraId="0CABCF57" w14:textId="3B8E6D8D"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20-08-02T00:00:00Z">
            <w:dateFormat w:val="M/d/yyyy"/>
            <w:lid w:val="en-US"/>
            <w:storeMappedDataAs w:val="dateTime"/>
            <w:calendar w:val="gregorian"/>
          </w:date>
        </w:sdtPr>
        <w:sdtEndPr>
          <w:rPr>
            <w:rStyle w:val="DefaultParagraphFont"/>
            <w:noProof/>
            <w:color w:val="auto"/>
            <w:u w:val="none"/>
          </w:rPr>
        </w:sdtEndPr>
        <w:sdtContent>
          <w:r w:rsidR="00B6246A">
            <w:rPr>
              <w:rStyle w:val="Style2"/>
              <w:rFonts w:cstheme="minorHAnsi"/>
            </w:rPr>
            <w:t>8</w:t>
          </w:r>
          <w:r w:rsidR="00575AF7">
            <w:rPr>
              <w:rStyle w:val="Style2"/>
              <w:rFonts w:cstheme="minorHAnsi"/>
            </w:rPr>
            <w:t>/</w:t>
          </w:r>
          <w:r w:rsidR="00B6246A">
            <w:rPr>
              <w:rStyle w:val="Style2"/>
              <w:rFonts w:cstheme="minorHAnsi"/>
            </w:rPr>
            <w:t>2</w:t>
          </w:r>
          <w:r w:rsidR="00575AF7">
            <w:rPr>
              <w:rStyle w:val="Style2"/>
              <w:rFonts w:cstheme="minorHAnsi"/>
            </w:rPr>
            <w:t>/20</w:t>
          </w:r>
          <w:r w:rsidR="002139D5">
            <w:rPr>
              <w:rStyle w:val="Style2"/>
              <w:rFonts w:cstheme="minorHAnsi"/>
            </w:rPr>
            <w:t>20</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5DA1F638" w:rsidR="000B7D57" w:rsidRPr="00C775CE" w:rsidRDefault="00BF1DD7"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C96C83">
                  <w:rPr>
                    <w:rFonts w:ascii="MS Gothic" w:eastAsia="MS Gothic" w:hAnsi="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BF1DD7"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BF1DD7"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BF1DD7"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3A5D0206" w:rsidR="000B7D57" w:rsidRPr="00C775CE" w:rsidRDefault="00BF1DD7"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C96C83">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BF1DD7"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BF1DD7"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1"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2"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5D533DE3" w:rsidR="00145149" w:rsidRPr="000F034A" w:rsidRDefault="00145149" w:rsidP="00145149">
            <w:pPr>
              <w:rPr>
                <w:rFonts w:cstheme="minorHAnsi"/>
              </w:rPr>
            </w:pPr>
            <w:r w:rsidRPr="000F034A">
              <w:rPr>
                <w:rFonts w:cstheme="minorHAnsi"/>
              </w:rPr>
              <w:t>If patient preference (e.g., informed decision</w:t>
            </w:r>
            <w:r w:rsidR="007A4DDF">
              <w:rPr>
                <w:rFonts w:cstheme="minorHAnsi"/>
              </w:rPr>
              <w:t xml:space="preserve"> </w:t>
            </w:r>
            <w:r w:rsidRPr="000F034A">
              <w:rPr>
                <w:rFonts w:cstheme="minorHAnsi"/>
              </w:rPr>
              <w:t xml:space="preserve">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3"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3"/>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nonresponders) and how the specified handling of missing data minimizes bias.</w:t>
            </w:r>
          </w:p>
          <w:bookmarkEnd w:id="2"/>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4" w:name="Note8"/>
            <w:bookmarkStart w:id="5" w:name="Note9"/>
            <w:bookmarkStart w:id="6" w:name="Note10"/>
            <w:bookmarkEnd w:id="4"/>
            <w:bookmarkEnd w:id="5"/>
            <w:bookmarkEnd w:id="6"/>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7" w:name="Note11"/>
            <w:bookmarkEnd w:id="7"/>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8" w:name="Note12"/>
            <w:bookmarkEnd w:id="8"/>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9" w:name="Note13"/>
            <w:bookmarkEnd w:id="9"/>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10" w:name="Note14"/>
            <w:bookmarkEnd w:id="10"/>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11" w:name="Note15"/>
            <w:bookmarkEnd w:id="11"/>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2" w:name="Note16"/>
            <w:bookmarkEnd w:id="12"/>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BF1DD7"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BF1DD7"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20ADD13D" w:rsidR="00A01494" w:rsidRPr="000F1B7A" w:rsidRDefault="00BF1DD7" w:rsidP="000F1B7A">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C9787E">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1C038489" w:rsidR="00A01494" w:rsidRPr="000F1B7A" w:rsidRDefault="00BF1DD7" w:rsidP="000F1B7A">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C9787E">
                  <w:rPr>
                    <w:rFonts w:ascii="MS Gothic" w:eastAsia="MS Gothic" w:hAnsi="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BF1DD7"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BF1DD7"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BF1DD7"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BF1DD7"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BF1DD7"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BF1DD7"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BF1DD7"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BF1DD7"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6B86B925" w14:textId="68E352E9" w:rsidR="00A52285"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w:t>
      </w:r>
    </w:p>
    <w:p w14:paraId="73F09201" w14:textId="77777777" w:rsidR="00F777FD" w:rsidRPr="00A52285" w:rsidRDefault="00F777FD" w:rsidP="00DB3627">
      <w:pPr>
        <w:autoSpaceDE w:val="0"/>
        <w:autoSpaceDN w:val="0"/>
        <w:adjustRightInd w:val="0"/>
        <w:spacing w:after="0" w:line="240" w:lineRule="auto"/>
        <w:rPr>
          <w:rFonts w:cstheme="minorHAnsi"/>
          <w:bCs/>
        </w:rPr>
      </w:pPr>
    </w:p>
    <w:p w14:paraId="0CABCFAF" w14:textId="73C4D520" w:rsidR="009E1846" w:rsidRDefault="00A52285" w:rsidP="00DB3627">
      <w:pPr>
        <w:autoSpaceDE w:val="0"/>
        <w:autoSpaceDN w:val="0"/>
        <w:adjustRightInd w:val="0"/>
        <w:spacing w:after="0" w:line="240" w:lineRule="auto"/>
        <w:rPr>
          <w:rFonts w:cstheme="minorHAnsi"/>
          <w:color w:val="FF0000"/>
        </w:rPr>
      </w:pPr>
      <w:r w:rsidRPr="00F32679">
        <w:rPr>
          <w:rFonts w:cstheme="minorHAnsi"/>
          <w:color w:val="FF0000"/>
        </w:rPr>
        <w:t xml:space="preserve">The </w:t>
      </w:r>
      <w:r w:rsidR="00854CD4" w:rsidRPr="00F32679">
        <w:rPr>
          <w:rFonts w:cstheme="minorHAnsi"/>
          <w:color w:val="FF0000"/>
        </w:rPr>
        <w:t>Medication Continuation</w:t>
      </w:r>
      <w:r w:rsidRPr="00F32679">
        <w:rPr>
          <w:rFonts w:cstheme="minorHAnsi"/>
          <w:color w:val="FF0000"/>
        </w:rPr>
        <w:t xml:space="preserve"> measu</w:t>
      </w:r>
      <w:r w:rsidR="00992F9F" w:rsidRPr="00F32679">
        <w:rPr>
          <w:rFonts w:cstheme="minorHAnsi"/>
          <w:color w:val="FF0000"/>
        </w:rPr>
        <w:t>re uses</w:t>
      </w:r>
      <w:r w:rsidRPr="00F32679">
        <w:rPr>
          <w:rFonts w:cstheme="minorHAnsi"/>
          <w:color w:val="FF0000"/>
        </w:rPr>
        <w:t xml:space="preserve"> Medicare</w:t>
      </w:r>
      <w:r w:rsidR="00B83D23">
        <w:rPr>
          <w:rFonts w:cstheme="minorHAnsi"/>
          <w:color w:val="FF0000"/>
        </w:rPr>
        <w:t xml:space="preserve"> fee for service</w:t>
      </w:r>
      <w:r w:rsidRPr="00F32679">
        <w:rPr>
          <w:rFonts w:cstheme="minorHAnsi"/>
          <w:color w:val="FF0000"/>
        </w:rPr>
        <w:t xml:space="preserve"> </w:t>
      </w:r>
      <w:r w:rsidR="00B83D23">
        <w:rPr>
          <w:rFonts w:cstheme="minorHAnsi"/>
          <w:color w:val="FF0000"/>
        </w:rPr>
        <w:t>(</w:t>
      </w:r>
      <w:r w:rsidRPr="00F32679">
        <w:rPr>
          <w:rFonts w:cstheme="minorHAnsi"/>
          <w:color w:val="FF0000"/>
        </w:rPr>
        <w:t>FFS</w:t>
      </w:r>
      <w:r w:rsidR="00D153CF">
        <w:rPr>
          <w:rFonts w:cstheme="minorHAnsi"/>
          <w:color w:val="FF0000"/>
        </w:rPr>
        <w:t>)</w:t>
      </w:r>
      <w:r w:rsidRPr="00F32679">
        <w:rPr>
          <w:rFonts w:cstheme="minorHAnsi"/>
          <w:color w:val="FF0000"/>
        </w:rPr>
        <w:t xml:space="preserve"> Part</w:t>
      </w:r>
      <w:r w:rsidR="007E67C8" w:rsidRPr="00F32679">
        <w:rPr>
          <w:rFonts w:cstheme="minorHAnsi"/>
          <w:color w:val="FF0000"/>
        </w:rPr>
        <w:t>s A, B, and D</w:t>
      </w:r>
      <w:r w:rsidRPr="00F32679">
        <w:rPr>
          <w:rFonts w:cstheme="minorHAnsi"/>
          <w:color w:val="FF0000"/>
        </w:rPr>
        <w:t xml:space="preserve"> claims data.</w:t>
      </w:r>
    </w:p>
    <w:p w14:paraId="0B3064D7" w14:textId="5A993397" w:rsidR="00AA1516" w:rsidRDefault="00AA1516" w:rsidP="00DB3627">
      <w:pPr>
        <w:autoSpaceDE w:val="0"/>
        <w:autoSpaceDN w:val="0"/>
        <w:adjustRightInd w:val="0"/>
        <w:spacing w:after="0" w:line="240" w:lineRule="auto"/>
        <w:rPr>
          <w:rFonts w:cstheme="minorHAnsi"/>
          <w:color w:val="FF0000"/>
        </w:rPr>
      </w:pPr>
    </w:p>
    <w:p w14:paraId="09414B5C" w14:textId="77777777" w:rsidR="00AA1516" w:rsidRPr="0075066F" w:rsidRDefault="00AA1516" w:rsidP="00AA1516">
      <w:pPr>
        <w:autoSpaceDE w:val="0"/>
        <w:autoSpaceDN w:val="0"/>
        <w:adjustRightInd w:val="0"/>
        <w:spacing w:before="60" w:after="120" w:line="240" w:lineRule="auto"/>
        <w:rPr>
          <w:color w:val="0000FF"/>
        </w:rPr>
      </w:pPr>
      <w:r w:rsidRPr="0075066F">
        <w:rPr>
          <w:color w:val="0000FF"/>
        </w:rPr>
        <w:t>Medicare administrative claims data</w:t>
      </w:r>
    </w:p>
    <w:p w14:paraId="10C53F2E" w14:textId="77777777" w:rsidR="00A52285" w:rsidRDefault="00A52285" w:rsidP="00DB3627">
      <w:pPr>
        <w:autoSpaceDE w:val="0"/>
        <w:autoSpaceDN w:val="0"/>
        <w:adjustRightInd w:val="0"/>
        <w:spacing w:after="0" w:line="240" w:lineRule="auto"/>
        <w:rPr>
          <w:rFonts w:cstheme="minorHAnsi"/>
          <w:b/>
        </w:rPr>
      </w:pPr>
    </w:p>
    <w:p w14:paraId="0CABCFB0" w14:textId="05D38ECC"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bookmarkStart w:id="13" w:name="_Hlk43975476"/>
      <w:sdt>
        <w:sdtPr>
          <w:rPr>
            <w:rStyle w:val="Style1"/>
            <w:color w:val="FF0000"/>
          </w:rPr>
          <w:id w:val="950514773"/>
          <w:text/>
        </w:sdtPr>
        <w:sdtEndPr>
          <w:rPr>
            <w:rStyle w:val="Style1"/>
          </w:rPr>
        </w:sdtEndPr>
        <w:sdtContent>
          <w:r w:rsidR="00170834" w:rsidRPr="00DB3C52">
            <w:rPr>
              <w:rStyle w:val="Style1"/>
              <w:color w:val="FF0000"/>
            </w:rPr>
            <w:t>July 1, 201</w:t>
          </w:r>
          <w:r w:rsidR="007E67C8" w:rsidRPr="00DB3C52">
            <w:rPr>
              <w:rStyle w:val="Style1"/>
              <w:color w:val="FF0000"/>
            </w:rPr>
            <w:t>7</w:t>
          </w:r>
          <w:r w:rsidR="00170834" w:rsidRPr="00DB3C52">
            <w:rPr>
              <w:rStyle w:val="Style1"/>
              <w:color w:val="FF0000"/>
            </w:rPr>
            <w:t xml:space="preserve"> to June</w:t>
          </w:r>
          <w:r w:rsidR="00A52285" w:rsidRPr="00DB3C52">
            <w:rPr>
              <w:rStyle w:val="Style1"/>
              <w:color w:val="FF0000"/>
            </w:rPr>
            <w:t xml:space="preserve"> 30, 201</w:t>
          </w:r>
          <w:r w:rsidR="007E67C8" w:rsidRPr="00DB3C52">
            <w:rPr>
              <w:rStyle w:val="Style1"/>
              <w:color w:val="FF0000"/>
            </w:rPr>
            <w:t>9</w:t>
          </w:r>
        </w:sdtContent>
      </w:sdt>
      <w:bookmarkEnd w:id="13"/>
    </w:p>
    <w:p w14:paraId="0CABCFB1" w14:textId="5FE43515" w:rsidR="000574AB" w:rsidRDefault="000574AB" w:rsidP="00DB3627">
      <w:pPr>
        <w:autoSpaceDE w:val="0"/>
        <w:autoSpaceDN w:val="0"/>
        <w:adjustRightInd w:val="0"/>
        <w:spacing w:after="0" w:line="240" w:lineRule="auto"/>
        <w:rPr>
          <w:rFonts w:cstheme="minorHAnsi"/>
          <w:bCs/>
        </w:rPr>
      </w:pPr>
    </w:p>
    <w:p w14:paraId="50D54BEE" w14:textId="4D25E006" w:rsidR="00AA1516" w:rsidRDefault="00BF1DD7" w:rsidP="00DB3627">
      <w:pPr>
        <w:autoSpaceDE w:val="0"/>
        <w:autoSpaceDN w:val="0"/>
        <w:adjustRightInd w:val="0"/>
        <w:spacing w:after="0" w:line="240" w:lineRule="auto"/>
        <w:rPr>
          <w:rFonts w:cstheme="minorHAnsi"/>
          <w:bCs/>
        </w:rPr>
      </w:pPr>
      <w:sdt>
        <w:sdtPr>
          <w:rPr>
            <w:rStyle w:val="Style1"/>
          </w:rPr>
          <w:id w:val="354391524"/>
          <w:text/>
        </w:sdtPr>
        <w:sdtEndPr>
          <w:rPr>
            <w:rStyle w:val="DefaultParagraphFont"/>
            <w:rFonts w:cstheme="minorHAnsi"/>
            <w:color w:val="auto"/>
          </w:rPr>
        </w:sdtEndPr>
        <w:sdtContent>
          <w:r w:rsidR="00AA1516">
            <w:rPr>
              <w:rStyle w:val="Style1"/>
            </w:rPr>
            <w:t>January 1, 2013- January 31, 2015</w:t>
          </w:r>
        </w:sdtContent>
      </w:sdt>
    </w:p>
    <w:p w14:paraId="177A0C5E" w14:textId="77777777" w:rsidR="00AA1516" w:rsidRDefault="00AA1516"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BF1DD7"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BF1DD7"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BF1DD7"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BF1DD7"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03A4D92C" w:rsidR="000414E8" w:rsidRPr="00A01494" w:rsidRDefault="00BF1DD7"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A52285">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46AC779E" w:rsidR="000414E8" w:rsidRPr="00A01494" w:rsidRDefault="00BF1DD7"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A52285">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BF1DD7"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BF1DD7"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BF1DD7"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BF1DD7"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7B39ABE4" w14:textId="7B03858C" w:rsidR="00A52285"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 xml:space="preserve">of measured entities </w:t>
      </w:r>
      <w:r w:rsidR="004348CC" w:rsidRPr="00A25024">
        <w:rPr>
          <w:rFonts w:cstheme="minorHAnsi"/>
          <w:bCs/>
          <w:i/>
        </w:rPr>
        <w:lastRenderedPageBreak/>
        <w:t>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w:t>
      </w:r>
    </w:p>
    <w:p w14:paraId="512739DA" w14:textId="77777777" w:rsidR="00F777FD" w:rsidRDefault="00F777FD" w:rsidP="00DB3627">
      <w:pPr>
        <w:autoSpaceDE w:val="0"/>
        <w:autoSpaceDN w:val="0"/>
        <w:adjustRightInd w:val="0"/>
        <w:spacing w:after="0" w:line="240" w:lineRule="auto"/>
        <w:rPr>
          <w:rFonts w:cstheme="minorHAnsi"/>
          <w:bCs/>
        </w:rPr>
      </w:pPr>
    </w:p>
    <w:p w14:paraId="15A7F8C8" w14:textId="47CBF3AE" w:rsidR="001400C2" w:rsidRDefault="00FA7E89" w:rsidP="001400C2">
      <w:pPr>
        <w:autoSpaceDE w:val="0"/>
        <w:autoSpaceDN w:val="0"/>
        <w:adjustRightInd w:val="0"/>
        <w:spacing w:after="0" w:line="240" w:lineRule="auto"/>
        <w:rPr>
          <w:rFonts w:cstheme="minorHAnsi"/>
          <w:bCs/>
          <w:color w:val="FF0000"/>
        </w:rPr>
      </w:pPr>
      <w:r>
        <w:rPr>
          <w:rFonts w:cstheme="minorHAnsi"/>
          <w:bCs/>
          <w:color w:val="FF0000"/>
        </w:rPr>
        <w:t>Our</w:t>
      </w:r>
      <w:r w:rsidR="00A52285" w:rsidRPr="00F32679">
        <w:rPr>
          <w:rFonts w:cstheme="minorHAnsi"/>
          <w:bCs/>
          <w:color w:val="FF0000"/>
        </w:rPr>
        <w:t xml:space="preserve"> testing dataset included </w:t>
      </w:r>
      <w:r w:rsidR="00AA1516">
        <w:rPr>
          <w:rFonts w:cstheme="minorHAnsi"/>
          <w:bCs/>
          <w:color w:val="FF0000"/>
        </w:rPr>
        <w:t>308,556</w:t>
      </w:r>
      <w:r w:rsidR="00A52285" w:rsidRPr="00F32679">
        <w:rPr>
          <w:rFonts w:cstheme="minorHAnsi"/>
          <w:bCs/>
          <w:color w:val="FF0000"/>
        </w:rPr>
        <w:t xml:space="preserve"> </w:t>
      </w:r>
      <w:r w:rsidR="002E0CEC">
        <w:rPr>
          <w:rFonts w:cstheme="minorHAnsi"/>
          <w:bCs/>
          <w:color w:val="FF0000"/>
        </w:rPr>
        <w:t xml:space="preserve">patient </w:t>
      </w:r>
      <w:r w:rsidR="00A52285" w:rsidRPr="00F32679">
        <w:rPr>
          <w:rFonts w:cstheme="minorHAnsi"/>
          <w:bCs/>
          <w:color w:val="FF0000"/>
        </w:rPr>
        <w:t xml:space="preserve">discharges across </w:t>
      </w:r>
      <w:r w:rsidR="00B37CB4" w:rsidRPr="00357579">
        <w:rPr>
          <w:rFonts w:cstheme="minorHAnsi"/>
          <w:bCs/>
          <w:color w:val="FF0000"/>
        </w:rPr>
        <w:t>1,6</w:t>
      </w:r>
      <w:r w:rsidR="00650B0B" w:rsidRPr="00357579">
        <w:rPr>
          <w:rFonts w:cstheme="minorHAnsi"/>
          <w:bCs/>
          <w:color w:val="FF0000"/>
        </w:rPr>
        <w:t>8</w:t>
      </w:r>
      <w:r w:rsidR="00597F1E" w:rsidRPr="00357579">
        <w:rPr>
          <w:rFonts w:cstheme="minorHAnsi"/>
          <w:bCs/>
          <w:color w:val="FF0000"/>
        </w:rPr>
        <w:t>0</w:t>
      </w:r>
      <w:r w:rsidR="00B37CB4" w:rsidRPr="00F32679">
        <w:rPr>
          <w:rFonts w:cstheme="minorHAnsi"/>
          <w:bCs/>
          <w:color w:val="FF0000"/>
        </w:rPr>
        <w:t xml:space="preserve"> </w:t>
      </w:r>
      <w:r w:rsidR="00115103">
        <w:rPr>
          <w:rFonts w:cstheme="minorHAnsi"/>
          <w:bCs/>
          <w:color w:val="FF0000"/>
        </w:rPr>
        <w:t xml:space="preserve">inpatient psychiatric </w:t>
      </w:r>
      <w:r w:rsidR="00A52285" w:rsidRPr="00F32679">
        <w:rPr>
          <w:rFonts w:cstheme="minorHAnsi"/>
          <w:bCs/>
          <w:color w:val="FF0000"/>
        </w:rPr>
        <w:t xml:space="preserve">facilities. </w:t>
      </w:r>
      <w:bookmarkStart w:id="14" w:name="_Hlk28083676"/>
      <w:r w:rsidR="001400C2" w:rsidRPr="00F32679">
        <w:rPr>
          <w:rFonts w:cstheme="minorHAnsi"/>
          <w:bCs/>
          <w:color w:val="FF0000"/>
        </w:rPr>
        <w:t xml:space="preserve">To align with other </w:t>
      </w:r>
      <w:r w:rsidR="00B83D23">
        <w:rPr>
          <w:rFonts w:cstheme="minorHAnsi"/>
          <w:bCs/>
          <w:color w:val="FF0000"/>
        </w:rPr>
        <w:t xml:space="preserve">Centers for Medicare &amp; Medicaid </w:t>
      </w:r>
      <w:r w:rsidR="004953D1">
        <w:rPr>
          <w:rFonts w:cstheme="minorHAnsi"/>
          <w:bCs/>
          <w:color w:val="FF0000"/>
        </w:rPr>
        <w:t>Services (</w:t>
      </w:r>
      <w:r w:rsidR="001400C2" w:rsidRPr="00F32679">
        <w:rPr>
          <w:rFonts w:cstheme="minorHAnsi"/>
          <w:bCs/>
          <w:color w:val="FF0000"/>
        </w:rPr>
        <w:t>CMS</w:t>
      </w:r>
      <w:r w:rsidR="004953D1">
        <w:rPr>
          <w:rFonts w:cstheme="minorHAnsi"/>
          <w:bCs/>
          <w:color w:val="FF0000"/>
        </w:rPr>
        <w:t>)</w:t>
      </w:r>
      <w:r w:rsidR="001400C2" w:rsidRPr="00F32679">
        <w:rPr>
          <w:rFonts w:cstheme="minorHAnsi"/>
          <w:bCs/>
          <w:color w:val="FF0000"/>
        </w:rPr>
        <w:t xml:space="preserve"> claims-based measures, </w:t>
      </w:r>
      <w:r>
        <w:rPr>
          <w:rFonts w:cstheme="minorHAnsi"/>
          <w:bCs/>
          <w:color w:val="FF0000"/>
        </w:rPr>
        <w:t xml:space="preserve">we removed </w:t>
      </w:r>
      <w:r w:rsidR="001400C2" w:rsidRPr="00F32679">
        <w:rPr>
          <w:rFonts w:cstheme="minorHAnsi"/>
          <w:bCs/>
          <w:color w:val="FF0000"/>
        </w:rPr>
        <w:t xml:space="preserve">inpatient claims that met the following criterion during processing prior to testing: </w:t>
      </w:r>
      <w:bookmarkStart w:id="15" w:name="_Hlk28249378"/>
      <w:r w:rsidR="001400C2" w:rsidRPr="00F32679">
        <w:rPr>
          <w:rFonts w:cstheme="minorHAnsi"/>
          <w:bCs/>
          <w:color w:val="FF0000"/>
        </w:rPr>
        <w:t xml:space="preserve">Bill Type Code = </w:t>
      </w:r>
      <w:r w:rsidR="00295A95">
        <w:rPr>
          <w:rFonts w:cstheme="minorHAnsi"/>
          <w:bCs/>
          <w:color w:val="FF0000"/>
        </w:rPr>
        <w:t>“</w:t>
      </w:r>
      <w:r w:rsidR="001400C2" w:rsidRPr="00F32679">
        <w:rPr>
          <w:rFonts w:cstheme="minorHAnsi"/>
          <w:bCs/>
          <w:color w:val="FF0000"/>
        </w:rPr>
        <w:t>110</w:t>
      </w:r>
      <w:r w:rsidR="00295A95">
        <w:rPr>
          <w:rFonts w:cstheme="minorHAnsi"/>
          <w:bCs/>
          <w:color w:val="FF0000"/>
        </w:rPr>
        <w:t>”</w:t>
      </w:r>
      <w:r w:rsidR="001400C2" w:rsidRPr="00F32679">
        <w:rPr>
          <w:rFonts w:cstheme="minorHAnsi"/>
          <w:bCs/>
          <w:color w:val="FF0000"/>
        </w:rPr>
        <w:t>: Hospital Inpatient Part A Nonpayment/Zero Claims – facilities determine an inpatient admission is not medically necessary after discharge</w:t>
      </w:r>
      <w:bookmarkEnd w:id="15"/>
      <w:r w:rsidR="001400C2" w:rsidRPr="00F32679">
        <w:rPr>
          <w:rFonts w:cstheme="minorHAnsi"/>
          <w:bCs/>
          <w:color w:val="FF0000"/>
        </w:rPr>
        <w:t>.</w:t>
      </w:r>
      <w:bookmarkEnd w:id="14"/>
    </w:p>
    <w:p w14:paraId="3AB4E163" w14:textId="05C77B57" w:rsidR="00AA1516" w:rsidRDefault="00AA1516" w:rsidP="001400C2">
      <w:pPr>
        <w:autoSpaceDE w:val="0"/>
        <w:autoSpaceDN w:val="0"/>
        <w:adjustRightInd w:val="0"/>
        <w:spacing w:after="0" w:line="240" w:lineRule="auto"/>
        <w:rPr>
          <w:rFonts w:cstheme="minorHAnsi"/>
          <w:bCs/>
          <w:color w:val="FF0000"/>
        </w:rPr>
      </w:pPr>
    </w:p>
    <w:p w14:paraId="574B514E" w14:textId="77777777" w:rsidR="00295A95" w:rsidRPr="00295A95" w:rsidRDefault="00295A95" w:rsidP="00295A95">
      <w:pPr>
        <w:keepNext/>
        <w:spacing w:before="120" w:after="0" w:line="240" w:lineRule="auto"/>
        <w:ind w:right="-72"/>
        <w:rPr>
          <w:rFonts w:ascii="Calibri" w:eastAsia="Calibri" w:hAnsi="Calibri" w:cs="Calibri"/>
          <w:b/>
          <w:bCs/>
          <w:color w:val="FF0000"/>
          <w:sz w:val="20"/>
          <w:szCs w:val="20"/>
        </w:rPr>
      </w:pPr>
      <w:r w:rsidRPr="00295A95">
        <w:rPr>
          <w:rFonts w:ascii="Calibri" w:eastAsia="Calibri" w:hAnsi="Calibri" w:cs="Calibri"/>
          <w:b/>
          <w:bCs/>
          <w:color w:val="FF0000"/>
          <w:sz w:val="20"/>
          <w:szCs w:val="20"/>
        </w:rPr>
        <w:t xml:space="preserve">Table 1.5-A. </w:t>
      </w:r>
      <w:r w:rsidRPr="00295A95">
        <w:rPr>
          <w:b/>
          <w:bCs/>
          <w:color w:val="FF0000"/>
          <w:sz w:val="20"/>
          <w:szCs w:val="20"/>
        </w:rPr>
        <w:t>Distribution of Discharges by IPF Type (</w:t>
      </w:r>
      <w:r w:rsidRPr="00295A95">
        <w:rPr>
          <w:b/>
          <w:bCs/>
          <w:color w:val="FF0000"/>
          <w:spacing w:val="-1"/>
          <w:sz w:val="20"/>
          <w:szCs w:val="20"/>
        </w:rPr>
        <w:t>July 1, 2017 – June 30, 2019)</w:t>
      </w:r>
    </w:p>
    <w:tbl>
      <w:tblPr>
        <w:tblW w:w="9954" w:type="dxa"/>
        <w:tblLook w:val="04A0" w:firstRow="1" w:lastRow="0" w:firstColumn="1" w:lastColumn="0" w:noHBand="0" w:noVBand="1"/>
      </w:tblPr>
      <w:tblGrid>
        <w:gridCol w:w="1530"/>
        <w:gridCol w:w="672"/>
        <w:gridCol w:w="730"/>
        <w:gridCol w:w="672"/>
        <w:gridCol w:w="567"/>
        <w:gridCol w:w="596"/>
        <w:gridCol w:w="899"/>
        <w:gridCol w:w="903"/>
        <w:gridCol w:w="899"/>
        <w:gridCol w:w="596"/>
        <w:gridCol w:w="720"/>
        <w:gridCol w:w="1170"/>
      </w:tblGrid>
      <w:tr w:rsidR="00295A95" w:rsidRPr="00333FAD" w14:paraId="2BDD90A5" w14:textId="77777777" w:rsidTr="00295A95">
        <w:trPr>
          <w:trHeight w:val="292"/>
        </w:trPr>
        <w:tc>
          <w:tcPr>
            <w:tcW w:w="1530" w:type="dxa"/>
            <w:tcBorders>
              <w:top w:val="nil"/>
              <w:left w:val="nil"/>
              <w:bottom w:val="nil"/>
              <w:right w:val="nil"/>
            </w:tcBorders>
            <w:shd w:val="clear" w:color="auto" w:fill="7F7F7F" w:themeFill="text1" w:themeFillTint="80"/>
            <w:noWrap/>
            <w:vAlign w:val="center"/>
            <w:hideMark/>
          </w:tcPr>
          <w:p w14:paraId="7F7AF3BA" w14:textId="77777777" w:rsidR="00295A95" w:rsidRPr="00B66F8D" w:rsidRDefault="00295A95" w:rsidP="00295A95">
            <w:pPr>
              <w:spacing w:after="0" w:line="240" w:lineRule="auto"/>
              <w:jc w:val="center"/>
              <w:rPr>
                <w:rFonts w:eastAsia="Times New Roman" w:cstheme="minorHAnsi"/>
                <w:b/>
                <w:bCs/>
                <w:color w:val="FFFFFF" w:themeColor="background1"/>
                <w:sz w:val="20"/>
                <w:szCs w:val="20"/>
              </w:rPr>
            </w:pPr>
            <w:r w:rsidRPr="00B66F8D">
              <w:rPr>
                <w:rFonts w:eastAsia="Times New Roman" w:cstheme="minorHAnsi"/>
                <w:b/>
                <w:bCs/>
                <w:color w:val="FFFFFF" w:themeColor="background1"/>
                <w:sz w:val="20"/>
                <w:szCs w:val="20"/>
              </w:rPr>
              <w:t>IPF Type</w:t>
            </w:r>
          </w:p>
        </w:tc>
        <w:tc>
          <w:tcPr>
            <w:tcW w:w="672" w:type="dxa"/>
            <w:tcBorders>
              <w:top w:val="nil"/>
              <w:left w:val="nil"/>
              <w:bottom w:val="nil"/>
              <w:right w:val="nil"/>
            </w:tcBorders>
            <w:shd w:val="clear" w:color="auto" w:fill="7F7F7F" w:themeFill="text1" w:themeFillTint="80"/>
            <w:noWrap/>
            <w:vAlign w:val="center"/>
            <w:hideMark/>
          </w:tcPr>
          <w:p w14:paraId="2AE510F8" w14:textId="77777777" w:rsidR="00295A95" w:rsidRPr="00B66F8D" w:rsidRDefault="00295A95" w:rsidP="00295A95">
            <w:pPr>
              <w:spacing w:after="0" w:line="240" w:lineRule="auto"/>
              <w:jc w:val="center"/>
              <w:rPr>
                <w:rFonts w:eastAsia="Times New Roman" w:cstheme="minorHAnsi"/>
                <w:b/>
                <w:bCs/>
                <w:color w:val="FFFFFF" w:themeColor="background1"/>
                <w:sz w:val="20"/>
                <w:szCs w:val="20"/>
              </w:rPr>
            </w:pPr>
            <w:r w:rsidRPr="00B66F8D">
              <w:rPr>
                <w:rFonts w:eastAsia="Times New Roman" w:cstheme="minorHAnsi"/>
                <w:b/>
                <w:bCs/>
                <w:color w:val="FFFFFF" w:themeColor="background1"/>
                <w:sz w:val="20"/>
                <w:szCs w:val="20"/>
              </w:rPr>
              <w:t>N</w:t>
            </w:r>
          </w:p>
        </w:tc>
        <w:tc>
          <w:tcPr>
            <w:tcW w:w="730" w:type="dxa"/>
            <w:tcBorders>
              <w:top w:val="nil"/>
              <w:left w:val="nil"/>
              <w:bottom w:val="nil"/>
              <w:right w:val="nil"/>
            </w:tcBorders>
            <w:shd w:val="clear" w:color="auto" w:fill="7F7F7F" w:themeFill="text1" w:themeFillTint="80"/>
            <w:noWrap/>
            <w:vAlign w:val="center"/>
            <w:hideMark/>
          </w:tcPr>
          <w:p w14:paraId="30C8D13D" w14:textId="77777777" w:rsidR="00295A95" w:rsidRPr="00B66F8D" w:rsidRDefault="00295A95" w:rsidP="00295A95">
            <w:pPr>
              <w:spacing w:after="0" w:line="240" w:lineRule="auto"/>
              <w:jc w:val="center"/>
              <w:rPr>
                <w:rFonts w:eastAsia="Times New Roman" w:cstheme="minorHAnsi"/>
                <w:b/>
                <w:bCs/>
                <w:color w:val="FFFFFF" w:themeColor="background1"/>
                <w:sz w:val="20"/>
                <w:szCs w:val="20"/>
              </w:rPr>
            </w:pPr>
            <w:r w:rsidRPr="00B66F8D">
              <w:rPr>
                <w:rFonts w:eastAsia="Times New Roman" w:cstheme="minorHAnsi"/>
                <w:b/>
                <w:bCs/>
                <w:color w:val="FFFFFF" w:themeColor="background1"/>
                <w:sz w:val="20"/>
                <w:szCs w:val="20"/>
              </w:rPr>
              <w:t>Mean</w:t>
            </w:r>
          </w:p>
        </w:tc>
        <w:tc>
          <w:tcPr>
            <w:tcW w:w="672" w:type="dxa"/>
            <w:tcBorders>
              <w:top w:val="nil"/>
              <w:left w:val="nil"/>
              <w:bottom w:val="nil"/>
              <w:right w:val="nil"/>
            </w:tcBorders>
            <w:shd w:val="clear" w:color="auto" w:fill="7F7F7F" w:themeFill="text1" w:themeFillTint="80"/>
            <w:noWrap/>
            <w:vAlign w:val="center"/>
            <w:hideMark/>
          </w:tcPr>
          <w:p w14:paraId="230FCE27" w14:textId="77777777" w:rsidR="00295A95" w:rsidRPr="00B66F8D" w:rsidRDefault="00295A95" w:rsidP="00295A95">
            <w:pPr>
              <w:spacing w:after="0" w:line="240" w:lineRule="auto"/>
              <w:jc w:val="center"/>
              <w:rPr>
                <w:rFonts w:eastAsia="Times New Roman" w:cstheme="minorHAnsi"/>
                <w:b/>
                <w:bCs/>
                <w:color w:val="FFFFFF" w:themeColor="background1"/>
                <w:sz w:val="20"/>
                <w:szCs w:val="20"/>
              </w:rPr>
            </w:pPr>
            <w:r w:rsidRPr="00B66F8D">
              <w:rPr>
                <w:rFonts w:eastAsia="Times New Roman" w:cstheme="minorHAnsi"/>
                <w:b/>
                <w:bCs/>
                <w:color w:val="FFFFFF" w:themeColor="background1"/>
                <w:sz w:val="20"/>
                <w:szCs w:val="20"/>
              </w:rPr>
              <w:t>SD</w:t>
            </w:r>
          </w:p>
        </w:tc>
        <w:tc>
          <w:tcPr>
            <w:tcW w:w="567" w:type="dxa"/>
            <w:tcBorders>
              <w:top w:val="nil"/>
              <w:left w:val="nil"/>
              <w:bottom w:val="nil"/>
              <w:right w:val="nil"/>
            </w:tcBorders>
            <w:shd w:val="clear" w:color="auto" w:fill="7F7F7F" w:themeFill="text1" w:themeFillTint="80"/>
            <w:noWrap/>
            <w:vAlign w:val="center"/>
            <w:hideMark/>
          </w:tcPr>
          <w:p w14:paraId="30648277" w14:textId="77777777" w:rsidR="00295A95" w:rsidRPr="00B66F8D" w:rsidRDefault="00295A95" w:rsidP="00295A95">
            <w:pPr>
              <w:spacing w:after="0" w:line="240" w:lineRule="auto"/>
              <w:jc w:val="center"/>
              <w:rPr>
                <w:rFonts w:eastAsia="Times New Roman" w:cstheme="minorHAnsi"/>
                <w:b/>
                <w:bCs/>
                <w:color w:val="FFFFFF" w:themeColor="background1"/>
                <w:sz w:val="20"/>
                <w:szCs w:val="20"/>
              </w:rPr>
            </w:pPr>
            <w:r w:rsidRPr="00B66F8D">
              <w:rPr>
                <w:rFonts w:eastAsia="Times New Roman" w:cstheme="minorHAnsi"/>
                <w:b/>
                <w:bCs/>
                <w:color w:val="FFFFFF" w:themeColor="background1"/>
                <w:sz w:val="20"/>
                <w:szCs w:val="20"/>
              </w:rPr>
              <w:t>Min</w:t>
            </w:r>
          </w:p>
        </w:tc>
        <w:tc>
          <w:tcPr>
            <w:tcW w:w="596" w:type="dxa"/>
            <w:tcBorders>
              <w:top w:val="nil"/>
              <w:left w:val="nil"/>
              <w:bottom w:val="nil"/>
              <w:right w:val="nil"/>
            </w:tcBorders>
            <w:shd w:val="clear" w:color="auto" w:fill="7F7F7F" w:themeFill="text1" w:themeFillTint="80"/>
            <w:noWrap/>
            <w:vAlign w:val="center"/>
            <w:hideMark/>
          </w:tcPr>
          <w:p w14:paraId="1AEDCFF9" w14:textId="77777777" w:rsidR="00295A95" w:rsidRPr="00B66F8D" w:rsidRDefault="00295A95" w:rsidP="00295A95">
            <w:pPr>
              <w:spacing w:after="0" w:line="240" w:lineRule="auto"/>
              <w:jc w:val="center"/>
              <w:rPr>
                <w:rFonts w:eastAsia="Times New Roman" w:cstheme="minorHAnsi"/>
                <w:b/>
                <w:bCs/>
                <w:color w:val="FFFFFF" w:themeColor="background1"/>
                <w:sz w:val="20"/>
                <w:szCs w:val="20"/>
              </w:rPr>
            </w:pPr>
            <w:r w:rsidRPr="00B66F8D">
              <w:rPr>
                <w:rFonts w:eastAsia="Times New Roman" w:cstheme="minorHAnsi"/>
                <w:b/>
                <w:bCs/>
                <w:color w:val="FFFFFF" w:themeColor="background1"/>
                <w:sz w:val="20"/>
                <w:szCs w:val="20"/>
              </w:rPr>
              <w:t>10th Pctl</w:t>
            </w:r>
          </w:p>
        </w:tc>
        <w:tc>
          <w:tcPr>
            <w:tcW w:w="899" w:type="dxa"/>
            <w:tcBorders>
              <w:top w:val="nil"/>
              <w:left w:val="nil"/>
              <w:bottom w:val="nil"/>
              <w:right w:val="nil"/>
            </w:tcBorders>
            <w:shd w:val="clear" w:color="auto" w:fill="7F7F7F" w:themeFill="text1" w:themeFillTint="80"/>
            <w:noWrap/>
            <w:vAlign w:val="center"/>
            <w:hideMark/>
          </w:tcPr>
          <w:p w14:paraId="30503489" w14:textId="77777777" w:rsidR="00295A95" w:rsidRPr="00B66F8D" w:rsidRDefault="00295A95" w:rsidP="00295A95">
            <w:pPr>
              <w:spacing w:after="0" w:line="240" w:lineRule="auto"/>
              <w:jc w:val="center"/>
              <w:rPr>
                <w:rFonts w:eastAsia="Times New Roman" w:cstheme="minorHAnsi"/>
                <w:b/>
                <w:bCs/>
                <w:color w:val="FFFFFF" w:themeColor="background1"/>
                <w:sz w:val="20"/>
                <w:szCs w:val="20"/>
              </w:rPr>
            </w:pPr>
            <w:r w:rsidRPr="00B66F8D">
              <w:rPr>
                <w:rFonts w:eastAsia="Times New Roman" w:cstheme="minorHAnsi"/>
                <w:b/>
                <w:bCs/>
                <w:color w:val="FFFFFF" w:themeColor="background1"/>
                <w:sz w:val="20"/>
                <w:szCs w:val="20"/>
              </w:rPr>
              <w:t>Lower Quartile</w:t>
            </w:r>
          </w:p>
        </w:tc>
        <w:tc>
          <w:tcPr>
            <w:tcW w:w="903" w:type="dxa"/>
            <w:tcBorders>
              <w:top w:val="nil"/>
              <w:left w:val="nil"/>
              <w:bottom w:val="nil"/>
              <w:right w:val="nil"/>
            </w:tcBorders>
            <w:shd w:val="clear" w:color="auto" w:fill="7F7F7F" w:themeFill="text1" w:themeFillTint="80"/>
            <w:noWrap/>
            <w:vAlign w:val="center"/>
            <w:hideMark/>
          </w:tcPr>
          <w:p w14:paraId="0FFC44A3" w14:textId="77777777" w:rsidR="00295A95" w:rsidRPr="00B66F8D" w:rsidRDefault="00295A95" w:rsidP="00295A95">
            <w:pPr>
              <w:spacing w:after="0" w:line="240" w:lineRule="auto"/>
              <w:jc w:val="center"/>
              <w:rPr>
                <w:rFonts w:eastAsia="Times New Roman" w:cstheme="minorHAnsi"/>
                <w:b/>
                <w:bCs/>
                <w:color w:val="FFFFFF" w:themeColor="background1"/>
                <w:sz w:val="20"/>
                <w:szCs w:val="20"/>
              </w:rPr>
            </w:pPr>
            <w:r w:rsidRPr="00B66F8D">
              <w:rPr>
                <w:rFonts w:eastAsia="Times New Roman" w:cstheme="minorHAnsi"/>
                <w:b/>
                <w:bCs/>
                <w:color w:val="FFFFFF" w:themeColor="background1"/>
                <w:sz w:val="20"/>
                <w:szCs w:val="20"/>
              </w:rPr>
              <w:t>Median</w:t>
            </w:r>
          </w:p>
        </w:tc>
        <w:tc>
          <w:tcPr>
            <w:tcW w:w="899" w:type="dxa"/>
            <w:tcBorders>
              <w:top w:val="nil"/>
              <w:left w:val="nil"/>
              <w:bottom w:val="nil"/>
              <w:right w:val="nil"/>
            </w:tcBorders>
            <w:shd w:val="clear" w:color="auto" w:fill="7F7F7F" w:themeFill="text1" w:themeFillTint="80"/>
            <w:noWrap/>
            <w:vAlign w:val="center"/>
            <w:hideMark/>
          </w:tcPr>
          <w:p w14:paraId="5BE1E506" w14:textId="77777777" w:rsidR="00295A95" w:rsidRPr="00B66F8D" w:rsidRDefault="00295A95" w:rsidP="00295A95">
            <w:pPr>
              <w:spacing w:after="0" w:line="240" w:lineRule="auto"/>
              <w:jc w:val="center"/>
              <w:rPr>
                <w:rFonts w:eastAsia="Times New Roman" w:cstheme="minorHAnsi"/>
                <w:b/>
                <w:bCs/>
                <w:color w:val="FFFFFF" w:themeColor="background1"/>
                <w:sz w:val="20"/>
                <w:szCs w:val="20"/>
              </w:rPr>
            </w:pPr>
            <w:r w:rsidRPr="00B66F8D">
              <w:rPr>
                <w:rFonts w:eastAsia="Times New Roman" w:cstheme="minorHAnsi"/>
                <w:b/>
                <w:bCs/>
                <w:color w:val="FFFFFF" w:themeColor="background1"/>
                <w:sz w:val="20"/>
                <w:szCs w:val="20"/>
              </w:rPr>
              <w:t>Upper Quartile</w:t>
            </w:r>
          </w:p>
        </w:tc>
        <w:tc>
          <w:tcPr>
            <w:tcW w:w="596" w:type="dxa"/>
            <w:tcBorders>
              <w:top w:val="nil"/>
              <w:left w:val="nil"/>
              <w:bottom w:val="nil"/>
              <w:right w:val="nil"/>
            </w:tcBorders>
            <w:shd w:val="clear" w:color="auto" w:fill="7F7F7F" w:themeFill="text1" w:themeFillTint="80"/>
            <w:noWrap/>
            <w:vAlign w:val="center"/>
            <w:hideMark/>
          </w:tcPr>
          <w:p w14:paraId="041BFFC9" w14:textId="77777777" w:rsidR="00295A95" w:rsidRPr="00B66F8D" w:rsidRDefault="00295A95" w:rsidP="00295A95">
            <w:pPr>
              <w:spacing w:after="0" w:line="240" w:lineRule="auto"/>
              <w:jc w:val="center"/>
              <w:rPr>
                <w:rFonts w:eastAsia="Times New Roman" w:cstheme="minorHAnsi"/>
                <w:b/>
                <w:bCs/>
                <w:color w:val="FFFFFF" w:themeColor="background1"/>
                <w:sz w:val="20"/>
                <w:szCs w:val="20"/>
              </w:rPr>
            </w:pPr>
            <w:r w:rsidRPr="00B66F8D">
              <w:rPr>
                <w:rFonts w:eastAsia="Times New Roman" w:cstheme="minorHAnsi"/>
                <w:b/>
                <w:bCs/>
                <w:color w:val="FFFFFF" w:themeColor="background1"/>
                <w:sz w:val="20"/>
                <w:szCs w:val="20"/>
              </w:rPr>
              <w:t>90th Pct</w:t>
            </w:r>
            <w:r>
              <w:rPr>
                <w:rFonts w:eastAsia="Times New Roman" w:cstheme="minorHAnsi"/>
                <w:b/>
                <w:bCs/>
                <w:color w:val="FFFFFF" w:themeColor="background1"/>
                <w:sz w:val="20"/>
                <w:szCs w:val="20"/>
              </w:rPr>
              <w:t>l</w:t>
            </w:r>
          </w:p>
        </w:tc>
        <w:tc>
          <w:tcPr>
            <w:tcW w:w="720" w:type="dxa"/>
            <w:tcBorders>
              <w:top w:val="nil"/>
              <w:left w:val="nil"/>
              <w:bottom w:val="nil"/>
              <w:right w:val="nil"/>
            </w:tcBorders>
            <w:shd w:val="clear" w:color="auto" w:fill="7F7F7F" w:themeFill="text1" w:themeFillTint="80"/>
            <w:noWrap/>
            <w:vAlign w:val="center"/>
            <w:hideMark/>
          </w:tcPr>
          <w:p w14:paraId="41306503" w14:textId="77777777" w:rsidR="00295A95" w:rsidRPr="00B66F8D" w:rsidRDefault="00295A95" w:rsidP="00295A95">
            <w:pPr>
              <w:spacing w:after="0" w:line="240" w:lineRule="auto"/>
              <w:jc w:val="center"/>
              <w:rPr>
                <w:rFonts w:eastAsia="Times New Roman" w:cstheme="minorHAnsi"/>
                <w:b/>
                <w:bCs/>
                <w:color w:val="FFFFFF" w:themeColor="background1"/>
                <w:sz w:val="20"/>
                <w:szCs w:val="20"/>
              </w:rPr>
            </w:pPr>
            <w:r w:rsidRPr="00B66F8D">
              <w:rPr>
                <w:rFonts w:eastAsia="Times New Roman" w:cstheme="minorHAnsi"/>
                <w:b/>
                <w:bCs/>
                <w:color w:val="FFFFFF" w:themeColor="background1"/>
                <w:sz w:val="20"/>
                <w:szCs w:val="20"/>
              </w:rPr>
              <w:t>Max</w:t>
            </w:r>
          </w:p>
        </w:tc>
        <w:tc>
          <w:tcPr>
            <w:tcW w:w="1170" w:type="dxa"/>
            <w:tcBorders>
              <w:top w:val="nil"/>
              <w:left w:val="nil"/>
              <w:bottom w:val="nil"/>
              <w:right w:val="nil"/>
            </w:tcBorders>
            <w:shd w:val="clear" w:color="auto" w:fill="7F7F7F" w:themeFill="text1" w:themeFillTint="80"/>
            <w:noWrap/>
            <w:vAlign w:val="center"/>
            <w:hideMark/>
          </w:tcPr>
          <w:p w14:paraId="789FF742" w14:textId="77777777" w:rsidR="00295A95" w:rsidRPr="00B66F8D" w:rsidRDefault="00295A95" w:rsidP="00295A95">
            <w:pPr>
              <w:spacing w:after="0" w:line="240" w:lineRule="auto"/>
              <w:jc w:val="center"/>
              <w:rPr>
                <w:rFonts w:eastAsia="Times New Roman" w:cstheme="minorHAnsi"/>
                <w:b/>
                <w:bCs/>
                <w:color w:val="FFFFFF" w:themeColor="background1"/>
                <w:sz w:val="20"/>
                <w:szCs w:val="20"/>
              </w:rPr>
            </w:pPr>
            <w:r>
              <w:rPr>
                <w:rFonts w:eastAsia="Times New Roman" w:cstheme="minorHAnsi"/>
                <w:b/>
                <w:bCs/>
                <w:color w:val="FFFFFF" w:themeColor="background1"/>
                <w:sz w:val="20"/>
                <w:szCs w:val="20"/>
              </w:rPr>
              <w:t>D</w:t>
            </w:r>
            <w:r w:rsidRPr="00B66F8D">
              <w:rPr>
                <w:rFonts w:eastAsia="Times New Roman" w:cstheme="minorHAnsi"/>
                <w:b/>
                <w:bCs/>
                <w:color w:val="FFFFFF" w:themeColor="background1"/>
                <w:sz w:val="20"/>
                <w:szCs w:val="20"/>
              </w:rPr>
              <w:t>ischarge count</w:t>
            </w:r>
          </w:p>
        </w:tc>
      </w:tr>
      <w:tr w:rsidR="00295A95" w:rsidRPr="00333FAD" w14:paraId="37A4FF49" w14:textId="77777777" w:rsidTr="00295A95">
        <w:trPr>
          <w:trHeight w:val="292"/>
        </w:trPr>
        <w:tc>
          <w:tcPr>
            <w:tcW w:w="1530" w:type="dxa"/>
            <w:tcBorders>
              <w:top w:val="nil"/>
              <w:left w:val="nil"/>
              <w:bottom w:val="nil"/>
              <w:right w:val="nil"/>
            </w:tcBorders>
            <w:shd w:val="clear" w:color="auto" w:fill="auto"/>
            <w:noWrap/>
            <w:vAlign w:val="bottom"/>
            <w:hideMark/>
          </w:tcPr>
          <w:p w14:paraId="6E02D28B" w14:textId="77777777" w:rsidR="00295A95" w:rsidRPr="00295A95" w:rsidRDefault="00295A95" w:rsidP="00295A95">
            <w:pPr>
              <w:spacing w:after="0" w:line="240" w:lineRule="auto"/>
              <w:rPr>
                <w:rFonts w:eastAsia="Times New Roman" w:cstheme="minorHAnsi"/>
                <w:color w:val="FF0000"/>
                <w:sz w:val="20"/>
                <w:szCs w:val="20"/>
              </w:rPr>
            </w:pPr>
            <w:r w:rsidRPr="00295A95">
              <w:rPr>
                <w:rFonts w:eastAsia="Times New Roman" w:cstheme="minorHAnsi"/>
                <w:color w:val="FF0000"/>
                <w:sz w:val="20"/>
                <w:szCs w:val="20"/>
              </w:rPr>
              <w:t>Acute-care unit</w:t>
            </w:r>
          </w:p>
        </w:tc>
        <w:tc>
          <w:tcPr>
            <w:tcW w:w="672" w:type="dxa"/>
            <w:tcBorders>
              <w:top w:val="nil"/>
              <w:left w:val="nil"/>
              <w:bottom w:val="nil"/>
              <w:right w:val="nil"/>
            </w:tcBorders>
            <w:shd w:val="clear" w:color="auto" w:fill="auto"/>
            <w:noWrap/>
            <w:vAlign w:val="bottom"/>
            <w:hideMark/>
          </w:tcPr>
          <w:p w14:paraId="7D541F12"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1,118</w:t>
            </w:r>
          </w:p>
        </w:tc>
        <w:tc>
          <w:tcPr>
            <w:tcW w:w="730" w:type="dxa"/>
            <w:tcBorders>
              <w:top w:val="nil"/>
              <w:left w:val="nil"/>
              <w:bottom w:val="nil"/>
              <w:right w:val="nil"/>
            </w:tcBorders>
            <w:shd w:val="clear" w:color="auto" w:fill="auto"/>
            <w:noWrap/>
            <w:vAlign w:val="bottom"/>
            <w:hideMark/>
          </w:tcPr>
          <w:p w14:paraId="1F38EA0E"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143.6</w:t>
            </w:r>
          </w:p>
        </w:tc>
        <w:tc>
          <w:tcPr>
            <w:tcW w:w="672" w:type="dxa"/>
            <w:tcBorders>
              <w:top w:val="nil"/>
              <w:left w:val="nil"/>
              <w:bottom w:val="nil"/>
              <w:right w:val="nil"/>
            </w:tcBorders>
            <w:shd w:val="clear" w:color="auto" w:fill="auto"/>
            <w:noWrap/>
            <w:vAlign w:val="bottom"/>
            <w:hideMark/>
          </w:tcPr>
          <w:p w14:paraId="6577DFF1"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136.8</w:t>
            </w:r>
          </w:p>
        </w:tc>
        <w:tc>
          <w:tcPr>
            <w:tcW w:w="567" w:type="dxa"/>
            <w:tcBorders>
              <w:top w:val="nil"/>
              <w:left w:val="nil"/>
              <w:bottom w:val="nil"/>
              <w:right w:val="nil"/>
            </w:tcBorders>
            <w:shd w:val="clear" w:color="auto" w:fill="auto"/>
            <w:noWrap/>
            <w:vAlign w:val="bottom"/>
            <w:hideMark/>
          </w:tcPr>
          <w:p w14:paraId="42D71DFB"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w:t>
            </w:r>
          </w:p>
        </w:tc>
        <w:tc>
          <w:tcPr>
            <w:tcW w:w="596" w:type="dxa"/>
            <w:tcBorders>
              <w:top w:val="nil"/>
              <w:left w:val="nil"/>
              <w:bottom w:val="nil"/>
              <w:right w:val="nil"/>
            </w:tcBorders>
            <w:shd w:val="clear" w:color="auto" w:fill="auto"/>
            <w:noWrap/>
            <w:vAlign w:val="bottom"/>
            <w:hideMark/>
          </w:tcPr>
          <w:p w14:paraId="51A60292"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20</w:t>
            </w:r>
          </w:p>
        </w:tc>
        <w:tc>
          <w:tcPr>
            <w:tcW w:w="899" w:type="dxa"/>
            <w:tcBorders>
              <w:top w:val="nil"/>
              <w:left w:val="nil"/>
              <w:bottom w:val="nil"/>
              <w:right w:val="nil"/>
            </w:tcBorders>
            <w:shd w:val="clear" w:color="auto" w:fill="auto"/>
            <w:noWrap/>
            <w:vAlign w:val="bottom"/>
            <w:hideMark/>
          </w:tcPr>
          <w:p w14:paraId="68BD7374"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45</w:t>
            </w:r>
          </w:p>
        </w:tc>
        <w:tc>
          <w:tcPr>
            <w:tcW w:w="903" w:type="dxa"/>
            <w:tcBorders>
              <w:top w:val="nil"/>
              <w:left w:val="nil"/>
              <w:bottom w:val="nil"/>
              <w:right w:val="nil"/>
            </w:tcBorders>
            <w:shd w:val="clear" w:color="auto" w:fill="auto"/>
            <w:noWrap/>
            <w:vAlign w:val="bottom"/>
            <w:hideMark/>
          </w:tcPr>
          <w:p w14:paraId="47030FDE"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104</w:t>
            </w:r>
          </w:p>
        </w:tc>
        <w:tc>
          <w:tcPr>
            <w:tcW w:w="899" w:type="dxa"/>
            <w:tcBorders>
              <w:top w:val="nil"/>
              <w:left w:val="nil"/>
              <w:bottom w:val="nil"/>
              <w:right w:val="nil"/>
            </w:tcBorders>
            <w:shd w:val="clear" w:color="auto" w:fill="auto"/>
            <w:noWrap/>
            <w:vAlign w:val="bottom"/>
            <w:hideMark/>
          </w:tcPr>
          <w:p w14:paraId="5B84929C"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199</w:t>
            </w:r>
          </w:p>
        </w:tc>
        <w:tc>
          <w:tcPr>
            <w:tcW w:w="596" w:type="dxa"/>
            <w:tcBorders>
              <w:top w:val="nil"/>
              <w:left w:val="nil"/>
              <w:bottom w:val="nil"/>
              <w:right w:val="nil"/>
            </w:tcBorders>
            <w:shd w:val="clear" w:color="auto" w:fill="auto"/>
            <w:noWrap/>
            <w:vAlign w:val="bottom"/>
            <w:hideMark/>
          </w:tcPr>
          <w:p w14:paraId="07F95825"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312</w:t>
            </w:r>
          </w:p>
        </w:tc>
        <w:tc>
          <w:tcPr>
            <w:tcW w:w="720" w:type="dxa"/>
            <w:tcBorders>
              <w:top w:val="nil"/>
              <w:left w:val="nil"/>
              <w:bottom w:val="nil"/>
              <w:right w:val="nil"/>
            </w:tcBorders>
            <w:shd w:val="clear" w:color="auto" w:fill="auto"/>
            <w:noWrap/>
            <w:vAlign w:val="bottom"/>
            <w:hideMark/>
          </w:tcPr>
          <w:p w14:paraId="03B74562"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953</w:t>
            </w:r>
          </w:p>
        </w:tc>
        <w:tc>
          <w:tcPr>
            <w:tcW w:w="1170" w:type="dxa"/>
            <w:tcBorders>
              <w:top w:val="nil"/>
              <w:left w:val="nil"/>
              <w:bottom w:val="nil"/>
              <w:right w:val="nil"/>
            </w:tcBorders>
            <w:shd w:val="clear" w:color="auto" w:fill="auto"/>
            <w:noWrap/>
            <w:vAlign w:val="bottom"/>
            <w:hideMark/>
          </w:tcPr>
          <w:p w14:paraId="28ED6E16"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160,517</w:t>
            </w:r>
          </w:p>
        </w:tc>
      </w:tr>
      <w:tr w:rsidR="00295A95" w:rsidRPr="00333FAD" w14:paraId="1AF95BAF" w14:textId="77777777" w:rsidTr="00295A95">
        <w:trPr>
          <w:trHeight w:val="292"/>
        </w:trPr>
        <w:tc>
          <w:tcPr>
            <w:tcW w:w="1530" w:type="dxa"/>
            <w:tcBorders>
              <w:top w:val="nil"/>
              <w:left w:val="nil"/>
              <w:right w:val="nil"/>
            </w:tcBorders>
            <w:shd w:val="clear" w:color="auto" w:fill="auto"/>
            <w:noWrap/>
            <w:vAlign w:val="bottom"/>
            <w:hideMark/>
          </w:tcPr>
          <w:p w14:paraId="4FE25D53" w14:textId="77777777" w:rsidR="00295A95" w:rsidRPr="00295A95" w:rsidRDefault="00295A95" w:rsidP="00295A95">
            <w:pPr>
              <w:spacing w:after="0" w:line="240" w:lineRule="auto"/>
              <w:rPr>
                <w:rFonts w:eastAsia="Times New Roman" w:cstheme="minorHAnsi"/>
                <w:color w:val="FF0000"/>
                <w:sz w:val="20"/>
                <w:szCs w:val="20"/>
              </w:rPr>
            </w:pPr>
            <w:r w:rsidRPr="00295A95">
              <w:rPr>
                <w:rFonts w:eastAsia="Times New Roman" w:cstheme="minorHAnsi"/>
                <w:color w:val="FF0000"/>
                <w:sz w:val="20"/>
                <w:szCs w:val="20"/>
              </w:rPr>
              <w:t xml:space="preserve">Freestanding </w:t>
            </w:r>
          </w:p>
        </w:tc>
        <w:tc>
          <w:tcPr>
            <w:tcW w:w="672" w:type="dxa"/>
            <w:tcBorders>
              <w:top w:val="nil"/>
              <w:left w:val="nil"/>
              <w:right w:val="nil"/>
            </w:tcBorders>
            <w:shd w:val="clear" w:color="auto" w:fill="auto"/>
            <w:noWrap/>
            <w:vAlign w:val="bottom"/>
            <w:hideMark/>
          </w:tcPr>
          <w:p w14:paraId="3A230FC5"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562</w:t>
            </w:r>
          </w:p>
        </w:tc>
        <w:tc>
          <w:tcPr>
            <w:tcW w:w="730" w:type="dxa"/>
            <w:tcBorders>
              <w:top w:val="nil"/>
              <w:left w:val="nil"/>
              <w:right w:val="nil"/>
            </w:tcBorders>
            <w:shd w:val="clear" w:color="auto" w:fill="auto"/>
            <w:noWrap/>
            <w:vAlign w:val="bottom"/>
            <w:hideMark/>
          </w:tcPr>
          <w:p w14:paraId="6E20D181"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229.2</w:t>
            </w:r>
          </w:p>
        </w:tc>
        <w:tc>
          <w:tcPr>
            <w:tcW w:w="672" w:type="dxa"/>
            <w:tcBorders>
              <w:top w:val="nil"/>
              <w:left w:val="nil"/>
              <w:right w:val="nil"/>
            </w:tcBorders>
            <w:shd w:val="clear" w:color="auto" w:fill="auto"/>
            <w:noWrap/>
            <w:vAlign w:val="bottom"/>
            <w:hideMark/>
          </w:tcPr>
          <w:p w14:paraId="7C123300"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245.4</w:t>
            </w:r>
          </w:p>
        </w:tc>
        <w:tc>
          <w:tcPr>
            <w:tcW w:w="567" w:type="dxa"/>
            <w:tcBorders>
              <w:top w:val="nil"/>
              <w:left w:val="nil"/>
              <w:right w:val="nil"/>
            </w:tcBorders>
            <w:shd w:val="clear" w:color="auto" w:fill="auto"/>
            <w:noWrap/>
            <w:vAlign w:val="bottom"/>
            <w:hideMark/>
          </w:tcPr>
          <w:p w14:paraId="613B91FE"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w:t>
            </w:r>
          </w:p>
        </w:tc>
        <w:tc>
          <w:tcPr>
            <w:tcW w:w="596" w:type="dxa"/>
            <w:tcBorders>
              <w:top w:val="nil"/>
              <w:left w:val="nil"/>
              <w:right w:val="nil"/>
            </w:tcBorders>
            <w:shd w:val="clear" w:color="auto" w:fill="auto"/>
            <w:noWrap/>
            <w:vAlign w:val="bottom"/>
            <w:hideMark/>
          </w:tcPr>
          <w:p w14:paraId="455C9504"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13</w:t>
            </w:r>
          </w:p>
        </w:tc>
        <w:tc>
          <w:tcPr>
            <w:tcW w:w="899" w:type="dxa"/>
            <w:tcBorders>
              <w:top w:val="nil"/>
              <w:left w:val="nil"/>
              <w:right w:val="nil"/>
            </w:tcBorders>
            <w:shd w:val="clear" w:color="auto" w:fill="auto"/>
            <w:noWrap/>
            <w:vAlign w:val="bottom"/>
            <w:hideMark/>
          </w:tcPr>
          <w:p w14:paraId="0BCD88D5"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40</w:t>
            </w:r>
          </w:p>
        </w:tc>
        <w:tc>
          <w:tcPr>
            <w:tcW w:w="903" w:type="dxa"/>
            <w:tcBorders>
              <w:top w:val="nil"/>
              <w:left w:val="nil"/>
              <w:right w:val="nil"/>
            </w:tcBorders>
            <w:shd w:val="clear" w:color="auto" w:fill="auto"/>
            <w:noWrap/>
            <w:vAlign w:val="bottom"/>
            <w:hideMark/>
          </w:tcPr>
          <w:p w14:paraId="670706B4"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157</w:t>
            </w:r>
          </w:p>
        </w:tc>
        <w:tc>
          <w:tcPr>
            <w:tcW w:w="899" w:type="dxa"/>
            <w:tcBorders>
              <w:top w:val="nil"/>
              <w:left w:val="nil"/>
              <w:right w:val="nil"/>
            </w:tcBorders>
            <w:shd w:val="clear" w:color="auto" w:fill="auto"/>
            <w:noWrap/>
            <w:vAlign w:val="bottom"/>
            <w:hideMark/>
          </w:tcPr>
          <w:p w14:paraId="1399117E"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316</w:t>
            </w:r>
          </w:p>
        </w:tc>
        <w:tc>
          <w:tcPr>
            <w:tcW w:w="596" w:type="dxa"/>
            <w:tcBorders>
              <w:top w:val="nil"/>
              <w:left w:val="nil"/>
              <w:right w:val="nil"/>
            </w:tcBorders>
            <w:shd w:val="clear" w:color="auto" w:fill="auto"/>
            <w:noWrap/>
            <w:vAlign w:val="bottom"/>
            <w:hideMark/>
          </w:tcPr>
          <w:p w14:paraId="7240CA0A"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569</w:t>
            </w:r>
          </w:p>
        </w:tc>
        <w:tc>
          <w:tcPr>
            <w:tcW w:w="720" w:type="dxa"/>
            <w:tcBorders>
              <w:top w:val="nil"/>
              <w:left w:val="nil"/>
              <w:right w:val="nil"/>
            </w:tcBorders>
            <w:shd w:val="clear" w:color="auto" w:fill="auto"/>
            <w:noWrap/>
            <w:vAlign w:val="bottom"/>
            <w:hideMark/>
          </w:tcPr>
          <w:p w14:paraId="3A93D579"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1,504</w:t>
            </w:r>
          </w:p>
        </w:tc>
        <w:tc>
          <w:tcPr>
            <w:tcW w:w="1170" w:type="dxa"/>
            <w:tcBorders>
              <w:top w:val="nil"/>
              <w:left w:val="nil"/>
              <w:right w:val="nil"/>
            </w:tcBorders>
            <w:shd w:val="clear" w:color="auto" w:fill="auto"/>
            <w:noWrap/>
            <w:vAlign w:val="bottom"/>
            <w:hideMark/>
          </w:tcPr>
          <w:p w14:paraId="547155E7"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128,792</w:t>
            </w:r>
          </w:p>
        </w:tc>
      </w:tr>
      <w:tr w:rsidR="00295A95" w:rsidRPr="00333FAD" w14:paraId="1A432532" w14:textId="77777777" w:rsidTr="00295A95">
        <w:trPr>
          <w:trHeight w:val="292"/>
        </w:trPr>
        <w:tc>
          <w:tcPr>
            <w:tcW w:w="1530" w:type="dxa"/>
            <w:tcBorders>
              <w:top w:val="nil"/>
              <w:left w:val="nil"/>
              <w:bottom w:val="single" w:sz="4" w:space="0" w:color="auto"/>
              <w:right w:val="nil"/>
            </w:tcBorders>
            <w:shd w:val="clear" w:color="auto" w:fill="auto"/>
            <w:noWrap/>
            <w:vAlign w:val="bottom"/>
            <w:hideMark/>
          </w:tcPr>
          <w:p w14:paraId="6B3EF71A" w14:textId="77777777" w:rsidR="00295A95" w:rsidRPr="00295A95" w:rsidRDefault="00295A95" w:rsidP="00295A95">
            <w:pPr>
              <w:spacing w:after="0" w:line="240" w:lineRule="auto"/>
              <w:rPr>
                <w:rFonts w:eastAsia="Times New Roman" w:cstheme="minorHAnsi"/>
                <w:color w:val="FF0000"/>
                <w:sz w:val="20"/>
                <w:szCs w:val="20"/>
              </w:rPr>
            </w:pPr>
            <w:r w:rsidRPr="00295A95">
              <w:rPr>
                <w:rFonts w:eastAsia="Times New Roman" w:cstheme="minorHAnsi"/>
                <w:color w:val="FF0000"/>
                <w:sz w:val="20"/>
                <w:szCs w:val="20"/>
              </w:rPr>
              <w:t>Overall</w:t>
            </w:r>
          </w:p>
        </w:tc>
        <w:tc>
          <w:tcPr>
            <w:tcW w:w="672" w:type="dxa"/>
            <w:tcBorders>
              <w:top w:val="nil"/>
              <w:left w:val="nil"/>
              <w:bottom w:val="single" w:sz="4" w:space="0" w:color="auto"/>
              <w:right w:val="nil"/>
            </w:tcBorders>
            <w:shd w:val="clear" w:color="auto" w:fill="auto"/>
            <w:noWrap/>
            <w:vAlign w:val="bottom"/>
            <w:hideMark/>
          </w:tcPr>
          <w:p w14:paraId="699A98EE"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1,680</w:t>
            </w:r>
          </w:p>
        </w:tc>
        <w:tc>
          <w:tcPr>
            <w:tcW w:w="730" w:type="dxa"/>
            <w:tcBorders>
              <w:top w:val="nil"/>
              <w:left w:val="nil"/>
              <w:bottom w:val="single" w:sz="4" w:space="0" w:color="auto"/>
              <w:right w:val="nil"/>
            </w:tcBorders>
            <w:shd w:val="clear" w:color="auto" w:fill="auto"/>
            <w:noWrap/>
            <w:vAlign w:val="bottom"/>
            <w:hideMark/>
          </w:tcPr>
          <w:p w14:paraId="6AE9BF4B"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172.2</w:t>
            </w:r>
          </w:p>
        </w:tc>
        <w:tc>
          <w:tcPr>
            <w:tcW w:w="672" w:type="dxa"/>
            <w:tcBorders>
              <w:top w:val="nil"/>
              <w:left w:val="nil"/>
              <w:bottom w:val="single" w:sz="4" w:space="0" w:color="auto"/>
              <w:right w:val="nil"/>
            </w:tcBorders>
            <w:shd w:val="clear" w:color="auto" w:fill="auto"/>
            <w:noWrap/>
            <w:vAlign w:val="bottom"/>
            <w:hideMark/>
          </w:tcPr>
          <w:p w14:paraId="245CA279"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184.9</w:t>
            </w:r>
          </w:p>
        </w:tc>
        <w:tc>
          <w:tcPr>
            <w:tcW w:w="567" w:type="dxa"/>
            <w:tcBorders>
              <w:top w:val="nil"/>
              <w:left w:val="nil"/>
              <w:bottom w:val="single" w:sz="4" w:space="0" w:color="auto"/>
              <w:right w:val="nil"/>
            </w:tcBorders>
            <w:shd w:val="clear" w:color="auto" w:fill="auto"/>
            <w:noWrap/>
            <w:vAlign w:val="bottom"/>
            <w:hideMark/>
          </w:tcPr>
          <w:p w14:paraId="10D1CA1C"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w:t>
            </w:r>
          </w:p>
        </w:tc>
        <w:tc>
          <w:tcPr>
            <w:tcW w:w="596" w:type="dxa"/>
            <w:tcBorders>
              <w:top w:val="nil"/>
              <w:left w:val="nil"/>
              <w:bottom w:val="single" w:sz="4" w:space="0" w:color="auto"/>
              <w:right w:val="nil"/>
            </w:tcBorders>
            <w:shd w:val="clear" w:color="auto" w:fill="auto"/>
            <w:noWrap/>
            <w:vAlign w:val="bottom"/>
            <w:hideMark/>
          </w:tcPr>
          <w:p w14:paraId="5B4358F4"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18</w:t>
            </w:r>
          </w:p>
        </w:tc>
        <w:tc>
          <w:tcPr>
            <w:tcW w:w="899" w:type="dxa"/>
            <w:tcBorders>
              <w:top w:val="nil"/>
              <w:left w:val="nil"/>
              <w:bottom w:val="single" w:sz="4" w:space="0" w:color="auto"/>
              <w:right w:val="nil"/>
            </w:tcBorders>
            <w:shd w:val="clear" w:color="auto" w:fill="auto"/>
            <w:noWrap/>
            <w:vAlign w:val="bottom"/>
            <w:hideMark/>
          </w:tcPr>
          <w:p w14:paraId="41B87F1A"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44</w:t>
            </w:r>
          </w:p>
        </w:tc>
        <w:tc>
          <w:tcPr>
            <w:tcW w:w="903" w:type="dxa"/>
            <w:tcBorders>
              <w:top w:val="nil"/>
              <w:left w:val="nil"/>
              <w:bottom w:val="single" w:sz="4" w:space="0" w:color="auto"/>
              <w:right w:val="nil"/>
            </w:tcBorders>
            <w:shd w:val="clear" w:color="auto" w:fill="auto"/>
            <w:noWrap/>
            <w:vAlign w:val="bottom"/>
            <w:hideMark/>
          </w:tcPr>
          <w:p w14:paraId="5DF0E8F4"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114</w:t>
            </w:r>
          </w:p>
        </w:tc>
        <w:tc>
          <w:tcPr>
            <w:tcW w:w="899" w:type="dxa"/>
            <w:tcBorders>
              <w:top w:val="nil"/>
              <w:left w:val="nil"/>
              <w:bottom w:val="single" w:sz="4" w:space="0" w:color="auto"/>
              <w:right w:val="nil"/>
            </w:tcBorders>
            <w:shd w:val="clear" w:color="auto" w:fill="auto"/>
            <w:noWrap/>
            <w:vAlign w:val="bottom"/>
            <w:hideMark/>
          </w:tcPr>
          <w:p w14:paraId="7E25B0AE"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224</w:t>
            </w:r>
          </w:p>
        </w:tc>
        <w:tc>
          <w:tcPr>
            <w:tcW w:w="596" w:type="dxa"/>
            <w:tcBorders>
              <w:top w:val="nil"/>
              <w:left w:val="nil"/>
              <w:bottom w:val="single" w:sz="4" w:space="0" w:color="auto"/>
              <w:right w:val="nil"/>
            </w:tcBorders>
            <w:shd w:val="clear" w:color="auto" w:fill="auto"/>
            <w:noWrap/>
            <w:vAlign w:val="bottom"/>
            <w:hideMark/>
          </w:tcPr>
          <w:p w14:paraId="06F7ED77"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409</w:t>
            </w:r>
          </w:p>
        </w:tc>
        <w:tc>
          <w:tcPr>
            <w:tcW w:w="720" w:type="dxa"/>
            <w:tcBorders>
              <w:top w:val="nil"/>
              <w:left w:val="nil"/>
              <w:bottom w:val="single" w:sz="4" w:space="0" w:color="auto"/>
              <w:right w:val="nil"/>
            </w:tcBorders>
            <w:shd w:val="clear" w:color="auto" w:fill="auto"/>
            <w:noWrap/>
            <w:vAlign w:val="bottom"/>
            <w:hideMark/>
          </w:tcPr>
          <w:p w14:paraId="705D9138"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1,504</w:t>
            </w:r>
          </w:p>
        </w:tc>
        <w:tc>
          <w:tcPr>
            <w:tcW w:w="1170" w:type="dxa"/>
            <w:tcBorders>
              <w:top w:val="nil"/>
              <w:left w:val="nil"/>
              <w:bottom w:val="single" w:sz="4" w:space="0" w:color="auto"/>
              <w:right w:val="nil"/>
            </w:tcBorders>
            <w:shd w:val="clear" w:color="auto" w:fill="auto"/>
            <w:noWrap/>
            <w:vAlign w:val="bottom"/>
            <w:hideMark/>
          </w:tcPr>
          <w:p w14:paraId="50990AE0" w14:textId="77777777" w:rsidR="00295A95" w:rsidRPr="00295A95" w:rsidRDefault="00295A95" w:rsidP="00295A95">
            <w:pPr>
              <w:spacing w:after="0" w:line="240" w:lineRule="auto"/>
              <w:jc w:val="center"/>
              <w:rPr>
                <w:rFonts w:eastAsia="Times New Roman" w:cstheme="minorHAnsi"/>
                <w:color w:val="FF0000"/>
                <w:sz w:val="20"/>
                <w:szCs w:val="20"/>
              </w:rPr>
            </w:pPr>
            <w:r w:rsidRPr="00295A95">
              <w:rPr>
                <w:rFonts w:eastAsia="Times New Roman" w:cstheme="minorHAnsi"/>
                <w:color w:val="FF0000"/>
                <w:sz w:val="20"/>
                <w:szCs w:val="20"/>
              </w:rPr>
              <w:t>289,309</w:t>
            </w:r>
          </w:p>
        </w:tc>
      </w:tr>
    </w:tbl>
    <w:p w14:paraId="1CF69F45" w14:textId="77777777" w:rsidR="00295A95" w:rsidRDefault="00295A95" w:rsidP="00295A95">
      <w:pPr>
        <w:pStyle w:val="TableSourceCaption"/>
        <w:ind w:left="0" w:firstLine="0"/>
        <w:rPr>
          <w:rFonts w:asciiTheme="minorHAnsi" w:hAnsiTheme="minorHAnsi" w:cstheme="minorHAnsi"/>
          <w:color w:val="FF0000"/>
        </w:rPr>
      </w:pPr>
      <w:r w:rsidRPr="00F32679">
        <w:rPr>
          <w:rFonts w:asciiTheme="minorHAnsi" w:hAnsiTheme="minorHAnsi" w:cstheme="minorHAnsi"/>
          <w:color w:val="FF0000"/>
        </w:rPr>
        <w:t>Source:</w:t>
      </w:r>
      <w:r>
        <w:rPr>
          <w:rFonts w:asciiTheme="minorHAnsi" w:hAnsiTheme="minorHAnsi" w:cstheme="minorHAnsi"/>
          <w:color w:val="FF0000"/>
        </w:rPr>
        <w:t xml:space="preserve"> </w:t>
      </w:r>
      <w:r w:rsidRPr="00F32679">
        <w:rPr>
          <w:rFonts w:asciiTheme="minorHAnsi" w:hAnsiTheme="minorHAnsi" w:cstheme="minorHAnsi"/>
          <w:color w:val="FF0000"/>
        </w:rPr>
        <w:t xml:space="preserve">Mathematica analysis of the Medicare Fee for Service (FFS) data for the July 1, 2017 through June 30, 2019, </w:t>
      </w:r>
    </w:p>
    <w:p w14:paraId="3C48E512" w14:textId="77777777" w:rsidR="00295A95" w:rsidRPr="00DC4DEE" w:rsidRDefault="00295A95" w:rsidP="00D94508">
      <w:pPr>
        <w:pStyle w:val="TableSourceCaption"/>
        <w:spacing w:before="0"/>
        <w:ind w:left="0" w:firstLine="0"/>
        <w:rPr>
          <w:rFonts w:asciiTheme="minorHAnsi" w:hAnsiTheme="minorHAnsi" w:cstheme="minorHAnsi"/>
          <w:color w:val="0070C0"/>
        </w:rPr>
      </w:pPr>
      <w:r w:rsidRPr="00F32679">
        <w:rPr>
          <w:rFonts w:asciiTheme="minorHAnsi" w:hAnsiTheme="minorHAnsi" w:cstheme="minorHAnsi"/>
          <w:color w:val="FF0000"/>
        </w:rPr>
        <w:t xml:space="preserve">performance period. </w:t>
      </w:r>
      <w:r w:rsidRPr="00DC4DEE">
        <w:rPr>
          <w:rFonts w:asciiTheme="minorHAnsi" w:hAnsiTheme="minorHAnsi" w:cstheme="minorHAnsi"/>
          <w:color w:val="0070C0"/>
        </w:rPr>
        <w:t xml:space="preserve"> </w:t>
      </w:r>
    </w:p>
    <w:p w14:paraId="50D35AB2" w14:textId="77777777" w:rsidR="00295A95" w:rsidRDefault="00295A95" w:rsidP="001400C2">
      <w:pPr>
        <w:autoSpaceDE w:val="0"/>
        <w:autoSpaceDN w:val="0"/>
        <w:adjustRightInd w:val="0"/>
        <w:spacing w:after="0" w:line="240" w:lineRule="auto"/>
        <w:rPr>
          <w:rFonts w:cstheme="minorHAnsi"/>
          <w:bCs/>
          <w:color w:val="FF0000"/>
        </w:rPr>
      </w:pPr>
    </w:p>
    <w:p w14:paraId="771F3385" w14:textId="00B69855" w:rsidR="00AA1516" w:rsidRPr="0075066F" w:rsidRDefault="00AA1516" w:rsidP="00AA1516">
      <w:pPr>
        <w:spacing w:before="60" w:after="120" w:line="240" w:lineRule="auto"/>
        <w:ind w:right="-72"/>
        <w:rPr>
          <w:rFonts w:ascii="Calibri" w:eastAsia="Calibri" w:hAnsi="Calibri" w:cs="Calibri"/>
          <w:color w:val="0000FF"/>
        </w:rPr>
      </w:pPr>
      <w:r w:rsidRPr="0075066F">
        <w:rPr>
          <w:rFonts w:ascii="Calibri" w:eastAsia="Calibri" w:hAnsi="Calibri" w:cs="Calibri"/>
          <w:color w:val="0000FF"/>
        </w:rPr>
        <w:t xml:space="preserve">The measure was developed and tested using Medicare files for all inpatient psychiatric facility (IPF) discharges that occurred between January 1, 2013 and December 31, 2014. The data include 380,861 discharges from 1,694 IPFs across the United States (Table 1.5-A). IPFs ranged in size from 4 to 771 inpatient beds. Approximately 70% of IPFs in this dataset were units within a larger hospital. The average number of discharges per freestanding IPF was </w:t>
      </w:r>
      <w:r w:rsidR="00115103">
        <w:rPr>
          <w:rFonts w:ascii="Calibri" w:eastAsia="Calibri" w:hAnsi="Calibri" w:cs="Calibri"/>
          <w:color w:val="0000FF"/>
        </w:rPr>
        <w:t>approximately</w:t>
      </w:r>
      <w:r>
        <w:rPr>
          <w:rFonts w:ascii="Calibri" w:eastAsia="Calibri" w:hAnsi="Calibri" w:cs="Calibri"/>
          <w:color w:val="0000FF"/>
        </w:rPr>
        <w:t xml:space="preserve"> </w:t>
      </w:r>
      <w:r w:rsidRPr="0075066F">
        <w:rPr>
          <w:rFonts w:ascii="Calibri" w:eastAsia="Calibri" w:hAnsi="Calibri" w:cs="Calibri"/>
          <w:color w:val="0000FF"/>
        </w:rPr>
        <w:t xml:space="preserve">300 and the average per IPF unit was </w:t>
      </w:r>
      <w:r>
        <w:rPr>
          <w:rFonts w:ascii="Calibri" w:eastAsia="Calibri" w:hAnsi="Calibri" w:cs="Calibri"/>
          <w:color w:val="0000FF"/>
        </w:rPr>
        <w:t>approximately</w:t>
      </w:r>
      <w:r w:rsidRPr="0075066F">
        <w:rPr>
          <w:rFonts w:ascii="Calibri" w:eastAsia="Calibri" w:hAnsi="Calibri" w:cs="Calibri"/>
          <w:color w:val="0000FF"/>
        </w:rPr>
        <w:t xml:space="preserve"> 200.</w:t>
      </w:r>
    </w:p>
    <w:p w14:paraId="03086DA8" w14:textId="77777777" w:rsidR="00AA1516" w:rsidRPr="005E0E3B" w:rsidRDefault="00AA1516" w:rsidP="00AA1516">
      <w:pPr>
        <w:keepNext/>
        <w:spacing w:before="120" w:after="0" w:line="240" w:lineRule="auto"/>
        <w:ind w:right="-72"/>
        <w:rPr>
          <w:rFonts w:ascii="Calibri" w:eastAsia="Calibri" w:hAnsi="Calibri" w:cs="Calibri"/>
          <w:b/>
          <w:bCs/>
          <w:sz w:val="20"/>
          <w:szCs w:val="20"/>
        </w:rPr>
      </w:pPr>
      <w:r w:rsidRPr="005E0E3B">
        <w:rPr>
          <w:rFonts w:ascii="Calibri" w:eastAsia="Calibri" w:hAnsi="Calibri" w:cs="Calibri"/>
          <w:b/>
          <w:bCs/>
          <w:sz w:val="20"/>
          <w:szCs w:val="20"/>
        </w:rPr>
        <w:t xml:space="preserve">Table 1.5-A. </w:t>
      </w:r>
      <w:r w:rsidRPr="005E0E3B">
        <w:rPr>
          <w:b/>
          <w:bCs/>
          <w:sz w:val="20"/>
          <w:szCs w:val="20"/>
        </w:rPr>
        <w:t>Distribution of Discharges by IPF Type (</w:t>
      </w:r>
      <w:r w:rsidRPr="005E0E3B">
        <w:rPr>
          <w:b/>
          <w:bCs/>
          <w:spacing w:val="-1"/>
          <w:sz w:val="20"/>
          <w:szCs w:val="20"/>
        </w:rPr>
        <w:t>January 1, 2013 – December 31, 2014)</w:t>
      </w:r>
    </w:p>
    <w:tbl>
      <w:tblPr>
        <w:tblW w:w="9369" w:type="dxa"/>
        <w:tblInd w:w="108" w:type="dxa"/>
        <w:tblLayout w:type="fixed"/>
        <w:tblLook w:val="04A0" w:firstRow="1" w:lastRow="0" w:firstColumn="1" w:lastColumn="0" w:noHBand="0" w:noVBand="1"/>
      </w:tblPr>
      <w:tblGrid>
        <w:gridCol w:w="1350"/>
        <w:gridCol w:w="1053"/>
        <w:gridCol w:w="720"/>
        <w:gridCol w:w="711"/>
        <w:gridCol w:w="612"/>
        <w:gridCol w:w="666"/>
        <w:gridCol w:w="918"/>
        <w:gridCol w:w="936"/>
        <w:gridCol w:w="900"/>
        <w:gridCol w:w="720"/>
        <w:gridCol w:w="783"/>
      </w:tblGrid>
      <w:tr w:rsidR="00AA1516" w:rsidRPr="005D4433" w14:paraId="554B6D24" w14:textId="77777777" w:rsidTr="002E0CEC">
        <w:trPr>
          <w:trHeight w:val="490"/>
        </w:trPr>
        <w:tc>
          <w:tcPr>
            <w:tcW w:w="1350"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bottom"/>
            <w:hideMark/>
          </w:tcPr>
          <w:p w14:paraId="75636EB7" w14:textId="77777777" w:rsidR="00AA1516" w:rsidRPr="005D4433" w:rsidRDefault="00AA1516" w:rsidP="002E0CEC">
            <w:pPr>
              <w:keepNext/>
              <w:spacing w:after="0" w:line="240" w:lineRule="auto"/>
              <w:rPr>
                <w:rFonts w:ascii="Calibri" w:eastAsia="Times New Roman" w:hAnsi="Calibri" w:cs="Times New Roman"/>
                <w:b/>
                <w:bCs/>
                <w:color w:val="FFFFFF" w:themeColor="background1"/>
                <w:sz w:val="20"/>
                <w:szCs w:val="20"/>
              </w:rPr>
            </w:pPr>
            <w:r w:rsidRPr="005D4433">
              <w:rPr>
                <w:rFonts w:ascii="Calibri" w:eastAsia="Times New Roman" w:hAnsi="Calibri" w:cs="Times New Roman"/>
                <w:b/>
                <w:bCs/>
                <w:color w:val="FFFFFF" w:themeColor="background1"/>
                <w:sz w:val="20"/>
                <w:szCs w:val="20"/>
              </w:rPr>
              <w:t>IPF Type</w:t>
            </w:r>
          </w:p>
        </w:tc>
        <w:tc>
          <w:tcPr>
            <w:tcW w:w="1053" w:type="dxa"/>
            <w:tcBorders>
              <w:top w:val="single" w:sz="4" w:space="0" w:color="auto"/>
              <w:left w:val="nil"/>
              <w:bottom w:val="single" w:sz="4" w:space="0" w:color="auto"/>
              <w:right w:val="single" w:sz="4" w:space="0" w:color="auto"/>
            </w:tcBorders>
            <w:shd w:val="clear" w:color="auto" w:fill="365F91" w:themeFill="accent1" w:themeFillShade="BF"/>
            <w:noWrap/>
            <w:vAlign w:val="bottom"/>
            <w:hideMark/>
          </w:tcPr>
          <w:p w14:paraId="029B5487" w14:textId="77777777" w:rsidR="00AA1516" w:rsidRPr="005D4433" w:rsidRDefault="00AA1516" w:rsidP="002E0CEC">
            <w:pPr>
              <w:keepNext/>
              <w:spacing w:after="0" w:line="240" w:lineRule="auto"/>
              <w:jc w:val="center"/>
              <w:rPr>
                <w:rFonts w:ascii="Calibri" w:eastAsia="Times New Roman" w:hAnsi="Calibri" w:cs="Times New Roman"/>
                <w:b/>
                <w:bCs/>
                <w:color w:val="FFFFFF" w:themeColor="background1"/>
                <w:sz w:val="20"/>
                <w:szCs w:val="20"/>
              </w:rPr>
            </w:pPr>
            <w:r w:rsidRPr="005D4433">
              <w:rPr>
                <w:rFonts w:ascii="Calibri" w:eastAsia="Times New Roman" w:hAnsi="Calibri" w:cs="Times New Roman"/>
                <w:b/>
                <w:bCs/>
                <w:color w:val="FFFFFF" w:themeColor="background1"/>
                <w:sz w:val="20"/>
                <w:szCs w:val="20"/>
              </w:rPr>
              <w:t>IPFs (N=1,694)</w:t>
            </w:r>
          </w:p>
        </w:tc>
        <w:tc>
          <w:tcPr>
            <w:tcW w:w="720" w:type="dxa"/>
            <w:tcBorders>
              <w:top w:val="single" w:sz="4" w:space="0" w:color="auto"/>
              <w:left w:val="nil"/>
              <w:bottom w:val="single" w:sz="4" w:space="0" w:color="auto"/>
              <w:right w:val="single" w:sz="4" w:space="0" w:color="auto"/>
            </w:tcBorders>
            <w:shd w:val="clear" w:color="auto" w:fill="365F91" w:themeFill="accent1" w:themeFillShade="BF"/>
            <w:noWrap/>
            <w:vAlign w:val="bottom"/>
            <w:hideMark/>
          </w:tcPr>
          <w:p w14:paraId="1C0674C5" w14:textId="77777777" w:rsidR="00AA1516" w:rsidRPr="005D4433" w:rsidRDefault="00AA1516" w:rsidP="002E0CEC">
            <w:pPr>
              <w:keepNext/>
              <w:spacing w:after="0" w:line="240" w:lineRule="auto"/>
              <w:jc w:val="center"/>
              <w:rPr>
                <w:rFonts w:ascii="Calibri" w:eastAsia="Times New Roman" w:hAnsi="Calibri" w:cs="Times New Roman"/>
                <w:b/>
                <w:bCs/>
                <w:color w:val="FFFFFF" w:themeColor="background1"/>
                <w:sz w:val="20"/>
                <w:szCs w:val="20"/>
              </w:rPr>
            </w:pPr>
            <w:r w:rsidRPr="005D4433">
              <w:rPr>
                <w:rFonts w:ascii="Calibri" w:eastAsia="Times New Roman" w:hAnsi="Calibri" w:cs="Times New Roman"/>
                <w:b/>
                <w:bCs/>
                <w:color w:val="FFFFFF" w:themeColor="background1"/>
                <w:sz w:val="20"/>
                <w:szCs w:val="20"/>
              </w:rPr>
              <w:t>Mean</w:t>
            </w:r>
          </w:p>
        </w:tc>
        <w:tc>
          <w:tcPr>
            <w:tcW w:w="711" w:type="dxa"/>
            <w:tcBorders>
              <w:top w:val="single" w:sz="4" w:space="0" w:color="auto"/>
              <w:left w:val="nil"/>
              <w:bottom w:val="single" w:sz="4" w:space="0" w:color="auto"/>
              <w:right w:val="single" w:sz="4" w:space="0" w:color="auto"/>
            </w:tcBorders>
            <w:shd w:val="clear" w:color="auto" w:fill="365F91" w:themeFill="accent1" w:themeFillShade="BF"/>
            <w:noWrap/>
            <w:vAlign w:val="bottom"/>
            <w:hideMark/>
          </w:tcPr>
          <w:p w14:paraId="3EBA661C" w14:textId="77777777" w:rsidR="00AA1516" w:rsidRPr="005D4433" w:rsidRDefault="00AA1516" w:rsidP="002E0CEC">
            <w:pPr>
              <w:keepNext/>
              <w:spacing w:after="0" w:line="240" w:lineRule="auto"/>
              <w:jc w:val="center"/>
              <w:rPr>
                <w:rFonts w:ascii="Calibri" w:eastAsia="Times New Roman" w:hAnsi="Calibri" w:cs="Times New Roman"/>
                <w:b/>
                <w:bCs/>
                <w:color w:val="FFFFFF" w:themeColor="background1"/>
                <w:sz w:val="20"/>
                <w:szCs w:val="20"/>
              </w:rPr>
            </w:pPr>
            <w:r w:rsidRPr="005D4433">
              <w:rPr>
                <w:rFonts w:ascii="Calibri" w:eastAsia="Times New Roman" w:hAnsi="Calibri" w:cs="Times New Roman"/>
                <w:b/>
                <w:bCs/>
                <w:color w:val="FFFFFF" w:themeColor="background1"/>
                <w:sz w:val="20"/>
                <w:szCs w:val="20"/>
              </w:rPr>
              <w:t>SD</w:t>
            </w:r>
          </w:p>
        </w:tc>
        <w:tc>
          <w:tcPr>
            <w:tcW w:w="612" w:type="dxa"/>
            <w:tcBorders>
              <w:top w:val="single" w:sz="4" w:space="0" w:color="auto"/>
              <w:left w:val="nil"/>
              <w:bottom w:val="single" w:sz="4" w:space="0" w:color="auto"/>
              <w:right w:val="single" w:sz="4" w:space="0" w:color="auto"/>
            </w:tcBorders>
            <w:shd w:val="clear" w:color="auto" w:fill="365F91" w:themeFill="accent1" w:themeFillShade="BF"/>
            <w:noWrap/>
            <w:vAlign w:val="bottom"/>
            <w:hideMark/>
          </w:tcPr>
          <w:p w14:paraId="0FEC2807" w14:textId="77777777" w:rsidR="00AA1516" w:rsidRPr="005D4433" w:rsidRDefault="00AA1516" w:rsidP="002E0CEC">
            <w:pPr>
              <w:keepNext/>
              <w:spacing w:after="0" w:line="240" w:lineRule="auto"/>
              <w:jc w:val="center"/>
              <w:rPr>
                <w:rFonts w:ascii="Calibri" w:eastAsia="Times New Roman" w:hAnsi="Calibri" w:cs="Times New Roman"/>
                <w:b/>
                <w:bCs/>
                <w:color w:val="FFFFFF" w:themeColor="background1"/>
                <w:sz w:val="20"/>
                <w:szCs w:val="20"/>
              </w:rPr>
            </w:pPr>
            <w:r w:rsidRPr="005D4433">
              <w:rPr>
                <w:rFonts w:ascii="Calibri" w:eastAsia="Times New Roman" w:hAnsi="Calibri" w:cs="Times New Roman"/>
                <w:b/>
                <w:bCs/>
                <w:color w:val="FFFFFF" w:themeColor="background1"/>
                <w:sz w:val="20"/>
                <w:szCs w:val="20"/>
              </w:rPr>
              <w:t>Min</w:t>
            </w:r>
          </w:p>
        </w:tc>
        <w:tc>
          <w:tcPr>
            <w:tcW w:w="666" w:type="dxa"/>
            <w:tcBorders>
              <w:top w:val="single" w:sz="4" w:space="0" w:color="auto"/>
              <w:left w:val="nil"/>
              <w:bottom w:val="single" w:sz="4" w:space="0" w:color="auto"/>
              <w:right w:val="single" w:sz="4" w:space="0" w:color="auto"/>
            </w:tcBorders>
            <w:shd w:val="clear" w:color="auto" w:fill="365F91" w:themeFill="accent1" w:themeFillShade="BF"/>
            <w:noWrap/>
            <w:vAlign w:val="bottom"/>
            <w:hideMark/>
          </w:tcPr>
          <w:p w14:paraId="71C83E93" w14:textId="77777777" w:rsidR="00AA1516" w:rsidRPr="005D4433" w:rsidRDefault="00AA1516" w:rsidP="002E0CEC">
            <w:pPr>
              <w:keepNext/>
              <w:spacing w:after="0" w:line="240" w:lineRule="auto"/>
              <w:jc w:val="center"/>
              <w:rPr>
                <w:rFonts w:ascii="Calibri" w:eastAsia="Times New Roman" w:hAnsi="Calibri" w:cs="Times New Roman"/>
                <w:b/>
                <w:bCs/>
                <w:color w:val="FFFFFF" w:themeColor="background1"/>
                <w:sz w:val="20"/>
                <w:szCs w:val="20"/>
              </w:rPr>
            </w:pPr>
            <w:r w:rsidRPr="005D4433">
              <w:rPr>
                <w:rFonts w:ascii="Calibri" w:eastAsia="Times New Roman" w:hAnsi="Calibri" w:cs="Times New Roman"/>
                <w:b/>
                <w:bCs/>
                <w:color w:val="FFFFFF" w:themeColor="background1"/>
                <w:sz w:val="20"/>
                <w:szCs w:val="20"/>
              </w:rPr>
              <w:t>10th Pctl</w:t>
            </w:r>
          </w:p>
        </w:tc>
        <w:tc>
          <w:tcPr>
            <w:tcW w:w="918" w:type="dxa"/>
            <w:tcBorders>
              <w:top w:val="single" w:sz="4" w:space="0" w:color="auto"/>
              <w:left w:val="nil"/>
              <w:bottom w:val="single" w:sz="4" w:space="0" w:color="auto"/>
              <w:right w:val="single" w:sz="4" w:space="0" w:color="auto"/>
            </w:tcBorders>
            <w:shd w:val="clear" w:color="auto" w:fill="365F91" w:themeFill="accent1" w:themeFillShade="BF"/>
            <w:noWrap/>
            <w:vAlign w:val="bottom"/>
            <w:hideMark/>
          </w:tcPr>
          <w:p w14:paraId="2A1589C9" w14:textId="77777777" w:rsidR="00AA1516" w:rsidRPr="005D4433" w:rsidRDefault="00AA1516" w:rsidP="002E0CEC">
            <w:pPr>
              <w:keepNext/>
              <w:spacing w:after="0" w:line="240" w:lineRule="auto"/>
              <w:jc w:val="center"/>
              <w:rPr>
                <w:rFonts w:ascii="Calibri" w:eastAsia="Times New Roman" w:hAnsi="Calibri" w:cs="Times New Roman"/>
                <w:b/>
                <w:bCs/>
                <w:color w:val="FFFFFF" w:themeColor="background1"/>
                <w:sz w:val="20"/>
                <w:szCs w:val="20"/>
              </w:rPr>
            </w:pPr>
            <w:r w:rsidRPr="005D4433">
              <w:rPr>
                <w:rFonts w:ascii="Calibri" w:eastAsia="Times New Roman" w:hAnsi="Calibri" w:cs="Times New Roman"/>
                <w:b/>
                <w:bCs/>
                <w:color w:val="FFFFFF" w:themeColor="background1"/>
                <w:sz w:val="20"/>
                <w:szCs w:val="20"/>
              </w:rPr>
              <w:t>Lower Quartile</w:t>
            </w:r>
          </w:p>
        </w:tc>
        <w:tc>
          <w:tcPr>
            <w:tcW w:w="936" w:type="dxa"/>
            <w:tcBorders>
              <w:top w:val="single" w:sz="4" w:space="0" w:color="auto"/>
              <w:left w:val="nil"/>
              <w:bottom w:val="single" w:sz="4" w:space="0" w:color="auto"/>
              <w:right w:val="single" w:sz="4" w:space="0" w:color="auto"/>
            </w:tcBorders>
            <w:shd w:val="clear" w:color="auto" w:fill="365F91" w:themeFill="accent1" w:themeFillShade="BF"/>
            <w:noWrap/>
            <w:vAlign w:val="bottom"/>
            <w:hideMark/>
          </w:tcPr>
          <w:p w14:paraId="1753AB94" w14:textId="77777777" w:rsidR="00AA1516" w:rsidRPr="005D4433" w:rsidRDefault="00AA1516" w:rsidP="002E0CEC">
            <w:pPr>
              <w:keepNext/>
              <w:spacing w:after="0" w:line="240" w:lineRule="auto"/>
              <w:jc w:val="center"/>
              <w:rPr>
                <w:rFonts w:ascii="Calibri" w:eastAsia="Times New Roman" w:hAnsi="Calibri" w:cs="Times New Roman"/>
                <w:b/>
                <w:bCs/>
                <w:color w:val="FFFFFF" w:themeColor="background1"/>
                <w:sz w:val="20"/>
                <w:szCs w:val="20"/>
              </w:rPr>
            </w:pPr>
            <w:r w:rsidRPr="005D4433">
              <w:rPr>
                <w:rFonts w:ascii="Calibri" w:eastAsia="Times New Roman" w:hAnsi="Calibri" w:cs="Times New Roman"/>
                <w:b/>
                <w:bCs/>
                <w:color w:val="FFFFFF" w:themeColor="background1"/>
                <w:sz w:val="20"/>
                <w:szCs w:val="20"/>
              </w:rPr>
              <w:t>Median</w:t>
            </w:r>
          </w:p>
        </w:tc>
        <w:tc>
          <w:tcPr>
            <w:tcW w:w="900" w:type="dxa"/>
            <w:tcBorders>
              <w:top w:val="single" w:sz="4" w:space="0" w:color="auto"/>
              <w:left w:val="nil"/>
              <w:bottom w:val="single" w:sz="4" w:space="0" w:color="auto"/>
              <w:right w:val="single" w:sz="4" w:space="0" w:color="auto"/>
            </w:tcBorders>
            <w:shd w:val="clear" w:color="auto" w:fill="365F91" w:themeFill="accent1" w:themeFillShade="BF"/>
            <w:noWrap/>
            <w:vAlign w:val="bottom"/>
            <w:hideMark/>
          </w:tcPr>
          <w:p w14:paraId="7FEA1225" w14:textId="77777777" w:rsidR="00AA1516" w:rsidRPr="005D4433" w:rsidRDefault="00AA1516" w:rsidP="002E0CEC">
            <w:pPr>
              <w:keepNext/>
              <w:spacing w:after="0" w:line="240" w:lineRule="auto"/>
              <w:jc w:val="center"/>
              <w:rPr>
                <w:rFonts w:ascii="Calibri" w:eastAsia="Times New Roman" w:hAnsi="Calibri" w:cs="Times New Roman"/>
                <w:b/>
                <w:bCs/>
                <w:color w:val="FFFFFF" w:themeColor="background1"/>
                <w:sz w:val="20"/>
                <w:szCs w:val="20"/>
              </w:rPr>
            </w:pPr>
            <w:r w:rsidRPr="005D4433">
              <w:rPr>
                <w:rFonts w:ascii="Calibri" w:eastAsia="Times New Roman" w:hAnsi="Calibri" w:cs="Times New Roman"/>
                <w:b/>
                <w:bCs/>
                <w:color w:val="FFFFFF" w:themeColor="background1"/>
                <w:sz w:val="20"/>
                <w:szCs w:val="20"/>
              </w:rPr>
              <w:t>Upper Quartile</w:t>
            </w:r>
          </w:p>
        </w:tc>
        <w:tc>
          <w:tcPr>
            <w:tcW w:w="720" w:type="dxa"/>
            <w:tcBorders>
              <w:top w:val="single" w:sz="4" w:space="0" w:color="auto"/>
              <w:left w:val="nil"/>
              <w:bottom w:val="single" w:sz="4" w:space="0" w:color="auto"/>
              <w:right w:val="single" w:sz="4" w:space="0" w:color="auto"/>
            </w:tcBorders>
            <w:shd w:val="clear" w:color="auto" w:fill="365F91" w:themeFill="accent1" w:themeFillShade="BF"/>
            <w:noWrap/>
            <w:vAlign w:val="bottom"/>
            <w:hideMark/>
          </w:tcPr>
          <w:p w14:paraId="51C71D49" w14:textId="77777777" w:rsidR="00AA1516" w:rsidRPr="005D4433" w:rsidRDefault="00AA1516" w:rsidP="002E0CEC">
            <w:pPr>
              <w:keepNext/>
              <w:spacing w:after="0" w:line="240" w:lineRule="auto"/>
              <w:jc w:val="center"/>
              <w:rPr>
                <w:rFonts w:ascii="Calibri" w:eastAsia="Times New Roman" w:hAnsi="Calibri" w:cs="Times New Roman"/>
                <w:b/>
                <w:bCs/>
                <w:color w:val="FFFFFF" w:themeColor="background1"/>
                <w:sz w:val="20"/>
                <w:szCs w:val="20"/>
              </w:rPr>
            </w:pPr>
            <w:r w:rsidRPr="005D4433">
              <w:rPr>
                <w:rFonts w:ascii="Calibri" w:eastAsia="Times New Roman" w:hAnsi="Calibri" w:cs="Times New Roman"/>
                <w:b/>
                <w:bCs/>
                <w:color w:val="FFFFFF" w:themeColor="background1"/>
                <w:sz w:val="20"/>
                <w:szCs w:val="20"/>
              </w:rPr>
              <w:t>90th Pctl</w:t>
            </w:r>
          </w:p>
        </w:tc>
        <w:tc>
          <w:tcPr>
            <w:tcW w:w="783" w:type="dxa"/>
            <w:tcBorders>
              <w:top w:val="single" w:sz="4" w:space="0" w:color="auto"/>
              <w:left w:val="nil"/>
              <w:bottom w:val="single" w:sz="4" w:space="0" w:color="auto"/>
              <w:right w:val="single" w:sz="4" w:space="0" w:color="auto"/>
            </w:tcBorders>
            <w:shd w:val="clear" w:color="auto" w:fill="365F91" w:themeFill="accent1" w:themeFillShade="BF"/>
            <w:noWrap/>
            <w:vAlign w:val="bottom"/>
            <w:hideMark/>
          </w:tcPr>
          <w:p w14:paraId="5EBB5F7F" w14:textId="77777777" w:rsidR="00AA1516" w:rsidRPr="005D4433" w:rsidRDefault="00AA1516" w:rsidP="002E0CEC">
            <w:pPr>
              <w:keepNext/>
              <w:spacing w:after="0" w:line="240" w:lineRule="auto"/>
              <w:jc w:val="center"/>
              <w:rPr>
                <w:rFonts w:ascii="Calibri" w:eastAsia="Times New Roman" w:hAnsi="Calibri" w:cs="Times New Roman"/>
                <w:b/>
                <w:bCs/>
                <w:color w:val="FFFFFF" w:themeColor="background1"/>
                <w:sz w:val="20"/>
                <w:szCs w:val="20"/>
              </w:rPr>
            </w:pPr>
            <w:r w:rsidRPr="005D4433">
              <w:rPr>
                <w:rFonts w:ascii="Calibri" w:eastAsia="Times New Roman" w:hAnsi="Calibri" w:cs="Times New Roman"/>
                <w:b/>
                <w:bCs/>
                <w:color w:val="FFFFFF" w:themeColor="background1"/>
                <w:sz w:val="20"/>
                <w:szCs w:val="20"/>
              </w:rPr>
              <w:t>Max</w:t>
            </w:r>
          </w:p>
        </w:tc>
      </w:tr>
      <w:tr w:rsidR="00AA1516" w:rsidRPr="005D4433" w14:paraId="2B40D4A7" w14:textId="77777777" w:rsidTr="002E0CEC">
        <w:trPr>
          <w:trHeight w:val="288"/>
        </w:trPr>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A6EE65" w14:textId="77777777" w:rsidR="00AA1516" w:rsidRPr="005D4433" w:rsidRDefault="00AA1516" w:rsidP="002E0CEC">
            <w:pPr>
              <w:spacing w:after="0"/>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Freestanding</w:t>
            </w:r>
          </w:p>
        </w:tc>
        <w:tc>
          <w:tcPr>
            <w:tcW w:w="1053" w:type="dxa"/>
            <w:tcBorders>
              <w:top w:val="nil"/>
              <w:left w:val="nil"/>
              <w:bottom w:val="single" w:sz="4" w:space="0" w:color="auto"/>
              <w:right w:val="single" w:sz="4" w:space="0" w:color="auto"/>
            </w:tcBorders>
            <w:shd w:val="clear" w:color="auto" w:fill="auto"/>
            <w:noWrap/>
            <w:vAlign w:val="bottom"/>
            <w:hideMark/>
          </w:tcPr>
          <w:p w14:paraId="24147D3F"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hAnsi="Calibri"/>
                <w:color w:val="000000" w:themeColor="text1"/>
                <w:sz w:val="20"/>
                <w:szCs w:val="20"/>
              </w:rPr>
              <w:t>515</w:t>
            </w:r>
          </w:p>
        </w:tc>
        <w:tc>
          <w:tcPr>
            <w:tcW w:w="720" w:type="dxa"/>
            <w:tcBorders>
              <w:top w:val="nil"/>
              <w:left w:val="nil"/>
              <w:bottom w:val="single" w:sz="4" w:space="0" w:color="auto"/>
              <w:right w:val="single" w:sz="4" w:space="0" w:color="auto"/>
            </w:tcBorders>
            <w:shd w:val="clear" w:color="auto" w:fill="auto"/>
            <w:noWrap/>
            <w:vAlign w:val="bottom"/>
            <w:hideMark/>
          </w:tcPr>
          <w:p w14:paraId="4115AA96" w14:textId="77777777" w:rsidR="00AA1516" w:rsidRPr="005D4433" w:rsidRDefault="00AA1516" w:rsidP="002E0CEC">
            <w:pPr>
              <w:spacing w:after="0"/>
              <w:jc w:val="right"/>
              <w:rPr>
                <w:rFonts w:ascii="Calibri" w:eastAsia="Times New Roman" w:hAnsi="Calibri" w:cs="Times New Roman"/>
                <w:color w:val="000000"/>
                <w:sz w:val="20"/>
                <w:szCs w:val="20"/>
              </w:rPr>
            </w:pPr>
            <w:r w:rsidRPr="005D4433">
              <w:rPr>
                <w:rFonts w:ascii="Calibri" w:hAnsi="Calibri"/>
                <w:color w:val="000000"/>
                <w:sz w:val="20"/>
                <w:szCs w:val="20"/>
              </w:rPr>
              <w:t>301.8</w:t>
            </w:r>
          </w:p>
        </w:tc>
        <w:tc>
          <w:tcPr>
            <w:tcW w:w="711" w:type="dxa"/>
            <w:tcBorders>
              <w:top w:val="nil"/>
              <w:left w:val="nil"/>
              <w:bottom w:val="single" w:sz="4" w:space="0" w:color="auto"/>
              <w:right w:val="single" w:sz="4" w:space="0" w:color="auto"/>
            </w:tcBorders>
            <w:shd w:val="clear" w:color="auto" w:fill="auto"/>
            <w:noWrap/>
            <w:vAlign w:val="bottom"/>
            <w:hideMark/>
          </w:tcPr>
          <w:p w14:paraId="773E0804" w14:textId="77777777" w:rsidR="00AA1516" w:rsidRPr="005D4433" w:rsidRDefault="00AA1516" w:rsidP="002E0CEC">
            <w:pPr>
              <w:spacing w:after="0"/>
              <w:jc w:val="right"/>
              <w:rPr>
                <w:rFonts w:ascii="Calibri" w:eastAsia="Times New Roman" w:hAnsi="Calibri" w:cs="Times New Roman"/>
                <w:color w:val="000000"/>
                <w:sz w:val="20"/>
                <w:szCs w:val="20"/>
              </w:rPr>
            </w:pPr>
            <w:r w:rsidRPr="005D4433">
              <w:rPr>
                <w:rFonts w:ascii="Calibri" w:hAnsi="Calibri"/>
                <w:color w:val="000000"/>
                <w:sz w:val="20"/>
                <w:szCs w:val="20"/>
              </w:rPr>
              <w:t>322.9</w:t>
            </w:r>
          </w:p>
        </w:tc>
        <w:tc>
          <w:tcPr>
            <w:tcW w:w="612" w:type="dxa"/>
            <w:tcBorders>
              <w:top w:val="nil"/>
              <w:left w:val="nil"/>
              <w:bottom w:val="single" w:sz="4" w:space="0" w:color="auto"/>
              <w:right w:val="single" w:sz="4" w:space="0" w:color="auto"/>
            </w:tcBorders>
            <w:shd w:val="clear" w:color="auto" w:fill="auto"/>
            <w:noWrap/>
            <w:vAlign w:val="bottom"/>
            <w:hideMark/>
          </w:tcPr>
          <w:p w14:paraId="21C68541"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1</w:t>
            </w:r>
          </w:p>
        </w:tc>
        <w:tc>
          <w:tcPr>
            <w:tcW w:w="666" w:type="dxa"/>
            <w:tcBorders>
              <w:top w:val="nil"/>
              <w:left w:val="nil"/>
              <w:bottom w:val="single" w:sz="4" w:space="0" w:color="auto"/>
              <w:right w:val="single" w:sz="4" w:space="0" w:color="auto"/>
            </w:tcBorders>
            <w:shd w:val="clear" w:color="auto" w:fill="auto"/>
            <w:noWrap/>
            <w:vAlign w:val="bottom"/>
            <w:hideMark/>
          </w:tcPr>
          <w:p w14:paraId="57F2D592"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20</w:t>
            </w:r>
          </w:p>
        </w:tc>
        <w:tc>
          <w:tcPr>
            <w:tcW w:w="918" w:type="dxa"/>
            <w:tcBorders>
              <w:top w:val="nil"/>
              <w:left w:val="nil"/>
              <w:bottom w:val="single" w:sz="4" w:space="0" w:color="auto"/>
              <w:right w:val="single" w:sz="4" w:space="0" w:color="auto"/>
            </w:tcBorders>
            <w:shd w:val="clear" w:color="auto" w:fill="auto"/>
            <w:noWrap/>
            <w:vAlign w:val="bottom"/>
            <w:hideMark/>
          </w:tcPr>
          <w:p w14:paraId="19F81C68"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77</w:t>
            </w:r>
          </w:p>
        </w:tc>
        <w:tc>
          <w:tcPr>
            <w:tcW w:w="936" w:type="dxa"/>
            <w:tcBorders>
              <w:top w:val="nil"/>
              <w:left w:val="nil"/>
              <w:bottom w:val="single" w:sz="4" w:space="0" w:color="auto"/>
              <w:right w:val="single" w:sz="4" w:space="0" w:color="auto"/>
            </w:tcBorders>
            <w:shd w:val="clear" w:color="auto" w:fill="auto"/>
            <w:noWrap/>
            <w:vAlign w:val="bottom"/>
            <w:hideMark/>
          </w:tcPr>
          <w:p w14:paraId="5E667781"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184</w:t>
            </w:r>
          </w:p>
        </w:tc>
        <w:tc>
          <w:tcPr>
            <w:tcW w:w="900" w:type="dxa"/>
            <w:tcBorders>
              <w:top w:val="nil"/>
              <w:left w:val="nil"/>
              <w:bottom w:val="single" w:sz="4" w:space="0" w:color="auto"/>
              <w:right w:val="single" w:sz="4" w:space="0" w:color="auto"/>
            </w:tcBorders>
            <w:shd w:val="clear" w:color="auto" w:fill="auto"/>
            <w:noWrap/>
            <w:vAlign w:val="bottom"/>
            <w:hideMark/>
          </w:tcPr>
          <w:p w14:paraId="1C0372C5"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416</w:t>
            </w:r>
          </w:p>
        </w:tc>
        <w:tc>
          <w:tcPr>
            <w:tcW w:w="720" w:type="dxa"/>
            <w:tcBorders>
              <w:top w:val="nil"/>
              <w:left w:val="nil"/>
              <w:bottom w:val="single" w:sz="4" w:space="0" w:color="auto"/>
              <w:right w:val="single" w:sz="4" w:space="0" w:color="auto"/>
            </w:tcBorders>
            <w:shd w:val="clear" w:color="auto" w:fill="auto"/>
            <w:noWrap/>
            <w:vAlign w:val="bottom"/>
            <w:hideMark/>
          </w:tcPr>
          <w:p w14:paraId="4B56C06A"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779</w:t>
            </w:r>
          </w:p>
        </w:tc>
        <w:tc>
          <w:tcPr>
            <w:tcW w:w="783" w:type="dxa"/>
            <w:tcBorders>
              <w:top w:val="nil"/>
              <w:left w:val="nil"/>
              <w:bottom w:val="single" w:sz="4" w:space="0" w:color="auto"/>
              <w:right w:val="single" w:sz="4" w:space="0" w:color="auto"/>
            </w:tcBorders>
            <w:shd w:val="clear" w:color="auto" w:fill="auto"/>
            <w:noWrap/>
            <w:vAlign w:val="bottom"/>
            <w:hideMark/>
          </w:tcPr>
          <w:p w14:paraId="5A207BF9"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1,760</w:t>
            </w:r>
          </w:p>
        </w:tc>
      </w:tr>
      <w:tr w:rsidR="00AA1516" w:rsidRPr="005D4433" w14:paraId="7590A668" w14:textId="77777777" w:rsidTr="002E0CEC">
        <w:trPr>
          <w:trHeight w:val="288"/>
        </w:trPr>
        <w:tc>
          <w:tcPr>
            <w:tcW w:w="1350" w:type="dxa"/>
            <w:tcBorders>
              <w:top w:val="single" w:sz="4" w:space="0" w:color="auto"/>
              <w:left w:val="single" w:sz="4" w:space="0" w:color="auto"/>
              <w:bottom w:val="single" w:sz="6" w:space="0" w:color="auto"/>
              <w:right w:val="single" w:sz="4" w:space="0" w:color="auto"/>
            </w:tcBorders>
            <w:shd w:val="clear" w:color="auto" w:fill="auto"/>
            <w:noWrap/>
            <w:vAlign w:val="bottom"/>
            <w:hideMark/>
          </w:tcPr>
          <w:p w14:paraId="712AD24C" w14:textId="77777777" w:rsidR="00AA1516" w:rsidRPr="005D4433" w:rsidRDefault="00AA1516" w:rsidP="002E0CEC">
            <w:pPr>
              <w:spacing w:after="0"/>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Unit</w:t>
            </w:r>
          </w:p>
        </w:tc>
        <w:tc>
          <w:tcPr>
            <w:tcW w:w="1053" w:type="dxa"/>
            <w:tcBorders>
              <w:top w:val="nil"/>
              <w:left w:val="nil"/>
              <w:bottom w:val="single" w:sz="6" w:space="0" w:color="auto"/>
              <w:right w:val="single" w:sz="4" w:space="0" w:color="auto"/>
            </w:tcBorders>
            <w:shd w:val="clear" w:color="auto" w:fill="auto"/>
            <w:noWrap/>
            <w:vAlign w:val="bottom"/>
            <w:hideMark/>
          </w:tcPr>
          <w:p w14:paraId="12D2A054"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1,179</w:t>
            </w:r>
          </w:p>
        </w:tc>
        <w:tc>
          <w:tcPr>
            <w:tcW w:w="720" w:type="dxa"/>
            <w:tcBorders>
              <w:top w:val="nil"/>
              <w:left w:val="nil"/>
              <w:bottom w:val="single" w:sz="6" w:space="0" w:color="auto"/>
              <w:right w:val="single" w:sz="4" w:space="0" w:color="auto"/>
            </w:tcBorders>
            <w:shd w:val="clear" w:color="auto" w:fill="auto"/>
            <w:noWrap/>
            <w:vAlign w:val="bottom"/>
            <w:hideMark/>
          </w:tcPr>
          <w:p w14:paraId="355D6D97" w14:textId="77777777" w:rsidR="00AA1516" w:rsidRPr="005D4433" w:rsidRDefault="00AA1516" w:rsidP="002E0CEC">
            <w:pPr>
              <w:spacing w:after="0"/>
              <w:jc w:val="right"/>
              <w:rPr>
                <w:rFonts w:ascii="Calibri" w:eastAsia="Times New Roman" w:hAnsi="Calibri" w:cs="Times New Roman"/>
                <w:color w:val="000000"/>
                <w:sz w:val="20"/>
                <w:szCs w:val="20"/>
              </w:rPr>
            </w:pPr>
            <w:r w:rsidRPr="005D4433">
              <w:rPr>
                <w:rFonts w:ascii="Calibri" w:eastAsia="Times New Roman" w:hAnsi="Calibri"/>
                <w:color w:val="000000"/>
                <w:sz w:val="20"/>
                <w:szCs w:val="20"/>
              </w:rPr>
              <w:t>191.2</w:t>
            </w:r>
          </w:p>
        </w:tc>
        <w:tc>
          <w:tcPr>
            <w:tcW w:w="711" w:type="dxa"/>
            <w:tcBorders>
              <w:top w:val="nil"/>
              <w:left w:val="nil"/>
              <w:bottom w:val="single" w:sz="6" w:space="0" w:color="auto"/>
              <w:right w:val="single" w:sz="4" w:space="0" w:color="auto"/>
            </w:tcBorders>
            <w:shd w:val="clear" w:color="auto" w:fill="auto"/>
            <w:noWrap/>
            <w:vAlign w:val="bottom"/>
            <w:hideMark/>
          </w:tcPr>
          <w:p w14:paraId="5C4200BC" w14:textId="77777777" w:rsidR="00AA1516" w:rsidRPr="005D4433" w:rsidRDefault="00AA1516" w:rsidP="002E0CEC">
            <w:pPr>
              <w:spacing w:after="0"/>
              <w:jc w:val="right"/>
              <w:rPr>
                <w:rFonts w:ascii="Calibri" w:eastAsia="Times New Roman" w:hAnsi="Calibri" w:cs="Times New Roman"/>
                <w:color w:val="000000"/>
                <w:sz w:val="20"/>
                <w:szCs w:val="20"/>
              </w:rPr>
            </w:pPr>
            <w:r w:rsidRPr="005D4433">
              <w:rPr>
                <w:rFonts w:ascii="Calibri" w:eastAsia="Times New Roman" w:hAnsi="Calibri"/>
                <w:color w:val="000000"/>
                <w:sz w:val="20"/>
                <w:szCs w:val="20"/>
              </w:rPr>
              <w:t>189.9</w:t>
            </w:r>
          </w:p>
        </w:tc>
        <w:tc>
          <w:tcPr>
            <w:tcW w:w="612" w:type="dxa"/>
            <w:tcBorders>
              <w:top w:val="nil"/>
              <w:left w:val="nil"/>
              <w:bottom w:val="single" w:sz="6" w:space="0" w:color="auto"/>
              <w:right w:val="single" w:sz="4" w:space="0" w:color="auto"/>
            </w:tcBorders>
            <w:shd w:val="clear" w:color="auto" w:fill="auto"/>
            <w:noWrap/>
            <w:vAlign w:val="bottom"/>
            <w:hideMark/>
          </w:tcPr>
          <w:p w14:paraId="6B23260E"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1</w:t>
            </w:r>
          </w:p>
        </w:tc>
        <w:tc>
          <w:tcPr>
            <w:tcW w:w="666" w:type="dxa"/>
            <w:tcBorders>
              <w:top w:val="nil"/>
              <w:left w:val="nil"/>
              <w:bottom w:val="single" w:sz="6" w:space="0" w:color="auto"/>
              <w:right w:val="single" w:sz="4" w:space="0" w:color="auto"/>
            </w:tcBorders>
            <w:shd w:val="clear" w:color="auto" w:fill="auto"/>
            <w:noWrap/>
            <w:vAlign w:val="bottom"/>
            <w:hideMark/>
          </w:tcPr>
          <w:p w14:paraId="3E77C74B"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24</w:t>
            </w:r>
          </w:p>
        </w:tc>
        <w:tc>
          <w:tcPr>
            <w:tcW w:w="918" w:type="dxa"/>
            <w:tcBorders>
              <w:top w:val="nil"/>
              <w:left w:val="nil"/>
              <w:bottom w:val="single" w:sz="6" w:space="0" w:color="auto"/>
              <w:right w:val="single" w:sz="4" w:space="0" w:color="auto"/>
            </w:tcBorders>
            <w:shd w:val="clear" w:color="auto" w:fill="auto"/>
            <w:noWrap/>
            <w:vAlign w:val="bottom"/>
            <w:hideMark/>
          </w:tcPr>
          <w:p w14:paraId="14256AC8"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56</w:t>
            </w:r>
          </w:p>
        </w:tc>
        <w:tc>
          <w:tcPr>
            <w:tcW w:w="936" w:type="dxa"/>
            <w:tcBorders>
              <w:top w:val="nil"/>
              <w:left w:val="nil"/>
              <w:bottom w:val="single" w:sz="6" w:space="0" w:color="auto"/>
              <w:right w:val="single" w:sz="4" w:space="0" w:color="auto"/>
            </w:tcBorders>
            <w:shd w:val="clear" w:color="auto" w:fill="auto"/>
            <w:noWrap/>
            <w:vAlign w:val="bottom"/>
            <w:hideMark/>
          </w:tcPr>
          <w:p w14:paraId="7A7E28A9"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135</w:t>
            </w:r>
          </w:p>
        </w:tc>
        <w:tc>
          <w:tcPr>
            <w:tcW w:w="900" w:type="dxa"/>
            <w:tcBorders>
              <w:top w:val="nil"/>
              <w:left w:val="nil"/>
              <w:bottom w:val="single" w:sz="6" w:space="0" w:color="auto"/>
              <w:right w:val="single" w:sz="4" w:space="0" w:color="auto"/>
            </w:tcBorders>
            <w:shd w:val="clear" w:color="auto" w:fill="auto"/>
            <w:noWrap/>
            <w:vAlign w:val="bottom"/>
            <w:hideMark/>
          </w:tcPr>
          <w:p w14:paraId="54EAC977"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263</w:t>
            </w:r>
          </w:p>
        </w:tc>
        <w:tc>
          <w:tcPr>
            <w:tcW w:w="720" w:type="dxa"/>
            <w:tcBorders>
              <w:top w:val="nil"/>
              <w:left w:val="nil"/>
              <w:bottom w:val="single" w:sz="6" w:space="0" w:color="auto"/>
              <w:right w:val="single" w:sz="4" w:space="0" w:color="auto"/>
            </w:tcBorders>
            <w:shd w:val="clear" w:color="auto" w:fill="auto"/>
            <w:noWrap/>
            <w:vAlign w:val="bottom"/>
            <w:hideMark/>
          </w:tcPr>
          <w:p w14:paraId="4E3FADA0"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419</w:t>
            </w:r>
          </w:p>
        </w:tc>
        <w:tc>
          <w:tcPr>
            <w:tcW w:w="783" w:type="dxa"/>
            <w:tcBorders>
              <w:top w:val="nil"/>
              <w:left w:val="nil"/>
              <w:bottom w:val="single" w:sz="6" w:space="0" w:color="auto"/>
              <w:right w:val="single" w:sz="4" w:space="0" w:color="auto"/>
            </w:tcBorders>
            <w:shd w:val="clear" w:color="auto" w:fill="auto"/>
            <w:noWrap/>
            <w:vAlign w:val="bottom"/>
            <w:hideMark/>
          </w:tcPr>
          <w:p w14:paraId="7BF4B354"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eastAsia="Times New Roman" w:hAnsi="Calibri" w:cs="Times New Roman"/>
                <w:color w:val="000000" w:themeColor="text1"/>
                <w:sz w:val="20"/>
                <w:szCs w:val="20"/>
              </w:rPr>
              <w:t>1,320</w:t>
            </w:r>
          </w:p>
        </w:tc>
      </w:tr>
      <w:tr w:rsidR="00AA1516" w:rsidRPr="005D4433" w14:paraId="745E34EF" w14:textId="77777777" w:rsidTr="002E0CEC">
        <w:trPr>
          <w:trHeight w:val="288"/>
        </w:trPr>
        <w:tc>
          <w:tcPr>
            <w:tcW w:w="135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4CDE97" w14:textId="77777777" w:rsidR="00AA1516" w:rsidRPr="005D4433" w:rsidRDefault="00AA1516" w:rsidP="002E0CEC">
            <w:pPr>
              <w:spacing w:after="0"/>
              <w:rPr>
                <w:rFonts w:ascii="Calibri" w:eastAsia="Times New Roman" w:hAnsi="Calibri" w:cs="Times New Roman"/>
                <w:b/>
                <w:bCs/>
                <w:color w:val="000000" w:themeColor="text1"/>
                <w:sz w:val="20"/>
                <w:szCs w:val="20"/>
              </w:rPr>
            </w:pPr>
            <w:r w:rsidRPr="005D4433">
              <w:rPr>
                <w:rFonts w:ascii="Calibri" w:eastAsia="Times New Roman" w:hAnsi="Calibri" w:cs="Times New Roman"/>
                <w:b/>
                <w:bCs/>
                <w:color w:val="000000" w:themeColor="text1"/>
                <w:sz w:val="20"/>
                <w:szCs w:val="20"/>
              </w:rPr>
              <w:t>Overall</w:t>
            </w:r>
          </w:p>
        </w:tc>
        <w:tc>
          <w:tcPr>
            <w:tcW w:w="1053"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04159B"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hAnsi="Calibri"/>
                <w:color w:val="000000" w:themeColor="text1"/>
                <w:sz w:val="20"/>
                <w:szCs w:val="20"/>
              </w:rPr>
              <w:t>1,694</w:t>
            </w:r>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BDB17A" w14:textId="77777777" w:rsidR="00AA1516" w:rsidRPr="005D4433" w:rsidRDefault="00AA1516" w:rsidP="002E0CEC">
            <w:pPr>
              <w:spacing w:after="0"/>
              <w:jc w:val="right"/>
              <w:rPr>
                <w:rFonts w:ascii="Calibri" w:eastAsia="Times New Roman" w:hAnsi="Calibri" w:cs="Times New Roman"/>
                <w:color w:val="000000"/>
                <w:sz w:val="20"/>
                <w:szCs w:val="20"/>
              </w:rPr>
            </w:pPr>
            <w:r w:rsidRPr="005D4433">
              <w:rPr>
                <w:rFonts w:ascii="Calibri" w:hAnsi="Calibri"/>
                <w:color w:val="000000"/>
                <w:sz w:val="20"/>
                <w:szCs w:val="20"/>
              </w:rPr>
              <w:t>224.8</w:t>
            </w:r>
          </w:p>
        </w:tc>
        <w:tc>
          <w:tcPr>
            <w:tcW w:w="71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4E6AD1" w14:textId="77777777" w:rsidR="00AA1516" w:rsidRPr="005D4433" w:rsidRDefault="00AA1516" w:rsidP="002E0CEC">
            <w:pPr>
              <w:spacing w:after="0"/>
              <w:jc w:val="right"/>
              <w:rPr>
                <w:rFonts w:ascii="Calibri" w:eastAsia="Times New Roman" w:hAnsi="Calibri" w:cs="Times New Roman"/>
                <w:color w:val="000000"/>
                <w:sz w:val="20"/>
                <w:szCs w:val="20"/>
              </w:rPr>
            </w:pPr>
            <w:r w:rsidRPr="005D4433">
              <w:rPr>
                <w:rFonts w:ascii="Calibri" w:hAnsi="Calibri"/>
                <w:color w:val="000000"/>
                <w:sz w:val="20"/>
                <w:szCs w:val="20"/>
              </w:rPr>
              <w:t>243.6</w:t>
            </w:r>
          </w:p>
        </w:tc>
        <w:tc>
          <w:tcPr>
            <w:tcW w:w="61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649112"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hAnsi="Calibri"/>
                <w:color w:val="000000" w:themeColor="text1"/>
                <w:sz w:val="20"/>
                <w:szCs w:val="20"/>
              </w:rPr>
              <w:t>1</w:t>
            </w:r>
          </w:p>
        </w:tc>
        <w:tc>
          <w:tcPr>
            <w:tcW w:w="66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1E1B68"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hAnsi="Calibri"/>
                <w:color w:val="000000" w:themeColor="text1"/>
                <w:sz w:val="20"/>
                <w:szCs w:val="20"/>
              </w:rPr>
              <w:t>23</w:t>
            </w:r>
          </w:p>
        </w:tc>
        <w:tc>
          <w:tcPr>
            <w:tcW w:w="918"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0E43A4"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hAnsi="Calibri"/>
                <w:color w:val="000000" w:themeColor="text1"/>
                <w:sz w:val="20"/>
                <w:szCs w:val="20"/>
              </w:rPr>
              <w:t>60</w:t>
            </w:r>
          </w:p>
        </w:tc>
        <w:tc>
          <w:tcPr>
            <w:tcW w:w="93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45C2C5"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hAnsi="Calibri"/>
                <w:color w:val="000000" w:themeColor="text1"/>
                <w:sz w:val="20"/>
                <w:szCs w:val="20"/>
              </w:rPr>
              <w:t>148</w:t>
            </w:r>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4DD164"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hAnsi="Calibri"/>
                <w:color w:val="000000" w:themeColor="text1"/>
                <w:sz w:val="20"/>
                <w:szCs w:val="20"/>
              </w:rPr>
              <w:t>293</w:t>
            </w:r>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66AA4B"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hAnsi="Calibri"/>
                <w:color w:val="000000" w:themeColor="text1"/>
                <w:sz w:val="20"/>
                <w:szCs w:val="20"/>
              </w:rPr>
              <w:t>529</w:t>
            </w:r>
          </w:p>
        </w:tc>
        <w:tc>
          <w:tcPr>
            <w:tcW w:w="783"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9FC53C" w14:textId="77777777" w:rsidR="00AA1516" w:rsidRPr="005D4433" w:rsidRDefault="00AA1516" w:rsidP="002E0CEC">
            <w:pPr>
              <w:spacing w:after="0"/>
              <w:jc w:val="right"/>
              <w:rPr>
                <w:rFonts w:ascii="Calibri" w:eastAsia="Times New Roman" w:hAnsi="Calibri" w:cs="Times New Roman"/>
                <w:color w:val="000000" w:themeColor="text1"/>
                <w:sz w:val="20"/>
                <w:szCs w:val="20"/>
              </w:rPr>
            </w:pPr>
            <w:r w:rsidRPr="005D4433">
              <w:rPr>
                <w:rFonts w:ascii="Calibri" w:hAnsi="Calibri"/>
                <w:color w:val="000000" w:themeColor="text1"/>
                <w:sz w:val="20"/>
                <w:szCs w:val="20"/>
              </w:rPr>
              <w:t>1,760</w:t>
            </w:r>
          </w:p>
        </w:tc>
      </w:tr>
    </w:tbl>
    <w:p w14:paraId="5D21A01F" w14:textId="77777777" w:rsidR="00AA1516" w:rsidRPr="0075066F" w:rsidRDefault="00AA1516" w:rsidP="00AA1516">
      <w:pPr>
        <w:spacing w:before="60" w:after="120" w:line="240" w:lineRule="auto"/>
        <w:rPr>
          <w:color w:val="0000FF"/>
        </w:rPr>
      </w:pPr>
      <w:r w:rsidRPr="0075066F">
        <w:rPr>
          <w:color w:val="0000FF"/>
        </w:rPr>
        <w:t>To inform the preliminary measure specifications, we conducted alp</w:t>
      </w:r>
      <w:r>
        <w:rPr>
          <w:color w:val="0000FF"/>
        </w:rPr>
        <w:t>ha testing, which consisted of</w:t>
      </w:r>
      <w:r w:rsidRPr="0075066F">
        <w:rPr>
          <w:color w:val="0000FF"/>
        </w:rPr>
        <w:t xml:space="preserve"> medical record review in two IPFs at a large academic medical center in the southeast U.S. </w:t>
      </w:r>
    </w:p>
    <w:p w14:paraId="6E08A34B" w14:textId="77777777" w:rsidR="00AA1516" w:rsidRPr="0075066F" w:rsidRDefault="00AA1516" w:rsidP="00AA1516">
      <w:pPr>
        <w:spacing w:before="60" w:after="120" w:line="240" w:lineRule="auto"/>
        <w:rPr>
          <w:color w:val="0000FF"/>
        </w:rPr>
      </w:pPr>
      <w:r w:rsidRPr="0075066F">
        <w:rPr>
          <w:color w:val="0000FF"/>
        </w:rPr>
        <w:t xml:space="preserve">To evaluate the validity of key elements in the claims data, we conducted similar medical record abstractions in seven additional IPFs. Test sites varied in size, type, and geographic location (Table 1.5-B). </w:t>
      </w:r>
    </w:p>
    <w:p w14:paraId="6B9E855A" w14:textId="77777777" w:rsidR="00357579" w:rsidRPr="005E0E3B" w:rsidRDefault="00357579" w:rsidP="00357579">
      <w:pPr>
        <w:spacing w:before="120" w:after="0" w:line="240" w:lineRule="auto"/>
        <w:rPr>
          <w:rFonts w:ascii="Calibri" w:hAnsi="Calibri"/>
        </w:rPr>
      </w:pPr>
      <w:r w:rsidRPr="005E0E3B">
        <w:rPr>
          <w:rFonts w:ascii="Calibri" w:eastAsia="Arial" w:hAnsi="Calibri" w:cs="Arial"/>
          <w:b/>
          <w:bCs/>
          <w:sz w:val="20"/>
          <w:szCs w:val="20"/>
        </w:rPr>
        <w:t>Table 1.5-B</w:t>
      </w:r>
      <w:r>
        <w:rPr>
          <w:rFonts w:ascii="Calibri" w:eastAsia="Arial" w:hAnsi="Calibri" w:cs="Arial"/>
          <w:b/>
          <w:bCs/>
          <w:sz w:val="20"/>
          <w:szCs w:val="20"/>
        </w:rPr>
        <w:t>.</w:t>
      </w:r>
      <w:r w:rsidRPr="005E0E3B">
        <w:rPr>
          <w:rFonts w:ascii="Calibri" w:eastAsia="Arial" w:hAnsi="Calibri" w:cs="Arial"/>
          <w:b/>
          <w:bCs/>
          <w:sz w:val="20"/>
          <w:szCs w:val="20"/>
        </w:rPr>
        <w:t xml:space="preserve"> Characteristics of Test Sites</w:t>
      </w:r>
    </w:p>
    <w:tbl>
      <w:tblPr>
        <w:tblW w:w="936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39"/>
        <w:gridCol w:w="1246"/>
        <w:gridCol w:w="1247"/>
        <w:gridCol w:w="1247"/>
        <w:gridCol w:w="1710"/>
        <w:gridCol w:w="2880"/>
      </w:tblGrid>
      <w:tr w:rsidR="00AA1516" w:rsidRPr="005D4433" w14:paraId="357C3781" w14:textId="77777777" w:rsidTr="002E0CEC">
        <w:trPr>
          <w:trHeight w:val="302"/>
          <w:tblHeader/>
        </w:trPr>
        <w:tc>
          <w:tcPr>
            <w:tcW w:w="1039" w:type="dxa"/>
            <w:shd w:val="clear" w:color="auto" w:fill="365F91" w:themeFill="accent1" w:themeFillShade="BF"/>
            <w:tcMar>
              <w:top w:w="0" w:type="dxa"/>
              <w:left w:w="108" w:type="dxa"/>
              <w:bottom w:w="0" w:type="dxa"/>
              <w:right w:w="108" w:type="dxa"/>
            </w:tcMar>
            <w:vAlign w:val="bottom"/>
            <w:hideMark/>
          </w:tcPr>
          <w:p w14:paraId="6DDCD450" w14:textId="77777777" w:rsidR="00AA1516" w:rsidRPr="005D4433" w:rsidRDefault="00AA1516" w:rsidP="002E0CEC">
            <w:pPr>
              <w:spacing w:before="8" w:after="0"/>
              <w:ind w:right="-72"/>
              <w:rPr>
                <w:rFonts w:ascii="Calibri" w:eastAsia="Calibri" w:hAnsi="Calibri" w:cs="Calibri"/>
                <w:b/>
                <w:bCs/>
                <w:color w:val="FFFFFF" w:themeColor="background1"/>
                <w:sz w:val="20"/>
                <w:szCs w:val="20"/>
              </w:rPr>
            </w:pPr>
            <w:r w:rsidRPr="005D4433">
              <w:rPr>
                <w:rFonts w:ascii="Calibri" w:eastAsia="Calibri" w:hAnsi="Calibri" w:cs="Calibri"/>
                <w:b/>
                <w:bCs/>
                <w:color w:val="FFFFFF" w:themeColor="background1"/>
                <w:sz w:val="20"/>
                <w:szCs w:val="20"/>
              </w:rPr>
              <w:t>Study ID</w:t>
            </w:r>
          </w:p>
        </w:tc>
        <w:tc>
          <w:tcPr>
            <w:tcW w:w="1246" w:type="dxa"/>
            <w:shd w:val="clear" w:color="auto" w:fill="365F91" w:themeFill="accent1" w:themeFillShade="BF"/>
            <w:tcMar>
              <w:top w:w="0" w:type="dxa"/>
              <w:left w:w="108" w:type="dxa"/>
              <w:bottom w:w="0" w:type="dxa"/>
              <w:right w:w="108" w:type="dxa"/>
            </w:tcMar>
            <w:vAlign w:val="bottom"/>
            <w:hideMark/>
          </w:tcPr>
          <w:p w14:paraId="4BC9F234" w14:textId="77777777" w:rsidR="00AA1516" w:rsidRPr="005D4433" w:rsidRDefault="00AA1516" w:rsidP="002E0CEC">
            <w:pPr>
              <w:spacing w:before="8" w:after="0"/>
              <w:ind w:right="-72"/>
              <w:rPr>
                <w:rFonts w:ascii="Calibri" w:eastAsia="Calibri" w:hAnsi="Calibri" w:cs="Calibri"/>
                <w:b/>
                <w:bCs/>
                <w:color w:val="FFFFFF" w:themeColor="background1"/>
                <w:sz w:val="20"/>
                <w:szCs w:val="20"/>
              </w:rPr>
            </w:pPr>
            <w:r w:rsidRPr="005D4433">
              <w:rPr>
                <w:rFonts w:ascii="Calibri" w:eastAsia="Calibri" w:hAnsi="Calibri" w:cs="Calibri"/>
                <w:b/>
                <w:bCs/>
                <w:color w:val="FFFFFF" w:themeColor="background1"/>
                <w:sz w:val="20"/>
                <w:szCs w:val="20"/>
              </w:rPr>
              <w:t>State</w:t>
            </w:r>
          </w:p>
        </w:tc>
        <w:tc>
          <w:tcPr>
            <w:tcW w:w="1247" w:type="dxa"/>
            <w:shd w:val="clear" w:color="auto" w:fill="365F91" w:themeFill="accent1" w:themeFillShade="BF"/>
            <w:tcMar>
              <w:top w:w="0" w:type="dxa"/>
              <w:left w:w="108" w:type="dxa"/>
              <w:bottom w:w="0" w:type="dxa"/>
              <w:right w:w="108" w:type="dxa"/>
            </w:tcMar>
            <w:vAlign w:val="bottom"/>
            <w:hideMark/>
          </w:tcPr>
          <w:p w14:paraId="1D5D9986" w14:textId="77777777" w:rsidR="00AA1516" w:rsidRPr="005D4433" w:rsidRDefault="00AA1516" w:rsidP="002E0CEC">
            <w:pPr>
              <w:spacing w:before="8" w:after="0"/>
              <w:ind w:right="-72"/>
              <w:rPr>
                <w:rFonts w:ascii="Calibri" w:eastAsia="Calibri" w:hAnsi="Calibri" w:cs="Calibri"/>
                <w:b/>
                <w:bCs/>
                <w:color w:val="FFFFFF" w:themeColor="background1"/>
                <w:sz w:val="20"/>
                <w:szCs w:val="20"/>
              </w:rPr>
            </w:pPr>
            <w:r w:rsidRPr="005D4433">
              <w:rPr>
                <w:rFonts w:ascii="Calibri" w:eastAsia="Calibri" w:hAnsi="Calibri" w:cs="Calibri"/>
                <w:b/>
                <w:bCs/>
                <w:color w:val="FFFFFF" w:themeColor="background1"/>
                <w:sz w:val="20"/>
                <w:szCs w:val="20"/>
              </w:rPr>
              <w:t>Bed Size</w:t>
            </w:r>
          </w:p>
        </w:tc>
        <w:tc>
          <w:tcPr>
            <w:tcW w:w="1247" w:type="dxa"/>
            <w:shd w:val="clear" w:color="auto" w:fill="365F91" w:themeFill="accent1" w:themeFillShade="BF"/>
            <w:tcMar>
              <w:top w:w="0" w:type="dxa"/>
              <w:left w:w="108" w:type="dxa"/>
              <w:bottom w:w="0" w:type="dxa"/>
              <w:right w:w="108" w:type="dxa"/>
            </w:tcMar>
            <w:vAlign w:val="bottom"/>
            <w:hideMark/>
          </w:tcPr>
          <w:p w14:paraId="2AD75AFC" w14:textId="77777777" w:rsidR="00AA1516" w:rsidRPr="005D4433" w:rsidRDefault="00AA1516" w:rsidP="002E0CEC">
            <w:pPr>
              <w:spacing w:before="8" w:after="0"/>
              <w:ind w:right="-72"/>
              <w:rPr>
                <w:rFonts w:ascii="Calibri" w:eastAsia="Calibri" w:hAnsi="Calibri" w:cs="Calibri"/>
                <w:b/>
                <w:bCs/>
                <w:color w:val="FFFFFF" w:themeColor="background1"/>
                <w:sz w:val="20"/>
                <w:szCs w:val="20"/>
              </w:rPr>
            </w:pPr>
            <w:r w:rsidRPr="005D4433">
              <w:rPr>
                <w:rFonts w:ascii="Calibri" w:eastAsia="Calibri" w:hAnsi="Calibri" w:cs="Calibri"/>
                <w:b/>
                <w:bCs/>
                <w:color w:val="FFFFFF" w:themeColor="background1"/>
                <w:sz w:val="20"/>
                <w:szCs w:val="20"/>
              </w:rPr>
              <w:t>Type</w:t>
            </w:r>
          </w:p>
        </w:tc>
        <w:tc>
          <w:tcPr>
            <w:tcW w:w="1710" w:type="dxa"/>
            <w:shd w:val="clear" w:color="auto" w:fill="365F91" w:themeFill="accent1" w:themeFillShade="BF"/>
            <w:tcMar>
              <w:top w:w="0" w:type="dxa"/>
              <w:left w:w="108" w:type="dxa"/>
              <w:bottom w:w="0" w:type="dxa"/>
              <w:right w:w="108" w:type="dxa"/>
            </w:tcMar>
            <w:vAlign w:val="bottom"/>
            <w:hideMark/>
          </w:tcPr>
          <w:p w14:paraId="22CA3CF5" w14:textId="77777777" w:rsidR="00AA1516" w:rsidRPr="005D4433" w:rsidRDefault="00AA1516" w:rsidP="002E0CEC">
            <w:pPr>
              <w:spacing w:before="8" w:after="0"/>
              <w:ind w:right="-72"/>
              <w:rPr>
                <w:rFonts w:ascii="Calibri" w:eastAsia="Calibri" w:hAnsi="Calibri" w:cs="Calibri"/>
                <w:b/>
                <w:bCs/>
                <w:color w:val="FFFFFF" w:themeColor="background1"/>
                <w:sz w:val="20"/>
                <w:szCs w:val="20"/>
              </w:rPr>
            </w:pPr>
            <w:r w:rsidRPr="005D4433">
              <w:rPr>
                <w:rFonts w:ascii="Calibri" w:eastAsia="Calibri" w:hAnsi="Calibri" w:cs="Calibri"/>
                <w:b/>
                <w:bCs/>
                <w:color w:val="FFFFFF" w:themeColor="background1"/>
                <w:sz w:val="20"/>
                <w:szCs w:val="20"/>
              </w:rPr>
              <w:t>Teaching Facility</w:t>
            </w:r>
          </w:p>
        </w:tc>
        <w:tc>
          <w:tcPr>
            <w:tcW w:w="2880" w:type="dxa"/>
            <w:shd w:val="clear" w:color="auto" w:fill="365F91" w:themeFill="accent1" w:themeFillShade="BF"/>
            <w:tcMar>
              <w:top w:w="0" w:type="dxa"/>
              <w:left w:w="108" w:type="dxa"/>
              <w:bottom w:w="0" w:type="dxa"/>
              <w:right w:w="108" w:type="dxa"/>
            </w:tcMar>
            <w:vAlign w:val="bottom"/>
            <w:hideMark/>
          </w:tcPr>
          <w:p w14:paraId="43913A73" w14:textId="77777777" w:rsidR="00AA1516" w:rsidRPr="005D4433" w:rsidRDefault="00AA1516" w:rsidP="002E0CEC">
            <w:pPr>
              <w:spacing w:before="8" w:after="0"/>
              <w:ind w:right="-72"/>
              <w:rPr>
                <w:rFonts w:ascii="Calibri" w:eastAsia="Calibri" w:hAnsi="Calibri" w:cs="Calibri"/>
                <w:b/>
                <w:bCs/>
                <w:color w:val="FFFFFF" w:themeColor="background1"/>
                <w:sz w:val="20"/>
                <w:szCs w:val="20"/>
              </w:rPr>
            </w:pPr>
            <w:r w:rsidRPr="005D4433">
              <w:rPr>
                <w:rFonts w:ascii="Calibri" w:eastAsia="Calibri" w:hAnsi="Calibri" w:cs="Calibri"/>
                <w:b/>
                <w:bCs/>
                <w:color w:val="FFFFFF" w:themeColor="background1"/>
                <w:sz w:val="20"/>
                <w:szCs w:val="20"/>
              </w:rPr>
              <w:t>Type of Medical Record</w:t>
            </w:r>
          </w:p>
        </w:tc>
      </w:tr>
      <w:tr w:rsidR="00AA1516" w:rsidRPr="005D4433" w14:paraId="5D418AB6" w14:textId="77777777" w:rsidTr="002E0CEC">
        <w:trPr>
          <w:trHeight w:val="288"/>
        </w:trPr>
        <w:tc>
          <w:tcPr>
            <w:tcW w:w="1039" w:type="dxa"/>
            <w:noWrap/>
            <w:tcMar>
              <w:top w:w="0" w:type="dxa"/>
              <w:left w:w="108" w:type="dxa"/>
              <w:bottom w:w="0" w:type="dxa"/>
              <w:right w:w="108" w:type="dxa"/>
            </w:tcMar>
            <w:vAlign w:val="bottom"/>
            <w:hideMark/>
          </w:tcPr>
          <w:p w14:paraId="796A0EA6"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1</w:t>
            </w:r>
          </w:p>
        </w:tc>
        <w:tc>
          <w:tcPr>
            <w:tcW w:w="1246" w:type="dxa"/>
            <w:noWrap/>
            <w:tcMar>
              <w:top w:w="0" w:type="dxa"/>
              <w:left w:w="108" w:type="dxa"/>
              <w:bottom w:w="0" w:type="dxa"/>
              <w:right w:w="108" w:type="dxa"/>
            </w:tcMar>
            <w:vAlign w:val="bottom"/>
            <w:hideMark/>
          </w:tcPr>
          <w:p w14:paraId="74C0FEBF"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WV</w:t>
            </w:r>
          </w:p>
        </w:tc>
        <w:tc>
          <w:tcPr>
            <w:tcW w:w="1247" w:type="dxa"/>
            <w:noWrap/>
            <w:tcMar>
              <w:top w:w="0" w:type="dxa"/>
              <w:left w:w="108" w:type="dxa"/>
              <w:bottom w:w="0" w:type="dxa"/>
              <w:right w:w="108" w:type="dxa"/>
            </w:tcMar>
            <w:vAlign w:val="bottom"/>
            <w:hideMark/>
          </w:tcPr>
          <w:p w14:paraId="2AF9DCC0"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Large</w:t>
            </w:r>
          </w:p>
        </w:tc>
        <w:tc>
          <w:tcPr>
            <w:tcW w:w="1247" w:type="dxa"/>
            <w:noWrap/>
            <w:tcMar>
              <w:top w:w="0" w:type="dxa"/>
              <w:left w:w="108" w:type="dxa"/>
              <w:bottom w:w="0" w:type="dxa"/>
              <w:right w:w="108" w:type="dxa"/>
            </w:tcMar>
            <w:vAlign w:val="bottom"/>
            <w:hideMark/>
          </w:tcPr>
          <w:p w14:paraId="4E9672DD"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Unit</w:t>
            </w:r>
          </w:p>
        </w:tc>
        <w:tc>
          <w:tcPr>
            <w:tcW w:w="1710" w:type="dxa"/>
            <w:noWrap/>
            <w:tcMar>
              <w:top w:w="0" w:type="dxa"/>
              <w:left w:w="108" w:type="dxa"/>
              <w:bottom w:w="0" w:type="dxa"/>
              <w:right w:w="108" w:type="dxa"/>
            </w:tcMar>
            <w:vAlign w:val="bottom"/>
            <w:hideMark/>
          </w:tcPr>
          <w:p w14:paraId="7CC15C34"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Yes</w:t>
            </w:r>
          </w:p>
        </w:tc>
        <w:tc>
          <w:tcPr>
            <w:tcW w:w="2880" w:type="dxa"/>
            <w:tcMar>
              <w:top w:w="0" w:type="dxa"/>
              <w:left w:w="108" w:type="dxa"/>
              <w:bottom w:w="0" w:type="dxa"/>
              <w:right w:w="108" w:type="dxa"/>
            </w:tcMar>
            <w:vAlign w:val="bottom"/>
            <w:hideMark/>
          </w:tcPr>
          <w:p w14:paraId="20FB2184"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EPIC</w:t>
            </w:r>
          </w:p>
        </w:tc>
      </w:tr>
      <w:tr w:rsidR="00AA1516" w:rsidRPr="005D4433" w14:paraId="1469E009" w14:textId="77777777" w:rsidTr="002E0CEC">
        <w:trPr>
          <w:trHeight w:val="288"/>
        </w:trPr>
        <w:tc>
          <w:tcPr>
            <w:tcW w:w="1039" w:type="dxa"/>
            <w:noWrap/>
            <w:tcMar>
              <w:top w:w="0" w:type="dxa"/>
              <w:left w:w="108" w:type="dxa"/>
              <w:bottom w:w="0" w:type="dxa"/>
              <w:right w:w="108" w:type="dxa"/>
            </w:tcMar>
            <w:vAlign w:val="bottom"/>
            <w:hideMark/>
          </w:tcPr>
          <w:p w14:paraId="36734614"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2</w:t>
            </w:r>
          </w:p>
        </w:tc>
        <w:tc>
          <w:tcPr>
            <w:tcW w:w="1246" w:type="dxa"/>
            <w:noWrap/>
            <w:tcMar>
              <w:top w:w="0" w:type="dxa"/>
              <w:left w:w="108" w:type="dxa"/>
              <w:bottom w:w="0" w:type="dxa"/>
              <w:right w:w="108" w:type="dxa"/>
            </w:tcMar>
            <w:vAlign w:val="bottom"/>
            <w:hideMark/>
          </w:tcPr>
          <w:p w14:paraId="7F543E8F"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MI</w:t>
            </w:r>
          </w:p>
        </w:tc>
        <w:tc>
          <w:tcPr>
            <w:tcW w:w="1247" w:type="dxa"/>
            <w:noWrap/>
            <w:tcMar>
              <w:top w:w="0" w:type="dxa"/>
              <w:left w:w="108" w:type="dxa"/>
              <w:bottom w:w="0" w:type="dxa"/>
              <w:right w:w="108" w:type="dxa"/>
            </w:tcMar>
            <w:vAlign w:val="bottom"/>
            <w:hideMark/>
          </w:tcPr>
          <w:p w14:paraId="5DF0F739"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Medium</w:t>
            </w:r>
          </w:p>
        </w:tc>
        <w:tc>
          <w:tcPr>
            <w:tcW w:w="1247" w:type="dxa"/>
            <w:noWrap/>
            <w:tcMar>
              <w:top w:w="0" w:type="dxa"/>
              <w:left w:w="108" w:type="dxa"/>
              <w:bottom w:w="0" w:type="dxa"/>
              <w:right w:w="108" w:type="dxa"/>
            </w:tcMar>
            <w:vAlign w:val="bottom"/>
            <w:hideMark/>
          </w:tcPr>
          <w:p w14:paraId="0049288B"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Unit</w:t>
            </w:r>
          </w:p>
        </w:tc>
        <w:tc>
          <w:tcPr>
            <w:tcW w:w="1710" w:type="dxa"/>
            <w:noWrap/>
            <w:tcMar>
              <w:top w:w="0" w:type="dxa"/>
              <w:left w:w="108" w:type="dxa"/>
              <w:bottom w:w="0" w:type="dxa"/>
              <w:right w:w="108" w:type="dxa"/>
            </w:tcMar>
            <w:vAlign w:val="bottom"/>
            <w:hideMark/>
          </w:tcPr>
          <w:p w14:paraId="11A50004"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Yes</w:t>
            </w:r>
          </w:p>
        </w:tc>
        <w:tc>
          <w:tcPr>
            <w:tcW w:w="2880" w:type="dxa"/>
            <w:tcMar>
              <w:top w:w="0" w:type="dxa"/>
              <w:left w:w="108" w:type="dxa"/>
              <w:bottom w:w="0" w:type="dxa"/>
              <w:right w:w="108" w:type="dxa"/>
            </w:tcMar>
            <w:vAlign w:val="bottom"/>
            <w:hideMark/>
          </w:tcPr>
          <w:p w14:paraId="01FE50AE"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McKesson</w:t>
            </w:r>
          </w:p>
        </w:tc>
      </w:tr>
      <w:tr w:rsidR="00AA1516" w:rsidRPr="005D4433" w14:paraId="000D1020" w14:textId="77777777" w:rsidTr="002E0CEC">
        <w:trPr>
          <w:trHeight w:val="288"/>
        </w:trPr>
        <w:tc>
          <w:tcPr>
            <w:tcW w:w="1039" w:type="dxa"/>
            <w:noWrap/>
            <w:tcMar>
              <w:top w:w="0" w:type="dxa"/>
              <w:left w:w="108" w:type="dxa"/>
              <w:bottom w:w="0" w:type="dxa"/>
              <w:right w:w="108" w:type="dxa"/>
            </w:tcMar>
            <w:vAlign w:val="bottom"/>
            <w:hideMark/>
          </w:tcPr>
          <w:p w14:paraId="3CC4877B"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3</w:t>
            </w:r>
          </w:p>
        </w:tc>
        <w:tc>
          <w:tcPr>
            <w:tcW w:w="1246" w:type="dxa"/>
            <w:noWrap/>
            <w:tcMar>
              <w:top w:w="0" w:type="dxa"/>
              <w:left w:w="108" w:type="dxa"/>
              <w:bottom w:w="0" w:type="dxa"/>
              <w:right w:w="108" w:type="dxa"/>
            </w:tcMar>
            <w:vAlign w:val="bottom"/>
            <w:hideMark/>
          </w:tcPr>
          <w:p w14:paraId="5A8E3DEC"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AZ</w:t>
            </w:r>
          </w:p>
        </w:tc>
        <w:tc>
          <w:tcPr>
            <w:tcW w:w="1247" w:type="dxa"/>
            <w:noWrap/>
            <w:tcMar>
              <w:top w:w="0" w:type="dxa"/>
              <w:left w:w="108" w:type="dxa"/>
              <w:bottom w:w="0" w:type="dxa"/>
              <w:right w:w="108" w:type="dxa"/>
            </w:tcMar>
            <w:vAlign w:val="bottom"/>
            <w:hideMark/>
          </w:tcPr>
          <w:p w14:paraId="1DEA7AA7"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Medium</w:t>
            </w:r>
          </w:p>
        </w:tc>
        <w:tc>
          <w:tcPr>
            <w:tcW w:w="1247" w:type="dxa"/>
            <w:noWrap/>
            <w:tcMar>
              <w:top w:w="0" w:type="dxa"/>
              <w:left w:w="108" w:type="dxa"/>
              <w:bottom w:w="0" w:type="dxa"/>
              <w:right w:w="108" w:type="dxa"/>
            </w:tcMar>
            <w:vAlign w:val="bottom"/>
            <w:hideMark/>
          </w:tcPr>
          <w:p w14:paraId="47700C12"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Freestanding</w:t>
            </w:r>
          </w:p>
        </w:tc>
        <w:tc>
          <w:tcPr>
            <w:tcW w:w="1710" w:type="dxa"/>
            <w:noWrap/>
            <w:tcMar>
              <w:top w:w="0" w:type="dxa"/>
              <w:left w:w="108" w:type="dxa"/>
              <w:bottom w:w="0" w:type="dxa"/>
              <w:right w:w="108" w:type="dxa"/>
            </w:tcMar>
            <w:vAlign w:val="bottom"/>
            <w:hideMark/>
          </w:tcPr>
          <w:p w14:paraId="308BD93E"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No</w:t>
            </w:r>
          </w:p>
        </w:tc>
        <w:tc>
          <w:tcPr>
            <w:tcW w:w="2880" w:type="dxa"/>
            <w:tcMar>
              <w:top w:w="0" w:type="dxa"/>
              <w:left w:w="108" w:type="dxa"/>
              <w:bottom w:w="0" w:type="dxa"/>
              <w:right w:w="108" w:type="dxa"/>
            </w:tcMar>
            <w:vAlign w:val="bottom"/>
            <w:hideMark/>
          </w:tcPr>
          <w:p w14:paraId="0019FD0A"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Paper Records</w:t>
            </w:r>
          </w:p>
        </w:tc>
      </w:tr>
      <w:tr w:rsidR="00AA1516" w:rsidRPr="005D4433" w14:paraId="7F6A1AFC" w14:textId="77777777" w:rsidTr="002E0CEC">
        <w:trPr>
          <w:trHeight w:val="288"/>
        </w:trPr>
        <w:tc>
          <w:tcPr>
            <w:tcW w:w="1039" w:type="dxa"/>
            <w:noWrap/>
            <w:tcMar>
              <w:top w:w="0" w:type="dxa"/>
              <w:left w:w="108" w:type="dxa"/>
              <w:bottom w:w="0" w:type="dxa"/>
              <w:right w:w="108" w:type="dxa"/>
            </w:tcMar>
            <w:vAlign w:val="bottom"/>
            <w:hideMark/>
          </w:tcPr>
          <w:p w14:paraId="1030448A"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4</w:t>
            </w:r>
          </w:p>
        </w:tc>
        <w:tc>
          <w:tcPr>
            <w:tcW w:w="1246" w:type="dxa"/>
            <w:noWrap/>
            <w:tcMar>
              <w:top w:w="0" w:type="dxa"/>
              <w:left w:w="108" w:type="dxa"/>
              <w:bottom w:w="0" w:type="dxa"/>
              <w:right w:w="108" w:type="dxa"/>
            </w:tcMar>
            <w:vAlign w:val="bottom"/>
            <w:hideMark/>
          </w:tcPr>
          <w:p w14:paraId="26C22ABA"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AZ</w:t>
            </w:r>
          </w:p>
        </w:tc>
        <w:tc>
          <w:tcPr>
            <w:tcW w:w="1247" w:type="dxa"/>
            <w:noWrap/>
            <w:tcMar>
              <w:top w:w="0" w:type="dxa"/>
              <w:left w:w="108" w:type="dxa"/>
              <w:bottom w:w="0" w:type="dxa"/>
              <w:right w:w="108" w:type="dxa"/>
            </w:tcMar>
            <w:vAlign w:val="bottom"/>
            <w:hideMark/>
          </w:tcPr>
          <w:p w14:paraId="01EDF570"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Large</w:t>
            </w:r>
          </w:p>
        </w:tc>
        <w:tc>
          <w:tcPr>
            <w:tcW w:w="1247" w:type="dxa"/>
            <w:noWrap/>
            <w:tcMar>
              <w:top w:w="0" w:type="dxa"/>
              <w:left w:w="108" w:type="dxa"/>
              <w:bottom w:w="0" w:type="dxa"/>
              <w:right w:w="108" w:type="dxa"/>
            </w:tcMar>
            <w:vAlign w:val="bottom"/>
            <w:hideMark/>
          </w:tcPr>
          <w:p w14:paraId="20ED7F1D"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Freestanding</w:t>
            </w:r>
          </w:p>
        </w:tc>
        <w:tc>
          <w:tcPr>
            <w:tcW w:w="1710" w:type="dxa"/>
            <w:noWrap/>
            <w:tcMar>
              <w:top w:w="0" w:type="dxa"/>
              <w:left w:w="108" w:type="dxa"/>
              <w:bottom w:w="0" w:type="dxa"/>
              <w:right w:w="108" w:type="dxa"/>
            </w:tcMar>
            <w:vAlign w:val="bottom"/>
            <w:hideMark/>
          </w:tcPr>
          <w:p w14:paraId="52324292"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No</w:t>
            </w:r>
          </w:p>
        </w:tc>
        <w:tc>
          <w:tcPr>
            <w:tcW w:w="2880" w:type="dxa"/>
            <w:tcMar>
              <w:top w:w="0" w:type="dxa"/>
              <w:left w:w="108" w:type="dxa"/>
              <w:bottom w:w="0" w:type="dxa"/>
              <w:right w:w="108" w:type="dxa"/>
            </w:tcMar>
            <w:vAlign w:val="bottom"/>
            <w:hideMark/>
          </w:tcPr>
          <w:p w14:paraId="6D30AD02"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Paper Records</w:t>
            </w:r>
          </w:p>
        </w:tc>
      </w:tr>
      <w:tr w:rsidR="00AA1516" w:rsidRPr="005D4433" w14:paraId="18E42038" w14:textId="77777777" w:rsidTr="002E0CEC">
        <w:trPr>
          <w:trHeight w:val="288"/>
        </w:trPr>
        <w:tc>
          <w:tcPr>
            <w:tcW w:w="1039" w:type="dxa"/>
            <w:noWrap/>
            <w:tcMar>
              <w:top w:w="0" w:type="dxa"/>
              <w:left w:w="108" w:type="dxa"/>
              <w:bottom w:w="0" w:type="dxa"/>
              <w:right w:w="108" w:type="dxa"/>
            </w:tcMar>
            <w:vAlign w:val="bottom"/>
            <w:hideMark/>
          </w:tcPr>
          <w:p w14:paraId="249A4017"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5</w:t>
            </w:r>
          </w:p>
        </w:tc>
        <w:tc>
          <w:tcPr>
            <w:tcW w:w="1246" w:type="dxa"/>
            <w:noWrap/>
            <w:tcMar>
              <w:top w:w="0" w:type="dxa"/>
              <w:left w:w="108" w:type="dxa"/>
              <w:bottom w:w="0" w:type="dxa"/>
              <w:right w:w="108" w:type="dxa"/>
            </w:tcMar>
            <w:vAlign w:val="bottom"/>
            <w:hideMark/>
          </w:tcPr>
          <w:p w14:paraId="4C9986A6"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MD</w:t>
            </w:r>
          </w:p>
        </w:tc>
        <w:tc>
          <w:tcPr>
            <w:tcW w:w="1247" w:type="dxa"/>
            <w:noWrap/>
            <w:tcMar>
              <w:top w:w="0" w:type="dxa"/>
              <w:left w:w="108" w:type="dxa"/>
              <w:bottom w:w="0" w:type="dxa"/>
              <w:right w:w="108" w:type="dxa"/>
            </w:tcMar>
            <w:vAlign w:val="bottom"/>
            <w:hideMark/>
          </w:tcPr>
          <w:p w14:paraId="38CF7568"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Large</w:t>
            </w:r>
          </w:p>
        </w:tc>
        <w:tc>
          <w:tcPr>
            <w:tcW w:w="1247" w:type="dxa"/>
            <w:noWrap/>
            <w:tcMar>
              <w:top w:w="0" w:type="dxa"/>
              <w:left w:w="108" w:type="dxa"/>
              <w:bottom w:w="0" w:type="dxa"/>
              <w:right w:w="108" w:type="dxa"/>
            </w:tcMar>
            <w:vAlign w:val="bottom"/>
            <w:hideMark/>
          </w:tcPr>
          <w:p w14:paraId="09D7EE3A"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Freestanding</w:t>
            </w:r>
          </w:p>
        </w:tc>
        <w:tc>
          <w:tcPr>
            <w:tcW w:w="1710" w:type="dxa"/>
            <w:noWrap/>
            <w:tcMar>
              <w:top w:w="0" w:type="dxa"/>
              <w:left w:w="108" w:type="dxa"/>
              <w:bottom w:w="0" w:type="dxa"/>
              <w:right w:w="108" w:type="dxa"/>
            </w:tcMar>
            <w:vAlign w:val="bottom"/>
            <w:hideMark/>
          </w:tcPr>
          <w:p w14:paraId="3BDAD993"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Yes</w:t>
            </w:r>
          </w:p>
        </w:tc>
        <w:tc>
          <w:tcPr>
            <w:tcW w:w="2880" w:type="dxa"/>
            <w:tcMar>
              <w:top w:w="0" w:type="dxa"/>
              <w:left w:w="108" w:type="dxa"/>
              <w:bottom w:w="0" w:type="dxa"/>
              <w:right w:w="108" w:type="dxa"/>
            </w:tcMar>
            <w:vAlign w:val="bottom"/>
            <w:hideMark/>
          </w:tcPr>
          <w:p w14:paraId="55D9A036"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Allscripts®</w:t>
            </w:r>
          </w:p>
        </w:tc>
      </w:tr>
      <w:tr w:rsidR="00AA1516" w:rsidRPr="005D4433" w14:paraId="751CF71A" w14:textId="77777777" w:rsidTr="002E0CEC">
        <w:trPr>
          <w:trHeight w:val="288"/>
        </w:trPr>
        <w:tc>
          <w:tcPr>
            <w:tcW w:w="1039" w:type="dxa"/>
            <w:noWrap/>
            <w:tcMar>
              <w:top w:w="0" w:type="dxa"/>
              <w:left w:w="108" w:type="dxa"/>
              <w:bottom w:w="0" w:type="dxa"/>
              <w:right w:w="108" w:type="dxa"/>
            </w:tcMar>
            <w:vAlign w:val="bottom"/>
            <w:hideMark/>
          </w:tcPr>
          <w:p w14:paraId="02B4CDB4"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6</w:t>
            </w:r>
          </w:p>
        </w:tc>
        <w:tc>
          <w:tcPr>
            <w:tcW w:w="1246" w:type="dxa"/>
            <w:noWrap/>
            <w:tcMar>
              <w:top w:w="0" w:type="dxa"/>
              <w:left w:w="108" w:type="dxa"/>
              <w:bottom w:w="0" w:type="dxa"/>
              <w:right w:w="108" w:type="dxa"/>
            </w:tcMar>
            <w:vAlign w:val="bottom"/>
            <w:hideMark/>
          </w:tcPr>
          <w:p w14:paraId="6D441F32"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CA</w:t>
            </w:r>
          </w:p>
        </w:tc>
        <w:tc>
          <w:tcPr>
            <w:tcW w:w="1247" w:type="dxa"/>
            <w:noWrap/>
            <w:tcMar>
              <w:top w:w="0" w:type="dxa"/>
              <w:left w:w="108" w:type="dxa"/>
              <w:bottom w:w="0" w:type="dxa"/>
              <w:right w:w="108" w:type="dxa"/>
            </w:tcMar>
            <w:vAlign w:val="bottom"/>
            <w:hideMark/>
          </w:tcPr>
          <w:p w14:paraId="696DB2D5"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Small</w:t>
            </w:r>
          </w:p>
        </w:tc>
        <w:tc>
          <w:tcPr>
            <w:tcW w:w="1247" w:type="dxa"/>
            <w:noWrap/>
            <w:tcMar>
              <w:top w:w="0" w:type="dxa"/>
              <w:left w:w="108" w:type="dxa"/>
              <w:bottom w:w="0" w:type="dxa"/>
              <w:right w:w="108" w:type="dxa"/>
            </w:tcMar>
            <w:vAlign w:val="bottom"/>
            <w:hideMark/>
          </w:tcPr>
          <w:p w14:paraId="307274EA"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Unit</w:t>
            </w:r>
          </w:p>
        </w:tc>
        <w:tc>
          <w:tcPr>
            <w:tcW w:w="1710" w:type="dxa"/>
            <w:noWrap/>
            <w:tcMar>
              <w:top w:w="0" w:type="dxa"/>
              <w:left w:w="108" w:type="dxa"/>
              <w:bottom w:w="0" w:type="dxa"/>
              <w:right w:w="108" w:type="dxa"/>
            </w:tcMar>
            <w:vAlign w:val="bottom"/>
            <w:hideMark/>
          </w:tcPr>
          <w:p w14:paraId="31FBFF30"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No</w:t>
            </w:r>
          </w:p>
        </w:tc>
        <w:tc>
          <w:tcPr>
            <w:tcW w:w="2880" w:type="dxa"/>
            <w:tcMar>
              <w:top w:w="0" w:type="dxa"/>
              <w:left w:w="108" w:type="dxa"/>
              <w:bottom w:w="0" w:type="dxa"/>
              <w:right w:w="108" w:type="dxa"/>
            </w:tcMar>
            <w:vAlign w:val="bottom"/>
            <w:hideMark/>
          </w:tcPr>
          <w:p w14:paraId="2B79A789"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Cerner</w:t>
            </w:r>
          </w:p>
        </w:tc>
      </w:tr>
      <w:tr w:rsidR="00AA1516" w:rsidRPr="005D4433" w14:paraId="5EAD776B" w14:textId="77777777" w:rsidTr="002E0CEC">
        <w:trPr>
          <w:trHeight w:val="288"/>
        </w:trPr>
        <w:tc>
          <w:tcPr>
            <w:tcW w:w="1039" w:type="dxa"/>
            <w:noWrap/>
            <w:tcMar>
              <w:top w:w="0" w:type="dxa"/>
              <w:left w:w="108" w:type="dxa"/>
              <w:bottom w:w="0" w:type="dxa"/>
              <w:right w:w="108" w:type="dxa"/>
            </w:tcMar>
            <w:vAlign w:val="bottom"/>
            <w:hideMark/>
          </w:tcPr>
          <w:p w14:paraId="73409375"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7</w:t>
            </w:r>
          </w:p>
        </w:tc>
        <w:tc>
          <w:tcPr>
            <w:tcW w:w="1246" w:type="dxa"/>
            <w:noWrap/>
            <w:tcMar>
              <w:top w:w="0" w:type="dxa"/>
              <w:left w:w="108" w:type="dxa"/>
              <w:bottom w:w="0" w:type="dxa"/>
              <w:right w:w="108" w:type="dxa"/>
            </w:tcMar>
            <w:vAlign w:val="bottom"/>
            <w:hideMark/>
          </w:tcPr>
          <w:p w14:paraId="0F65E8D1"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LA</w:t>
            </w:r>
          </w:p>
        </w:tc>
        <w:tc>
          <w:tcPr>
            <w:tcW w:w="1247" w:type="dxa"/>
            <w:noWrap/>
            <w:tcMar>
              <w:top w:w="0" w:type="dxa"/>
              <w:left w:w="108" w:type="dxa"/>
              <w:bottom w:w="0" w:type="dxa"/>
              <w:right w:w="108" w:type="dxa"/>
            </w:tcMar>
            <w:vAlign w:val="bottom"/>
            <w:hideMark/>
          </w:tcPr>
          <w:p w14:paraId="53A15066"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Large</w:t>
            </w:r>
          </w:p>
        </w:tc>
        <w:tc>
          <w:tcPr>
            <w:tcW w:w="1247" w:type="dxa"/>
            <w:noWrap/>
            <w:tcMar>
              <w:top w:w="0" w:type="dxa"/>
              <w:left w:w="108" w:type="dxa"/>
              <w:bottom w:w="0" w:type="dxa"/>
              <w:right w:w="108" w:type="dxa"/>
            </w:tcMar>
            <w:vAlign w:val="bottom"/>
            <w:hideMark/>
          </w:tcPr>
          <w:p w14:paraId="6E9634EA"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Unit</w:t>
            </w:r>
          </w:p>
        </w:tc>
        <w:tc>
          <w:tcPr>
            <w:tcW w:w="1710" w:type="dxa"/>
            <w:noWrap/>
            <w:tcMar>
              <w:top w:w="0" w:type="dxa"/>
              <w:left w:w="108" w:type="dxa"/>
              <w:bottom w:w="0" w:type="dxa"/>
              <w:right w:w="108" w:type="dxa"/>
            </w:tcMar>
            <w:vAlign w:val="bottom"/>
            <w:hideMark/>
          </w:tcPr>
          <w:p w14:paraId="1378E960"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Yes</w:t>
            </w:r>
          </w:p>
        </w:tc>
        <w:tc>
          <w:tcPr>
            <w:tcW w:w="2880" w:type="dxa"/>
            <w:tcMar>
              <w:top w:w="0" w:type="dxa"/>
              <w:left w:w="108" w:type="dxa"/>
              <w:bottom w:w="0" w:type="dxa"/>
              <w:right w:w="108" w:type="dxa"/>
            </w:tcMar>
            <w:vAlign w:val="bottom"/>
            <w:hideMark/>
          </w:tcPr>
          <w:p w14:paraId="209DBECD" w14:textId="77777777" w:rsidR="00AA1516" w:rsidRPr="005D4433" w:rsidRDefault="00AA1516" w:rsidP="002E0CEC">
            <w:pPr>
              <w:spacing w:before="8" w:after="0"/>
              <w:ind w:right="-72"/>
              <w:rPr>
                <w:rFonts w:ascii="Calibri" w:eastAsia="Calibri" w:hAnsi="Calibri" w:cs="Calibri"/>
                <w:sz w:val="20"/>
                <w:szCs w:val="20"/>
              </w:rPr>
            </w:pPr>
            <w:r w:rsidRPr="005D4433">
              <w:rPr>
                <w:rFonts w:ascii="Calibri" w:eastAsia="Calibri" w:hAnsi="Calibri" w:cs="Calibri"/>
                <w:sz w:val="20"/>
                <w:szCs w:val="20"/>
              </w:rPr>
              <w:t>Epic</w:t>
            </w:r>
          </w:p>
        </w:tc>
      </w:tr>
    </w:tbl>
    <w:p w14:paraId="0CABCFC8" w14:textId="77777777" w:rsidR="002B5016" w:rsidRPr="00A25024" w:rsidRDefault="002B5016" w:rsidP="00DB3627">
      <w:pPr>
        <w:autoSpaceDE w:val="0"/>
        <w:autoSpaceDN w:val="0"/>
        <w:adjustRightInd w:val="0"/>
        <w:spacing w:after="0" w:line="240" w:lineRule="auto"/>
        <w:rPr>
          <w:rFonts w:cstheme="minorHAnsi"/>
          <w:bCs/>
        </w:rPr>
      </w:pPr>
    </w:p>
    <w:p w14:paraId="0CABCFC9" w14:textId="3E70DC0F" w:rsidR="007422FD" w:rsidRDefault="002B5016" w:rsidP="00DB3627">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w:t>
      </w:r>
    </w:p>
    <w:p w14:paraId="4E505617" w14:textId="77777777" w:rsidR="00F777FD" w:rsidRDefault="00F777FD" w:rsidP="00DB3627">
      <w:pPr>
        <w:autoSpaceDE w:val="0"/>
        <w:autoSpaceDN w:val="0"/>
        <w:adjustRightInd w:val="0"/>
        <w:spacing w:after="0" w:line="240" w:lineRule="auto"/>
        <w:rPr>
          <w:rFonts w:cstheme="minorHAnsi"/>
          <w:bCs/>
          <w:color w:val="FF0000"/>
        </w:rPr>
      </w:pPr>
    </w:p>
    <w:p w14:paraId="5F86C04F" w14:textId="4B99367E" w:rsidR="00992F9F" w:rsidRPr="00F32679" w:rsidRDefault="00445614" w:rsidP="00DB3627">
      <w:pPr>
        <w:autoSpaceDE w:val="0"/>
        <w:autoSpaceDN w:val="0"/>
        <w:adjustRightInd w:val="0"/>
        <w:spacing w:after="0" w:line="240" w:lineRule="auto"/>
        <w:rPr>
          <w:rFonts w:cstheme="minorHAnsi"/>
          <w:bCs/>
          <w:color w:val="FF0000"/>
        </w:rPr>
      </w:pPr>
      <w:r w:rsidRPr="00F32679">
        <w:rPr>
          <w:rFonts w:cstheme="minorHAnsi"/>
          <w:bCs/>
          <w:color w:val="FF0000"/>
        </w:rPr>
        <w:t>Data</w:t>
      </w:r>
      <w:r w:rsidR="009B0997" w:rsidRPr="00F32679">
        <w:rPr>
          <w:rFonts w:cstheme="minorHAnsi"/>
          <w:bCs/>
          <w:color w:val="FF0000"/>
        </w:rPr>
        <w:t xml:space="preserve"> included</w:t>
      </w:r>
      <w:r w:rsidR="004A2305">
        <w:rPr>
          <w:rFonts w:cstheme="minorHAnsi"/>
          <w:bCs/>
          <w:color w:val="FF0000"/>
        </w:rPr>
        <w:t xml:space="preserve"> </w:t>
      </w:r>
      <w:r w:rsidR="00A5275C" w:rsidRPr="00F32679">
        <w:rPr>
          <w:rFonts w:cstheme="minorHAnsi"/>
          <w:bCs/>
          <w:color w:val="FF0000"/>
        </w:rPr>
        <w:t>1</w:t>
      </w:r>
      <w:r w:rsidR="00DB3C52">
        <w:rPr>
          <w:rFonts w:cstheme="minorHAnsi"/>
          <w:bCs/>
          <w:color w:val="FF0000"/>
        </w:rPr>
        <w:t>82,042</w:t>
      </w:r>
      <w:r w:rsidR="006D5536" w:rsidRPr="00F32679">
        <w:rPr>
          <w:rFonts w:cstheme="minorHAnsi"/>
          <w:bCs/>
          <w:color w:val="FF0000"/>
        </w:rPr>
        <w:t xml:space="preserve"> </w:t>
      </w:r>
      <w:r w:rsidR="007D264A" w:rsidRPr="00F32679">
        <w:rPr>
          <w:rFonts w:cstheme="minorHAnsi"/>
          <w:bCs/>
          <w:color w:val="FF0000"/>
        </w:rPr>
        <w:t>patients</w:t>
      </w:r>
      <w:r w:rsidR="007D264A">
        <w:rPr>
          <w:rFonts w:cstheme="minorHAnsi"/>
          <w:bCs/>
          <w:color w:val="FF0000"/>
        </w:rPr>
        <w:t xml:space="preserve"> who </w:t>
      </w:r>
      <w:r w:rsidR="007D264A" w:rsidRPr="00440821">
        <w:rPr>
          <w:rFonts w:cstheme="minorHAnsi"/>
          <w:bCs/>
          <w:color w:val="FF0000"/>
        </w:rPr>
        <w:t xml:space="preserve">had </w:t>
      </w:r>
      <w:r w:rsidR="007D264A" w:rsidRPr="00440821">
        <w:rPr>
          <w:color w:val="FF0000"/>
        </w:rPr>
        <w:t xml:space="preserve">308,556 discharges </w:t>
      </w:r>
      <w:r w:rsidR="004A2305">
        <w:rPr>
          <w:color w:val="FF0000"/>
        </w:rPr>
        <w:t xml:space="preserve">from 1,680 facilities </w:t>
      </w:r>
      <w:r w:rsidR="007D264A" w:rsidRPr="00440821">
        <w:rPr>
          <w:color w:val="FF0000"/>
        </w:rPr>
        <w:t>within the measurement period</w:t>
      </w:r>
      <w:r w:rsidR="007D264A" w:rsidRPr="00440821">
        <w:rPr>
          <w:rFonts w:cstheme="minorHAnsi"/>
          <w:bCs/>
          <w:color w:val="FF0000"/>
        </w:rPr>
        <w:t xml:space="preserve">: </w:t>
      </w:r>
    </w:p>
    <w:p w14:paraId="5EEAB492" w14:textId="77777777" w:rsidR="00992F9F" w:rsidRPr="00F32679" w:rsidRDefault="00992F9F" w:rsidP="00DB3627">
      <w:pPr>
        <w:autoSpaceDE w:val="0"/>
        <w:autoSpaceDN w:val="0"/>
        <w:adjustRightInd w:val="0"/>
        <w:spacing w:after="0" w:line="240" w:lineRule="auto"/>
        <w:rPr>
          <w:rFonts w:cstheme="minorHAnsi"/>
          <w:bCs/>
          <w:color w:val="FF0000"/>
        </w:rPr>
      </w:pPr>
    </w:p>
    <w:p w14:paraId="206DE554" w14:textId="015FF808" w:rsidR="00992F9F" w:rsidRPr="00F32679" w:rsidRDefault="0058143B" w:rsidP="00992F9F">
      <w:pPr>
        <w:pStyle w:val="ListParagraph"/>
        <w:numPr>
          <w:ilvl w:val="0"/>
          <w:numId w:val="31"/>
        </w:numPr>
        <w:autoSpaceDE w:val="0"/>
        <w:autoSpaceDN w:val="0"/>
        <w:adjustRightInd w:val="0"/>
        <w:spacing w:after="0" w:line="240" w:lineRule="auto"/>
        <w:rPr>
          <w:rFonts w:cstheme="minorHAnsi"/>
          <w:bCs/>
          <w:color w:val="FF0000"/>
        </w:rPr>
      </w:pPr>
      <w:r w:rsidRPr="00F32679">
        <w:rPr>
          <w:rFonts w:cstheme="minorHAnsi"/>
          <w:bCs/>
          <w:color w:val="FF0000"/>
        </w:rPr>
        <w:t>2</w:t>
      </w:r>
      <w:r w:rsidR="00DB3C52">
        <w:rPr>
          <w:rFonts w:cstheme="minorHAnsi"/>
          <w:bCs/>
          <w:color w:val="FF0000"/>
        </w:rPr>
        <w:t>3.6</w:t>
      </w:r>
      <w:r w:rsidRPr="00F32679">
        <w:rPr>
          <w:rFonts w:cstheme="minorHAnsi"/>
          <w:bCs/>
          <w:color w:val="FF0000"/>
        </w:rPr>
        <w:t>% (</w:t>
      </w:r>
      <w:r w:rsidR="00A5275C" w:rsidRPr="00F32679">
        <w:rPr>
          <w:rFonts w:cstheme="minorHAnsi"/>
          <w:bCs/>
          <w:color w:val="FF0000"/>
        </w:rPr>
        <w:t>42,</w:t>
      </w:r>
      <w:r w:rsidR="00DB3C52">
        <w:rPr>
          <w:rFonts w:cstheme="minorHAnsi"/>
          <w:bCs/>
          <w:color w:val="FF0000"/>
        </w:rPr>
        <w:t>987</w:t>
      </w:r>
      <w:r w:rsidRPr="00F32679">
        <w:rPr>
          <w:rFonts w:cstheme="minorHAnsi"/>
          <w:bCs/>
          <w:color w:val="FF0000"/>
        </w:rPr>
        <w:t xml:space="preserve">) </w:t>
      </w:r>
      <w:r w:rsidR="00911FA4">
        <w:rPr>
          <w:rFonts w:cstheme="minorHAnsi"/>
          <w:bCs/>
          <w:color w:val="FF0000"/>
        </w:rPr>
        <w:t xml:space="preserve">patients </w:t>
      </w:r>
      <w:r w:rsidRPr="00F32679">
        <w:rPr>
          <w:rFonts w:cstheme="minorHAnsi"/>
          <w:bCs/>
          <w:color w:val="FF0000"/>
        </w:rPr>
        <w:t xml:space="preserve">were </w:t>
      </w:r>
      <w:r w:rsidR="00911FA4">
        <w:rPr>
          <w:rFonts w:cstheme="minorHAnsi"/>
          <w:bCs/>
          <w:color w:val="FF0000"/>
        </w:rPr>
        <w:t xml:space="preserve">ages </w:t>
      </w:r>
      <w:r w:rsidRPr="00F32679">
        <w:rPr>
          <w:rFonts w:cstheme="minorHAnsi"/>
          <w:bCs/>
          <w:color w:val="FF0000"/>
        </w:rPr>
        <w:t xml:space="preserve">18–39 years, </w:t>
      </w:r>
      <w:r w:rsidR="00A5275C" w:rsidRPr="00F32679">
        <w:rPr>
          <w:rFonts w:cstheme="minorHAnsi"/>
          <w:bCs/>
          <w:color w:val="FF0000"/>
        </w:rPr>
        <w:t>41.</w:t>
      </w:r>
      <w:r w:rsidR="00DB3C52">
        <w:rPr>
          <w:rFonts w:cstheme="minorHAnsi"/>
          <w:bCs/>
          <w:color w:val="FF0000"/>
        </w:rPr>
        <w:t>0</w:t>
      </w:r>
      <w:r w:rsidR="00A5275C" w:rsidRPr="00F32679">
        <w:rPr>
          <w:rFonts w:cstheme="minorHAnsi"/>
          <w:bCs/>
          <w:color w:val="FF0000"/>
        </w:rPr>
        <w:t>% (</w:t>
      </w:r>
      <w:r w:rsidR="00DB3C52">
        <w:rPr>
          <w:rFonts w:cstheme="minorHAnsi"/>
          <w:bCs/>
          <w:color w:val="FF0000"/>
        </w:rPr>
        <w:t>74,690</w:t>
      </w:r>
      <w:r w:rsidR="00A5275C" w:rsidRPr="00F32679">
        <w:rPr>
          <w:rFonts w:cstheme="minorHAnsi"/>
          <w:bCs/>
          <w:color w:val="FF0000"/>
        </w:rPr>
        <w:t>)</w:t>
      </w:r>
      <w:r w:rsidRPr="00F32679">
        <w:rPr>
          <w:rFonts w:cstheme="minorHAnsi"/>
          <w:bCs/>
          <w:color w:val="FF0000"/>
        </w:rPr>
        <w:t xml:space="preserve"> were 40–59 years old, and</w:t>
      </w:r>
      <w:r w:rsidR="00A5275C" w:rsidRPr="00F32679">
        <w:rPr>
          <w:rFonts w:cstheme="minorHAnsi"/>
          <w:bCs/>
          <w:color w:val="FF0000"/>
        </w:rPr>
        <w:t xml:space="preserve"> </w:t>
      </w:r>
      <w:r w:rsidR="00DB3C52">
        <w:rPr>
          <w:rFonts w:cstheme="minorHAnsi"/>
          <w:bCs/>
          <w:color w:val="FF0000"/>
        </w:rPr>
        <w:t>35.4</w:t>
      </w:r>
      <w:r w:rsidR="00A5275C" w:rsidRPr="00F32679">
        <w:rPr>
          <w:rFonts w:cstheme="minorHAnsi"/>
          <w:bCs/>
          <w:color w:val="FF0000"/>
        </w:rPr>
        <w:t>%</w:t>
      </w:r>
      <w:r w:rsidRPr="00F32679">
        <w:rPr>
          <w:rFonts w:cstheme="minorHAnsi"/>
          <w:bCs/>
          <w:color w:val="FF0000"/>
        </w:rPr>
        <w:t xml:space="preserve"> </w:t>
      </w:r>
      <w:r w:rsidR="00A5275C" w:rsidRPr="00F32679">
        <w:rPr>
          <w:rFonts w:cstheme="minorHAnsi"/>
          <w:bCs/>
          <w:color w:val="FF0000"/>
        </w:rPr>
        <w:t>(</w:t>
      </w:r>
      <w:r w:rsidR="00DB3C52">
        <w:rPr>
          <w:rFonts w:cstheme="minorHAnsi"/>
          <w:bCs/>
          <w:color w:val="FF0000"/>
        </w:rPr>
        <w:t>64,364</w:t>
      </w:r>
      <w:r w:rsidR="00A5275C" w:rsidRPr="00F32679">
        <w:rPr>
          <w:rFonts w:cstheme="minorHAnsi"/>
          <w:bCs/>
          <w:color w:val="FF0000"/>
        </w:rPr>
        <w:t>)</w:t>
      </w:r>
      <w:r w:rsidRPr="00F32679">
        <w:rPr>
          <w:rFonts w:cstheme="minorHAnsi"/>
          <w:bCs/>
          <w:color w:val="FF0000"/>
        </w:rPr>
        <w:t xml:space="preserve"> were </w:t>
      </w:r>
      <w:r w:rsidR="00911FA4">
        <w:rPr>
          <w:rFonts w:cstheme="minorHAnsi"/>
          <w:bCs/>
          <w:color w:val="FF0000"/>
        </w:rPr>
        <w:t xml:space="preserve">ages </w:t>
      </w:r>
      <w:r w:rsidRPr="00F32679">
        <w:rPr>
          <w:rFonts w:cstheme="minorHAnsi"/>
          <w:bCs/>
          <w:color w:val="FF0000"/>
        </w:rPr>
        <w:t>60 years or older</w:t>
      </w:r>
    </w:p>
    <w:p w14:paraId="28BA46A0" w14:textId="735C62B0" w:rsidR="00992F9F" w:rsidRPr="00F32679" w:rsidRDefault="00A402C6" w:rsidP="00992F9F">
      <w:pPr>
        <w:pStyle w:val="ListParagraph"/>
        <w:numPr>
          <w:ilvl w:val="0"/>
          <w:numId w:val="31"/>
        </w:numPr>
        <w:autoSpaceDE w:val="0"/>
        <w:autoSpaceDN w:val="0"/>
        <w:adjustRightInd w:val="0"/>
        <w:spacing w:after="0" w:line="240" w:lineRule="auto"/>
        <w:rPr>
          <w:rFonts w:cstheme="minorHAnsi"/>
          <w:bCs/>
          <w:color w:val="FF0000"/>
        </w:rPr>
      </w:pPr>
      <w:r w:rsidRPr="00F32679">
        <w:rPr>
          <w:rFonts w:cstheme="minorHAnsi"/>
          <w:bCs/>
          <w:color w:val="FF0000"/>
        </w:rPr>
        <w:t>5</w:t>
      </w:r>
      <w:r w:rsidR="000F2541">
        <w:rPr>
          <w:rFonts w:cstheme="minorHAnsi"/>
          <w:bCs/>
          <w:color w:val="FF0000"/>
        </w:rPr>
        <w:t>2.2</w:t>
      </w:r>
      <w:r w:rsidRPr="00F32679">
        <w:rPr>
          <w:rFonts w:cstheme="minorHAnsi"/>
          <w:bCs/>
          <w:color w:val="FF0000"/>
        </w:rPr>
        <w:t>% (</w:t>
      </w:r>
      <w:r w:rsidR="000F2541">
        <w:rPr>
          <w:rFonts w:cstheme="minorHAnsi"/>
          <w:bCs/>
          <w:color w:val="FF0000"/>
        </w:rPr>
        <w:t>94,946</w:t>
      </w:r>
      <w:r w:rsidRPr="00F32679">
        <w:rPr>
          <w:rFonts w:cstheme="minorHAnsi"/>
          <w:bCs/>
          <w:color w:val="FF0000"/>
        </w:rPr>
        <w:t>)</w:t>
      </w:r>
      <w:r w:rsidR="00B8260E" w:rsidRPr="00F32679">
        <w:rPr>
          <w:rFonts w:cstheme="minorHAnsi"/>
          <w:bCs/>
          <w:color w:val="FF0000"/>
        </w:rPr>
        <w:t xml:space="preserve"> were </w:t>
      </w:r>
      <w:r w:rsidR="00A5275C" w:rsidRPr="00F32679">
        <w:rPr>
          <w:rFonts w:cstheme="minorHAnsi"/>
          <w:bCs/>
          <w:color w:val="FF0000"/>
        </w:rPr>
        <w:t>fe</w:t>
      </w:r>
      <w:r w:rsidR="00B8260E" w:rsidRPr="00F32679">
        <w:rPr>
          <w:rFonts w:cstheme="minorHAnsi"/>
          <w:bCs/>
          <w:color w:val="FF0000"/>
        </w:rPr>
        <w:t xml:space="preserve">male and </w:t>
      </w:r>
      <w:r w:rsidR="000F2541">
        <w:rPr>
          <w:rFonts w:cstheme="minorHAnsi"/>
          <w:bCs/>
          <w:color w:val="FF0000"/>
        </w:rPr>
        <w:t>47.8</w:t>
      </w:r>
      <w:r w:rsidRPr="00F32679">
        <w:rPr>
          <w:rFonts w:cstheme="minorHAnsi"/>
          <w:bCs/>
          <w:color w:val="FF0000"/>
        </w:rPr>
        <w:t>% (</w:t>
      </w:r>
      <w:r w:rsidR="000F2541">
        <w:rPr>
          <w:rFonts w:cstheme="minorHAnsi"/>
          <w:bCs/>
          <w:color w:val="FF0000"/>
        </w:rPr>
        <w:t>87,096</w:t>
      </w:r>
      <w:r w:rsidRPr="00F32679">
        <w:rPr>
          <w:rFonts w:cstheme="minorHAnsi"/>
          <w:bCs/>
          <w:color w:val="FF0000"/>
        </w:rPr>
        <w:t xml:space="preserve">) </w:t>
      </w:r>
      <w:r w:rsidR="009B0997" w:rsidRPr="00F32679">
        <w:rPr>
          <w:rFonts w:cstheme="minorHAnsi"/>
          <w:bCs/>
          <w:color w:val="FF0000"/>
        </w:rPr>
        <w:t>were male</w:t>
      </w:r>
      <w:r w:rsidR="002D5369" w:rsidRPr="00F32679">
        <w:rPr>
          <w:rFonts w:cstheme="minorHAnsi"/>
          <w:bCs/>
          <w:color w:val="FF0000"/>
        </w:rPr>
        <w:t xml:space="preserve"> </w:t>
      </w:r>
    </w:p>
    <w:p w14:paraId="28635773" w14:textId="3680197E" w:rsidR="00992F9F" w:rsidRPr="00F32679" w:rsidRDefault="00A402C6" w:rsidP="00992F9F">
      <w:pPr>
        <w:pStyle w:val="ListParagraph"/>
        <w:numPr>
          <w:ilvl w:val="0"/>
          <w:numId w:val="31"/>
        </w:numPr>
        <w:autoSpaceDE w:val="0"/>
        <w:autoSpaceDN w:val="0"/>
        <w:adjustRightInd w:val="0"/>
        <w:spacing w:after="0" w:line="240" w:lineRule="auto"/>
        <w:rPr>
          <w:rFonts w:cstheme="minorHAnsi"/>
          <w:bCs/>
          <w:color w:val="FF0000"/>
        </w:rPr>
      </w:pPr>
      <w:r w:rsidRPr="00F32679">
        <w:rPr>
          <w:rFonts w:cstheme="minorHAnsi"/>
          <w:bCs/>
          <w:color w:val="FF0000"/>
        </w:rPr>
        <w:t>74.</w:t>
      </w:r>
      <w:r w:rsidR="000F2541">
        <w:rPr>
          <w:rFonts w:cstheme="minorHAnsi"/>
          <w:bCs/>
          <w:color w:val="FF0000"/>
        </w:rPr>
        <w:t>6</w:t>
      </w:r>
      <w:r w:rsidR="001257D4" w:rsidRPr="00F32679">
        <w:rPr>
          <w:rFonts w:cstheme="minorHAnsi"/>
          <w:bCs/>
          <w:color w:val="FF0000"/>
        </w:rPr>
        <w:t>% (</w:t>
      </w:r>
      <w:r w:rsidR="000F2541">
        <w:rPr>
          <w:rFonts w:cstheme="minorHAnsi"/>
          <w:bCs/>
          <w:color w:val="FF0000"/>
        </w:rPr>
        <w:t>135,733</w:t>
      </w:r>
      <w:r w:rsidR="001257D4" w:rsidRPr="00F32679">
        <w:rPr>
          <w:rFonts w:cstheme="minorHAnsi"/>
          <w:bCs/>
          <w:color w:val="FF0000"/>
        </w:rPr>
        <w:t xml:space="preserve">) were </w:t>
      </w:r>
      <w:r w:rsidR="00911FA4">
        <w:rPr>
          <w:rFonts w:cstheme="minorHAnsi"/>
          <w:bCs/>
          <w:color w:val="FF0000"/>
        </w:rPr>
        <w:t>W</w:t>
      </w:r>
      <w:r w:rsidR="00911FA4" w:rsidRPr="00F32679">
        <w:rPr>
          <w:rFonts w:cstheme="minorHAnsi"/>
          <w:bCs/>
          <w:color w:val="FF0000"/>
        </w:rPr>
        <w:t>hite</w:t>
      </w:r>
      <w:r w:rsidR="001257D4" w:rsidRPr="00F32679">
        <w:rPr>
          <w:rFonts w:cstheme="minorHAnsi"/>
          <w:bCs/>
          <w:color w:val="FF0000"/>
        </w:rPr>
        <w:t xml:space="preserve">, </w:t>
      </w:r>
      <w:r w:rsidRPr="00F32679">
        <w:rPr>
          <w:rFonts w:cstheme="minorHAnsi"/>
          <w:bCs/>
          <w:color w:val="FF0000"/>
        </w:rPr>
        <w:t>17.</w:t>
      </w:r>
      <w:r w:rsidR="000F2541">
        <w:rPr>
          <w:rFonts w:cstheme="minorHAnsi"/>
          <w:bCs/>
          <w:color w:val="FF0000"/>
        </w:rPr>
        <w:t>2</w:t>
      </w:r>
      <w:r w:rsidRPr="00F32679">
        <w:rPr>
          <w:rFonts w:cstheme="minorHAnsi"/>
          <w:bCs/>
          <w:color w:val="FF0000"/>
        </w:rPr>
        <w:t>% (</w:t>
      </w:r>
      <w:r w:rsidR="000F2541">
        <w:rPr>
          <w:rFonts w:cstheme="minorHAnsi"/>
          <w:bCs/>
          <w:color w:val="FF0000"/>
        </w:rPr>
        <w:t>31,251</w:t>
      </w:r>
      <w:r w:rsidRPr="00F32679">
        <w:rPr>
          <w:rFonts w:cstheme="minorHAnsi"/>
          <w:bCs/>
          <w:color w:val="FF0000"/>
        </w:rPr>
        <w:t>)</w:t>
      </w:r>
      <w:r w:rsidR="001257D4" w:rsidRPr="00F32679">
        <w:rPr>
          <w:rFonts w:cstheme="minorHAnsi"/>
          <w:bCs/>
          <w:color w:val="FF0000"/>
        </w:rPr>
        <w:t xml:space="preserve"> were </w:t>
      </w:r>
      <w:r w:rsidR="00911FA4">
        <w:rPr>
          <w:rFonts w:cstheme="minorHAnsi"/>
          <w:bCs/>
          <w:color w:val="FF0000"/>
        </w:rPr>
        <w:t>B</w:t>
      </w:r>
      <w:r w:rsidR="00911FA4" w:rsidRPr="00F32679">
        <w:rPr>
          <w:rFonts w:cstheme="minorHAnsi"/>
          <w:bCs/>
          <w:color w:val="FF0000"/>
        </w:rPr>
        <w:t>lack</w:t>
      </w:r>
      <w:r w:rsidR="001257D4" w:rsidRPr="00F32679">
        <w:rPr>
          <w:rFonts w:cstheme="minorHAnsi"/>
          <w:bCs/>
          <w:color w:val="FF0000"/>
        </w:rPr>
        <w:t xml:space="preserve">, </w:t>
      </w:r>
      <w:r w:rsidRPr="00F32679">
        <w:rPr>
          <w:rFonts w:cstheme="minorHAnsi"/>
          <w:bCs/>
          <w:color w:val="FF0000"/>
        </w:rPr>
        <w:t>3.</w:t>
      </w:r>
      <w:r w:rsidR="000F2541">
        <w:rPr>
          <w:rFonts w:cstheme="minorHAnsi"/>
          <w:bCs/>
          <w:color w:val="FF0000"/>
        </w:rPr>
        <w:t>6</w:t>
      </w:r>
      <w:r w:rsidRPr="00F32679">
        <w:rPr>
          <w:rFonts w:cstheme="minorHAnsi"/>
          <w:bCs/>
          <w:color w:val="FF0000"/>
        </w:rPr>
        <w:t>%</w:t>
      </w:r>
      <w:r w:rsidR="001257D4" w:rsidRPr="00F32679">
        <w:rPr>
          <w:rFonts w:cstheme="minorHAnsi"/>
          <w:bCs/>
          <w:color w:val="FF0000"/>
        </w:rPr>
        <w:t xml:space="preserve"> (</w:t>
      </w:r>
      <w:r w:rsidRPr="00F32679">
        <w:rPr>
          <w:rFonts w:cstheme="minorHAnsi"/>
          <w:bCs/>
          <w:color w:val="FF0000"/>
        </w:rPr>
        <w:t>6,</w:t>
      </w:r>
      <w:r w:rsidR="000F2541">
        <w:rPr>
          <w:rFonts w:cstheme="minorHAnsi"/>
          <w:bCs/>
          <w:color w:val="FF0000"/>
        </w:rPr>
        <w:t>639</w:t>
      </w:r>
      <w:r w:rsidR="001257D4" w:rsidRPr="00F32679">
        <w:rPr>
          <w:rFonts w:cstheme="minorHAnsi"/>
          <w:bCs/>
          <w:color w:val="FF0000"/>
        </w:rPr>
        <w:t xml:space="preserve">) were Hispanic, </w:t>
      </w:r>
      <w:r w:rsidRPr="00F32679">
        <w:rPr>
          <w:rFonts w:cstheme="minorHAnsi"/>
          <w:bCs/>
          <w:color w:val="FF0000"/>
        </w:rPr>
        <w:t>2.9</w:t>
      </w:r>
      <w:r w:rsidR="008576A9" w:rsidRPr="00F32679">
        <w:rPr>
          <w:rFonts w:cstheme="minorHAnsi"/>
          <w:bCs/>
          <w:color w:val="FF0000"/>
        </w:rPr>
        <w:t>% (</w:t>
      </w:r>
      <w:r w:rsidRPr="00F32679">
        <w:rPr>
          <w:rFonts w:cstheme="minorHAnsi"/>
          <w:bCs/>
          <w:color w:val="FF0000"/>
        </w:rPr>
        <w:t>5,</w:t>
      </w:r>
      <w:r w:rsidR="000F2541">
        <w:rPr>
          <w:rFonts w:cstheme="minorHAnsi"/>
          <w:bCs/>
          <w:color w:val="FF0000"/>
        </w:rPr>
        <w:t>291</w:t>
      </w:r>
      <w:r w:rsidR="008576A9" w:rsidRPr="00F32679">
        <w:rPr>
          <w:rFonts w:cstheme="minorHAnsi"/>
          <w:bCs/>
          <w:color w:val="FF0000"/>
        </w:rPr>
        <w:t>) were classified as other, and</w:t>
      </w:r>
      <w:r w:rsidRPr="00F32679">
        <w:rPr>
          <w:rFonts w:cstheme="minorHAnsi"/>
          <w:bCs/>
          <w:color w:val="FF0000"/>
        </w:rPr>
        <w:t xml:space="preserve"> 1.7</w:t>
      </w:r>
      <w:r w:rsidR="001257D4" w:rsidRPr="00F32679">
        <w:rPr>
          <w:rFonts w:cstheme="minorHAnsi"/>
          <w:bCs/>
          <w:color w:val="FF0000"/>
        </w:rPr>
        <w:t>% (</w:t>
      </w:r>
      <w:r w:rsidR="000F2541">
        <w:rPr>
          <w:rFonts w:cstheme="minorHAnsi"/>
          <w:bCs/>
          <w:color w:val="FF0000"/>
        </w:rPr>
        <w:t>3,128</w:t>
      </w:r>
      <w:r w:rsidR="001257D4" w:rsidRPr="00F32679">
        <w:rPr>
          <w:rFonts w:cstheme="minorHAnsi"/>
          <w:bCs/>
          <w:color w:val="FF0000"/>
        </w:rPr>
        <w:t xml:space="preserve">) were classified as </w:t>
      </w:r>
      <w:r w:rsidR="008576A9" w:rsidRPr="00F32679">
        <w:rPr>
          <w:rFonts w:cstheme="minorHAnsi"/>
          <w:bCs/>
          <w:color w:val="FF0000"/>
        </w:rPr>
        <w:t>unknown</w:t>
      </w:r>
      <w:r w:rsidR="001257D4" w:rsidRPr="00F32679">
        <w:rPr>
          <w:rFonts w:cstheme="minorHAnsi"/>
          <w:bCs/>
          <w:color w:val="FF0000"/>
        </w:rPr>
        <w:t xml:space="preserve"> </w:t>
      </w:r>
    </w:p>
    <w:p w14:paraId="274619D5" w14:textId="2E39B6EF" w:rsidR="006D2C98" w:rsidRDefault="000F2541" w:rsidP="00992F9F">
      <w:pPr>
        <w:pStyle w:val="ListParagraph"/>
        <w:numPr>
          <w:ilvl w:val="0"/>
          <w:numId w:val="31"/>
        </w:numPr>
        <w:autoSpaceDE w:val="0"/>
        <w:autoSpaceDN w:val="0"/>
        <w:adjustRightInd w:val="0"/>
        <w:spacing w:after="0" w:line="240" w:lineRule="auto"/>
        <w:rPr>
          <w:rFonts w:cstheme="minorHAnsi"/>
          <w:bCs/>
          <w:color w:val="FF0000"/>
        </w:rPr>
      </w:pPr>
      <w:r>
        <w:rPr>
          <w:rFonts w:cstheme="minorHAnsi"/>
          <w:bCs/>
          <w:color w:val="FF0000"/>
        </w:rPr>
        <w:t>58.3% (106,057) we</w:t>
      </w:r>
      <w:r w:rsidR="00B33889" w:rsidRPr="00F32679">
        <w:rPr>
          <w:rFonts w:cstheme="minorHAnsi"/>
          <w:bCs/>
          <w:color w:val="FF0000"/>
        </w:rPr>
        <w:t xml:space="preserve">re dual </w:t>
      </w:r>
      <w:r>
        <w:rPr>
          <w:rFonts w:cstheme="minorHAnsi"/>
          <w:bCs/>
          <w:color w:val="FF0000"/>
        </w:rPr>
        <w:t xml:space="preserve">Medicare and Medicaid </w:t>
      </w:r>
      <w:r w:rsidR="00B33889" w:rsidRPr="00F32679">
        <w:rPr>
          <w:rFonts w:cstheme="minorHAnsi"/>
          <w:bCs/>
          <w:color w:val="FF0000"/>
        </w:rPr>
        <w:t>enrollees</w:t>
      </w:r>
      <w:r>
        <w:rPr>
          <w:rFonts w:cstheme="minorHAnsi"/>
          <w:bCs/>
          <w:color w:val="FF0000"/>
        </w:rPr>
        <w:t xml:space="preserve"> and 41.7% (75,985) were </w:t>
      </w:r>
      <w:r w:rsidR="00911FA4">
        <w:rPr>
          <w:rFonts w:cstheme="minorHAnsi"/>
          <w:bCs/>
          <w:color w:val="FF0000"/>
        </w:rPr>
        <w:t>Medicare only</w:t>
      </w:r>
      <w:r>
        <w:rPr>
          <w:rFonts w:cstheme="minorHAnsi"/>
          <w:bCs/>
          <w:color w:val="FF0000"/>
        </w:rPr>
        <w:t>.</w:t>
      </w:r>
    </w:p>
    <w:p w14:paraId="681EB732" w14:textId="77777777" w:rsidR="00304CB9" w:rsidRDefault="00304CB9" w:rsidP="00304CB9">
      <w:pPr>
        <w:autoSpaceDE w:val="0"/>
        <w:autoSpaceDN w:val="0"/>
        <w:adjustRightInd w:val="0"/>
        <w:spacing w:after="0" w:line="240" w:lineRule="auto"/>
        <w:rPr>
          <w:color w:val="FF0000"/>
        </w:rPr>
      </w:pPr>
    </w:p>
    <w:p w14:paraId="47B9CFE5" w14:textId="77777777" w:rsidR="00FE7CE0" w:rsidRDefault="00304CB9" w:rsidP="00304CB9">
      <w:pPr>
        <w:autoSpaceDE w:val="0"/>
        <w:autoSpaceDN w:val="0"/>
        <w:adjustRightInd w:val="0"/>
        <w:spacing w:after="0" w:line="240" w:lineRule="auto"/>
        <w:rPr>
          <w:color w:val="FF0000"/>
        </w:rPr>
      </w:pPr>
      <w:r w:rsidRPr="00440821">
        <w:rPr>
          <w:color w:val="FF0000"/>
        </w:rPr>
        <w:t xml:space="preserve">On </w:t>
      </w:r>
      <w:r w:rsidRPr="00304CB9">
        <w:rPr>
          <w:color w:val="FF0000"/>
        </w:rPr>
        <w:t xml:space="preserve">average, 36% of discharges had a principal diagnosis of MDD, 41% of discharges had a principal diagnosis of schizophrenia, and 26% of discharges had a principal diagnosis of bipolar disorder (Table 1.6-A). </w:t>
      </w:r>
    </w:p>
    <w:p w14:paraId="6B014DCF" w14:textId="77777777" w:rsidR="00FE7CE0" w:rsidRDefault="00FE7CE0" w:rsidP="00304CB9">
      <w:pPr>
        <w:autoSpaceDE w:val="0"/>
        <w:autoSpaceDN w:val="0"/>
        <w:adjustRightInd w:val="0"/>
        <w:spacing w:after="0" w:line="240" w:lineRule="auto"/>
        <w:rPr>
          <w:color w:val="FF0000"/>
        </w:rPr>
      </w:pPr>
    </w:p>
    <w:p w14:paraId="327CC877" w14:textId="3E695C28" w:rsidR="00304CB9" w:rsidRPr="00304CB9" w:rsidRDefault="004A2305" w:rsidP="00304CB9">
      <w:pPr>
        <w:autoSpaceDE w:val="0"/>
        <w:autoSpaceDN w:val="0"/>
        <w:adjustRightInd w:val="0"/>
        <w:spacing w:after="0" w:line="240" w:lineRule="auto"/>
        <w:rPr>
          <w:rFonts w:cstheme="minorHAnsi"/>
          <w:bCs/>
          <w:color w:val="FF0000"/>
        </w:rPr>
      </w:pPr>
      <w:r>
        <w:rPr>
          <w:color w:val="FF0000"/>
        </w:rPr>
        <w:t>The measure is specified to require a</w:t>
      </w:r>
      <w:r w:rsidRPr="00440821">
        <w:rPr>
          <w:color w:val="FF0000"/>
        </w:rPr>
        <w:t xml:space="preserve"> minimum denominator size of 75 discharges</w:t>
      </w:r>
      <w:r>
        <w:rPr>
          <w:color w:val="FF0000"/>
        </w:rPr>
        <w:t>, as th</w:t>
      </w:r>
      <w:r w:rsidRPr="00440821">
        <w:rPr>
          <w:color w:val="FF0000"/>
        </w:rPr>
        <w:t>is needed to attain an overall reliability score of at least 0.7</w:t>
      </w:r>
      <w:r>
        <w:rPr>
          <w:color w:val="FF0000"/>
        </w:rPr>
        <w:t xml:space="preserve">. The restricted sample included 1,066 facilities and 268,673 discharges. </w:t>
      </w:r>
      <w:r w:rsidR="00304CB9" w:rsidRPr="00304CB9">
        <w:rPr>
          <w:color w:val="FF0000"/>
        </w:rPr>
        <w:t>When limiting to facilities with 75 or more cases during the measurement period, 32% of discharges had a principal diagnosis of MDD, 42% of discharges had a principal diagnosis of schizophrenia, and 26% of discharges had a principal diagnosis of bipolar disorder on average (Table 1.6-B).</w:t>
      </w:r>
    </w:p>
    <w:p w14:paraId="54076E34" w14:textId="502864DB" w:rsidR="00FA7E89" w:rsidRDefault="00FA7E89" w:rsidP="00FA7E89">
      <w:pPr>
        <w:autoSpaceDE w:val="0"/>
        <w:autoSpaceDN w:val="0"/>
        <w:adjustRightInd w:val="0"/>
        <w:spacing w:after="0" w:line="240" w:lineRule="auto"/>
        <w:rPr>
          <w:rFonts w:cstheme="minorHAnsi"/>
          <w:bCs/>
          <w:color w:val="FF0000"/>
        </w:rPr>
      </w:pPr>
    </w:p>
    <w:p w14:paraId="2750F20F" w14:textId="77777777" w:rsidR="00786C61" w:rsidRPr="00786C61" w:rsidRDefault="00786C61" w:rsidP="00786C61">
      <w:pPr>
        <w:pStyle w:val="BodyText"/>
        <w:tabs>
          <w:tab w:val="left" w:pos="1260"/>
        </w:tabs>
        <w:ind w:left="0"/>
        <w:rPr>
          <w:rFonts w:ascii="Calibri" w:eastAsia="Arial" w:hAnsi="Calibri" w:cs="Arial"/>
          <w:b/>
          <w:bCs/>
          <w:color w:val="FF0000"/>
          <w:sz w:val="20"/>
          <w:szCs w:val="20"/>
        </w:rPr>
      </w:pPr>
      <w:r w:rsidRPr="00786C61">
        <w:rPr>
          <w:rFonts w:ascii="Calibri" w:eastAsia="Arial" w:hAnsi="Calibri"/>
          <w:b/>
          <w:color w:val="FF0000"/>
          <w:sz w:val="20"/>
        </w:rPr>
        <w:t xml:space="preserve">Table </w:t>
      </w:r>
      <w:r w:rsidRPr="00786C61">
        <w:rPr>
          <w:rFonts w:ascii="Calibri" w:eastAsia="Arial" w:hAnsi="Calibri" w:cs="Arial"/>
          <w:b/>
          <w:bCs/>
          <w:color w:val="FF0000"/>
          <w:sz w:val="20"/>
          <w:szCs w:val="20"/>
        </w:rPr>
        <w:t>1.6-A. Distribution of Bipolar Disorder, MDD, and Schizophrenia Across IPFs</w:t>
      </w:r>
    </w:p>
    <w:tbl>
      <w:tblPr>
        <w:tblW w:w="4944" w:type="pct"/>
        <w:tblLook w:val="04A0" w:firstRow="1" w:lastRow="0" w:firstColumn="1" w:lastColumn="0" w:noHBand="0" w:noVBand="1"/>
      </w:tblPr>
      <w:tblGrid>
        <w:gridCol w:w="1565"/>
        <w:gridCol w:w="672"/>
        <w:gridCol w:w="761"/>
        <w:gridCol w:w="622"/>
        <w:gridCol w:w="590"/>
        <w:gridCol w:w="674"/>
        <w:gridCol w:w="988"/>
        <w:gridCol w:w="938"/>
        <w:gridCol w:w="988"/>
        <w:gridCol w:w="770"/>
        <w:gridCol w:w="687"/>
      </w:tblGrid>
      <w:tr w:rsidR="00786C61" w:rsidRPr="00DB1D0C" w14:paraId="6E07A0CB" w14:textId="77777777" w:rsidTr="00786C61">
        <w:trPr>
          <w:trHeight w:val="490"/>
        </w:trPr>
        <w:tc>
          <w:tcPr>
            <w:tcW w:w="845" w:type="pct"/>
            <w:shd w:val="clear" w:color="auto" w:fill="808080" w:themeFill="background1" w:themeFillShade="80"/>
            <w:vAlign w:val="bottom"/>
            <w:hideMark/>
          </w:tcPr>
          <w:p w14:paraId="6762FA85"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Condition</w:t>
            </w:r>
          </w:p>
        </w:tc>
        <w:tc>
          <w:tcPr>
            <w:tcW w:w="363" w:type="pct"/>
            <w:shd w:val="clear" w:color="auto" w:fill="808080" w:themeFill="background1" w:themeFillShade="80"/>
            <w:vAlign w:val="bottom"/>
            <w:hideMark/>
          </w:tcPr>
          <w:p w14:paraId="5B31AEAF"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IPFs</w:t>
            </w:r>
          </w:p>
        </w:tc>
        <w:tc>
          <w:tcPr>
            <w:tcW w:w="411" w:type="pct"/>
            <w:shd w:val="clear" w:color="auto" w:fill="808080" w:themeFill="background1" w:themeFillShade="80"/>
            <w:vAlign w:val="bottom"/>
            <w:hideMark/>
          </w:tcPr>
          <w:p w14:paraId="1C075EC5"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Mean</w:t>
            </w:r>
          </w:p>
        </w:tc>
        <w:tc>
          <w:tcPr>
            <w:tcW w:w="336" w:type="pct"/>
            <w:shd w:val="clear" w:color="auto" w:fill="808080" w:themeFill="background1" w:themeFillShade="80"/>
            <w:vAlign w:val="bottom"/>
            <w:hideMark/>
          </w:tcPr>
          <w:p w14:paraId="61CB7452"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SD</w:t>
            </w:r>
          </w:p>
        </w:tc>
        <w:tc>
          <w:tcPr>
            <w:tcW w:w="319" w:type="pct"/>
            <w:shd w:val="clear" w:color="auto" w:fill="808080" w:themeFill="background1" w:themeFillShade="80"/>
            <w:vAlign w:val="bottom"/>
            <w:hideMark/>
          </w:tcPr>
          <w:p w14:paraId="553A55F0"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Min</w:t>
            </w:r>
          </w:p>
        </w:tc>
        <w:tc>
          <w:tcPr>
            <w:tcW w:w="364" w:type="pct"/>
            <w:shd w:val="clear" w:color="auto" w:fill="808080" w:themeFill="background1" w:themeFillShade="80"/>
            <w:vAlign w:val="bottom"/>
            <w:hideMark/>
          </w:tcPr>
          <w:p w14:paraId="39FFC476"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10th Pctl</w:t>
            </w:r>
          </w:p>
        </w:tc>
        <w:tc>
          <w:tcPr>
            <w:tcW w:w="534" w:type="pct"/>
            <w:shd w:val="clear" w:color="auto" w:fill="808080" w:themeFill="background1" w:themeFillShade="80"/>
            <w:vAlign w:val="bottom"/>
            <w:hideMark/>
          </w:tcPr>
          <w:p w14:paraId="2420A867"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Lower Quartile</w:t>
            </w:r>
          </w:p>
        </w:tc>
        <w:tc>
          <w:tcPr>
            <w:tcW w:w="507" w:type="pct"/>
            <w:shd w:val="clear" w:color="auto" w:fill="808080" w:themeFill="background1" w:themeFillShade="80"/>
            <w:vAlign w:val="bottom"/>
            <w:hideMark/>
          </w:tcPr>
          <w:p w14:paraId="13E9407A"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Median</w:t>
            </w:r>
          </w:p>
        </w:tc>
        <w:tc>
          <w:tcPr>
            <w:tcW w:w="534" w:type="pct"/>
            <w:shd w:val="clear" w:color="auto" w:fill="808080" w:themeFill="background1" w:themeFillShade="80"/>
            <w:vAlign w:val="bottom"/>
            <w:hideMark/>
          </w:tcPr>
          <w:p w14:paraId="765B3F9D"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Upper Quartile</w:t>
            </w:r>
          </w:p>
        </w:tc>
        <w:tc>
          <w:tcPr>
            <w:tcW w:w="416" w:type="pct"/>
            <w:shd w:val="clear" w:color="auto" w:fill="808080" w:themeFill="background1" w:themeFillShade="80"/>
            <w:vAlign w:val="bottom"/>
            <w:hideMark/>
          </w:tcPr>
          <w:p w14:paraId="25A46C30"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90th Pctl</w:t>
            </w:r>
          </w:p>
        </w:tc>
        <w:tc>
          <w:tcPr>
            <w:tcW w:w="371" w:type="pct"/>
            <w:shd w:val="clear" w:color="auto" w:fill="808080" w:themeFill="background1" w:themeFillShade="80"/>
            <w:vAlign w:val="bottom"/>
            <w:hideMark/>
          </w:tcPr>
          <w:p w14:paraId="2FD7348C"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Max</w:t>
            </w:r>
          </w:p>
        </w:tc>
      </w:tr>
      <w:tr w:rsidR="00786C61" w:rsidRPr="00DB1D0C" w14:paraId="23D084D6" w14:textId="77777777" w:rsidTr="00786C61">
        <w:trPr>
          <w:trHeight w:val="288"/>
        </w:trPr>
        <w:tc>
          <w:tcPr>
            <w:tcW w:w="845" w:type="pct"/>
            <w:shd w:val="clear" w:color="auto" w:fill="auto"/>
            <w:vAlign w:val="bottom"/>
            <w:hideMark/>
          </w:tcPr>
          <w:p w14:paraId="35B085F5" w14:textId="77777777" w:rsidR="00786C61" w:rsidRPr="00D94508" w:rsidRDefault="00786C61" w:rsidP="00786C61">
            <w:pPr>
              <w:spacing w:after="0" w:line="240" w:lineRule="auto"/>
              <w:rPr>
                <w:rFonts w:ascii="Calibri" w:eastAsia="Calibri,Times New Roman" w:hAnsi="Calibri" w:cs="Calibri,Times New Roman"/>
                <w:sz w:val="20"/>
                <w:szCs w:val="20"/>
              </w:rPr>
            </w:pPr>
            <w:r w:rsidRPr="00D94508">
              <w:rPr>
                <w:rFonts w:ascii="Calibri" w:hAnsi="Calibri" w:cs="Calibri"/>
                <w:sz w:val="20"/>
                <w:szCs w:val="20"/>
              </w:rPr>
              <w:t>Bipolar</w:t>
            </w:r>
          </w:p>
        </w:tc>
        <w:tc>
          <w:tcPr>
            <w:tcW w:w="363" w:type="pct"/>
            <w:shd w:val="clear" w:color="auto" w:fill="auto"/>
            <w:vAlign w:val="bottom"/>
            <w:hideMark/>
          </w:tcPr>
          <w:p w14:paraId="500FC55F" w14:textId="77777777" w:rsidR="00786C61" w:rsidRPr="00D94508" w:rsidRDefault="00786C61" w:rsidP="00786C61">
            <w:pPr>
              <w:spacing w:after="0" w:line="240" w:lineRule="auto"/>
              <w:jc w:val="center"/>
              <w:rPr>
                <w:rFonts w:ascii="Calibri" w:eastAsia="Calibri,Times New Roman" w:hAnsi="Calibri" w:cs="Calibri,Times New Roman"/>
                <w:sz w:val="20"/>
                <w:szCs w:val="20"/>
              </w:rPr>
            </w:pPr>
            <w:r w:rsidRPr="00D94508">
              <w:rPr>
                <w:rFonts w:ascii="Calibri" w:hAnsi="Calibri" w:cs="Calibri"/>
                <w:sz w:val="20"/>
                <w:szCs w:val="20"/>
              </w:rPr>
              <w:t>1,641</w:t>
            </w:r>
          </w:p>
        </w:tc>
        <w:tc>
          <w:tcPr>
            <w:tcW w:w="411" w:type="pct"/>
            <w:shd w:val="clear" w:color="auto" w:fill="auto"/>
            <w:vAlign w:val="bottom"/>
            <w:hideMark/>
          </w:tcPr>
          <w:p w14:paraId="08139E4A"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25.9</w:t>
            </w:r>
          </w:p>
        </w:tc>
        <w:tc>
          <w:tcPr>
            <w:tcW w:w="336" w:type="pct"/>
            <w:shd w:val="clear" w:color="auto" w:fill="auto"/>
            <w:vAlign w:val="bottom"/>
            <w:hideMark/>
          </w:tcPr>
          <w:p w14:paraId="73AC2903"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10.0</w:t>
            </w:r>
          </w:p>
        </w:tc>
        <w:tc>
          <w:tcPr>
            <w:tcW w:w="319" w:type="pct"/>
            <w:shd w:val="clear" w:color="auto" w:fill="auto"/>
            <w:vAlign w:val="bottom"/>
            <w:hideMark/>
          </w:tcPr>
          <w:p w14:paraId="2EAE57C5"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2.1</w:t>
            </w:r>
          </w:p>
        </w:tc>
        <w:tc>
          <w:tcPr>
            <w:tcW w:w="364" w:type="pct"/>
            <w:shd w:val="clear" w:color="auto" w:fill="auto"/>
            <w:vAlign w:val="bottom"/>
            <w:hideMark/>
          </w:tcPr>
          <w:p w14:paraId="7169E7D2"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14.3</w:t>
            </w:r>
          </w:p>
        </w:tc>
        <w:tc>
          <w:tcPr>
            <w:tcW w:w="534" w:type="pct"/>
            <w:shd w:val="clear" w:color="auto" w:fill="auto"/>
            <w:vAlign w:val="bottom"/>
            <w:hideMark/>
          </w:tcPr>
          <w:p w14:paraId="06EF5988"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19.5</w:t>
            </w:r>
          </w:p>
        </w:tc>
        <w:tc>
          <w:tcPr>
            <w:tcW w:w="507" w:type="pct"/>
            <w:shd w:val="clear" w:color="auto" w:fill="auto"/>
            <w:vAlign w:val="bottom"/>
            <w:hideMark/>
          </w:tcPr>
          <w:p w14:paraId="274A5BCC"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25.0</w:t>
            </w:r>
          </w:p>
        </w:tc>
        <w:tc>
          <w:tcPr>
            <w:tcW w:w="534" w:type="pct"/>
            <w:shd w:val="clear" w:color="auto" w:fill="auto"/>
            <w:vAlign w:val="bottom"/>
            <w:hideMark/>
          </w:tcPr>
          <w:p w14:paraId="6AB06D16"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31.6</w:t>
            </w:r>
          </w:p>
        </w:tc>
        <w:tc>
          <w:tcPr>
            <w:tcW w:w="416" w:type="pct"/>
            <w:shd w:val="clear" w:color="auto" w:fill="auto"/>
            <w:vAlign w:val="bottom"/>
            <w:hideMark/>
          </w:tcPr>
          <w:p w14:paraId="0D55C5E1"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37.5</w:t>
            </w:r>
          </w:p>
        </w:tc>
        <w:tc>
          <w:tcPr>
            <w:tcW w:w="371" w:type="pct"/>
            <w:shd w:val="clear" w:color="auto" w:fill="auto"/>
            <w:vAlign w:val="bottom"/>
            <w:hideMark/>
          </w:tcPr>
          <w:p w14:paraId="2E94F6E5" w14:textId="77777777" w:rsidR="00786C61" w:rsidRPr="00D94508" w:rsidRDefault="00786C61" w:rsidP="00786C61">
            <w:pPr>
              <w:spacing w:after="0" w:line="240" w:lineRule="auto"/>
              <w:jc w:val="center"/>
              <w:rPr>
                <w:rFonts w:ascii="Calibri" w:eastAsia="Calibri,Times New Roman" w:hAnsi="Calibri" w:cs="Calibri,Times New Roman"/>
                <w:sz w:val="20"/>
                <w:szCs w:val="20"/>
              </w:rPr>
            </w:pPr>
            <w:r w:rsidRPr="00D94508">
              <w:rPr>
                <w:rFonts w:ascii="Calibri" w:hAnsi="Calibri" w:cs="Calibri"/>
                <w:sz w:val="20"/>
                <w:szCs w:val="20"/>
              </w:rPr>
              <w:t>100</w:t>
            </w:r>
          </w:p>
        </w:tc>
      </w:tr>
      <w:tr w:rsidR="00786C61" w:rsidRPr="00DB1D0C" w14:paraId="3BCD524A" w14:textId="77777777" w:rsidTr="00786C61">
        <w:trPr>
          <w:trHeight w:val="288"/>
        </w:trPr>
        <w:tc>
          <w:tcPr>
            <w:tcW w:w="845" w:type="pct"/>
            <w:shd w:val="clear" w:color="auto" w:fill="auto"/>
            <w:vAlign w:val="bottom"/>
            <w:hideMark/>
          </w:tcPr>
          <w:p w14:paraId="1184D0D3" w14:textId="77777777" w:rsidR="00786C61" w:rsidRPr="00D94508" w:rsidRDefault="00786C61" w:rsidP="00786C61">
            <w:pPr>
              <w:spacing w:after="0" w:line="240" w:lineRule="auto"/>
              <w:rPr>
                <w:rFonts w:ascii="Calibri" w:eastAsia="Calibri,Times New Roman" w:hAnsi="Calibri" w:cs="Calibri,Times New Roman"/>
                <w:sz w:val="20"/>
                <w:szCs w:val="20"/>
              </w:rPr>
            </w:pPr>
            <w:r w:rsidRPr="00D94508">
              <w:rPr>
                <w:rFonts w:ascii="Calibri" w:hAnsi="Calibri" w:cs="Calibri"/>
                <w:sz w:val="20"/>
                <w:szCs w:val="20"/>
              </w:rPr>
              <w:t>MDD</w:t>
            </w:r>
          </w:p>
        </w:tc>
        <w:tc>
          <w:tcPr>
            <w:tcW w:w="363" w:type="pct"/>
            <w:shd w:val="clear" w:color="auto" w:fill="auto"/>
            <w:vAlign w:val="bottom"/>
            <w:hideMark/>
          </w:tcPr>
          <w:p w14:paraId="2F4BE247" w14:textId="77777777" w:rsidR="00786C61" w:rsidRPr="00D94508" w:rsidRDefault="00786C61" w:rsidP="00786C61">
            <w:pPr>
              <w:spacing w:after="0" w:line="240" w:lineRule="auto"/>
              <w:jc w:val="center"/>
              <w:rPr>
                <w:rFonts w:ascii="Calibri" w:eastAsia="Calibri,Times New Roman" w:hAnsi="Calibri" w:cs="Calibri,Times New Roman"/>
                <w:sz w:val="20"/>
                <w:szCs w:val="20"/>
              </w:rPr>
            </w:pPr>
            <w:r w:rsidRPr="00D94508">
              <w:rPr>
                <w:rFonts w:ascii="Calibri" w:hAnsi="Calibri" w:cs="Calibri"/>
                <w:sz w:val="20"/>
                <w:szCs w:val="20"/>
              </w:rPr>
              <w:t>1,621</w:t>
            </w:r>
          </w:p>
        </w:tc>
        <w:tc>
          <w:tcPr>
            <w:tcW w:w="411" w:type="pct"/>
            <w:shd w:val="clear" w:color="auto" w:fill="auto"/>
            <w:vAlign w:val="bottom"/>
            <w:hideMark/>
          </w:tcPr>
          <w:p w14:paraId="0D349D68"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35.7</w:t>
            </w:r>
          </w:p>
        </w:tc>
        <w:tc>
          <w:tcPr>
            <w:tcW w:w="336" w:type="pct"/>
            <w:shd w:val="clear" w:color="auto" w:fill="auto"/>
            <w:vAlign w:val="bottom"/>
            <w:hideMark/>
          </w:tcPr>
          <w:p w14:paraId="36874991"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17.8</w:t>
            </w:r>
          </w:p>
        </w:tc>
        <w:tc>
          <w:tcPr>
            <w:tcW w:w="319" w:type="pct"/>
            <w:shd w:val="clear" w:color="auto" w:fill="auto"/>
            <w:vAlign w:val="bottom"/>
            <w:hideMark/>
          </w:tcPr>
          <w:p w14:paraId="7F1E0EA6"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1.0</w:t>
            </w:r>
          </w:p>
        </w:tc>
        <w:tc>
          <w:tcPr>
            <w:tcW w:w="364" w:type="pct"/>
            <w:shd w:val="clear" w:color="auto" w:fill="auto"/>
            <w:vAlign w:val="bottom"/>
            <w:hideMark/>
          </w:tcPr>
          <w:p w14:paraId="3F24E161"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13.3</w:t>
            </w:r>
          </w:p>
        </w:tc>
        <w:tc>
          <w:tcPr>
            <w:tcW w:w="534" w:type="pct"/>
            <w:shd w:val="clear" w:color="auto" w:fill="auto"/>
            <w:vAlign w:val="bottom"/>
            <w:hideMark/>
          </w:tcPr>
          <w:p w14:paraId="04E70F72"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23.0</w:t>
            </w:r>
          </w:p>
        </w:tc>
        <w:tc>
          <w:tcPr>
            <w:tcW w:w="507" w:type="pct"/>
            <w:shd w:val="clear" w:color="auto" w:fill="auto"/>
            <w:vAlign w:val="bottom"/>
            <w:hideMark/>
          </w:tcPr>
          <w:p w14:paraId="2F484DA6"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34.2</w:t>
            </w:r>
          </w:p>
        </w:tc>
        <w:tc>
          <w:tcPr>
            <w:tcW w:w="534" w:type="pct"/>
            <w:shd w:val="clear" w:color="auto" w:fill="auto"/>
            <w:vAlign w:val="bottom"/>
            <w:hideMark/>
          </w:tcPr>
          <w:p w14:paraId="03D7ACDB"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46.4</w:t>
            </w:r>
          </w:p>
        </w:tc>
        <w:tc>
          <w:tcPr>
            <w:tcW w:w="416" w:type="pct"/>
            <w:shd w:val="clear" w:color="auto" w:fill="auto"/>
            <w:vAlign w:val="bottom"/>
            <w:hideMark/>
          </w:tcPr>
          <w:p w14:paraId="040EEEFB"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60.0</w:t>
            </w:r>
          </w:p>
        </w:tc>
        <w:tc>
          <w:tcPr>
            <w:tcW w:w="371" w:type="pct"/>
            <w:shd w:val="clear" w:color="auto" w:fill="auto"/>
            <w:vAlign w:val="bottom"/>
            <w:hideMark/>
          </w:tcPr>
          <w:p w14:paraId="4BF2C71C" w14:textId="77777777" w:rsidR="00786C61" w:rsidRPr="00D94508" w:rsidRDefault="00786C61" w:rsidP="00786C61">
            <w:pPr>
              <w:spacing w:after="0" w:line="240" w:lineRule="auto"/>
              <w:jc w:val="center"/>
              <w:rPr>
                <w:rFonts w:ascii="Calibri" w:eastAsia="Calibri,Times New Roman" w:hAnsi="Calibri" w:cs="Calibri,Times New Roman"/>
                <w:sz w:val="20"/>
                <w:szCs w:val="20"/>
              </w:rPr>
            </w:pPr>
            <w:r w:rsidRPr="00D94508">
              <w:rPr>
                <w:rFonts w:ascii="Calibri" w:hAnsi="Calibri" w:cs="Calibri"/>
                <w:sz w:val="20"/>
                <w:szCs w:val="20"/>
              </w:rPr>
              <w:t>100</w:t>
            </w:r>
          </w:p>
        </w:tc>
      </w:tr>
      <w:tr w:rsidR="00786C61" w:rsidRPr="00DB1D0C" w14:paraId="583DE301" w14:textId="77777777" w:rsidTr="00786C61">
        <w:trPr>
          <w:trHeight w:val="288"/>
        </w:trPr>
        <w:tc>
          <w:tcPr>
            <w:tcW w:w="845" w:type="pct"/>
            <w:tcBorders>
              <w:bottom w:val="single" w:sz="4" w:space="0" w:color="auto"/>
            </w:tcBorders>
            <w:shd w:val="clear" w:color="auto" w:fill="auto"/>
            <w:vAlign w:val="bottom"/>
            <w:hideMark/>
          </w:tcPr>
          <w:p w14:paraId="4EDAC7E9" w14:textId="77777777" w:rsidR="00786C61" w:rsidRPr="00D94508" w:rsidRDefault="00786C61" w:rsidP="00786C61">
            <w:pPr>
              <w:spacing w:after="0" w:line="240" w:lineRule="auto"/>
              <w:rPr>
                <w:rFonts w:ascii="Calibri" w:eastAsia="Calibri,Times New Roman" w:hAnsi="Calibri" w:cs="Calibri,Times New Roman"/>
                <w:sz w:val="20"/>
                <w:szCs w:val="20"/>
              </w:rPr>
            </w:pPr>
            <w:r w:rsidRPr="00D94508">
              <w:rPr>
                <w:rFonts w:ascii="Calibri" w:hAnsi="Calibri" w:cs="Calibri"/>
                <w:sz w:val="20"/>
                <w:szCs w:val="20"/>
              </w:rPr>
              <w:t>Schizophrenia</w:t>
            </w:r>
          </w:p>
        </w:tc>
        <w:tc>
          <w:tcPr>
            <w:tcW w:w="363" w:type="pct"/>
            <w:tcBorders>
              <w:bottom w:val="single" w:sz="4" w:space="0" w:color="auto"/>
            </w:tcBorders>
            <w:shd w:val="clear" w:color="auto" w:fill="auto"/>
            <w:vAlign w:val="bottom"/>
            <w:hideMark/>
          </w:tcPr>
          <w:p w14:paraId="3A34061E" w14:textId="77777777" w:rsidR="00786C61" w:rsidRPr="00D94508" w:rsidRDefault="00786C61" w:rsidP="00786C61">
            <w:pPr>
              <w:spacing w:after="0" w:line="240" w:lineRule="auto"/>
              <w:jc w:val="center"/>
              <w:rPr>
                <w:rFonts w:ascii="Calibri" w:eastAsia="Calibri,Times New Roman" w:hAnsi="Calibri" w:cs="Calibri,Times New Roman"/>
                <w:sz w:val="20"/>
                <w:szCs w:val="20"/>
              </w:rPr>
            </w:pPr>
            <w:r w:rsidRPr="00D94508">
              <w:rPr>
                <w:rFonts w:ascii="Calibri" w:hAnsi="Calibri" w:cs="Calibri"/>
                <w:sz w:val="20"/>
                <w:szCs w:val="20"/>
              </w:rPr>
              <w:t>1,651</w:t>
            </w:r>
          </w:p>
        </w:tc>
        <w:tc>
          <w:tcPr>
            <w:tcW w:w="411" w:type="pct"/>
            <w:tcBorders>
              <w:bottom w:val="single" w:sz="4" w:space="0" w:color="auto"/>
            </w:tcBorders>
            <w:shd w:val="clear" w:color="auto" w:fill="auto"/>
            <w:vAlign w:val="bottom"/>
            <w:hideMark/>
          </w:tcPr>
          <w:p w14:paraId="78DB89E2"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41.1</w:t>
            </w:r>
          </w:p>
        </w:tc>
        <w:tc>
          <w:tcPr>
            <w:tcW w:w="336" w:type="pct"/>
            <w:tcBorders>
              <w:bottom w:val="single" w:sz="4" w:space="0" w:color="auto"/>
            </w:tcBorders>
            <w:shd w:val="clear" w:color="auto" w:fill="auto"/>
            <w:vAlign w:val="bottom"/>
            <w:hideMark/>
          </w:tcPr>
          <w:p w14:paraId="19458CE7"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19.0</w:t>
            </w:r>
          </w:p>
        </w:tc>
        <w:tc>
          <w:tcPr>
            <w:tcW w:w="319" w:type="pct"/>
            <w:tcBorders>
              <w:bottom w:val="single" w:sz="4" w:space="0" w:color="auto"/>
            </w:tcBorders>
            <w:shd w:val="clear" w:color="auto" w:fill="auto"/>
            <w:vAlign w:val="bottom"/>
            <w:hideMark/>
          </w:tcPr>
          <w:p w14:paraId="1C3B3FAE"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2.8</w:t>
            </w:r>
          </w:p>
        </w:tc>
        <w:tc>
          <w:tcPr>
            <w:tcW w:w="364" w:type="pct"/>
            <w:tcBorders>
              <w:bottom w:val="single" w:sz="4" w:space="0" w:color="auto"/>
            </w:tcBorders>
            <w:shd w:val="clear" w:color="auto" w:fill="auto"/>
            <w:vAlign w:val="bottom"/>
            <w:hideMark/>
          </w:tcPr>
          <w:p w14:paraId="2806ADCF"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18.5</w:t>
            </w:r>
          </w:p>
        </w:tc>
        <w:tc>
          <w:tcPr>
            <w:tcW w:w="534" w:type="pct"/>
            <w:tcBorders>
              <w:bottom w:val="single" w:sz="4" w:space="0" w:color="auto"/>
            </w:tcBorders>
            <w:shd w:val="clear" w:color="auto" w:fill="auto"/>
            <w:vAlign w:val="bottom"/>
            <w:hideMark/>
          </w:tcPr>
          <w:p w14:paraId="2346AF80"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27.6</w:t>
            </w:r>
          </w:p>
        </w:tc>
        <w:tc>
          <w:tcPr>
            <w:tcW w:w="507" w:type="pct"/>
            <w:tcBorders>
              <w:bottom w:val="single" w:sz="4" w:space="0" w:color="auto"/>
            </w:tcBorders>
            <w:shd w:val="clear" w:color="auto" w:fill="auto"/>
            <w:vAlign w:val="bottom"/>
            <w:hideMark/>
          </w:tcPr>
          <w:p w14:paraId="69C7780C"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39.5</w:t>
            </w:r>
          </w:p>
        </w:tc>
        <w:tc>
          <w:tcPr>
            <w:tcW w:w="534" w:type="pct"/>
            <w:tcBorders>
              <w:bottom w:val="single" w:sz="4" w:space="0" w:color="auto"/>
            </w:tcBorders>
            <w:shd w:val="clear" w:color="auto" w:fill="auto"/>
            <w:vAlign w:val="bottom"/>
            <w:hideMark/>
          </w:tcPr>
          <w:p w14:paraId="24554731"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52.1</w:t>
            </w:r>
          </w:p>
        </w:tc>
        <w:tc>
          <w:tcPr>
            <w:tcW w:w="416" w:type="pct"/>
            <w:tcBorders>
              <w:bottom w:val="single" w:sz="4" w:space="0" w:color="auto"/>
            </w:tcBorders>
            <w:shd w:val="clear" w:color="auto" w:fill="auto"/>
            <w:vAlign w:val="bottom"/>
            <w:hideMark/>
          </w:tcPr>
          <w:p w14:paraId="7698ECAD"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66.7</w:t>
            </w:r>
          </w:p>
        </w:tc>
        <w:tc>
          <w:tcPr>
            <w:tcW w:w="371" w:type="pct"/>
            <w:tcBorders>
              <w:bottom w:val="single" w:sz="4" w:space="0" w:color="auto"/>
            </w:tcBorders>
            <w:shd w:val="clear" w:color="auto" w:fill="auto"/>
            <w:vAlign w:val="bottom"/>
            <w:hideMark/>
          </w:tcPr>
          <w:p w14:paraId="63BCACCB" w14:textId="77777777" w:rsidR="00786C61" w:rsidRPr="00D94508" w:rsidRDefault="00786C61" w:rsidP="00786C61">
            <w:pPr>
              <w:spacing w:after="0" w:line="240" w:lineRule="auto"/>
              <w:jc w:val="center"/>
              <w:rPr>
                <w:rFonts w:ascii="Calibri" w:eastAsia="Calibri,Times New Roman" w:hAnsi="Calibri" w:cs="Calibri,Times New Roman"/>
                <w:sz w:val="20"/>
                <w:szCs w:val="20"/>
              </w:rPr>
            </w:pPr>
            <w:r w:rsidRPr="00D94508">
              <w:rPr>
                <w:rFonts w:ascii="Calibri" w:hAnsi="Calibri" w:cs="Calibri"/>
                <w:sz w:val="20"/>
                <w:szCs w:val="20"/>
              </w:rPr>
              <w:t>100</w:t>
            </w:r>
          </w:p>
        </w:tc>
      </w:tr>
    </w:tbl>
    <w:p w14:paraId="593A6F7C" w14:textId="77777777" w:rsidR="00786C61" w:rsidRDefault="00786C61" w:rsidP="00786C61">
      <w:pPr>
        <w:pStyle w:val="BodyText"/>
        <w:tabs>
          <w:tab w:val="left" w:pos="1260"/>
        </w:tabs>
        <w:ind w:left="0"/>
        <w:contextualSpacing/>
        <w:rPr>
          <w:rFonts w:ascii="Calibri" w:eastAsia="Arial" w:hAnsi="Calibri"/>
          <w:b/>
          <w:sz w:val="20"/>
        </w:rPr>
      </w:pPr>
    </w:p>
    <w:p w14:paraId="31D3C4E2" w14:textId="77777777" w:rsidR="00786C61" w:rsidRPr="00786C61" w:rsidRDefault="00786C61" w:rsidP="00786C61">
      <w:pPr>
        <w:pStyle w:val="BodyText"/>
        <w:tabs>
          <w:tab w:val="left" w:pos="1260"/>
        </w:tabs>
        <w:ind w:left="0"/>
        <w:contextualSpacing/>
        <w:rPr>
          <w:rFonts w:ascii="Calibri" w:eastAsia="Arial" w:hAnsi="Calibri" w:cs="Arial"/>
          <w:b/>
          <w:bCs/>
          <w:color w:val="FF0000"/>
          <w:sz w:val="20"/>
          <w:szCs w:val="20"/>
        </w:rPr>
      </w:pPr>
      <w:r w:rsidRPr="00786C61">
        <w:rPr>
          <w:rFonts w:ascii="Calibri" w:eastAsia="Arial" w:hAnsi="Calibri"/>
          <w:b/>
          <w:color w:val="FF0000"/>
          <w:sz w:val="20"/>
        </w:rPr>
        <w:t xml:space="preserve">Table </w:t>
      </w:r>
      <w:r w:rsidRPr="00786C61">
        <w:rPr>
          <w:rFonts w:ascii="Calibri" w:eastAsia="Arial" w:hAnsi="Calibri" w:cs="Arial"/>
          <w:b/>
          <w:bCs/>
          <w:color w:val="FF0000"/>
          <w:sz w:val="20"/>
          <w:szCs w:val="20"/>
        </w:rPr>
        <w:t>1.6-B Distribution of Bipolar Disorder, MDD, and Schizophrenia Across IPFs with Denominator ≥ 75</w:t>
      </w:r>
    </w:p>
    <w:tbl>
      <w:tblPr>
        <w:tblW w:w="4939" w:type="pct"/>
        <w:tblLook w:val="04A0" w:firstRow="1" w:lastRow="0" w:firstColumn="1" w:lastColumn="0" w:noHBand="0" w:noVBand="1"/>
      </w:tblPr>
      <w:tblGrid>
        <w:gridCol w:w="1508"/>
        <w:gridCol w:w="672"/>
        <w:gridCol w:w="735"/>
        <w:gridCol w:w="714"/>
        <w:gridCol w:w="613"/>
        <w:gridCol w:w="714"/>
        <w:gridCol w:w="937"/>
        <w:gridCol w:w="888"/>
        <w:gridCol w:w="934"/>
        <w:gridCol w:w="716"/>
        <w:gridCol w:w="815"/>
      </w:tblGrid>
      <w:tr w:rsidR="00786C61" w:rsidRPr="00DB1D0C" w14:paraId="058741CA" w14:textId="77777777" w:rsidTr="00786C61">
        <w:trPr>
          <w:trHeight w:val="490"/>
        </w:trPr>
        <w:tc>
          <w:tcPr>
            <w:tcW w:w="816" w:type="pct"/>
            <w:shd w:val="clear" w:color="auto" w:fill="808080" w:themeFill="background1" w:themeFillShade="80"/>
            <w:vAlign w:val="bottom"/>
            <w:hideMark/>
          </w:tcPr>
          <w:p w14:paraId="2434EDF7"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Condition</w:t>
            </w:r>
          </w:p>
        </w:tc>
        <w:tc>
          <w:tcPr>
            <w:tcW w:w="363" w:type="pct"/>
            <w:shd w:val="clear" w:color="auto" w:fill="808080" w:themeFill="background1" w:themeFillShade="80"/>
            <w:vAlign w:val="bottom"/>
            <w:hideMark/>
          </w:tcPr>
          <w:p w14:paraId="1D99EABC"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IPFs</w:t>
            </w:r>
          </w:p>
        </w:tc>
        <w:tc>
          <w:tcPr>
            <w:tcW w:w="398" w:type="pct"/>
            <w:shd w:val="clear" w:color="auto" w:fill="808080" w:themeFill="background1" w:themeFillShade="80"/>
            <w:vAlign w:val="bottom"/>
            <w:hideMark/>
          </w:tcPr>
          <w:p w14:paraId="34CEE525"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Mean</w:t>
            </w:r>
          </w:p>
        </w:tc>
        <w:tc>
          <w:tcPr>
            <w:tcW w:w="386" w:type="pct"/>
            <w:shd w:val="clear" w:color="auto" w:fill="808080" w:themeFill="background1" w:themeFillShade="80"/>
            <w:vAlign w:val="bottom"/>
            <w:hideMark/>
          </w:tcPr>
          <w:p w14:paraId="003994C9"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SD</w:t>
            </w:r>
          </w:p>
        </w:tc>
        <w:tc>
          <w:tcPr>
            <w:tcW w:w="331" w:type="pct"/>
            <w:shd w:val="clear" w:color="auto" w:fill="808080" w:themeFill="background1" w:themeFillShade="80"/>
            <w:vAlign w:val="bottom"/>
            <w:hideMark/>
          </w:tcPr>
          <w:p w14:paraId="3C0D9C6A"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Min</w:t>
            </w:r>
          </w:p>
        </w:tc>
        <w:tc>
          <w:tcPr>
            <w:tcW w:w="386" w:type="pct"/>
            <w:shd w:val="clear" w:color="auto" w:fill="808080" w:themeFill="background1" w:themeFillShade="80"/>
            <w:vAlign w:val="bottom"/>
            <w:hideMark/>
          </w:tcPr>
          <w:p w14:paraId="71366D97"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10th Pctl</w:t>
            </w:r>
          </w:p>
        </w:tc>
        <w:tc>
          <w:tcPr>
            <w:tcW w:w="507" w:type="pct"/>
            <w:shd w:val="clear" w:color="auto" w:fill="808080" w:themeFill="background1" w:themeFillShade="80"/>
            <w:vAlign w:val="bottom"/>
            <w:hideMark/>
          </w:tcPr>
          <w:p w14:paraId="50173556"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Lower Quartile</w:t>
            </w:r>
          </w:p>
        </w:tc>
        <w:tc>
          <w:tcPr>
            <w:tcW w:w="480" w:type="pct"/>
            <w:shd w:val="clear" w:color="auto" w:fill="808080" w:themeFill="background1" w:themeFillShade="80"/>
            <w:vAlign w:val="bottom"/>
            <w:hideMark/>
          </w:tcPr>
          <w:p w14:paraId="25660B45"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Median</w:t>
            </w:r>
          </w:p>
        </w:tc>
        <w:tc>
          <w:tcPr>
            <w:tcW w:w="505" w:type="pct"/>
            <w:shd w:val="clear" w:color="auto" w:fill="808080" w:themeFill="background1" w:themeFillShade="80"/>
            <w:vAlign w:val="bottom"/>
            <w:hideMark/>
          </w:tcPr>
          <w:p w14:paraId="56CB268A"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Upper Quartile</w:t>
            </w:r>
          </w:p>
        </w:tc>
        <w:tc>
          <w:tcPr>
            <w:tcW w:w="387" w:type="pct"/>
            <w:shd w:val="clear" w:color="auto" w:fill="808080" w:themeFill="background1" w:themeFillShade="80"/>
            <w:vAlign w:val="bottom"/>
            <w:hideMark/>
          </w:tcPr>
          <w:p w14:paraId="4A92591E"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90th Pctl</w:t>
            </w:r>
          </w:p>
        </w:tc>
        <w:tc>
          <w:tcPr>
            <w:tcW w:w="441" w:type="pct"/>
            <w:shd w:val="clear" w:color="auto" w:fill="808080" w:themeFill="background1" w:themeFillShade="80"/>
            <w:vAlign w:val="bottom"/>
            <w:hideMark/>
          </w:tcPr>
          <w:p w14:paraId="6B71BDB2" w14:textId="77777777" w:rsidR="00786C61" w:rsidRPr="00B953A6" w:rsidRDefault="00786C61" w:rsidP="00786C61">
            <w:pPr>
              <w:spacing w:after="0" w:line="240" w:lineRule="auto"/>
              <w:jc w:val="center"/>
              <w:rPr>
                <w:rFonts w:ascii="Calibri" w:eastAsia="Calibri,Times New Roman" w:hAnsi="Calibri" w:cs="Calibri,Times New Roman"/>
                <w:color w:val="FFFFFF" w:themeColor="background1"/>
                <w:sz w:val="20"/>
                <w:szCs w:val="20"/>
              </w:rPr>
            </w:pPr>
            <w:r w:rsidRPr="00B953A6">
              <w:rPr>
                <w:rFonts w:ascii="Calibri" w:eastAsia="Calibri,Times New Roman" w:hAnsi="Calibri" w:cs="Calibri,Times New Roman"/>
                <w:color w:val="FFFFFF" w:themeColor="background1"/>
                <w:sz w:val="20"/>
                <w:szCs w:val="20"/>
              </w:rPr>
              <w:t>Max</w:t>
            </w:r>
          </w:p>
        </w:tc>
      </w:tr>
      <w:tr w:rsidR="00786C61" w:rsidRPr="00D94508" w14:paraId="18E0D9EB" w14:textId="77777777" w:rsidTr="00786C61">
        <w:trPr>
          <w:trHeight w:val="284"/>
        </w:trPr>
        <w:tc>
          <w:tcPr>
            <w:tcW w:w="816" w:type="pct"/>
            <w:shd w:val="clear" w:color="auto" w:fill="auto"/>
            <w:vAlign w:val="bottom"/>
            <w:hideMark/>
          </w:tcPr>
          <w:p w14:paraId="30F39A0E" w14:textId="77777777" w:rsidR="00786C61" w:rsidRPr="00D94508" w:rsidRDefault="00786C61" w:rsidP="00786C61">
            <w:pPr>
              <w:spacing w:after="0" w:line="240" w:lineRule="auto"/>
              <w:rPr>
                <w:rFonts w:ascii="Calibri" w:eastAsia="Calibri,Times New Roman" w:hAnsi="Calibri" w:cs="Calibri,Times New Roman"/>
                <w:sz w:val="20"/>
                <w:szCs w:val="20"/>
              </w:rPr>
            </w:pPr>
            <w:r w:rsidRPr="00D94508">
              <w:rPr>
                <w:rFonts w:ascii="Calibri" w:hAnsi="Calibri" w:cs="Calibri"/>
                <w:sz w:val="20"/>
                <w:szCs w:val="20"/>
              </w:rPr>
              <w:t>Bipolar</w:t>
            </w:r>
          </w:p>
        </w:tc>
        <w:tc>
          <w:tcPr>
            <w:tcW w:w="363" w:type="pct"/>
            <w:shd w:val="clear" w:color="auto" w:fill="auto"/>
            <w:vAlign w:val="bottom"/>
            <w:hideMark/>
          </w:tcPr>
          <w:p w14:paraId="0C69E35B" w14:textId="77777777" w:rsidR="00786C61" w:rsidRPr="00D94508" w:rsidRDefault="00786C61" w:rsidP="00786C61">
            <w:pPr>
              <w:spacing w:after="0" w:line="240" w:lineRule="auto"/>
              <w:jc w:val="center"/>
              <w:rPr>
                <w:rFonts w:ascii="Calibri" w:eastAsia="Calibri,Times New Roman" w:hAnsi="Calibri" w:cs="Calibri,Times New Roman"/>
                <w:sz w:val="20"/>
                <w:szCs w:val="20"/>
              </w:rPr>
            </w:pPr>
            <w:r w:rsidRPr="00D94508">
              <w:rPr>
                <w:rFonts w:ascii="Calibri" w:hAnsi="Calibri" w:cs="Calibri"/>
                <w:sz w:val="20"/>
                <w:szCs w:val="20"/>
              </w:rPr>
              <w:t>1,092</w:t>
            </w:r>
          </w:p>
        </w:tc>
        <w:tc>
          <w:tcPr>
            <w:tcW w:w="398" w:type="pct"/>
            <w:shd w:val="clear" w:color="auto" w:fill="auto"/>
            <w:vAlign w:val="bottom"/>
            <w:hideMark/>
          </w:tcPr>
          <w:p w14:paraId="5543CC7C"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26.1%</w:t>
            </w:r>
          </w:p>
        </w:tc>
        <w:tc>
          <w:tcPr>
            <w:tcW w:w="386" w:type="pct"/>
            <w:shd w:val="clear" w:color="auto" w:fill="auto"/>
            <w:vAlign w:val="bottom"/>
            <w:hideMark/>
          </w:tcPr>
          <w:p w14:paraId="25089441"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8.4%</w:t>
            </w:r>
          </w:p>
        </w:tc>
        <w:tc>
          <w:tcPr>
            <w:tcW w:w="331" w:type="pct"/>
            <w:shd w:val="clear" w:color="auto" w:fill="auto"/>
            <w:vAlign w:val="bottom"/>
            <w:hideMark/>
          </w:tcPr>
          <w:p w14:paraId="552C47F8"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2.3%</w:t>
            </w:r>
          </w:p>
        </w:tc>
        <w:tc>
          <w:tcPr>
            <w:tcW w:w="386" w:type="pct"/>
            <w:shd w:val="clear" w:color="auto" w:fill="auto"/>
            <w:vAlign w:val="bottom"/>
            <w:hideMark/>
          </w:tcPr>
          <w:p w14:paraId="1ED1E471"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15.9%</w:t>
            </w:r>
          </w:p>
        </w:tc>
        <w:tc>
          <w:tcPr>
            <w:tcW w:w="507" w:type="pct"/>
            <w:shd w:val="clear" w:color="auto" w:fill="auto"/>
            <w:vAlign w:val="bottom"/>
            <w:hideMark/>
          </w:tcPr>
          <w:p w14:paraId="75357360"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20.6%</w:t>
            </w:r>
          </w:p>
        </w:tc>
        <w:tc>
          <w:tcPr>
            <w:tcW w:w="480" w:type="pct"/>
            <w:shd w:val="clear" w:color="auto" w:fill="auto"/>
            <w:vAlign w:val="bottom"/>
            <w:hideMark/>
          </w:tcPr>
          <w:p w14:paraId="1E983026"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25.4%</w:t>
            </w:r>
          </w:p>
        </w:tc>
        <w:tc>
          <w:tcPr>
            <w:tcW w:w="505" w:type="pct"/>
            <w:shd w:val="clear" w:color="auto" w:fill="auto"/>
            <w:vAlign w:val="bottom"/>
            <w:hideMark/>
          </w:tcPr>
          <w:p w14:paraId="4F7BE876"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31.4%</w:t>
            </w:r>
          </w:p>
        </w:tc>
        <w:tc>
          <w:tcPr>
            <w:tcW w:w="387" w:type="pct"/>
            <w:shd w:val="clear" w:color="auto" w:fill="auto"/>
            <w:vAlign w:val="bottom"/>
            <w:hideMark/>
          </w:tcPr>
          <w:p w14:paraId="5F91DBB8"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36.1%</w:t>
            </w:r>
          </w:p>
        </w:tc>
        <w:tc>
          <w:tcPr>
            <w:tcW w:w="441" w:type="pct"/>
            <w:shd w:val="clear" w:color="auto" w:fill="auto"/>
            <w:vAlign w:val="bottom"/>
            <w:hideMark/>
          </w:tcPr>
          <w:p w14:paraId="79A70E69"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81.3%</w:t>
            </w:r>
          </w:p>
        </w:tc>
      </w:tr>
      <w:tr w:rsidR="00786C61" w:rsidRPr="00D94508" w14:paraId="7F76B25C" w14:textId="77777777" w:rsidTr="00786C61">
        <w:trPr>
          <w:trHeight w:val="284"/>
        </w:trPr>
        <w:tc>
          <w:tcPr>
            <w:tcW w:w="816" w:type="pct"/>
            <w:shd w:val="clear" w:color="auto" w:fill="auto"/>
            <w:vAlign w:val="bottom"/>
            <w:hideMark/>
          </w:tcPr>
          <w:p w14:paraId="0514C4F2" w14:textId="77777777" w:rsidR="00786C61" w:rsidRPr="00D94508" w:rsidRDefault="00786C61" w:rsidP="00786C61">
            <w:pPr>
              <w:spacing w:after="0" w:line="240" w:lineRule="auto"/>
              <w:rPr>
                <w:rFonts w:ascii="Calibri" w:eastAsia="Calibri,Times New Roman" w:hAnsi="Calibri" w:cs="Calibri,Times New Roman"/>
                <w:sz w:val="20"/>
                <w:szCs w:val="20"/>
              </w:rPr>
            </w:pPr>
            <w:r w:rsidRPr="00D94508">
              <w:rPr>
                <w:rFonts w:ascii="Calibri" w:hAnsi="Calibri" w:cs="Calibri"/>
                <w:sz w:val="20"/>
                <w:szCs w:val="20"/>
              </w:rPr>
              <w:t>MDD</w:t>
            </w:r>
          </w:p>
        </w:tc>
        <w:tc>
          <w:tcPr>
            <w:tcW w:w="363" w:type="pct"/>
            <w:shd w:val="clear" w:color="auto" w:fill="auto"/>
            <w:vAlign w:val="bottom"/>
            <w:hideMark/>
          </w:tcPr>
          <w:p w14:paraId="08D430B7" w14:textId="77777777" w:rsidR="00786C61" w:rsidRPr="00D94508" w:rsidRDefault="00786C61" w:rsidP="00786C61">
            <w:pPr>
              <w:spacing w:after="0" w:line="240" w:lineRule="auto"/>
              <w:jc w:val="center"/>
              <w:rPr>
                <w:rFonts w:ascii="Calibri" w:eastAsia="Calibri,Times New Roman" w:hAnsi="Calibri" w:cs="Calibri,Times New Roman"/>
                <w:sz w:val="20"/>
                <w:szCs w:val="20"/>
              </w:rPr>
            </w:pPr>
            <w:r w:rsidRPr="00D94508">
              <w:rPr>
                <w:rFonts w:ascii="Calibri" w:hAnsi="Calibri" w:cs="Calibri"/>
                <w:sz w:val="20"/>
                <w:szCs w:val="20"/>
              </w:rPr>
              <w:t>1,092</w:t>
            </w:r>
          </w:p>
        </w:tc>
        <w:tc>
          <w:tcPr>
            <w:tcW w:w="398" w:type="pct"/>
            <w:shd w:val="clear" w:color="auto" w:fill="auto"/>
            <w:vAlign w:val="bottom"/>
            <w:hideMark/>
          </w:tcPr>
          <w:p w14:paraId="4F5D83D1"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32.0%</w:t>
            </w:r>
          </w:p>
        </w:tc>
        <w:tc>
          <w:tcPr>
            <w:tcW w:w="386" w:type="pct"/>
            <w:shd w:val="clear" w:color="auto" w:fill="auto"/>
            <w:vAlign w:val="bottom"/>
            <w:hideMark/>
          </w:tcPr>
          <w:p w14:paraId="5196D0A0"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14.2%</w:t>
            </w:r>
          </w:p>
        </w:tc>
        <w:tc>
          <w:tcPr>
            <w:tcW w:w="331" w:type="pct"/>
            <w:shd w:val="clear" w:color="auto" w:fill="auto"/>
            <w:vAlign w:val="bottom"/>
            <w:hideMark/>
          </w:tcPr>
          <w:p w14:paraId="21CE72F4"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1.0%</w:t>
            </w:r>
          </w:p>
        </w:tc>
        <w:tc>
          <w:tcPr>
            <w:tcW w:w="386" w:type="pct"/>
            <w:shd w:val="clear" w:color="auto" w:fill="auto"/>
            <w:vAlign w:val="bottom"/>
            <w:hideMark/>
          </w:tcPr>
          <w:p w14:paraId="081CB28A"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13.6%</w:t>
            </w:r>
          </w:p>
        </w:tc>
        <w:tc>
          <w:tcPr>
            <w:tcW w:w="507" w:type="pct"/>
            <w:shd w:val="clear" w:color="auto" w:fill="auto"/>
            <w:vAlign w:val="bottom"/>
            <w:hideMark/>
          </w:tcPr>
          <w:p w14:paraId="4FFA1EF0"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21.9%</w:t>
            </w:r>
          </w:p>
        </w:tc>
        <w:tc>
          <w:tcPr>
            <w:tcW w:w="480" w:type="pct"/>
            <w:shd w:val="clear" w:color="auto" w:fill="auto"/>
            <w:vAlign w:val="bottom"/>
            <w:hideMark/>
          </w:tcPr>
          <w:p w14:paraId="4981CFFA"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31.9%</w:t>
            </w:r>
          </w:p>
        </w:tc>
        <w:tc>
          <w:tcPr>
            <w:tcW w:w="505" w:type="pct"/>
            <w:shd w:val="clear" w:color="auto" w:fill="auto"/>
            <w:vAlign w:val="bottom"/>
            <w:hideMark/>
          </w:tcPr>
          <w:p w14:paraId="14148E27"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41.1%</w:t>
            </w:r>
          </w:p>
        </w:tc>
        <w:tc>
          <w:tcPr>
            <w:tcW w:w="387" w:type="pct"/>
            <w:shd w:val="clear" w:color="auto" w:fill="auto"/>
            <w:vAlign w:val="bottom"/>
            <w:hideMark/>
          </w:tcPr>
          <w:p w14:paraId="739E29F5"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49.4%</w:t>
            </w:r>
          </w:p>
        </w:tc>
        <w:tc>
          <w:tcPr>
            <w:tcW w:w="441" w:type="pct"/>
            <w:shd w:val="clear" w:color="auto" w:fill="auto"/>
            <w:vAlign w:val="bottom"/>
            <w:hideMark/>
          </w:tcPr>
          <w:p w14:paraId="15BC9A43"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88.6%</w:t>
            </w:r>
          </w:p>
        </w:tc>
      </w:tr>
      <w:tr w:rsidR="00786C61" w:rsidRPr="00D94508" w14:paraId="58D43FD3" w14:textId="77777777" w:rsidTr="00786C61">
        <w:trPr>
          <w:trHeight w:val="284"/>
        </w:trPr>
        <w:tc>
          <w:tcPr>
            <w:tcW w:w="816" w:type="pct"/>
            <w:tcBorders>
              <w:bottom w:val="single" w:sz="4" w:space="0" w:color="auto"/>
            </w:tcBorders>
            <w:shd w:val="clear" w:color="auto" w:fill="auto"/>
            <w:vAlign w:val="bottom"/>
            <w:hideMark/>
          </w:tcPr>
          <w:p w14:paraId="07A57234" w14:textId="77777777" w:rsidR="00786C61" w:rsidRPr="00D94508" w:rsidRDefault="00786C61" w:rsidP="00786C61">
            <w:pPr>
              <w:spacing w:after="0" w:line="240" w:lineRule="auto"/>
              <w:rPr>
                <w:rFonts w:ascii="Calibri" w:eastAsia="Calibri,Times New Roman" w:hAnsi="Calibri" w:cs="Calibri,Times New Roman"/>
                <w:sz w:val="20"/>
                <w:szCs w:val="20"/>
              </w:rPr>
            </w:pPr>
            <w:r w:rsidRPr="00D94508">
              <w:rPr>
                <w:rFonts w:ascii="Calibri" w:hAnsi="Calibri" w:cs="Calibri"/>
                <w:sz w:val="20"/>
                <w:szCs w:val="20"/>
              </w:rPr>
              <w:t>Schizophrenia</w:t>
            </w:r>
          </w:p>
        </w:tc>
        <w:tc>
          <w:tcPr>
            <w:tcW w:w="363" w:type="pct"/>
            <w:tcBorders>
              <w:bottom w:val="single" w:sz="4" w:space="0" w:color="auto"/>
            </w:tcBorders>
            <w:shd w:val="clear" w:color="auto" w:fill="auto"/>
            <w:vAlign w:val="bottom"/>
            <w:hideMark/>
          </w:tcPr>
          <w:p w14:paraId="711AF540" w14:textId="77777777" w:rsidR="00786C61" w:rsidRPr="00D94508" w:rsidRDefault="00786C61" w:rsidP="00786C61">
            <w:pPr>
              <w:spacing w:after="0" w:line="240" w:lineRule="auto"/>
              <w:jc w:val="center"/>
              <w:rPr>
                <w:rFonts w:ascii="Calibri" w:eastAsia="Calibri,Times New Roman" w:hAnsi="Calibri" w:cs="Calibri,Times New Roman"/>
                <w:sz w:val="20"/>
                <w:szCs w:val="20"/>
              </w:rPr>
            </w:pPr>
            <w:r w:rsidRPr="00D94508">
              <w:rPr>
                <w:rFonts w:ascii="Calibri" w:hAnsi="Calibri" w:cs="Calibri"/>
                <w:sz w:val="20"/>
                <w:szCs w:val="20"/>
              </w:rPr>
              <w:t>1,093</w:t>
            </w:r>
          </w:p>
        </w:tc>
        <w:tc>
          <w:tcPr>
            <w:tcW w:w="398" w:type="pct"/>
            <w:tcBorders>
              <w:bottom w:val="single" w:sz="4" w:space="0" w:color="auto"/>
            </w:tcBorders>
            <w:shd w:val="clear" w:color="auto" w:fill="auto"/>
            <w:vAlign w:val="bottom"/>
            <w:hideMark/>
          </w:tcPr>
          <w:p w14:paraId="323F9994"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42.0%</w:t>
            </w:r>
          </w:p>
        </w:tc>
        <w:tc>
          <w:tcPr>
            <w:tcW w:w="386" w:type="pct"/>
            <w:tcBorders>
              <w:bottom w:val="single" w:sz="4" w:space="0" w:color="auto"/>
            </w:tcBorders>
            <w:shd w:val="clear" w:color="auto" w:fill="auto"/>
            <w:vAlign w:val="bottom"/>
            <w:hideMark/>
          </w:tcPr>
          <w:p w14:paraId="4CF38A06"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15.5%</w:t>
            </w:r>
          </w:p>
        </w:tc>
        <w:tc>
          <w:tcPr>
            <w:tcW w:w="331" w:type="pct"/>
            <w:tcBorders>
              <w:bottom w:val="single" w:sz="4" w:space="0" w:color="auto"/>
            </w:tcBorders>
            <w:shd w:val="clear" w:color="auto" w:fill="auto"/>
            <w:vAlign w:val="bottom"/>
            <w:hideMark/>
          </w:tcPr>
          <w:p w14:paraId="3602D80E"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3.9%</w:t>
            </w:r>
          </w:p>
        </w:tc>
        <w:tc>
          <w:tcPr>
            <w:tcW w:w="386" w:type="pct"/>
            <w:tcBorders>
              <w:bottom w:val="single" w:sz="4" w:space="0" w:color="auto"/>
            </w:tcBorders>
            <w:shd w:val="clear" w:color="auto" w:fill="auto"/>
            <w:vAlign w:val="bottom"/>
            <w:hideMark/>
          </w:tcPr>
          <w:p w14:paraId="26275CB1"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22.8%</w:t>
            </w:r>
          </w:p>
        </w:tc>
        <w:tc>
          <w:tcPr>
            <w:tcW w:w="507" w:type="pct"/>
            <w:tcBorders>
              <w:bottom w:val="single" w:sz="4" w:space="0" w:color="auto"/>
            </w:tcBorders>
            <w:shd w:val="clear" w:color="auto" w:fill="auto"/>
            <w:vAlign w:val="bottom"/>
            <w:hideMark/>
          </w:tcPr>
          <w:p w14:paraId="4F1BB057"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31.7%</w:t>
            </w:r>
          </w:p>
        </w:tc>
        <w:tc>
          <w:tcPr>
            <w:tcW w:w="480" w:type="pct"/>
            <w:tcBorders>
              <w:bottom w:val="single" w:sz="4" w:space="0" w:color="auto"/>
            </w:tcBorders>
            <w:shd w:val="clear" w:color="auto" w:fill="auto"/>
            <w:vAlign w:val="bottom"/>
            <w:hideMark/>
          </w:tcPr>
          <w:p w14:paraId="7448E2BA"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40.8%</w:t>
            </w:r>
          </w:p>
        </w:tc>
        <w:tc>
          <w:tcPr>
            <w:tcW w:w="505" w:type="pct"/>
            <w:tcBorders>
              <w:bottom w:val="single" w:sz="4" w:space="0" w:color="auto"/>
            </w:tcBorders>
            <w:shd w:val="clear" w:color="auto" w:fill="auto"/>
            <w:vAlign w:val="bottom"/>
            <w:hideMark/>
          </w:tcPr>
          <w:p w14:paraId="2B2EF3B4"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51.6%</w:t>
            </w:r>
          </w:p>
        </w:tc>
        <w:tc>
          <w:tcPr>
            <w:tcW w:w="387" w:type="pct"/>
            <w:tcBorders>
              <w:bottom w:val="single" w:sz="4" w:space="0" w:color="auto"/>
            </w:tcBorders>
            <w:shd w:val="clear" w:color="auto" w:fill="auto"/>
            <w:vAlign w:val="bottom"/>
            <w:hideMark/>
          </w:tcPr>
          <w:p w14:paraId="43481D3A"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62.6%</w:t>
            </w:r>
          </w:p>
        </w:tc>
        <w:tc>
          <w:tcPr>
            <w:tcW w:w="441" w:type="pct"/>
            <w:tcBorders>
              <w:bottom w:val="single" w:sz="4" w:space="0" w:color="auto"/>
            </w:tcBorders>
            <w:shd w:val="clear" w:color="auto" w:fill="auto"/>
            <w:vAlign w:val="bottom"/>
            <w:hideMark/>
          </w:tcPr>
          <w:p w14:paraId="409615EF" w14:textId="77777777" w:rsidR="00786C61" w:rsidRPr="00D94508" w:rsidRDefault="00786C61" w:rsidP="00786C61">
            <w:pPr>
              <w:spacing w:after="0" w:line="240" w:lineRule="auto"/>
              <w:jc w:val="center"/>
              <w:rPr>
                <w:rFonts w:ascii="Calibri" w:eastAsia="Times New Roman" w:hAnsi="Calibri" w:cs="Times New Roman"/>
                <w:sz w:val="20"/>
                <w:szCs w:val="20"/>
              </w:rPr>
            </w:pPr>
            <w:r w:rsidRPr="00D94508">
              <w:rPr>
                <w:rFonts w:ascii="Calibri" w:hAnsi="Calibri" w:cs="Calibri"/>
                <w:sz w:val="20"/>
                <w:szCs w:val="20"/>
              </w:rPr>
              <w:t>100.0%</w:t>
            </w:r>
          </w:p>
        </w:tc>
      </w:tr>
    </w:tbl>
    <w:p w14:paraId="05A74106" w14:textId="7C7635D4" w:rsidR="00786C61" w:rsidRDefault="00786C61" w:rsidP="00FA7E89">
      <w:pPr>
        <w:autoSpaceDE w:val="0"/>
        <w:autoSpaceDN w:val="0"/>
        <w:adjustRightInd w:val="0"/>
        <w:spacing w:after="0" w:line="240" w:lineRule="auto"/>
        <w:rPr>
          <w:color w:val="0000FF"/>
        </w:rPr>
      </w:pPr>
    </w:p>
    <w:p w14:paraId="5DFBFE20" w14:textId="77777777" w:rsidR="00786C61" w:rsidRDefault="00786C61" w:rsidP="00FA7E89">
      <w:pPr>
        <w:autoSpaceDE w:val="0"/>
        <w:autoSpaceDN w:val="0"/>
        <w:adjustRightInd w:val="0"/>
        <w:spacing w:after="0" w:line="240" w:lineRule="auto"/>
        <w:rPr>
          <w:color w:val="0000FF"/>
        </w:rPr>
      </w:pPr>
    </w:p>
    <w:p w14:paraId="38B20DB6" w14:textId="6053B081" w:rsidR="00FA7E89" w:rsidRDefault="00FA7E89" w:rsidP="00FA7E89">
      <w:pPr>
        <w:autoSpaceDE w:val="0"/>
        <w:autoSpaceDN w:val="0"/>
        <w:adjustRightInd w:val="0"/>
        <w:spacing w:after="0" w:line="240" w:lineRule="auto"/>
        <w:rPr>
          <w:color w:val="0000FF"/>
        </w:rPr>
      </w:pPr>
      <w:r w:rsidRPr="004A365B">
        <w:rPr>
          <w:color w:val="0000FF"/>
        </w:rPr>
        <w:t xml:space="preserve">This measure was developed for adult admissions to an IPF with a principal diagnosis of major depressive disorder (MDD), schizophrenia, or bipolar disorder. Eligible patients were enrolled in Medicare Parts A, B, and D during the admission and follow-up period. The final cohort includes 380,861 discharges. On average, 35% of discharges had a principal diagnosis of MDD, 40% of discharges had a principal diagnosis of </w:t>
      </w:r>
      <w:r w:rsidRPr="00F84DA3">
        <w:rPr>
          <w:color w:val="0000FF"/>
        </w:rPr>
        <w:t xml:space="preserve">schizophrenia, and 27% of discharges had a principal diagnosis of bipolar disorder </w:t>
      </w:r>
      <w:r w:rsidRPr="00F84DA3">
        <w:rPr>
          <w:color w:val="0000FF"/>
        </w:rPr>
        <w:lastRenderedPageBreak/>
        <w:t>(Table 1.6-A). When limiting to facilities with 75 or more cases during the measurement period (rationale provided in Section 2a.2), 30</w:t>
      </w:r>
      <w:r w:rsidRPr="004A365B">
        <w:rPr>
          <w:color w:val="0000FF"/>
        </w:rPr>
        <w:t>% of discharges had a principal diagnosis of MDD, 43% of discharges had a principal diagnosis of schizophrenia, and 27% of discharges had a principal diagnosis of bipolar disorder on average (Table 1.6-B). The patie</w:t>
      </w:r>
      <w:r>
        <w:rPr>
          <w:color w:val="0000FF"/>
        </w:rPr>
        <w:t>nts in the claims data were 51% male, 84</w:t>
      </w:r>
      <w:r w:rsidRPr="004A365B">
        <w:rPr>
          <w:color w:val="0000FF"/>
        </w:rPr>
        <w:t xml:space="preserve">% under age </w:t>
      </w:r>
      <w:r>
        <w:rPr>
          <w:color w:val="0000FF"/>
        </w:rPr>
        <w:t>65, and 70</w:t>
      </w:r>
      <w:r w:rsidRPr="004A365B">
        <w:rPr>
          <w:color w:val="0000FF"/>
        </w:rPr>
        <w:t>% dually enrolled. The racial and eth</w:t>
      </w:r>
      <w:r>
        <w:rPr>
          <w:color w:val="0000FF"/>
        </w:rPr>
        <w:t>nic groups represented were 72% white, 21</w:t>
      </w:r>
      <w:r w:rsidRPr="004A365B">
        <w:rPr>
          <w:color w:val="0000FF"/>
        </w:rPr>
        <w:t xml:space="preserve">% black, and </w:t>
      </w:r>
      <w:r>
        <w:rPr>
          <w:color w:val="0000FF"/>
        </w:rPr>
        <w:t>4</w:t>
      </w:r>
      <w:r w:rsidRPr="004A365B">
        <w:rPr>
          <w:color w:val="0000FF"/>
        </w:rPr>
        <w:t>% Hispanic.</w:t>
      </w:r>
    </w:p>
    <w:p w14:paraId="13543991" w14:textId="213136B6" w:rsidR="00FA7E89" w:rsidRDefault="00FA7E89" w:rsidP="00FA7E89">
      <w:pPr>
        <w:autoSpaceDE w:val="0"/>
        <w:autoSpaceDN w:val="0"/>
        <w:adjustRightInd w:val="0"/>
        <w:spacing w:after="0" w:line="240" w:lineRule="auto"/>
        <w:rPr>
          <w:color w:val="0000FF"/>
        </w:rPr>
      </w:pPr>
    </w:p>
    <w:p w14:paraId="27C18472" w14:textId="77777777" w:rsidR="00FA7E89" w:rsidRPr="005E0E3B" w:rsidRDefault="00FA7E89" w:rsidP="00FA7E89">
      <w:pPr>
        <w:pStyle w:val="BodyText"/>
        <w:tabs>
          <w:tab w:val="left" w:pos="1260"/>
        </w:tabs>
        <w:ind w:left="0"/>
        <w:rPr>
          <w:rFonts w:ascii="Calibri" w:eastAsia="Arial" w:hAnsi="Calibri" w:cs="Arial"/>
          <w:b/>
          <w:bCs/>
          <w:sz w:val="20"/>
          <w:szCs w:val="20"/>
        </w:rPr>
      </w:pPr>
      <w:r w:rsidRPr="007C558A">
        <w:rPr>
          <w:rFonts w:ascii="Calibri" w:eastAsia="Arial" w:hAnsi="Calibri"/>
          <w:b/>
          <w:sz w:val="20"/>
        </w:rPr>
        <w:t xml:space="preserve">Table </w:t>
      </w:r>
      <w:r w:rsidRPr="007C558A">
        <w:rPr>
          <w:rFonts w:ascii="Calibri" w:eastAsia="Arial" w:hAnsi="Calibri" w:cs="Arial"/>
          <w:b/>
          <w:bCs/>
          <w:sz w:val="20"/>
          <w:szCs w:val="20"/>
        </w:rPr>
        <w:t>1.6-A. Distribution</w:t>
      </w:r>
      <w:r w:rsidRPr="005E0E3B">
        <w:rPr>
          <w:rFonts w:ascii="Calibri" w:eastAsia="Arial" w:hAnsi="Calibri" w:cs="Arial"/>
          <w:b/>
          <w:bCs/>
          <w:sz w:val="20"/>
          <w:szCs w:val="20"/>
        </w:rPr>
        <w:t xml:space="preserve"> of Bipolar Disorder, MDD, and Schizophrenia </w:t>
      </w:r>
      <w:r>
        <w:rPr>
          <w:rFonts w:ascii="Calibri" w:eastAsia="Arial" w:hAnsi="Calibri" w:cs="Arial"/>
          <w:b/>
          <w:bCs/>
          <w:sz w:val="20"/>
          <w:szCs w:val="20"/>
        </w:rPr>
        <w:t>A</w:t>
      </w:r>
      <w:r w:rsidRPr="005E0E3B">
        <w:rPr>
          <w:rFonts w:ascii="Calibri" w:eastAsia="Arial" w:hAnsi="Calibri" w:cs="Arial"/>
          <w:b/>
          <w:bCs/>
          <w:sz w:val="20"/>
          <w:szCs w:val="20"/>
        </w:rPr>
        <w:t>cross IPFs</w:t>
      </w:r>
    </w:p>
    <w:tbl>
      <w:tblPr>
        <w:tblW w:w="4944" w:type="pct"/>
        <w:tblLook w:val="04A0" w:firstRow="1" w:lastRow="0" w:firstColumn="1" w:lastColumn="0" w:noHBand="0" w:noVBand="1"/>
      </w:tblPr>
      <w:tblGrid>
        <w:gridCol w:w="1563"/>
        <w:gridCol w:w="672"/>
        <w:gridCol w:w="760"/>
        <w:gridCol w:w="621"/>
        <w:gridCol w:w="590"/>
        <w:gridCol w:w="673"/>
        <w:gridCol w:w="987"/>
        <w:gridCol w:w="937"/>
        <w:gridCol w:w="987"/>
        <w:gridCol w:w="769"/>
        <w:gridCol w:w="686"/>
      </w:tblGrid>
      <w:tr w:rsidR="00FA7E89" w:rsidRPr="007E178A" w14:paraId="4BFA32D6" w14:textId="77777777" w:rsidTr="002E0CEC">
        <w:trPr>
          <w:trHeight w:val="490"/>
        </w:trPr>
        <w:tc>
          <w:tcPr>
            <w:tcW w:w="84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365F91" w:themeFill="accent1" w:themeFillShade="BF"/>
            <w:vAlign w:val="bottom"/>
            <w:hideMark/>
          </w:tcPr>
          <w:p w14:paraId="4602E294"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Condition</w:t>
            </w:r>
          </w:p>
        </w:tc>
        <w:tc>
          <w:tcPr>
            <w:tcW w:w="363"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77BB2772"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IPFs</w:t>
            </w:r>
          </w:p>
        </w:tc>
        <w:tc>
          <w:tcPr>
            <w:tcW w:w="411"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61E53EE4"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Mean</w:t>
            </w:r>
          </w:p>
        </w:tc>
        <w:tc>
          <w:tcPr>
            <w:tcW w:w="336"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32AAA20C"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SD</w:t>
            </w:r>
          </w:p>
        </w:tc>
        <w:tc>
          <w:tcPr>
            <w:tcW w:w="319"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57176B71"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Min</w:t>
            </w:r>
          </w:p>
        </w:tc>
        <w:tc>
          <w:tcPr>
            <w:tcW w:w="364"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3881BA06"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10th Pctl</w:t>
            </w:r>
          </w:p>
        </w:tc>
        <w:tc>
          <w:tcPr>
            <w:tcW w:w="534"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63CA4834"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Lower Quartile</w:t>
            </w:r>
          </w:p>
        </w:tc>
        <w:tc>
          <w:tcPr>
            <w:tcW w:w="507"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6240CC6E"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Median</w:t>
            </w:r>
          </w:p>
        </w:tc>
        <w:tc>
          <w:tcPr>
            <w:tcW w:w="534"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6AEF741F"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Upper Quartile</w:t>
            </w:r>
          </w:p>
        </w:tc>
        <w:tc>
          <w:tcPr>
            <w:tcW w:w="416"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7F46B322"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90th Pctl</w:t>
            </w:r>
          </w:p>
        </w:tc>
        <w:tc>
          <w:tcPr>
            <w:tcW w:w="371"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56531284"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Max</w:t>
            </w:r>
          </w:p>
        </w:tc>
      </w:tr>
      <w:tr w:rsidR="00FA7E89" w:rsidRPr="007E178A" w14:paraId="5EF6635C" w14:textId="77777777" w:rsidTr="002E0CEC">
        <w:trPr>
          <w:trHeight w:val="288"/>
        </w:trPr>
        <w:tc>
          <w:tcPr>
            <w:tcW w:w="845" w:type="pct"/>
            <w:tcBorders>
              <w:top w:val="nil"/>
              <w:left w:val="single" w:sz="4" w:space="0" w:color="000000" w:themeColor="text1"/>
              <w:bottom w:val="single" w:sz="4" w:space="0" w:color="000000" w:themeColor="text1"/>
              <w:right w:val="single" w:sz="4" w:space="0" w:color="000000" w:themeColor="text1"/>
            </w:tcBorders>
            <w:shd w:val="clear" w:color="auto" w:fill="auto"/>
            <w:hideMark/>
          </w:tcPr>
          <w:p w14:paraId="587D1043" w14:textId="77777777" w:rsidR="00FA7E89" w:rsidRPr="005D4433" w:rsidRDefault="00FA7E89" w:rsidP="002E0CEC">
            <w:pPr>
              <w:spacing w:after="0" w:line="240" w:lineRule="auto"/>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MDD</w:t>
            </w:r>
          </w:p>
        </w:tc>
        <w:tc>
          <w:tcPr>
            <w:tcW w:w="363" w:type="pct"/>
            <w:tcBorders>
              <w:top w:val="nil"/>
              <w:left w:val="nil"/>
              <w:bottom w:val="single" w:sz="4" w:space="0" w:color="000000" w:themeColor="text1"/>
              <w:right w:val="single" w:sz="4" w:space="0" w:color="000000" w:themeColor="text1"/>
            </w:tcBorders>
            <w:shd w:val="clear" w:color="auto" w:fill="auto"/>
            <w:vAlign w:val="center"/>
            <w:hideMark/>
          </w:tcPr>
          <w:p w14:paraId="50E5AFFB" w14:textId="77777777" w:rsidR="00FA7E89" w:rsidRPr="005D4433" w:rsidRDefault="00FA7E89" w:rsidP="002E0CEC">
            <w:pPr>
              <w:spacing w:after="0" w:line="240" w:lineRule="auto"/>
              <w:jc w:val="center"/>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1,651</w:t>
            </w:r>
          </w:p>
        </w:tc>
        <w:tc>
          <w:tcPr>
            <w:tcW w:w="411" w:type="pct"/>
            <w:tcBorders>
              <w:top w:val="nil"/>
              <w:left w:val="nil"/>
              <w:bottom w:val="single" w:sz="4" w:space="0" w:color="000000" w:themeColor="text1"/>
              <w:right w:val="single" w:sz="4" w:space="0" w:color="000000" w:themeColor="text1"/>
            </w:tcBorders>
            <w:shd w:val="clear" w:color="auto" w:fill="auto"/>
            <w:vAlign w:val="center"/>
            <w:hideMark/>
          </w:tcPr>
          <w:p w14:paraId="169D21A1"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34.8</w:t>
            </w:r>
          </w:p>
        </w:tc>
        <w:tc>
          <w:tcPr>
            <w:tcW w:w="336" w:type="pct"/>
            <w:tcBorders>
              <w:top w:val="nil"/>
              <w:left w:val="nil"/>
              <w:bottom w:val="single" w:sz="4" w:space="0" w:color="000000" w:themeColor="text1"/>
              <w:right w:val="single" w:sz="4" w:space="0" w:color="000000" w:themeColor="text1"/>
            </w:tcBorders>
            <w:shd w:val="clear" w:color="auto" w:fill="auto"/>
            <w:vAlign w:val="center"/>
            <w:hideMark/>
          </w:tcPr>
          <w:p w14:paraId="251FD11E"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19.0</w:t>
            </w:r>
          </w:p>
        </w:tc>
        <w:tc>
          <w:tcPr>
            <w:tcW w:w="319" w:type="pct"/>
            <w:tcBorders>
              <w:top w:val="nil"/>
              <w:left w:val="nil"/>
              <w:bottom w:val="single" w:sz="4" w:space="0" w:color="000000" w:themeColor="text1"/>
              <w:right w:val="single" w:sz="4" w:space="0" w:color="000000" w:themeColor="text1"/>
            </w:tcBorders>
            <w:shd w:val="clear" w:color="auto" w:fill="auto"/>
            <w:vAlign w:val="center"/>
            <w:hideMark/>
          </w:tcPr>
          <w:p w14:paraId="50A62525"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0.8</w:t>
            </w:r>
          </w:p>
        </w:tc>
        <w:tc>
          <w:tcPr>
            <w:tcW w:w="364" w:type="pct"/>
            <w:tcBorders>
              <w:top w:val="nil"/>
              <w:left w:val="nil"/>
              <w:bottom w:val="single" w:sz="4" w:space="0" w:color="000000" w:themeColor="text1"/>
              <w:right w:val="single" w:sz="4" w:space="0" w:color="000000" w:themeColor="text1"/>
            </w:tcBorders>
            <w:shd w:val="clear" w:color="auto" w:fill="auto"/>
            <w:vAlign w:val="center"/>
            <w:hideMark/>
          </w:tcPr>
          <w:p w14:paraId="10EBCD98"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11.7</w:t>
            </w:r>
          </w:p>
        </w:tc>
        <w:tc>
          <w:tcPr>
            <w:tcW w:w="534" w:type="pct"/>
            <w:tcBorders>
              <w:top w:val="nil"/>
              <w:left w:val="nil"/>
              <w:bottom w:val="single" w:sz="4" w:space="0" w:color="000000" w:themeColor="text1"/>
              <w:right w:val="single" w:sz="4" w:space="0" w:color="000000" w:themeColor="text1"/>
            </w:tcBorders>
            <w:shd w:val="clear" w:color="auto" w:fill="auto"/>
            <w:vAlign w:val="center"/>
            <w:hideMark/>
          </w:tcPr>
          <w:p w14:paraId="413AE8D5"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21.4</w:t>
            </w:r>
          </w:p>
        </w:tc>
        <w:tc>
          <w:tcPr>
            <w:tcW w:w="507" w:type="pct"/>
            <w:tcBorders>
              <w:top w:val="nil"/>
              <w:left w:val="nil"/>
              <w:bottom w:val="single" w:sz="4" w:space="0" w:color="000000" w:themeColor="text1"/>
              <w:right w:val="single" w:sz="4" w:space="0" w:color="000000" w:themeColor="text1"/>
            </w:tcBorders>
            <w:shd w:val="clear" w:color="auto" w:fill="auto"/>
            <w:vAlign w:val="center"/>
            <w:hideMark/>
          </w:tcPr>
          <w:p w14:paraId="0C02F817"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32.5</w:t>
            </w:r>
          </w:p>
        </w:tc>
        <w:tc>
          <w:tcPr>
            <w:tcW w:w="534" w:type="pct"/>
            <w:tcBorders>
              <w:top w:val="nil"/>
              <w:left w:val="nil"/>
              <w:bottom w:val="single" w:sz="4" w:space="0" w:color="000000" w:themeColor="text1"/>
              <w:right w:val="single" w:sz="4" w:space="0" w:color="000000" w:themeColor="text1"/>
            </w:tcBorders>
            <w:shd w:val="clear" w:color="auto" w:fill="auto"/>
            <w:vAlign w:val="center"/>
            <w:hideMark/>
          </w:tcPr>
          <w:p w14:paraId="68F4537C"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45.7</w:t>
            </w:r>
          </w:p>
        </w:tc>
        <w:tc>
          <w:tcPr>
            <w:tcW w:w="416" w:type="pct"/>
            <w:tcBorders>
              <w:top w:val="nil"/>
              <w:left w:val="nil"/>
              <w:bottom w:val="single" w:sz="4" w:space="0" w:color="000000" w:themeColor="text1"/>
              <w:right w:val="single" w:sz="4" w:space="0" w:color="000000" w:themeColor="text1"/>
            </w:tcBorders>
            <w:shd w:val="clear" w:color="auto" w:fill="auto"/>
            <w:vAlign w:val="center"/>
            <w:hideMark/>
          </w:tcPr>
          <w:p w14:paraId="0033A0AE"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61.4</w:t>
            </w:r>
          </w:p>
        </w:tc>
        <w:tc>
          <w:tcPr>
            <w:tcW w:w="371" w:type="pct"/>
            <w:tcBorders>
              <w:top w:val="nil"/>
              <w:left w:val="nil"/>
              <w:bottom w:val="single" w:sz="4" w:space="0" w:color="000000" w:themeColor="text1"/>
              <w:right w:val="single" w:sz="4" w:space="0" w:color="000000" w:themeColor="text1"/>
            </w:tcBorders>
            <w:shd w:val="clear" w:color="auto" w:fill="auto"/>
            <w:vAlign w:val="center"/>
            <w:hideMark/>
          </w:tcPr>
          <w:p w14:paraId="57A7E483" w14:textId="77777777" w:rsidR="00FA7E89" w:rsidRPr="005D4433" w:rsidRDefault="00FA7E89" w:rsidP="002E0CEC">
            <w:pPr>
              <w:spacing w:after="0" w:line="240" w:lineRule="auto"/>
              <w:jc w:val="center"/>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100</w:t>
            </w:r>
          </w:p>
        </w:tc>
      </w:tr>
      <w:tr w:rsidR="00FA7E89" w:rsidRPr="007E178A" w14:paraId="4C47FAC4" w14:textId="77777777" w:rsidTr="002E0CEC">
        <w:trPr>
          <w:trHeight w:val="288"/>
        </w:trPr>
        <w:tc>
          <w:tcPr>
            <w:tcW w:w="845" w:type="pct"/>
            <w:tcBorders>
              <w:top w:val="nil"/>
              <w:left w:val="single" w:sz="4" w:space="0" w:color="000000" w:themeColor="text1"/>
              <w:bottom w:val="single" w:sz="4" w:space="0" w:color="000000" w:themeColor="text1"/>
              <w:right w:val="single" w:sz="4" w:space="0" w:color="000000" w:themeColor="text1"/>
            </w:tcBorders>
            <w:shd w:val="clear" w:color="auto" w:fill="auto"/>
            <w:hideMark/>
          </w:tcPr>
          <w:p w14:paraId="2D4EAC9F" w14:textId="77777777" w:rsidR="00FA7E89" w:rsidRPr="005D4433" w:rsidRDefault="00FA7E89" w:rsidP="002E0CEC">
            <w:pPr>
              <w:spacing w:after="0" w:line="240" w:lineRule="auto"/>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Schizophrenia</w:t>
            </w:r>
          </w:p>
        </w:tc>
        <w:tc>
          <w:tcPr>
            <w:tcW w:w="363" w:type="pct"/>
            <w:tcBorders>
              <w:top w:val="nil"/>
              <w:left w:val="nil"/>
              <w:bottom w:val="single" w:sz="4" w:space="0" w:color="000000" w:themeColor="text1"/>
              <w:right w:val="single" w:sz="4" w:space="0" w:color="000000" w:themeColor="text1"/>
            </w:tcBorders>
            <w:shd w:val="clear" w:color="auto" w:fill="auto"/>
            <w:vAlign w:val="center"/>
            <w:hideMark/>
          </w:tcPr>
          <w:p w14:paraId="3E410E54" w14:textId="77777777" w:rsidR="00FA7E89" w:rsidRPr="005D4433" w:rsidRDefault="00FA7E89" w:rsidP="002E0CEC">
            <w:pPr>
              <w:spacing w:after="0" w:line="240" w:lineRule="auto"/>
              <w:jc w:val="center"/>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1,655</w:t>
            </w:r>
          </w:p>
        </w:tc>
        <w:tc>
          <w:tcPr>
            <w:tcW w:w="411" w:type="pct"/>
            <w:tcBorders>
              <w:top w:val="nil"/>
              <w:left w:val="nil"/>
              <w:bottom w:val="single" w:sz="4" w:space="0" w:color="000000" w:themeColor="text1"/>
              <w:right w:val="single" w:sz="4" w:space="0" w:color="000000" w:themeColor="text1"/>
            </w:tcBorders>
            <w:shd w:val="clear" w:color="auto" w:fill="auto"/>
            <w:vAlign w:val="center"/>
            <w:hideMark/>
          </w:tcPr>
          <w:p w14:paraId="60CF79B1"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40.2</w:t>
            </w:r>
          </w:p>
        </w:tc>
        <w:tc>
          <w:tcPr>
            <w:tcW w:w="336" w:type="pct"/>
            <w:tcBorders>
              <w:top w:val="nil"/>
              <w:left w:val="nil"/>
              <w:bottom w:val="single" w:sz="4" w:space="0" w:color="000000" w:themeColor="text1"/>
              <w:right w:val="single" w:sz="4" w:space="0" w:color="000000" w:themeColor="text1"/>
            </w:tcBorders>
            <w:shd w:val="clear" w:color="auto" w:fill="auto"/>
            <w:vAlign w:val="center"/>
            <w:hideMark/>
          </w:tcPr>
          <w:p w14:paraId="127C5897"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19.9</w:t>
            </w:r>
          </w:p>
        </w:tc>
        <w:tc>
          <w:tcPr>
            <w:tcW w:w="319" w:type="pct"/>
            <w:tcBorders>
              <w:top w:val="nil"/>
              <w:left w:val="nil"/>
              <w:bottom w:val="single" w:sz="4" w:space="0" w:color="000000" w:themeColor="text1"/>
              <w:right w:val="single" w:sz="4" w:space="0" w:color="000000" w:themeColor="text1"/>
            </w:tcBorders>
            <w:shd w:val="clear" w:color="auto" w:fill="auto"/>
            <w:vAlign w:val="center"/>
            <w:hideMark/>
          </w:tcPr>
          <w:p w14:paraId="475F51CD"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0.6</w:t>
            </w:r>
          </w:p>
        </w:tc>
        <w:tc>
          <w:tcPr>
            <w:tcW w:w="364" w:type="pct"/>
            <w:tcBorders>
              <w:top w:val="nil"/>
              <w:left w:val="nil"/>
              <w:bottom w:val="single" w:sz="4" w:space="0" w:color="000000" w:themeColor="text1"/>
              <w:right w:val="single" w:sz="4" w:space="0" w:color="000000" w:themeColor="text1"/>
            </w:tcBorders>
            <w:shd w:val="clear" w:color="auto" w:fill="auto"/>
            <w:vAlign w:val="center"/>
            <w:hideMark/>
          </w:tcPr>
          <w:p w14:paraId="2ED2011D"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15.2</w:t>
            </w:r>
          </w:p>
        </w:tc>
        <w:tc>
          <w:tcPr>
            <w:tcW w:w="534" w:type="pct"/>
            <w:tcBorders>
              <w:top w:val="nil"/>
              <w:left w:val="nil"/>
              <w:bottom w:val="single" w:sz="4" w:space="0" w:color="000000" w:themeColor="text1"/>
              <w:right w:val="single" w:sz="4" w:space="0" w:color="000000" w:themeColor="text1"/>
            </w:tcBorders>
            <w:shd w:val="clear" w:color="auto" w:fill="auto"/>
            <w:vAlign w:val="center"/>
            <w:hideMark/>
          </w:tcPr>
          <w:p w14:paraId="49816EA1"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25.7</w:t>
            </w:r>
          </w:p>
        </w:tc>
        <w:tc>
          <w:tcPr>
            <w:tcW w:w="507" w:type="pct"/>
            <w:tcBorders>
              <w:top w:val="nil"/>
              <w:left w:val="nil"/>
              <w:bottom w:val="single" w:sz="4" w:space="0" w:color="000000" w:themeColor="text1"/>
              <w:right w:val="single" w:sz="4" w:space="0" w:color="000000" w:themeColor="text1"/>
            </w:tcBorders>
            <w:shd w:val="clear" w:color="auto" w:fill="auto"/>
            <w:vAlign w:val="center"/>
            <w:hideMark/>
          </w:tcPr>
          <w:p w14:paraId="057E0011"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38.0</w:t>
            </w:r>
          </w:p>
        </w:tc>
        <w:tc>
          <w:tcPr>
            <w:tcW w:w="534" w:type="pct"/>
            <w:tcBorders>
              <w:top w:val="nil"/>
              <w:left w:val="nil"/>
              <w:bottom w:val="single" w:sz="4" w:space="0" w:color="000000" w:themeColor="text1"/>
              <w:right w:val="single" w:sz="4" w:space="0" w:color="000000" w:themeColor="text1"/>
            </w:tcBorders>
            <w:shd w:val="clear" w:color="auto" w:fill="auto"/>
            <w:vAlign w:val="center"/>
            <w:hideMark/>
          </w:tcPr>
          <w:p w14:paraId="4DD53D07"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52.7</w:t>
            </w:r>
          </w:p>
        </w:tc>
        <w:tc>
          <w:tcPr>
            <w:tcW w:w="416" w:type="pct"/>
            <w:tcBorders>
              <w:top w:val="nil"/>
              <w:left w:val="nil"/>
              <w:bottom w:val="single" w:sz="4" w:space="0" w:color="000000" w:themeColor="text1"/>
              <w:right w:val="single" w:sz="4" w:space="0" w:color="000000" w:themeColor="text1"/>
            </w:tcBorders>
            <w:shd w:val="clear" w:color="auto" w:fill="auto"/>
            <w:vAlign w:val="center"/>
            <w:hideMark/>
          </w:tcPr>
          <w:p w14:paraId="08931FDF"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67.4</w:t>
            </w:r>
          </w:p>
        </w:tc>
        <w:tc>
          <w:tcPr>
            <w:tcW w:w="371" w:type="pct"/>
            <w:tcBorders>
              <w:top w:val="nil"/>
              <w:left w:val="nil"/>
              <w:bottom w:val="single" w:sz="4" w:space="0" w:color="000000" w:themeColor="text1"/>
              <w:right w:val="single" w:sz="4" w:space="0" w:color="000000" w:themeColor="text1"/>
            </w:tcBorders>
            <w:shd w:val="clear" w:color="auto" w:fill="auto"/>
            <w:vAlign w:val="center"/>
            <w:hideMark/>
          </w:tcPr>
          <w:p w14:paraId="0F3A57D3" w14:textId="77777777" w:rsidR="00FA7E89" w:rsidRPr="005D4433" w:rsidRDefault="00FA7E89" w:rsidP="002E0CEC">
            <w:pPr>
              <w:spacing w:after="0" w:line="240" w:lineRule="auto"/>
              <w:jc w:val="center"/>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100</w:t>
            </w:r>
          </w:p>
        </w:tc>
      </w:tr>
      <w:tr w:rsidR="00FA7E89" w:rsidRPr="007E178A" w14:paraId="53F23384" w14:textId="77777777" w:rsidTr="002E0CEC">
        <w:trPr>
          <w:trHeight w:val="288"/>
        </w:trPr>
        <w:tc>
          <w:tcPr>
            <w:tcW w:w="845" w:type="pct"/>
            <w:tcBorders>
              <w:top w:val="nil"/>
              <w:left w:val="single" w:sz="4" w:space="0" w:color="000000" w:themeColor="text1"/>
              <w:bottom w:val="single" w:sz="4" w:space="0" w:color="000000" w:themeColor="text1"/>
              <w:right w:val="single" w:sz="4" w:space="0" w:color="000000" w:themeColor="text1"/>
            </w:tcBorders>
            <w:shd w:val="clear" w:color="auto" w:fill="auto"/>
            <w:hideMark/>
          </w:tcPr>
          <w:p w14:paraId="006C0521" w14:textId="77777777" w:rsidR="00FA7E89" w:rsidRPr="005D4433" w:rsidRDefault="00FA7E89" w:rsidP="002E0CEC">
            <w:pPr>
              <w:spacing w:after="0" w:line="240" w:lineRule="auto"/>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Bipolar Disorder</w:t>
            </w:r>
          </w:p>
        </w:tc>
        <w:tc>
          <w:tcPr>
            <w:tcW w:w="363" w:type="pct"/>
            <w:tcBorders>
              <w:top w:val="nil"/>
              <w:left w:val="nil"/>
              <w:bottom w:val="single" w:sz="4" w:space="0" w:color="000000" w:themeColor="text1"/>
              <w:right w:val="single" w:sz="4" w:space="0" w:color="000000" w:themeColor="text1"/>
            </w:tcBorders>
            <w:shd w:val="clear" w:color="auto" w:fill="auto"/>
            <w:vAlign w:val="center"/>
            <w:hideMark/>
          </w:tcPr>
          <w:p w14:paraId="4B0D60E2" w14:textId="77777777" w:rsidR="00FA7E89" w:rsidRPr="005D4433" w:rsidRDefault="00FA7E89" w:rsidP="002E0CEC">
            <w:pPr>
              <w:spacing w:after="0" w:line="240" w:lineRule="auto"/>
              <w:jc w:val="center"/>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1,658</w:t>
            </w:r>
          </w:p>
        </w:tc>
        <w:tc>
          <w:tcPr>
            <w:tcW w:w="411" w:type="pct"/>
            <w:tcBorders>
              <w:top w:val="nil"/>
              <w:left w:val="nil"/>
              <w:bottom w:val="single" w:sz="4" w:space="0" w:color="000000" w:themeColor="text1"/>
              <w:right w:val="single" w:sz="4" w:space="0" w:color="000000" w:themeColor="text1"/>
            </w:tcBorders>
            <w:shd w:val="clear" w:color="auto" w:fill="auto"/>
            <w:vAlign w:val="center"/>
            <w:hideMark/>
          </w:tcPr>
          <w:p w14:paraId="5B4AAA26"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27.3</w:t>
            </w:r>
          </w:p>
        </w:tc>
        <w:tc>
          <w:tcPr>
            <w:tcW w:w="336" w:type="pct"/>
            <w:tcBorders>
              <w:top w:val="nil"/>
              <w:left w:val="nil"/>
              <w:bottom w:val="single" w:sz="4" w:space="0" w:color="000000" w:themeColor="text1"/>
              <w:right w:val="single" w:sz="4" w:space="0" w:color="000000" w:themeColor="text1"/>
            </w:tcBorders>
            <w:shd w:val="clear" w:color="auto" w:fill="auto"/>
            <w:vAlign w:val="center"/>
            <w:hideMark/>
          </w:tcPr>
          <w:p w14:paraId="5A6E5642"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11.8</w:t>
            </w:r>
          </w:p>
        </w:tc>
        <w:tc>
          <w:tcPr>
            <w:tcW w:w="319" w:type="pct"/>
            <w:tcBorders>
              <w:top w:val="nil"/>
              <w:left w:val="nil"/>
              <w:bottom w:val="single" w:sz="4" w:space="0" w:color="000000" w:themeColor="text1"/>
              <w:right w:val="single" w:sz="4" w:space="0" w:color="000000" w:themeColor="text1"/>
            </w:tcBorders>
            <w:shd w:val="clear" w:color="auto" w:fill="auto"/>
            <w:vAlign w:val="center"/>
            <w:hideMark/>
          </w:tcPr>
          <w:p w14:paraId="55F015BD"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1.0</w:t>
            </w:r>
          </w:p>
        </w:tc>
        <w:tc>
          <w:tcPr>
            <w:tcW w:w="364" w:type="pct"/>
            <w:tcBorders>
              <w:top w:val="nil"/>
              <w:left w:val="nil"/>
              <w:bottom w:val="single" w:sz="4" w:space="0" w:color="000000" w:themeColor="text1"/>
              <w:right w:val="single" w:sz="4" w:space="0" w:color="000000" w:themeColor="text1"/>
            </w:tcBorders>
            <w:shd w:val="clear" w:color="auto" w:fill="auto"/>
            <w:vAlign w:val="center"/>
            <w:hideMark/>
          </w:tcPr>
          <w:p w14:paraId="767EE5D9"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14.3</w:t>
            </w:r>
          </w:p>
        </w:tc>
        <w:tc>
          <w:tcPr>
            <w:tcW w:w="534" w:type="pct"/>
            <w:tcBorders>
              <w:top w:val="nil"/>
              <w:left w:val="nil"/>
              <w:bottom w:val="single" w:sz="4" w:space="0" w:color="000000" w:themeColor="text1"/>
              <w:right w:val="single" w:sz="4" w:space="0" w:color="000000" w:themeColor="text1"/>
            </w:tcBorders>
            <w:shd w:val="clear" w:color="auto" w:fill="auto"/>
            <w:vAlign w:val="center"/>
            <w:hideMark/>
          </w:tcPr>
          <w:p w14:paraId="7D44AF23"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20.0</w:t>
            </w:r>
          </w:p>
        </w:tc>
        <w:tc>
          <w:tcPr>
            <w:tcW w:w="507" w:type="pct"/>
            <w:tcBorders>
              <w:top w:val="nil"/>
              <w:left w:val="nil"/>
              <w:bottom w:val="single" w:sz="4" w:space="0" w:color="000000" w:themeColor="text1"/>
              <w:right w:val="single" w:sz="4" w:space="0" w:color="000000" w:themeColor="text1"/>
            </w:tcBorders>
            <w:shd w:val="clear" w:color="auto" w:fill="auto"/>
            <w:vAlign w:val="center"/>
            <w:hideMark/>
          </w:tcPr>
          <w:p w14:paraId="4EFFD4EA"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26.1</w:t>
            </w:r>
          </w:p>
        </w:tc>
        <w:tc>
          <w:tcPr>
            <w:tcW w:w="534" w:type="pct"/>
            <w:tcBorders>
              <w:top w:val="nil"/>
              <w:left w:val="nil"/>
              <w:bottom w:val="single" w:sz="4" w:space="0" w:color="000000" w:themeColor="text1"/>
              <w:right w:val="single" w:sz="4" w:space="0" w:color="000000" w:themeColor="text1"/>
            </w:tcBorders>
            <w:shd w:val="clear" w:color="auto" w:fill="auto"/>
            <w:vAlign w:val="center"/>
            <w:hideMark/>
          </w:tcPr>
          <w:p w14:paraId="4797F0F2"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33.3</w:t>
            </w:r>
          </w:p>
        </w:tc>
        <w:tc>
          <w:tcPr>
            <w:tcW w:w="416" w:type="pct"/>
            <w:tcBorders>
              <w:top w:val="nil"/>
              <w:left w:val="nil"/>
              <w:bottom w:val="single" w:sz="4" w:space="0" w:color="000000" w:themeColor="text1"/>
              <w:right w:val="single" w:sz="4" w:space="0" w:color="000000" w:themeColor="text1"/>
            </w:tcBorders>
            <w:shd w:val="clear" w:color="auto" w:fill="auto"/>
            <w:vAlign w:val="center"/>
            <w:hideMark/>
          </w:tcPr>
          <w:p w14:paraId="2B0348E2"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40.6</w:t>
            </w:r>
          </w:p>
        </w:tc>
        <w:tc>
          <w:tcPr>
            <w:tcW w:w="371" w:type="pct"/>
            <w:tcBorders>
              <w:top w:val="nil"/>
              <w:left w:val="nil"/>
              <w:bottom w:val="single" w:sz="4" w:space="0" w:color="000000" w:themeColor="text1"/>
              <w:right w:val="single" w:sz="4" w:space="0" w:color="000000" w:themeColor="text1"/>
            </w:tcBorders>
            <w:shd w:val="clear" w:color="auto" w:fill="auto"/>
            <w:vAlign w:val="center"/>
            <w:hideMark/>
          </w:tcPr>
          <w:p w14:paraId="380FDF31" w14:textId="77777777" w:rsidR="00FA7E89" w:rsidRPr="005D4433" w:rsidRDefault="00FA7E89" w:rsidP="002E0CEC">
            <w:pPr>
              <w:spacing w:after="0" w:line="240" w:lineRule="auto"/>
              <w:jc w:val="center"/>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100</w:t>
            </w:r>
          </w:p>
        </w:tc>
      </w:tr>
    </w:tbl>
    <w:p w14:paraId="0DAF2B31" w14:textId="77777777" w:rsidR="00FA7E89" w:rsidRDefault="00FA7E89" w:rsidP="00FA7E89">
      <w:pPr>
        <w:pStyle w:val="BodyText"/>
        <w:tabs>
          <w:tab w:val="left" w:pos="1260"/>
        </w:tabs>
        <w:ind w:left="0"/>
        <w:contextualSpacing/>
        <w:rPr>
          <w:rFonts w:ascii="Calibri" w:eastAsia="Arial" w:hAnsi="Calibri"/>
          <w:b/>
          <w:sz w:val="20"/>
        </w:rPr>
      </w:pPr>
    </w:p>
    <w:p w14:paraId="1418C148" w14:textId="77777777" w:rsidR="00FA7E89" w:rsidRPr="005E0E3B" w:rsidRDefault="00FA7E89" w:rsidP="00FA7E89">
      <w:pPr>
        <w:pStyle w:val="BodyText"/>
        <w:tabs>
          <w:tab w:val="left" w:pos="1260"/>
        </w:tabs>
        <w:ind w:left="0"/>
        <w:contextualSpacing/>
        <w:rPr>
          <w:rFonts w:ascii="Calibri" w:eastAsia="Arial" w:hAnsi="Calibri" w:cs="Arial"/>
          <w:b/>
          <w:bCs/>
          <w:sz w:val="20"/>
          <w:szCs w:val="20"/>
        </w:rPr>
      </w:pPr>
      <w:r w:rsidRPr="007C558A">
        <w:rPr>
          <w:rFonts w:ascii="Calibri" w:eastAsia="Arial" w:hAnsi="Calibri"/>
          <w:b/>
          <w:sz w:val="20"/>
        </w:rPr>
        <w:t xml:space="preserve">Table </w:t>
      </w:r>
      <w:r w:rsidRPr="007C558A">
        <w:rPr>
          <w:rFonts w:ascii="Calibri" w:eastAsia="Arial" w:hAnsi="Calibri" w:cs="Arial"/>
          <w:b/>
          <w:bCs/>
          <w:sz w:val="20"/>
          <w:szCs w:val="20"/>
        </w:rPr>
        <w:t>1.6-B Distribution</w:t>
      </w:r>
      <w:r w:rsidRPr="005E0E3B">
        <w:rPr>
          <w:rFonts w:ascii="Calibri" w:eastAsia="Arial" w:hAnsi="Calibri" w:cs="Arial"/>
          <w:b/>
          <w:bCs/>
          <w:sz w:val="20"/>
          <w:szCs w:val="20"/>
        </w:rPr>
        <w:t xml:space="preserve"> of Bipolar Disorder, MDD, and Schizophrenia </w:t>
      </w:r>
      <w:r>
        <w:rPr>
          <w:rFonts w:ascii="Calibri" w:eastAsia="Arial" w:hAnsi="Calibri" w:cs="Arial"/>
          <w:b/>
          <w:bCs/>
          <w:sz w:val="20"/>
          <w:szCs w:val="20"/>
        </w:rPr>
        <w:t>A</w:t>
      </w:r>
      <w:r w:rsidRPr="005E0E3B">
        <w:rPr>
          <w:rFonts w:ascii="Calibri" w:eastAsia="Arial" w:hAnsi="Calibri" w:cs="Arial"/>
          <w:b/>
          <w:bCs/>
          <w:sz w:val="20"/>
          <w:szCs w:val="20"/>
        </w:rPr>
        <w:t>cross IPFs</w:t>
      </w:r>
      <w:r>
        <w:rPr>
          <w:rFonts w:ascii="Calibri" w:eastAsia="Arial" w:hAnsi="Calibri" w:cs="Arial"/>
          <w:b/>
          <w:bCs/>
          <w:sz w:val="20"/>
          <w:szCs w:val="20"/>
        </w:rPr>
        <w:t xml:space="preserve"> </w:t>
      </w:r>
      <w:r w:rsidRPr="005E0E3B">
        <w:rPr>
          <w:rFonts w:ascii="Calibri" w:eastAsia="Arial" w:hAnsi="Calibri" w:cs="Arial"/>
          <w:b/>
          <w:bCs/>
          <w:sz w:val="20"/>
          <w:szCs w:val="20"/>
        </w:rPr>
        <w:t xml:space="preserve">with </w:t>
      </w:r>
      <w:r>
        <w:rPr>
          <w:rFonts w:ascii="Calibri" w:eastAsia="Arial" w:hAnsi="Calibri" w:cs="Arial"/>
          <w:b/>
          <w:bCs/>
          <w:sz w:val="20"/>
          <w:szCs w:val="20"/>
        </w:rPr>
        <w:t>D</w:t>
      </w:r>
      <w:r w:rsidRPr="005E0E3B">
        <w:rPr>
          <w:rFonts w:ascii="Calibri" w:eastAsia="Arial" w:hAnsi="Calibri" w:cs="Arial"/>
          <w:b/>
          <w:bCs/>
          <w:sz w:val="20"/>
          <w:szCs w:val="20"/>
        </w:rPr>
        <w:t>enominator ≥ 75</w:t>
      </w:r>
    </w:p>
    <w:tbl>
      <w:tblPr>
        <w:tblW w:w="4939" w:type="pct"/>
        <w:tblLook w:val="04A0" w:firstRow="1" w:lastRow="0" w:firstColumn="1" w:lastColumn="0" w:noHBand="0" w:noVBand="1"/>
      </w:tblPr>
      <w:tblGrid>
        <w:gridCol w:w="1559"/>
        <w:gridCol w:w="672"/>
        <w:gridCol w:w="787"/>
        <w:gridCol w:w="606"/>
        <w:gridCol w:w="591"/>
        <w:gridCol w:w="672"/>
        <w:gridCol w:w="989"/>
        <w:gridCol w:w="939"/>
        <w:gridCol w:w="982"/>
        <w:gridCol w:w="764"/>
        <w:gridCol w:w="675"/>
      </w:tblGrid>
      <w:tr w:rsidR="00FA7E89" w:rsidRPr="007E178A" w14:paraId="1CA48C58" w14:textId="77777777" w:rsidTr="002E0CEC">
        <w:trPr>
          <w:trHeight w:val="490"/>
        </w:trPr>
        <w:tc>
          <w:tcPr>
            <w:tcW w:w="84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365F91" w:themeFill="accent1" w:themeFillShade="BF"/>
            <w:vAlign w:val="bottom"/>
            <w:hideMark/>
          </w:tcPr>
          <w:p w14:paraId="14BBAFC4"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Condition</w:t>
            </w:r>
          </w:p>
        </w:tc>
        <w:tc>
          <w:tcPr>
            <w:tcW w:w="356"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7F52A60D"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IPFs</w:t>
            </w:r>
          </w:p>
        </w:tc>
        <w:tc>
          <w:tcPr>
            <w:tcW w:w="427"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20B9353D"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Mean</w:t>
            </w:r>
          </w:p>
        </w:tc>
        <w:tc>
          <w:tcPr>
            <w:tcW w:w="329"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7C3C2A04"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SD</w:t>
            </w:r>
          </w:p>
        </w:tc>
        <w:tc>
          <w:tcPr>
            <w:tcW w:w="321"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2B24D8E2"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Min</w:t>
            </w:r>
          </w:p>
        </w:tc>
        <w:tc>
          <w:tcPr>
            <w:tcW w:w="365"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3FA132A3"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10th Pctl</w:t>
            </w:r>
          </w:p>
        </w:tc>
        <w:tc>
          <w:tcPr>
            <w:tcW w:w="536"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26207D92"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Lower Quartile</w:t>
            </w:r>
          </w:p>
        </w:tc>
        <w:tc>
          <w:tcPr>
            <w:tcW w:w="509"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477E0229"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Median</w:t>
            </w:r>
          </w:p>
        </w:tc>
        <w:tc>
          <w:tcPr>
            <w:tcW w:w="532"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4825BA9B"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Upper Quartile</w:t>
            </w:r>
          </w:p>
        </w:tc>
        <w:tc>
          <w:tcPr>
            <w:tcW w:w="414"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6A74B2BC"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90th Pctl</w:t>
            </w:r>
          </w:p>
        </w:tc>
        <w:tc>
          <w:tcPr>
            <w:tcW w:w="366" w:type="pct"/>
            <w:tcBorders>
              <w:top w:val="single" w:sz="4" w:space="0" w:color="000000" w:themeColor="text1"/>
              <w:left w:val="nil"/>
              <w:bottom w:val="single" w:sz="4" w:space="0" w:color="000000" w:themeColor="text1"/>
              <w:right w:val="single" w:sz="4" w:space="0" w:color="000000" w:themeColor="text1"/>
            </w:tcBorders>
            <w:shd w:val="clear" w:color="auto" w:fill="365F91" w:themeFill="accent1" w:themeFillShade="BF"/>
            <w:vAlign w:val="bottom"/>
            <w:hideMark/>
          </w:tcPr>
          <w:p w14:paraId="19F9BBC1" w14:textId="77777777" w:rsidR="00FA7E89" w:rsidRPr="005D4433" w:rsidRDefault="00FA7E89" w:rsidP="002E0CEC">
            <w:pPr>
              <w:spacing w:after="0" w:line="240" w:lineRule="auto"/>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Max</w:t>
            </w:r>
          </w:p>
        </w:tc>
      </w:tr>
      <w:tr w:rsidR="00FA7E89" w:rsidRPr="007E178A" w14:paraId="0BF7D532" w14:textId="77777777" w:rsidTr="002E0CEC">
        <w:trPr>
          <w:trHeight w:val="284"/>
        </w:trPr>
        <w:tc>
          <w:tcPr>
            <w:tcW w:w="845"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6FA8CC68" w14:textId="77777777" w:rsidR="00FA7E89" w:rsidRPr="005D4433" w:rsidRDefault="00FA7E89" w:rsidP="002E0CEC">
            <w:pPr>
              <w:spacing w:after="0" w:line="240" w:lineRule="auto"/>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MDD</w:t>
            </w:r>
          </w:p>
        </w:tc>
        <w:tc>
          <w:tcPr>
            <w:tcW w:w="356" w:type="pct"/>
            <w:tcBorders>
              <w:top w:val="nil"/>
              <w:left w:val="nil"/>
              <w:bottom w:val="single" w:sz="4" w:space="0" w:color="000000" w:themeColor="text1"/>
              <w:right w:val="single" w:sz="4" w:space="0" w:color="000000" w:themeColor="text1"/>
            </w:tcBorders>
            <w:shd w:val="clear" w:color="auto" w:fill="auto"/>
            <w:vAlign w:val="center"/>
            <w:hideMark/>
          </w:tcPr>
          <w:p w14:paraId="39B693B7" w14:textId="77777777" w:rsidR="00FA7E89" w:rsidRPr="005D4433" w:rsidRDefault="00FA7E89" w:rsidP="002E0CEC">
            <w:pPr>
              <w:spacing w:after="0" w:line="240" w:lineRule="auto"/>
              <w:jc w:val="center"/>
              <w:rPr>
                <w:rFonts w:ascii="Calibri" w:eastAsia="Calibri,Times New Roman" w:hAnsi="Calibri" w:cs="Calibri,Times New Roman"/>
                <w:color w:val="000000" w:themeColor="text1"/>
                <w:sz w:val="20"/>
                <w:szCs w:val="20"/>
              </w:rPr>
            </w:pPr>
            <w:r w:rsidRPr="005D4433">
              <w:rPr>
                <w:rFonts w:ascii="Calibri" w:eastAsia="Calibri" w:hAnsi="Calibri" w:cs="Calibri"/>
                <w:color w:val="000000" w:themeColor="text1"/>
                <w:sz w:val="20"/>
                <w:szCs w:val="20"/>
              </w:rPr>
              <w:t>1,182</w:t>
            </w:r>
          </w:p>
        </w:tc>
        <w:tc>
          <w:tcPr>
            <w:tcW w:w="427" w:type="pct"/>
            <w:tcBorders>
              <w:top w:val="nil"/>
              <w:left w:val="nil"/>
              <w:bottom w:val="single" w:sz="4" w:space="0" w:color="000000" w:themeColor="text1"/>
              <w:right w:val="single" w:sz="4" w:space="0" w:color="000000" w:themeColor="text1"/>
            </w:tcBorders>
            <w:shd w:val="clear" w:color="auto" w:fill="auto"/>
            <w:vAlign w:val="center"/>
            <w:hideMark/>
          </w:tcPr>
          <w:p w14:paraId="2C4D968B"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29.5</w:t>
            </w:r>
          </w:p>
        </w:tc>
        <w:tc>
          <w:tcPr>
            <w:tcW w:w="329" w:type="pct"/>
            <w:tcBorders>
              <w:top w:val="nil"/>
              <w:left w:val="nil"/>
              <w:bottom w:val="single" w:sz="4" w:space="0" w:color="000000" w:themeColor="text1"/>
              <w:right w:val="single" w:sz="4" w:space="0" w:color="000000" w:themeColor="text1"/>
            </w:tcBorders>
            <w:shd w:val="clear" w:color="auto" w:fill="auto"/>
            <w:vAlign w:val="center"/>
            <w:hideMark/>
          </w:tcPr>
          <w:p w14:paraId="37951BC7"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14.7</w:t>
            </w:r>
          </w:p>
        </w:tc>
        <w:tc>
          <w:tcPr>
            <w:tcW w:w="321" w:type="pct"/>
            <w:tcBorders>
              <w:top w:val="nil"/>
              <w:left w:val="nil"/>
              <w:bottom w:val="single" w:sz="4" w:space="0" w:color="000000" w:themeColor="text1"/>
              <w:right w:val="single" w:sz="4" w:space="0" w:color="000000" w:themeColor="text1"/>
            </w:tcBorders>
            <w:shd w:val="clear" w:color="auto" w:fill="auto"/>
            <w:vAlign w:val="center"/>
            <w:hideMark/>
          </w:tcPr>
          <w:p w14:paraId="6E576D7E"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0.8</w:t>
            </w:r>
          </w:p>
        </w:tc>
        <w:tc>
          <w:tcPr>
            <w:tcW w:w="365" w:type="pct"/>
            <w:tcBorders>
              <w:top w:val="nil"/>
              <w:left w:val="nil"/>
              <w:bottom w:val="single" w:sz="4" w:space="0" w:color="000000" w:themeColor="text1"/>
              <w:right w:val="single" w:sz="4" w:space="0" w:color="000000" w:themeColor="text1"/>
            </w:tcBorders>
            <w:shd w:val="clear" w:color="auto" w:fill="auto"/>
            <w:vAlign w:val="center"/>
            <w:hideMark/>
          </w:tcPr>
          <w:p w14:paraId="2B107090"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11.2</w:t>
            </w:r>
          </w:p>
        </w:tc>
        <w:tc>
          <w:tcPr>
            <w:tcW w:w="536" w:type="pct"/>
            <w:tcBorders>
              <w:top w:val="nil"/>
              <w:left w:val="nil"/>
              <w:bottom w:val="single" w:sz="4" w:space="0" w:color="000000" w:themeColor="text1"/>
              <w:right w:val="single" w:sz="4" w:space="0" w:color="000000" w:themeColor="text1"/>
            </w:tcBorders>
            <w:shd w:val="clear" w:color="auto" w:fill="auto"/>
            <w:vAlign w:val="center"/>
            <w:hideMark/>
          </w:tcPr>
          <w:p w14:paraId="30BB0C78"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19.3</w:t>
            </w:r>
          </w:p>
        </w:tc>
        <w:tc>
          <w:tcPr>
            <w:tcW w:w="509" w:type="pct"/>
            <w:tcBorders>
              <w:top w:val="nil"/>
              <w:left w:val="nil"/>
              <w:bottom w:val="single" w:sz="4" w:space="0" w:color="000000" w:themeColor="text1"/>
              <w:right w:val="single" w:sz="4" w:space="0" w:color="000000" w:themeColor="text1"/>
            </w:tcBorders>
            <w:shd w:val="clear" w:color="auto" w:fill="auto"/>
            <w:vAlign w:val="center"/>
            <w:hideMark/>
          </w:tcPr>
          <w:p w14:paraId="12DA2E5D"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28.7</w:t>
            </w:r>
          </w:p>
        </w:tc>
        <w:tc>
          <w:tcPr>
            <w:tcW w:w="532" w:type="pct"/>
            <w:tcBorders>
              <w:top w:val="nil"/>
              <w:left w:val="nil"/>
              <w:bottom w:val="single" w:sz="4" w:space="0" w:color="000000" w:themeColor="text1"/>
              <w:right w:val="single" w:sz="4" w:space="0" w:color="000000" w:themeColor="text1"/>
            </w:tcBorders>
            <w:shd w:val="clear" w:color="auto" w:fill="auto"/>
            <w:vAlign w:val="center"/>
            <w:hideMark/>
          </w:tcPr>
          <w:p w14:paraId="5731664C"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38.6</w:t>
            </w:r>
          </w:p>
        </w:tc>
        <w:tc>
          <w:tcPr>
            <w:tcW w:w="414" w:type="pct"/>
            <w:tcBorders>
              <w:top w:val="nil"/>
              <w:left w:val="nil"/>
              <w:bottom w:val="single" w:sz="4" w:space="0" w:color="000000" w:themeColor="text1"/>
              <w:right w:val="single" w:sz="4" w:space="0" w:color="000000" w:themeColor="text1"/>
            </w:tcBorders>
            <w:shd w:val="clear" w:color="auto" w:fill="auto"/>
            <w:vAlign w:val="center"/>
            <w:hideMark/>
          </w:tcPr>
          <w:p w14:paraId="1D2E5A83"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48.1</w:t>
            </w:r>
          </w:p>
        </w:tc>
        <w:tc>
          <w:tcPr>
            <w:tcW w:w="366" w:type="pct"/>
            <w:tcBorders>
              <w:top w:val="nil"/>
              <w:left w:val="nil"/>
              <w:bottom w:val="single" w:sz="4" w:space="0" w:color="000000" w:themeColor="text1"/>
              <w:right w:val="single" w:sz="4" w:space="0" w:color="000000" w:themeColor="text1"/>
            </w:tcBorders>
            <w:shd w:val="clear" w:color="auto" w:fill="auto"/>
            <w:vAlign w:val="center"/>
            <w:hideMark/>
          </w:tcPr>
          <w:p w14:paraId="16531275"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91.3</w:t>
            </w:r>
          </w:p>
        </w:tc>
      </w:tr>
      <w:tr w:rsidR="00FA7E89" w:rsidRPr="007E178A" w14:paraId="69D31A00" w14:textId="77777777" w:rsidTr="002E0CEC">
        <w:trPr>
          <w:trHeight w:val="284"/>
        </w:trPr>
        <w:tc>
          <w:tcPr>
            <w:tcW w:w="845"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3DBA859A" w14:textId="77777777" w:rsidR="00FA7E89" w:rsidRPr="005D4433" w:rsidRDefault="00FA7E89" w:rsidP="002E0CEC">
            <w:pPr>
              <w:spacing w:after="0" w:line="240" w:lineRule="auto"/>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Schizophrenia</w:t>
            </w:r>
          </w:p>
        </w:tc>
        <w:tc>
          <w:tcPr>
            <w:tcW w:w="356" w:type="pct"/>
            <w:tcBorders>
              <w:top w:val="nil"/>
              <w:left w:val="nil"/>
              <w:bottom w:val="single" w:sz="4" w:space="0" w:color="000000" w:themeColor="text1"/>
              <w:right w:val="single" w:sz="4" w:space="0" w:color="000000" w:themeColor="text1"/>
            </w:tcBorders>
            <w:shd w:val="clear" w:color="auto" w:fill="auto"/>
            <w:vAlign w:val="center"/>
            <w:hideMark/>
          </w:tcPr>
          <w:p w14:paraId="37A445C1" w14:textId="77777777" w:rsidR="00FA7E89" w:rsidRPr="005D4433" w:rsidRDefault="00FA7E89" w:rsidP="002E0CEC">
            <w:pPr>
              <w:spacing w:after="0" w:line="240" w:lineRule="auto"/>
              <w:jc w:val="center"/>
              <w:rPr>
                <w:rFonts w:ascii="Calibri" w:eastAsia="Calibri,Times New Roman" w:hAnsi="Calibri" w:cs="Calibri,Times New Roman"/>
                <w:color w:val="000000" w:themeColor="text1"/>
                <w:sz w:val="20"/>
                <w:szCs w:val="20"/>
              </w:rPr>
            </w:pPr>
            <w:r w:rsidRPr="005D4433">
              <w:rPr>
                <w:rFonts w:ascii="Calibri" w:eastAsia="Calibri" w:hAnsi="Calibri" w:cs="Calibri"/>
                <w:color w:val="000000" w:themeColor="text1"/>
                <w:sz w:val="20"/>
                <w:szCs w:val="20"/>
              </w:rPr>
              <w:t>1,184</w:t>
            </w:r>
          </w:p>
        </w:tc>
        <w:tc>
          <w:tcPr>
            <w:tcW w:w="427" w:type="pct"/>
            <w:tcBorders>
              <w:top w:val="nil"/>
              <w:left w:val="nil"/>
              <w:bottom w:val="single" w:sz="4" w:space="0" w:color="000000" w:themeColor="text1"/>
              <w:right w:val="single" w:sz="4" w:space="0" w:color="000000" w:themeColor="text1"/>
            </w:tcBorders>
            <w:shd w:val="clear" w:color="auto" w:fill="auto"/>
            <w:vAlign w:val="center"/>
            <w:hideMark/>
          </w:tcPr>
          <w:p w14:paraId="3414CAAA"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43.1</w:t>
            </w:r>
          </w:p>
        </w:tc>
        <w:tc>
          <w:tcPr>
            <w:tcW w:w="329" w:type="pct"/>
            <w:tcBorders>
              <w:top w:val="nil"/>
              <w:left w:val="nil"/>
              <w:bottom w:val="single" w:sz="4" w:space="0" w:color="000000" w:themeColor="text1"/>
              <w:right w:val="single" w:sz="4" w:space="0" w:color="000000" w:themeColor="text1"/>
            </w:tcBorders>
            <w:shd w:val="clear" w:color="auto" w:fill="auto"/>
            <w:vAlign w:val="center"/>
            <w:hideMark/>
          </w:tcPr>
          <w:p w14:paraId="1CAFB586"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17.3</w:t>
            </w:r>
          </w:p>
        </w:tc>
        <w:tc>
          <w:tcPr>
            <w:tcW w:w="321" w:type="pct"/>
            <w:tcBorders>
              <w:top w:val="nil"/>
              <w:left w:val="nil"/>
              <w:bottom w:val="single" w:sz="4" w:space="0" w:color="000000" w:themeColor="text1"/>
              <w:right w:val="single" w:sz="4" w:space="0" w:color="000000" w:themeColor="text1"/>
            </w:tcBorders>
            <w:shd w:val="clear" w:color="auto" w:fill="auto"/>
            <w:vAlign w:val="center"/>
            <w:hideMark/>
          </w:tcPr>
          <w:p w14:paraId="1BD3A063"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0.6</w:t>
            </w:r>
          </w:p>
        </w:tc>
        <w:tc>
          <w:tcPr>
            <w:tcW w:w="365" w:type="pct"/>
            <w:tcBorders>
              <w:top w:val="nil"/>
              <w:left w:val="nil"/>
              <w:bottom w:val="single" w:sz="4" w:space="0" w:color="000000" w:themeColor="text1"/>
              <w:right w:val="single" w:sz="4" w:space="0" w:color="000000" w:themeColor="text1"/>
            </w:tcBorders>
            <w:shd w:val="clear" w:color="auto" w:fill="auto"/>
            <w:vAlign w:val="center"/>
            <w:hideMark/>
          </w:tcPr>
          <w:p w14:paraId="20BCAD1D"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23.1</w:t>
            </w:r>
          </w:p>
        </w:tc>
        <w:tc>
          <w:tcPr>
            <w:tcW w:w="536" w:type="pct"/>
            <w:tcBorders>
              <w:top w:val="nil"/>
              <w:left w:val="nil"/>
              <w:bottom w:val="single" w:sz="4" w:space="0" w:color="000000" w:themeColor="text1"/>
              <w:right w:val="single" w:sz="4" w:space="0" w:color="000000" w:themeColor="text1"/>
            </w:tcBorders>
            <w:shd w:val="clear" w:color="auto" w:fill="auto"/>
            <w:vAlign w:val="center"/>
            <w:hideMark/>
          </w:tcPr>
          <w:p w14:paraId="0149FF64"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30.7</w:t>
            </w:r>
          </w:p>
        </w:tc>
        <w:tc>
          <w:tcPr>
            <w:tcW w:w="509" w:type="pct"/>
            <w:tcBorders>
              <w:top w:val="nil"/>
              <w:left w:val="nil"/>
              <w:bottom w:val="single" w:sz="4" w:space="0" w:color="000000" w:themeColor="text1"/>
              <w:right w:val="single" w:sz="4" w:space="0" w:color="000000" w:themeColor="text1"/>
            </w:tcBorders>
            <w:shd w:val="clear" w:color="auto" w:fill="auto"/>
            <w:vAlign w:val="center"/>
            <w:hideMark/>
          </w:tcPr>
          <w:p w14:paraId="0ED7483E"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40.8</w:t>
            </w:r>
          </w:p>
        </w:tc>
        <w:tc>
          <w:tcPr>
            <w:tcW w:w="532" w:type="pct"/>
            <w:tcBorders>
              <w:top w:val="nil"/>
              <w:left w:val="nil"/>
              <w:bottom w:val="single" w:sz="4" w:space="0" w:color="000000" w:themeColor="text1"/>
              <w:right w:val="single" w:sz="4" w:space="0" w:color="000000" w:themeColor="text1"/>
            </w:tcBorders>
            <w:shd w:val="clear" w:color="auto" w:fill="auto"/>
            <w:vAlign w:val="center"/>
            <w:hideMark/>
          </w:tcPr>
          <w:p w14:paraId="73FB2CBE"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54.0</w:t>
            </w:r>
          </w:p>
        </w:tc>
        <w:tc>
          <w:tcPr>
            <w:tcW w:w="414" w:type="pct"/>
            <w:tcBorders>
              <w:top w:val="nil"/>
              <w:left w:val="nil"/>
              <w:bottom w:val="single" w:sz="4" w:space="0" w:color="000000" w:themeColor="text1"/>
              <w:right w:val="single" w:sz="4" w:space="0" w:color="000000" w:themeColor="text1"/>
            </w:tcBorders>
            <w:shd w:val="clear" w:color="auto" w:fill="auto"/>
            <w:vAlign w:val="center"/>
            <w:hideMark/>
          </w:tcPr>
          <w:p w14:paraId="05F05F8A"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67.2</w:t>
            </w:r>
          </w:p>
        </w:tc>
        <w:tc>
          <w:tcPr>
            <w:tcW w:w="366" w:type="pct"/>
            <w:tcBorders>
              <w:top w:val="nil"/>
              <w:left w:val="nil"/>
              <w:bottom w:val="single" w:sz="4" w:space="0" w:color="000000" w:themeColor="text1"/>
              <w:right w:val="single" w:sz="4" w:space="0" w:color="000000" w:themeColor="text1"/>
            </w:tcBorders>
            <w:shd w:val="clear" w:color="auto" w:fill="auto"/>
            <w:vAlign w:val="center"/>
            <w:hideMark/>
          </w:tcPr>
          <w:p w14:paraId="718DD937"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96.1</w:t>
            </w:r>
          </w:p>
        </w:tc>
      </w:tr>
      <w:tr w:rsidR="00FA7E89" w:rsidRPr="007E178A" w14:paraId="6EF56674" w14:textId="77777777" w:rsidTr="002E0CEC">
        <w:trPr>
          <w:trHeight w:val="284"/>
        </w:trPr>
        <w:tc>
          <w:tcPr>
            <w:tcW w:w="845" w:type="pc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62995820" w14:textId="77777777" w:rsidR="00FA7E89" w:rsidRPr="005D4433" w:rsidRDefault="00FA7E89" w:rsidP="002E0CEC">
            <w:pPr>
              <w:spacing w:after="0" w:line="240" w:lineRule="auto"/>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Bipolar</w:t>
            </w:r>
            <w:r>
              <w:rPr>
                <w:rFonts w:ascii="Calibri" w:eastAsia="Calibri,Times New Roman" w:hAnsi="Calibri" w:cs="Calibri,Times New Roman"/>
                <w:color w:val="000000" w:themeColor="text1"/>
                <w:sz w:val="20"/>
                <w:szCs w:val="20"/>
              </w:rPr>
              <w:t xml:space="preserve"> Disorder</w:t>
            </w:r>
            <w:r w:rsidRPr="005D4433">
              <w:rPr>
                <w:rFonts w:ascii="Calibri" w:eastAsia="Calibri,Times New Roman" w:hAnsi="Calibri" w:cs="Calibri,Times New Roman"/>
                <w:color w:val="000000" w:themeColor="text1"/>
                <w:sz w:val="20"/>
                <w:szCs w:val="20"/>
              </w:rPr>
              <w:t xml:space="preserve"> </w:t>
            </w:r>
          </w:p>
        </w:tc>
        <w:tc>
          <w:tcPr>
            <w:tcW w:w="356" w:type="pct"/>
            <w:tcBorders>
              <w:top w:val="nil"/>
              <w:left w:val="nil"/>
              <w:bottom w:val="single" w:sz="4" w:space="0" w:color="000000" w:themeColor="text1"/>
              <w:right w:val="single" w:sz="4" w:space="0" w:color="000000" w:themeColor="text1"/>
            </w:tcBorders>
            <w:shd w:val="clear" w:color="auto" w:fill="auto"/>
            <w:vAlign w:val="center"/>
            <w:hideMark/>
          </w:tcPr>
          <w:p w14:paraId="2FD6B392" w14:textId="77777777" w:rsidR="00FA7E89" w:rsidRPr="005D4433" w:rsidRDefault="00FA7E89" w:rsidP="002E0CEC">
            <w:pPr>
              <w:spacing w:after="0" w:line="240" w:lineRule="auto"/>
              <w:jc w:val="center"/>
              <w:rPr>
                <w:rFonts w:ascii="Calibri" w:eastAsia="Calibri,Times New Roman" w:hAnsi="Calibri" w:cs="Calibri,Times New Roman"/>
                <w:color w:val="000000" w:themeColor="text1"/>
                <w:sz w:val="20"/>
                <w:szCs w:val="20"/>
              </w:rPr>
            </w:pPr>
            <w:r w:rsidRPr="005D4433">
              <w:rPr>
                <w:rFonts w:ascii="Calibri" w:eastAsia="Calibri" w:hAnsi="Calibri" w:cs="Calibri"/>
                <w:color w:val="000000" w:themeColor="text1"/>
                <w:sz w:val="20"/>
                <w:szCs w:val="20"/>
              </w:rPr>
              <w:t>1,184</w:t>
            </w:r>
          </w:p>
        </w:tc>
        <w:tc>
          <w:tcPr>
            <w:tcW w:w="427" w:type="pct"/>
            <w:tcBorders>
              <w:top w:val="nil"/>
              <w:left w:val="nil"/>
              <w:bottom w:val="single" w:sz="4" w:space="0" w:color="000000" w:themeColor="text1"/>
              <w:right w:val="single" w:sz="4" w:space="0" w:color="000000" w:themeColor="text1"/>
            </w:tcBorders>
            <w:shd w:val="clear" w:color="auto" w:fill="auto"/>
            <w:vAlign w:val="center"/>
            <w:hideMark/>
          </w:tcPr>
          <w:p w14:paraId="5AB3A9C0"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27.4</w:t>
            </w:r>
          </w:p>
        </w:tc>
        <w:tc>
          <w:tcPr>
            <w:tcW w:w="329" w:type="pct"/>
            <w:tcBorders>
              <w:top w:val="nil"/>
              <w:left w:val="nil"/>
              <w:bottom w:val="single" w:sz="4" w:space="0" w:color="000000" w:themeColor="text1"/>
              <w:right w:val="single" w:sz="4" w:space="0" w:color="000000" w:themeColor="text1"/>
            </w:tcBorders>
            <w:shd w:val="clear" w:color="auto" w:fill="auto"/>
            <w:vAlign w:val="center"/>
            <w:hideMark/>
          </w:tcPr>
          <w:p w14:paraId="3984100E"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9.5</w:t>
            </w:r>
          </w:p>
        </w:tc>
        <w:tc>
          <w:tcPr>
            <w:tcW w:w="321" w:type="pct"/>
            <w:tcBorders>
              <w:top w:val="nil"/>
              <w:left w:val="nil"/>
              <w:bottom w:val="single" w:sz="4" w:space="0" w:color="000000" w:themeColor="text1"/>
              <w:right w:val="single" w:sz="4" w:space="0" w:color="000000" w:themeColor="text1"/>
            </w:tcBorders>
            <w:shd w:val="clear" w:color="auto" w:fill="auto"/>
            <w:vAlign w:val="center"/>
            <w:hideMark/>
          </w:tcPr>
          <w:p w14:paraId="1A68B2BE"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1.0</w:t>
            </w:r>
          </w:p>
        </w:tc>
        <w:tc>
          <w:tcPr>
            <w:tcW w:w="365" w:type="pct"/>
            <w:tcBorders>
              <w:top w:val="nil"/>
              <w:left w:val="nil"/>
              <w:bottom w:val="single" w:sz="4" w:space="0" w:color="000000" w:themeColor="text1"/>
              <w:right w:val="single" w:sz="4" w:space="0" w:color="000000" w:themeColor="text1"/>
            </w:tcBorders>
            <w:shd w:val="clear" w:color="auto" w:fill="auto"/>
            <w:vAlign w:val="center"/>
            <w:hideMark/>
          </w:tcPr>
          <w:p w14:paraId="3D9DEBB4"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15.7</w:t>
            </w:r>
          </w:p>
        </w:tc>
        <w:tc>
          <w:tcPr>
            <w:tcW w:w="536" w:type="pct"/>
            <w:tcBorders>
              <w:top w:val="nil"/>
              <w:left w:val="nil"/>
              <w:bottom w:val="single" w:sz="4" w:space="0" w:color="000000" w:themeColor="text1"/>
              <w:right w:val="single" w:sz="4" w:space="0" w:color="000000" w:themeColor="text1"/>
            </w:tcBorders>
            <w:shd w:val="clear" w:color="auto" w:fill="auto"/>
            <w:vAlign w:val="center"/>
            <w:hideMark/>
          </w:tcPr>
          <w:p w14:paraId="6E683992"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21.1</w:t>
            </w:r>
          </w:p>
        </w:tc>
        <w:tc>
          <w:tcPr>
            <w:tcW w:w="509" w:type="pct"/>
            <w:tcBorders>
              <w:top w:val="nil"/>
              <w:left w:val="nil"/>
              <w:bottom w:val="single" w:sz="4" w:space="0" w:color="000000" w:themeColor="text1"/>
              <w:right w:val="single" w:sz="4" w:space="0" w:color="000000" w:themeColor="text1"/>
            </w:tcBorders>
            <w:shd w:val="clear" w:color="auto" w:fill="auto"/>
            <w:vAlign w:val="center"/>
            <w:hideMark/>
          </w:tcPr>
          <w:p w14:paraId="2F75866F"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26.9</w:t>
            </w:r>
          </w:p>
        </w:tc>
        <w:tc>
          <w:tcPr>
            <w:tcW w:w="532" w:type="pct"/>
            <w:tcBorders>
              <w:top w:val="nil"/>
              <w:left w:val="nil"/>
              <w:bottom w:val="single" w:sz="4" w:space="0" w:color="000000" w:themeColor="text1"/>
              <w:right w:val="single" w:sz="4" w:space="0" w:color="000000" w:themeColor="text1"/>
            </w:tcBorders>
            <w:shd w:val="clear" w:color="auto" w:fill="auto"/>
            <w:vAlign w:val="center"/>
            <w:hideMark/>
          </w:tcPr>
          <w:p w14:paraId="4AB3157C"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33.3</w:t>
            </w:r>
          </w:p>
        </w:tc>
        <w:tc>
          <w:tcPr>
            <w:tcW w:w="414" w:type="pct"/>
            <w:tcBorders>
              <w:top w:val="nil"/>
              <w:left w:val="nil"/>
              <w:bottom w:val="single" w:sz="4" w:space="0" w:color="000000" w:themeColor="text1"/>
              <w:right w:val="single" w:sz="4" w:space="0" w:color="000000" w:themeColor="text1"/>
            </w:tcBorders>
            <w:shd w:val="clear" w:color="auto" w:fill="auto"/>
            <w:vAlign w:val="center"/>
            <w:hideMark/>
          </w:tcPr>
          <w:p w14:paraId="534C029F"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39.7</w:t>
            </w:r>
          </w:p>
        </w:tc>
        <w:tc>
          <w:tcPr>
            <w:tcW w:w="366" w:type="pct"/>
            <w:tcBorders>
              <w:top w:val="nil"/>
              <w:left w:val="nil"/>
              <w:bottom w:val="single" w:sz="4" w:space="0" w:color="000000" w:themeColor="text1"/>
              <w:right w:val="single" w:sz="4" w:space="0" w:color="000000" w:themeColor="text1"/>
            </w:tcBorders>
            <w:shd w:val="clear" w:color="auto" w:fill="auto"/>
            <w:vAlign w:val="center"/>
            <w:hideMark/>
          </w:tcPr>
          <w:p w14:paraId="260D8007" w14:textId="77777777" w:rsidR="00FA7E89" w:rsidRPr="005D4433" w:rsidRDefault="00FA7E89" w:rsidP="002E0CEC">
            <w:pPr>
              <w:spacing w:after="0" w:line="240" w:lineRule="auto"/>
              <w:jc w:val="center"/>
              <w:rPr>
                <w:rFonts w:ascii="Calibri" w:eastAsia="Times New Roman" w:hAnsi="Calibri" w:cs="Times New Roman"/>
                <w:color w:val="000000"/>
                <w:sz w:val="20"/>
                <w:szCs w:val="20"/>
              </w:rPr>
            </w:pPr>
            <w:r w:rsidRPr="005D4433">
              <w:rPr>
                <w:rFonts w:ascii="Calibri" w:hAnsi="Calibri"/>
                <w:color w:val="000000"/>
                <w:sz w:val="20"/>
                <w:szCs w:val="20"/>
              </w:rPr>
              <w:t>76.3</w:t>
            </w:r>
          </w:p>
        </w:tc>
      </w:tr>
    </w:tbl>
    <w:p w14:paraId="4405A2DF" w14:textId="3709FB97" w:rsidR="006D2C98" w:rsidRDefault="006D2C98" w:rsidP="00DB3627">
      <w:pPr>
        <w:autoSpaceDE w:val="0"/>
        <w:autoSpaceDN w:val="0"/>
        <w:adjustRightInd w:val="0"/>
        <w:spacing w:after="0" w:line="240" w:lineRule="auto"/>
        <w:rPr>
          <w:rFonts w:cstheme="minorHAnsi"/>
          <w:bCs/>
        </w:rPr>
      </w:pPr>
    </w:p>
    <w:p w14:paraId="150593F8" w14:textId="77777777" w:rsidR="00FA7E89" w:rsidRDefault="00FA7E89" w:rsidP="00DB3627">
      <w:pPr>
        <w:autoSpaceDE w:val="0"/>
        <w:autoSpaceDN w:val="0"/>
        <w:adjustRightInd w:val="0"/>
        <w:spacing w:after="0" w:line="240" w:lineRule="auto"/>
        <w:rPr>
          <w:rFonts w:cstheme="minorHAnsi"/>
          <w:bCs/>
        </w:rPr>
      </w:pPr>
    </w:p>
    <w:p w14:paraId="0CABCFCA" w14:textId="10498D80"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1CC132F3" w14:textId="77777777" w:rsidR="00F777FD" w:rsidRDefault="00F777FD" w:rsidP="00E37E1B">
      <w:pPr>
        <w:autoSpaceDE w:val="0"/>
        <w:autoSpaceDN w:val="0"/>
        <w:adjustRightInd w:val="0"/>
        <w:spacing w:after="0" w:line="240" w:lineRule="auto"/>
        <w:rPr>
          <w:rFonts w:cstheme="minorHAnsi"/>
          <w:bCs/>
          <w:color w:val="FF0000"/>
        </w:rPr>
      </w:pPr>
    </w:p>
    <w:p w14:paraId="4169AF10" w14:textId="146B5BA0" w:rsidR="00B22706" w:rsidRDefault="00911FA4" w:rsidP="00E37E1B">
      <w:pPr>
        <w:autoSpaceDE w:val="0"/>
        <w:autoSpaceDN w:val="0"/>
        <w:adjustRightInd w:val="0"/>
        <w:spacing w:after="0" w:line="240" w:lineRule="auto"/>
        <w:rPr>
          <w:rFonts w:cstheme="minorHAnsi"/>
          <w:bCs/>
          <w:color w:val="FF0000"/>
        </w:rPr>
      </w:pPr>
      <w:r>
        <w:rPr>
          <w:rFonts w:cstheme="minorHAnsi"/>
          <w:bCs/>
          <w:color w:val="FF0000"/>
        </w:rPr>
        <w:t>Not applicable.</w:t>
      </w:r>
    </w:p>
    <w:p w14:paraId="67398DD5" w14:textId="2603234F" w:rsidR="00FA7E89" w:rsidRDefault="00FA7E89" w:rsidP="00E37E1B">
      <w:pPr>
        <w:autoSpaceDE w:val="0"/>
        <w:autoSpaceDN w:val="0"/>
        <w:adjustRightInd w:val="0"/>
        <w:spacing w:after="0" w:line="240" w:lineRule="auto"/>
        <w:rPr>
          <w:rFonts w:cstheme="minorHAnsi"/>
          <w:bCs/>
          <w:color w:val="FF0000"/>
        </w:rPr>
      </w:pPr>
    </w:p>
    <w:p w14:paraId="63840AEF" w14:textId="0F49D0DF" w:rsidR="00FA7E89" w:rsidRDefault="00FA7E89" w:rsidP="00FA7E89">
      <w:pPr>
        <w:autoSpaceDE w:val="0"/>
        <w:autoSpaceDN w:val="0"/>
        <w:adjustRightInd w:val="0"/>
        <w:spacing w:after="0" w:line="240" w:lineRule="auto"/>
        <w:contextualSpacing/>
        <w:rPr>
          <w:color w:val="0000FF"/>
        </w:rPr>
      </w:pPr>
      <w:r w:rsidRPr="00F84DA3">
        <w:rPr>
          <w:color w:val="0000FF"/>
          <w:szCs w:val="24"/>
        </w:rPr>
        <w:t xml:space="preserve">Most data analysis was conducted in claims data. As noted in Section 1.5, alpha testing data from medical record review at two sites helped to inform the measure specifications. </w:t>
      </w:r>
      <w:r w:rsidRPr="00F84DA3">
        <w:rPr>
          <w:color w:val="0000FF"/>
        </w:rPr>
        <w:t>Medical records for 166 discharges were abstracted by two clinicians.</w:t>
      </w:r>
    </w:p>
    <w:p w14:paraId="1DDEB801" w14:textId="77777777" w:rsidR="00FA7E89" w:rsidRPr="00F84DA3" w:rsidRDefault="00FA7E89" w:rsidP="00FA7E89">
      <w:pPr>
        <w:autoSpaceDE w:val="0"/>
        <w:autoSpaceDN w:val="0"/>
        <w:adjustRightInd w:val="0"/>
        <w:spacing w:after="0" w:line="240" w:lineRule="auto"/>
        <w:contextualSpacing/>
        <w:rPr>
          <w:color w:val="0000FF"/>
          <w:szCs w:val="24"/>
        </w:rPr>
      </w:pPr>
    </w:p>
    <w:p w14:paraId="5BA45055" w14:textId="05AF5E23" w:rsidR="00FA7E89" w:rsidRDefault="00FA7E89" w:rsidP="00FA7E89">
      <w:pPr>
        <w:spacing w:before="60" w:after="120" w:line="240" w:lineRule="auto"/>
        <w:contextualSpacing/>
        <w:rPr>
          <w:color w:val="0000FF"/>
        </w:rPr>
      </w:pPr>
      <w:r w:rsidRPr="00F84DA3">
        <w:rPr>
          <w:color w:val="0000FF"/>
        </w:rPr>
        <w:t>The field testing that informed the validity of key data elements was conducted by two nurses at each facility. Each nurse abstracted medical records for 75 discharges each for a total of 150. Twenty percent of each nurse’s discharges were randomly selected and assigned to the other nurse abstractor to assess the reliability of the nurse abstractions. Additionally, two clinicians per facility reviewed a sub-sample (10 percent) of the medical records of the 150 discharges to determine the validity of the principal diagnosis, based on information contained in the record. Fifty percent of each clinician’s discharges were randomly selected and assigned to the other clinician abstractor to assess the reliability of the clinician abstractions. Reliability scores between the two clinicians were calculated.</w:t>
      </w:r>
    </w:p>
    <w:p w14:paraId="33BB15CB" w14:textId="77777777" w:rsidR="00FA7E89" w:rsidRPr="00F84DA3" w:rsidRDefault="00FA7E89" w:rsidP="00FA7E89">
      <w:pPr>
        <w:spacing w:before="60" w:after="120" w:line="240" w:lineRule="auto"/>
        <w:contextualSpacing/>
        <w:rPr>
          <w:color w:val="0000FF"/>
        </w:rPr>
      </w:pPr>
    </w:p>
    <w:p w14:paraId="17F62740" w14:textId="2B3FE59D" w:rsidR="00FA7E89" w:rsidRDefault="00FA7E89" w:rsidP="00FA7E89">
      <w:pPr>
        <w:spacing w:before="60" w:after="120" w:line="240" w:lineRule="auto"/>
        <w:contextualSpacing/>
        <w:rPr>
          <w:color w:val="0000FF"/>
        </w:rPr>
      </w:pPr>
      <w:r w:rsidRPr="00F84DA3">
        <w:rPr>
          <w:color w:val="0000FF"/>
        </w:rPr>
        <w:t>At the start of testing, each test site received a one-hour training by HSAG on the abstraction instructions and process and a one-hour follow-up meeting after review of the first 10 medical records to provide clarifications, if needed.</w:t>
      </w:r>
    </w:p>
    <w:p w14:paraId="4D587BD8" w14:textId="77777777" w:rsidR="00FA7E89" w:rsidRDefault="00FA7E89" w:rsidP="00FA7E89">
      <w:pPr>
        <w:spacing w:before="60" w:after="120" w:line="240" w:lineRule="auto"/>
        <w:contextualSpacing/>
        <w:rPr>
          <w:color w:val="0000FF"/>
        </w:rPr>
      </w:pPr>
    </w:p>
    <w:p w14:paraId="36BE84FE" w14:textId="7F1306BB" w:rsidR="00FA7E89" w:rsidRPr="0075066F" w:rsidRDefault="00FA7E89" w:rsidP="00FA7E89">
      <w:pPr>
        <w:spacing w:before="60" w:after="120" w:line="240" w:lineRule="auto"/>
        <w:contextualSpacing/>
        <w:rPr>
          <w:color w:val="0000FF"/>
        </w:rPr>
      </w:pPr>
      <w:r w:rsidRPr="00F84DA3">
        <w:rPr>
          <w:color w:val="0000FF"/>
        </w:rPr>
        <w:t xml:space="preserve">The abstraction tool that was used by all field testing sites is provided in the measure technical report in the supplemental materials. </w:t>
      </w:r>
    </w:p>
    <w:p w14:paraId="616E6776" w14:textId="77777777" w:rsidR="00FA7E89" w:rsidRPr="00F32679" w:rsidRDefault="00FA7E89" w:rsidP="00E37E1B">
      <w:pPr>
        <w:autoSpaceDE w:val="0"/>
        <w:autoSpaceDN w:val="0"/>
        <w:adjustRightInd w:val="0"/>
        <w:spacing w:after="0" w:line="240" w:lineRule="auto"/>
        <w:rPr>
          <w:rFonts w:cstheme="minorHAnsi"/>
          <w:bCs/>
          <w:color w:val="FF0000"/>
        </w:rPr>
      </w:pPr>
    </w:p>
    <w:p w14:paraId="0CABCFCB" w14:textId="77777777" w:rsidR="00E37E1B" w:rsidRDefault="00E37E1B" w:rsidP="00E37E1B">
      <w:pPr>
        <w:autoSpaceDE w:val="0"/>
        <w:autoSpaceDN w:val="0"/>
        <w:adjustRightInd w:val="0"/>
        <w:spacing w:after="0" w:line="240" w:lineRule="auto"/>
        <w:rPr>
          <w:rFonts w:cstheme="minorHAnsi"/>
          <w:bCs/>
        </w:rPr>
      </w:pPr>
    </w:p>
    <w:p w14:paraId="0CABCFCC" w14:textId="7824D2B1"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277E5A26" w14:textId="77777777" w:rsidR="00F777FD" w:rsidRDefault="00F777FD" w:rsidP="00E37E1B">
      <w:pPr>
        <w:autoSpaceDE w:val="0"/>
        <w:autoSpaceDN w:val="0"/>
        <w:adjustRightInd w:val="0"/>
        <w:spacing w:after="0" w:line="240" w:lineRule="auto"/>
        <w:rPr>
          <w:rFonts w:cstheme="minorHAnsi"/>
          <w:bCs/>
          <w:color w:val="FF0000"/>
        </w:rPr>
      </w:pPr>
    </w:p>
    <w:p w14:paraId="779D3016" w14:textId="1AA95A15" w:rsidR="00FA7E89" w:rsidRDefault="00445614" w:rsidP="00E37E1B">
      <w:pPr>
        <w:autoSpaceDE w:val="0"/>
        <w:autoSpaceDN w:val="0"/>
        <w:adjustRightInd w:val="0"/>
        <w:spacing w:after="0" w:line="240" w:lineRule="auto"/>
        <w:rPr>
          <w:rFonts w:cstheme="minorHAnsi"/>
          <w:bCs/>
          <w:color w:val="FF0000"/>
        </w:rPr>
      </w:pPr>
      <w:r w:rsidRPr="00F32679">
        <w:rPr>
          <w:rFonts w:cstheme="minorHAnsi"/>
          <w:bCs/>
          <w:color w:val="FF0000"/>
        </w:rPr>
        <w:t>As described in section 1.6, the following variables are collected with claims data: gender, age, race, and payer. This measure is based on a process that should be carried out for all patients (except those excluded), so no adjustment for patient mix is necessary</w:t>
      </w:r>
      <w:r w:rsidR="00AE57CB" w:rsidRPr="00F32679">
        <w:rPr>
          <w:rFonts w:cstheme="minorHAnsi"/>
          <w:bCs/>
          <w:color w:val="FF0000"/>
        </w:rPr>
        <w:t>.</w:t>
      </w:r>
    </w:p>
    <w:p w14:paraId="1F8D79A8" w14:textId="77777777" w:rsidR="00FA7E89" w:rsidRDefault="00FA7E89" w:rsidP="00E37E1B">
      <w:pPr>
        <w:autoSpaceDE w:val="0"/>
        <w:autoSpaceDN w:val="0"/>
        <w:adjustRightInd w:val="0"/>
        <w:spacing w:after="0" w:line="240" w:lineRule="auto"/>
        <w:rPr>
          <w:rFonts w:cstheme="minorHAnsi"/>
          <w:bCs/>
          <w:color w:val="FF0000"/>
        </w:rPr>
      </w:pPr>
    </w:p>
    <w:p w14:paraId="711AE2D9" w14:textId="68F63F82" w:rsidR="00FA7E89" w:rsidRPr="00955FDF" w:rsidRDefault="00FA7E89" w:rsidP="00FA7E89">
      <w:pPr>
        <w:autoSpaceDE w:val="0"/>
        <w:autoSpaceDN w:val="0"/>
        <w:adjustRightInd w:val="0"/>
        <w:spacing w:before="60" w:after="120" w:line="240" w:lineRule="auto"/>
        <w:rPr>
          <w:color w:val="0000FF"/>
        </w:rPr>
      </w:pPr>
      <w:r>
        <w:rPr>
          <w:color w:val="0000FF"/>
        </w:rPr>
        <w:t>Not applicable</w:t>
      </w:r>
      <w:r w:rsidR="00B757E3">
        <w:rPr>
          <w:color w:val="0000FF"/>
        </w:rPr>
        <w:t>. T</w:t>
      </w:r>
      <w:r>
        <w:rPr>
          <w:color w:val="0000FF"/>
        </w:rPr>
        <w:t xml:space="preserve">he </w:t>
      </w:r>
      <w:r w:rsidRPr="00955FDF">
        <w:rPr>
          <w:color w:val="0000FF"/>
        </w:rPr>
        <w:t>measure is not risk</w:t>
      </w:r>
      <w:r w:rsidR="00B757E3">
        <w:rPr>
          <w:color w:val="0000FF"/>
        </w:rPr>
        <w:t>-</w:t>
      </w:r>
      <w:r w:rsidRPr="00955FDF">
        <w:rPr>
          <w:color w:val="0000FF"/>
        </w:rPr>
        <w:t>adjusted or stratified.</w:t>
      </w:r>
    </w:p>
    <w:p w14:paraId="0CABCFCD" w14:textId="1180F72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175B48C5"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E342D3">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677474D4" w14:textId="2CCFA379" w:rsidR="00445614" w:rsidRPr="00F32679" w:rsidRDefault="00445614" w:rsidP="00290410">
      <w:pPr>
        <w:pStyle w:val="NormalSS"/>
        <w:spacing w:before="240"/>
        <w:ind w:firstLine="0"/>
        <w:rPr>
          <w:rFonts w:asciiTheme="minorHAnsi" w:hAnsiTheme="minorHAnsi" w:cstheme="minorHAnsi"/>
          <w:color w:val="FF0000"/>
          <w:sz w:val="22"/>
          <w:szCs w:val="22"/>
        </w:rPr>
      </w:pPr>
      <w:r w:rsidRPr="00F32679">
        <w:rPr>
          <w:rFonts w:asciiTheme="minorHAnsi" w:hAnsiTheme="minorHAnsi" w:cstheme="minorHAnsi"/>
          <w:b/>
          <w:color w:val="FF0000"/>
          <w:sz w:val="22"/>
          <w:szCs w:val="22"/>
        </w:rPr>
        <w:t xml:space="preserve">Signal-to-noise reliability. </w:t>
      </w:r>
      <w:r w:rsidRPr="00F32679">
        <w:rPr>
          <w:rFonts w:asciiTheme="minorHAnsi" w:hAnsiTheme="minorHAnsi" w:cstheme="minorHAnsi"/>
          <w:color w:val="FF0000"/>
          <w:sz w:val="22"/>
          <w:szCs w:val="22"/>
        </w:rPr>
        <w:t>The signal-to-noise (SNR) statistic, R (ranging from 0 to 1), summarizes the proportion of the variation between facility scores on a measure that is due to real differences in underlying facility characteristics (such as differences in medical care) as opposed to background-level or random variation (for example, due to measurement or sampling error). If R</w:t>
      </w:r>
      <w:r w:rsidR="00911FA4">
        <w:rPr>
          <w:rFonts w:asciiTheme="minorHAnsi" w:hAnsiTheme="minorHAnsi" w:cstheme="minorHAnsi"/>
          <w:color w:val="FF0000"/>
          <w:sz w:val="22"/>
          <w:szCs w:val="22"/>
        </w:rPr>
        <w:t xml:space="preserve"> </w:t>
      </w:r>
      <w:r w:rsidRPr="00F32679">
        <w:rPr>
          <w:rFonts w:asciiTheme="minorHAnsi" w:hAnsiTheme="minorHAnsi" w:cstheme="minorHAnsi"/>
          <w:color w:val="FF0000"/>
          <w:sz w:val="22"/>
          <w:szCs w:val="22"/>
        </w:rPr>
        <w:t>=</w:t>
      </w:r>
      <w:r w:rsidR="00911FA4">
        <w:rPr>
          <w:rFonts w:asciiTheme="minorHAnsi" w:hAnsiTheme="minorHAnsi" w:cstheme="minorHAnsi"/>
          <w:color w:val="FF0000"/>
          <w:sz w:val="22"/>
          <w:szCs w:val="22"/>
        </w:rPr>
        <w:t xml:space="preserve"> </w:t>
      </w:r>
      <w:r w:rsidRPr="00F32679">
        <w:rPr>
          <w:rFonts w:asciiTheme="minorHAnsi" w:hAnsiTheme="minorHAnsi" w:cstheme="minorHAnsi"/>
          <w:color w:val="FF0000"/>
          <w:sz w:val="22"/>
          <w:szCs w:val="22"/>
        </w:rPr>
        <w:t>0, all observed variation is due to sampling error. In this case, the measure is not useful to distinguish between entities with respect to healthcare quality. Conversely, if R</w:t>
      </w:r>
      <w:r w:rsidR="00911FA4">
        <w:rPr>
          <w:rFonts w:asciiTheme="minorHAnsi" w:hAnsiTheme="minorHAnsi" w:cstheme="minorHAnsi"/>
          <w:color w:val="FF0000"/>
          <w:sz w:val="22"/>
          <w:szCs w:val="22"/>
        </w:rPr>
        <w:t xml:space="preserve"> </w:t>
      </w:r>
      <w:r w:rsidRPr="00F32679">
        <w:rPr>
          <w:rFonts w:asciiTheme="minorHAnsi" w:hAnsiTheme="minorHAnsi" w:cstheme="minorHAnsi"/>
          <w:color w:val="FF0000"/>
          <w:sz w:val="22"/>
          <w:szCs w:val="22"/>
        </w:rPr>
        <w:t>=</w:t>
      </w:r>
      <w:r w:rsidR="00911FA4">
        <w:rPr>
          <w:rFonts w:asciiTheme="minorHAnsi" w:hAnsiTheme="minorHAnsi" w:cstheme="minorHAnsi"/>
          <w:color w:val="FF0000"/>
          <w:sz w:val="22"/>
          <w:szCs w:val="22"/>
        </w:rPr>
        <w:t xml:space="preserve"> </w:t>
      </w:r>
      <w:r w:rsidRPr="00F32679">
        <w:rPr>
          <w:rFonts w:asciiTheme="minorHAnsi" w:hAnsiTheme="minorHAnsi" w:cstheme="minorHAnsi"/>
          <w:color w:val="FF0000"/>
          <w:sz w:val="22"/>
          <w:szCs w:val="22"/>
        </w:rPr>
        <w:t xml:space="preserve">1, all entity scores are free of sampling error, and all variation represents real differences between entities in the measure result. </w:t>
      </w:r>
    </w:p>
    <w:p w14:paraId="79B2E851" w14:textId="0B92E432" w:rsidR="00445614" w:rsidRPr="00F32679" w:rsidRDefault="00445614" w:rsidP="00290410">
      <w:pPr>
        <w:pStyle w:val="NormalSS"/>
        <w:spacing w:before="240"/>
        <w:ind w:firstLine="0"/>
        <w:rPr>
          <w:rFonts w:asciiTheme="minorHAnsi" w:hAnsiTheme="minorHAnsi" w:cstheme="minorHAnsi"/>
          <w:color w:val="FF0000"/>
          <w:sz w:val="22"/>
          <w:szCs w:val="22"/>
        </w:rPr>
      </w:pPr>
      <w:r w:rsidRPr="00F32679">
        <w:rPr>
          <w:rFonts w:asciiTheme="minorHAnsi" w:hAnsiTheme="minorHAnsi" w:cstheme="minorHAnsi"/>
          <w:color w:val="FF0000"/>
          <w:sz w:val="22"/>
          <w:szCs w:val="22"/>
        </w:rPr>
        <w:t xml:space="preserve">We estimated SNR reliability for the </w:t>
      </w:r>
      <w:r w:rsidR="00786C61">
        <w:rPr>
          <w:rFonts w:asciiTheme="minorHAnsi" w:hAnsiTheme="minorHAnsi" w:cstheme="minorHAnsi"/>
          <w:color w:val="FF0000"/>
          <w:sz w:val="22"/>
          <w:szCs w:val="22"/>
        </w:rPr>
        <w:t>Medication Continuation</w:t>
      </w:r>
      <w:r w:rsidRPr="00F32679">
        <w:rPr>
          <w:rFonts w:asciiTheme="minorHAnsi" w:hAnsiTheme="minorHAnsi" w:cstheme="minorHAnsi"/>
          <w:color w:val="FF0000"/>
          <w:sz w:val="22"/>
          <w:szCs w:val="22"/>
        </w:rPr>
        <w:t xml:space="preserve"> measure in three steps (Adams 2009; Adams 2014; NQF 2016). First, we calculated facility-specific </w:t>
      </w:r>
      <w:r w:rsidR="00786C61">
        <w:rPr>
          <w:rFonts w:asciiTheme="minorHAnsi" w:hAnsiTheme="minorHAnsi" w:cstheme="minorHAnsi"/>
          <w:color w:val="FF0000"/>
          <w:sz w:val="22"/>
          <w:szCs w:val="22"/>
        </w:rPr>
        <w:t>Medication Continuation</w:t>
      </w:r>
      <w:r w:rsidRPr="00F32679">
        <w:rPr>
          <w:rFonts w:asciiTheme="minorHAnsi" w:hAnsiTheme="minorHAnsi" w:cstheme="minorHAnsi"/>
          <w:color w:val="FF0000"/>
          <w:sz w:val="22"/>
          <w:szCs w:val="22"/>
        </w:rPr>
        <w:t xml:space="preserve"> variance (“noise”) as a function of the rate at </w:t>
      </w:r>
      <w:r w:rsidR="00301D0D">
        <w:rPr>
          <w:rFonts w:asciiTheme="minorHAnsi" w:hAnsiTheme="minorHAnsi" w:cstheme="minorHAnsi"/>
          <w:color w:val="FF0000"/>
          <w:sz w:val="22"/>
          <w:szCs w:val="22"/>
        </w:rPr>
        <w:t xml:space="preserve">each </w:t>
      </w:r>
      <w:r w:rsidRPr="00F32679">
        <w:rPr>
          <w:rFonts w:asciiTheme="minorHAnsi" w:hAnsiTheme="minorHAnsi" w:cstheme="minorHAnsi"/>
          <w:color w:val="FF0000"/>
          <w:sz w:val="22"/>
          <w:szCs w:val="22"/>
        </w:rPr>
        <w:t xml:space="preserve">facility and the facility sample size (number of discharges from that facility), </w:t>
      </w:r>
      <w:r w:rsidRPr="00F32679">
        <w:rPr>
          <w:rFonts w:asciiTheme="minorHAnsi" w:hAnsiTheme="minorHAnsi" w:cstheme="minorHAnsi"/>
          <w:i/>
          <w:color w:val="FF0000"/>
          <w:sz w:val="22"/>
          <w:szCs w:val="22"/>
        </w:rPr>
        <w:t>n</w:t>
      </w:r>
      <w:r w:rsidRPr="00F32679">
        <w:rPr>
          <w:rFonts w:asciiTheme="minorHAnsi" w:hAnsiTheme="minorHAnsi" w:cstheme="minorHAnsi"/>
          <w:color w:val="FF0000"/>
          <w:sz w:val="22"/>
          <w:szCs w:val="22"/>
        </w:rPr>
        <w:t>:</w:t>
      </w:r>
    </w:p>
    <w:p w14:paraId="5F875C91" w14:textId="77777777" w:rsidR="00445614" w:rsidRPr="00F32679" w:rsidRDefault="00BF1DD7" w:rsidP="00445614">
      <w:pPr>
        <w:pStyle w:val="ListParagraph"/>
        <w:autoSpaceDE w:val="0"/>
        <w:autoSpaceDN w:val="0"/>
        <w:adjustRightInd w:val="0"/>
        <w:spacing w:after="0" w:line="240" w:lineRule="auto"/>
        <w:ind w:left="0"/>
        <w:jc w:val="center"/>
        <w:rPr>
          <w:rFonts w:ascii="TimesNewRomanPS-ItalicMT" w:hAnsi="TimesNewRomanPS-ItalicMT" w:cs="TimesNewRomanPS-ItalicMT"/>
          <w:iCs/>
          <w:color w:val="FF0000"/>
          <w:sz w:val="20"/>
          <w:szCs w:val="20"/>
        </w:rPr>
      </w:pPr>
      <m:oMath>
        <m:sSubSup>
          <m:sSubSupPr>
            <m:ctrlPr>
              <w:rPr>
                <w:rFonts w:ascii="Cambria Math" w:hAnsi="Cambria Math" w:cs="TimesNewRomanPS-ItalicMT"/>
                <w:i/>
                <w:iCs/>
                <w:color w:val="FF0000"/>
                <w:sz w:val="20"/>
                <w:szCs w:val="20"/>
              </w:rPr>
            </m:ctrlPr>
          </m:sSubSupPr>
          <m:e>
            <m:r>
              <w:rPr>
                <w:rFonts w:ascii="Cambria Math" w:hAnsi="Cambria Math" w:cs="TimesNewRomanPS-ItalicMT"/>
                <w:color w:val="FF0000"/>
                <w:sz w:val="20"/>
                <w:szCs w:val="20"/>
              </w:rPr>
              <m:t>σ</m:t>
            </m:r>
          </m:e>
          <m:sub>
            <m:r>
              <w:rPr>
                <w:rFonts w:ascii="Cambria Math" w:hAnsi="Cambria Math" w:cs="TimesNewRomanPS-ItalicMT"/>
                <w:color w:val="FF0000"/>
                <w:sz w:val="20"/>
                <w:szCs w:val="20"/>
              </w:rPr>
              <m:t>within</m:t>
            </m:r>
          </m:sub>
          <m:sup>
            <m:r>
              <w:rPr>
                <w:rFonts w:ascii="Cambria Math" w:hAnsi="Cambria Math" w:cs="TimesNewRomanPS-ItalicMT"/>
                <w:color w:val="FF0000"/>
                <w:sz w:val="20"/>
                <w:szCs w:val="20"/>
              </w:rPr>
              <m:t>2</m:t>
            </m:r>
          </m:sup>
        </m:sSubSup>
        <m:r>
          <w:rPr>
            <w:rFonts w:ascii="Cambria Math" w:hAnsi="Cambria Math" w:cs="TimesNewRomanPS-ItalicMT"/>
            <w:color w:val="FF0000"/>
            <w:sz w:val="20"/>
            <w:szCs w:val="20"/>
          </w:rPr>
          <m:t>=</m:t>
        </m:r>
        <m:f>
          <m:fPr>
            <m:ctrlPr>
              <w:rPr>
                <w:rFonts w:ascii="Cambria Math" w:hAnsi="Cambria Math"/>
                <w:i/>
                <w:color w:val="FF0000"/>
                <w:sz w:val="20"/>
                <w:szCs w:val="20"/>
              </w:rPr>
            </m:ctrlPr>
          </m:fPr>
          <m:num>
            <m:acc>
              <m:accPr>
                <m:ctrlPr>
                  <w:rPr>
                    <w:rFonts w:ascii="Cambria Math" w:hAnsi="Cambria Math"/>
                    <w:i/>
                    <w:color w:val="FF0000"/>
                    <w:sz w:val="20"/>
                    <w:szCs w:val="20"/>
                  </w:rPr>
                </m:ctrlPr>
              </m:accPr>
              <m:e>
                <m:r>
                  <w:rPr>
                    <w:rFonts w:ascii="Cambria Math" w:hAnsi="Cambria Math"/>
                    <w:color w:val="FF0000"/>
                    <w:sz w:val="20"/>
                    <w:szCs w:val="20"/>
                  </w:rPr>
                  <m:t>p</m:t>
                </m:r>
              </m:e>
            </m:acc>
            <m:r>
              <w:rPr>
                <w:rFonts w:ascii="Cambria Math" w:hAnsi="Cambria Math"/>
                <w:color w:val="FF0000"/>
                <w:sz w:val="20"/>
                <w:szCs w:val="20"/>
              </w:rPr>
              <m:t>(1-</m:t>
            </m:r>
            <m:acc>
              <m:accPr>
                <m:ctrlPr>
                  <w:rPr>
                    <w:rFonts w:ascii="Cambria Math" w:hAnsi="Cambria Math"/>
                    <w:i/>
                    <w:color w:val="FF0000"/>
                    <w:sz w:val="20"/>
                    <w:szCs w:val="20"/>
                  </w:rPr>
                </m:ctrlPr>
              </m:accPr>
              <m:e>
                <m:r>
                  <w:rPr>
                    <w:rFonts w:ascii="Cambria Math" w:hAnsi="Cambria Math"/>
                    <w:color w:val="FF0000"/>
                    <w:sz w:val="20"/>
                    <w:szCs w:val="20"/>
                  </w:rPr>
                  <m:t>p</m:t>
                </m:r>
              </m:e>
            </m:acc>
            <m:r>
              <w:rPr>
                <w:rFonts w:ascii="Cambria Math" w:hAnsi="Cambria Math"/>
                <w:color w:val="FF0000"/>
                <w:sz w:val="20"/>
                <w:szCs w:val="20"/>
              </w:rPr>
              <m:t>)</m:t>
            </m:r>
          </m:num>
          <m:den>
            <m:r>
              <w:rPr>
                <w:rFonts w:ascii="Cambria Math" w:hAnsi="Cambria Math"/>
                <w:color w:val="FF0000"/>
                <w:sz w:val="20"/>
                <w:szCs w:val="20"/>
              </w:rPr>
              <m:t>n</m:t>
            </m:r>
          </m:den>
        </m:f>
      </m:oMath>
      <w:r w:rsidR="00445614" w:rsidRPr="00F32679">
        <w:rPr>
          <w:rFonts w:ascii="TimesNewRomanPS-ItalicMT" w:hAnsi="TimesNewRomanPS-ItalicMT" w:cs="TimesNewRomanPS-ItalicMT"/>
          <w:color w:val="FF0000"/>
          <w:sz w:val="20"/>
          <w:szCs w:val="20"/>
        </w:rPr>
        <w:t xml:space="preserve"> (1);</w:t>
      </w:r>
    </w:p>
    <w:p w14:paraId="66F70B4D" w14:textId="21497A3D" w:rsidR="00445614" w:rsidRPr="00F32679" w:rsidRDefault="00445614" w:rsidP="00445614">
      <w:pPr>
        <w:spacing w:before="240" w:after="240" w:line="240" w:lineRule="auto"/>
        <w:rPr>
          <w:color w:val="FF0000"/>
        </w:rPr>
      </w:pPr>
      <w:r w:rsidRPr="00F32679">
        <w:rPr>
          <w:color w:val="FF0000"/>
        </w:rPr>
        <w:t xml:space="preserve">Second, we used version 2.2 of the BETABIN SAS macro written by Wakeling to fit the beta-binomial model to the </w:t>
      </w:r>
      <w:r w:rsidR="00786C61">
        <w:rPr>
          <w:color w:val="FF0000"/>
        </w:rPr>
        <w:t xml:space="preserve">Medication Continuation </w:t>
      </w:r>
      <w:r w:rsidRPr="00F32679">
        <w:rPr>
          <w:color w:val="FF0000"/>
        </w:rPr>
        <w:t>dataset (Wakeling n/d). The macro produced the estimated average pass rate across all facilities, as well as the Alpha (</w:t>
      </w:r>
      <m:oMath>
        <m:r>
          <w:rPr>
            <w:rFonts w:ascii="Cambria Math" w:hAnsi="Cambria Math"/>
            <w:color w:val="FF0000"/>
          </w:rPr>
          <m:t>α</m:t>
        </m:r>
      </m:oMath>
      <w:r w:rsidRPr="00F32679">
        <w:rPr>
          <w:color w:val="FF0000"/>
        </w:rPr>
        <w:t>) and Beta (</w:t>
      </w:r>
      <m:oMath>
        <m:r>
          <w:rPr>
            <w:rFonts w:ascii="Cambria Math" w:hAnsi="Cambria Math"/>
            <w:color w:val="FF0000"/>
          </w:rPr>
          <m:t>β</m:t>
        </m:r>
      </m:oMath>
      <w:r w:rsidRPr="00F32679">
        <w:rPr>
          <w:color w:val="FF0000"/>
        </w:rPr>
        <w:t xml:space="preserve">) parameters that describe the shape of the fitted beta-binomial distribution. We calculated the “signal” (between-facility variation on the </w:t>
      </w:r>
      <w:r w:rsidR="00786C61">
        <w:rPr>
          <w:color w:val="FF0000"/>
        </w:rPr>
        <w:t xml:space="preserve">Medication Continuation </w:t>
      </w:r>
      <w:r w:rsidRPr="00F32679">
        <w:rPr>
          <w:color w:val="FF0000"/>
        </w:rPr>
        <w:t>measure) using these parameters:</w:t>
      </w:r>
    </w:p>
    <w:p w14:paraId="2E798701" w14:textId="77777777" w:rsidR="00445614" w:rsidRPr="00F32679" w:rsidRDefault="00BF1DD7" w:rsidP="00445614">
      <w:pPr>
        <w:pStyle w:val="ListParagraph"/>
        <w:autoSpaceDE w:val="0"/>
        <w:autoSpaceDN w:val="0"/>
        <w:adjustRightInd w:val="0"/>
        <w:spacing w:before="240" w:after="240" w:line="240" w:lineRule="auto"/>
        <w:ind w:left="360"/>
        <w:jc w:val="center"/>
        <w:rPr>
          <w:color w:val="FF0000"/>
          <w:sz w:val="20"/>
          <w:szCs w:val="20"/>
        </w:rPr>
      </w:pPr>
      <m:oMath>
        <m:sSubSup>
          <m:sSubSupPr>
            <m:ctrlPr>
              <w:rPr>
                <w:rFonts w:ascii="Cambria Math" w:hAnsi="Cambria Math"/>
                <w:i/>
                <w:color w:val="FF0000"/>
                <w:sz w:val="20"/>
                <w:szCs w:val="20"/>
              </w:rPr>
            </m:ctrlPr>
          </m:sSubSupPr>
          <m:e>
            <m:r>
              <w:rPr>
                <w:rFonts w:ascii="Cambria Math" w:hAnsi="Cambria Math"/>
                <w:color w:val="FF0000"/>
                <w:sz w:val="20"/>
                <w:szCs w:val="20"/>
              </w:rPr>
              <m:t>σ</m:t>
            </m:r>
          </m:e>
          <m:sub>
            <m:r>
              <w:rPr>
                <w:rFonts w:ascii="Cambria Math" w:hAnsi="Cambria Math"/>
                <w:color w:val="FF0000"/>
                <w:sz w:val="20"/>
                <w:szCs w:val="20"/>
              </w:rPr>
              <m:t xml:space="preserve">between </m:t>
            </m:r>
          </m:sub>
          <m:sup>
            <m:r>
              <w:rPr>
                <w:rFonts w:ascii="Cambria Math" w:hAnsi="Cambria Math"/>
                <w:color w:val="FF0000"/>
                <w:sz w:val="20"/>
                <w:szCs w:val="20"/>
              </w:rPr>
              <m:t>2</m:t>
            </m:r>
          </m:sup>
        </m:sSubSup>
        <m:r>
          <w:rPr>
            <w:rFonts w:ascii="Cambria Math" w:hAnsi="Cambria Math"/>
            <w:color w:val="FF0000"/>
            <w:sz w:val="20"/>
            <w:szCs w:val="20"/>
          </w:rPr>
          <m:t>=</m:t>
        </m:r>
        <m:f>
          <m:fPr>
            <m:ctrlPr>
              <w:rPr>
                <w:rFonts w:ascii="Cambria Math" w:hAnsi="Cambria Math"/>
                <w:i/>
                <w:color w:val="FF0000"/>
                <w:sz w:val="20"/>
                <w:szCs w:val="20"/>
              </w:rPr>
            </m:ctrlPr>
          </m:fPr>
          <m:num>
            <m:r>
              <w:rPr>
                <w:rFonts w:ascii="Cambria Math" w:hAnsi="Cambria Math"/>
                <w:color w:val="FF0000"/>
                <w:sz w:val="20"/>
                <w:szCs w:val="20"/>
              </w:rPr>
              <m:t>αβ</m:t>
            </m:r>
          </m:num>
          <m:den>
            <m:sSup>
              <m:sSupPr>
                <m:ctrlPr>
                  <w:rPr>
                    <w:rFonts w:ascii="Cambria Math" w:hAnsi="Cambria Math"/>
                    <w:i/>
                    <w:color w:val="FF0000"/>
                    <w:sz w:val="20"/>
                    <w:szCs w:val="20"/>
                  </w:rPr>
                </m:ctrlPr>
              </m:sSupPr>
              <m:e>
                <m:d>
                  <m:dPr>
                    <m:ctrlPr>
                      <w:rPr>
                        <w:rFonts w:ascii="Cambria Math" w:hAnsi="Cambria Math"/>
                        <w:i/>
                        <w:color w:val="FF0000"/>
                        <w:sz w:val="20"/>
                        <w:szCs w:val="20"/>
                      </w:rPr>
                    </m:ctrlPr>
                  </m:dPr>
                  <m:e>
                    <m:r>
                      <w:rPr>
                        <w:rFonts w:ascii="Cambria Math" w:hAnsi="Cambria Math"/>
                        <w:color w:val="FF0000"/>
                        <w:sz w:val="20"/>
                        <w:szCs w:val="20"/>
                      </w:rPr>
                      <m:t>α+β+1</m:t>
                    </m:r>
                  </m:e>
                </m:d>
                <m:d>
                  <m:dPr>
                    <m:ctrlPr>
                      <w:rPr>
                        <w:rFonts w:ascii="Cambria Math" w:hAnsi="Cambria Math"/>
                        <w:i/>
                        <w:color w:val="FF0000"/>
                        <w:sz w:val="20"/>
                        <w:szCs w:val="20"/>
                      </w:rPr>
                    </m:ctrlPr>
                  </m:dPr>
                  <m:e>
                    <m:r>
                      <w:rPr>
                        <w:rFonts w:ascii="Cambria Math" w:hAnsi="Cambria Math"/>
                        <w:color w:val="FF0000"/>
                        <w:sz w:val="20"/>
                        <w:szCs w:val="20"/>
                      </w:rPr>
                      <m:t>α+β</m:t>
                    </m:r>
                  </m:e>
                </m:d>
              </m:e>
              <m:sup>
                <m:r>
                  <w:rPr>
                    <w:rFonts w:ascii="Cambria Math" w:hAnsi="Cambria Math"/>
                    <w:color w:val="FF0000"/>
                    <w:sz w:val="20"/>
                    <w:szCs w:val="20"/>
                  </w:rPr>
                  <m:t>2</m:t>
                </m:r>
              </m:sup>
            </m:sSup>
          </m:den>
        </m:f>
      </m:oMath>
      <w:r w:rsidR="00445614" w:rsidRPr="00F32679">
        <w:rPr>
          <w:color w:val="FF0000"/>
          <w:sz w:val="20"/>
          <w:szCs w:val="20"/>
        </w:rPr>
        <w:t xml:space="preserve"> </w:t>
      </w:r>
      <w:r w:rsidR="00445614" w:rsidRPr="00F32679">
        <w:rPr>
          <w:rFonts w:ascii="Times New Roman" w:hAnsi="Times New Roman" w:cs="Times New Roman"/>
          <w:color w:val="FF0000"/>
          <w:sz w:val="20"/>
          <w:szCs w:val="20"/>
        </w:rPr>
        <w:t>(2);</w:t>
      </w:r>
    </w:p>
    <w:p w14:paraId="073CF8C6" w14:textId="1E9E15B2" w:rsidR="00445614" w:rsidRPr="00F32679" w:rsidRDefault="00445614" w:rsidP="00445614">
      <w:pPr>
        <w:spacing w:before="240" w:after="240" w:line="240" w:lineRule="auto"/>
        <w:rPr>
          <w:color w:val="FF0000"/>
        </w:rPr>
      </w:pPr>
      <w:r w:rsidRPr="00F32679">
        <w:rPr>
          <w:color w:val="FF0000"/>
        </w:rPr>
        <w:t>Third, we calculated the SNR reliability as the ratio of the between-level variance and the total variance (</w:t>
      </w:r>
      <w:r w:rsidR="00301D0D">
        <w:rPr>
          <w:color w:val="FF0000"/>
        </w:rPr>
        <w:t xml:space="preserve">that is, </w:t>
      </w:r>
      <w:r w:rsidRPr="00F32679">
        <w:rPr>
          <w:color w:val="FF0000"/>
        </w:rPr>
        <w:t xml:space="preserve">the sum of the between-level and within-level variances) of the </w:t>
      </w:r>
      <w:r w:rsidR="00786C61">
        <w:rPr>
          <w:color w:val="FF0000"/>
        </w:rPr>
        <w:t>Medication Continuation</w:t>
      </w:r>
      <w:r w:rsidRPr="00F32679">
        <w:rPr>
          <w:color w:val="FF0000"/>
        </w:rPr>
        <w:t xml:space="preserve"> measure rate:</w:t>
      </w:r>
    </w:p>
    <w:p w14:paraId="49207B60" w14:textId="4A274F38" w:rsidR="00445614" w:rsidRDefault="00445614" w:rsidP="00445614">
      <w:pPr>
        <w:autoSpaceDE w:val="0"/>
        <w:autoSpaceDN w:val="0"/>
        <w:adjustRightInd w:val="0"/>
        <w:spacing w:before="240" w:after="240" w:line="240" w:lineRule="auto"/>
        <w:jc w:val="center"/>
        <w:rPr>
          <w:rFonts w:ascii="TimesNewRomanPS-ItalicMT" w:hAnsi="TimesNewRomanPS-ItalicMT" w:cs="TimesNewRomanPS-ItalicMT"/>
          <w:iCs/>
          <w:color w:val="FF0000"/>
          <w:sz w:val="20"/>
        </w:rPr>
      </w:pPr>
      <m:oMath>
        <m:r>
          <w:rPr>
            <w:rFonts w:ascii="Cambria Math" w:hAnsi="Cambria Math" w:cs="Courier New"/>
            <w:color w:val="FF0000"/>
            <w:sz w:val="20"/>
          </w:rPr>
          <m:t>Reliability</m:t>
        </m:r>
        <m:r>
          <m:rPr>
            <m:sty m:val="p"/>
          </m:rPr>
          <w:rPr>
            <w:rFonts w:ascii="Cambria Math" w:hAnsi="Cambria Math" w:cs="Courier New"/>
            <w:color w:val="FF0000"/>
            <w:sz w:val="20"/>
          </w:rPr>
          <m:t xml:space="preserve"> </m:t>
        </m:r>
        <m:r>
          <w:rPr>
            <w:rFonts w:ascii="Cambria Math" w:hAnsi="Cambria Math" w:cs="TimesNewRomanPS-ItalicMT"/>
            <w:color w:val="FF0000"/>
            <w:sz w:val="20"/>
          </w:rPr>
          <m:t>=</m:t>
        </m:r>
        <m:f>
          <m:fPr>
            <m:ctrlPr>
              <w:rPr>
                <w:rFonts w:ascii="Cambria Math" w:hAnsi="Cambria Math" w:cs="TimesNewRomanPS-ItalicMT"/>
                <w:i/>
                <w:iCs/>
                <w:color w:val="FF0000"/>
                <w:sz w:val="20"/>
              </w:rPr>
            </m:ctrlPr>
          </m:fPr>
          <m:num>
            <m:sSubSup>
              <m:sSubSupPr>
                <m:ctrlPr>
                  <w:rPr>
                    <w:rFonts w:ascii="Cambria Math" w:hAnsi="Cambria Math"/>
                    <w:i/>
                    <w:color w:val="FF0000"/>
                    <w:sz w:val="20"/>
                  </w:rPr>
                </m:ctrlPr>
              </m:sSubSupPr>
              <m:e>
                <m:r>
                  <w:rPr>
                    <w:rFonts w:ascii="Cambria Math" w:hAnsi="Cambria Math"/>
                    <w:color w:val="FF0000"/>
                    <w:sz w:val="20"/>
                  </w:rPr>
                  <m:t>σ</m:t>
                </m:r>
              </m:e>
              <m:sub>
                <m:r>
                  <w:rPr>
                    <w:rFonts w:ascii="Cambria Math" w:hAnsi="Cambria Math"/>
                    <w:color w:val="FF0000"/>
                    <w:sz w:val="20"/>
                  </w:rPr>
                  <m:t>between</m:t>
                </m:r>
              </m:sub>
              <m:sup>
                <m:r>
                  <w:rPr>
                    <w:rFonts w:ascii="Cambria Math" w:hAnsi="Cambria Math"/>
                    <w:color w:val="FF0000"/>
                    <w:sz w:val="20"/>
                  </w:rPr>
                  <m:t>2</m:t>
                </m:r>
              </m:sup>
            </m:sSubSup>
          </m:num>
          <m:den>
            <m:sSubSup>
              <m:sSubSupPr>
                <m:ctrlPr>
                  <w:rPr>
                    <w:rFonts w:ascii="Cambria Math" w:hAnsi="Cambria Math"/>
                    <w:i/>
                    <w:color w:val="FF0000"/>
                    <w:sz w:val="20"/>
                  </w:rPr>
                </m:ctrlPr>
              </m:sSubSupPr>
              <m:e>
                <m:r>
                  <w:rPr>
                    <w:rFonts w:ascii="Cambria Math" w:hAnsi="Cambria Math"/>
                    <w:color w:val="FF0000"/>
                    <w:sz w:val="20"/>
                  </w:rPr>
                  <m:t>σ</m:t>
                </m:r>
              </m:e>
              <m:sub>
                <m:r>
                  <w:rPr>
                    <w:rFonts w:ascii="Cambria Math" w:hAnsi="Cambria Math"/>
                    <w:color w:val="FF0000"/>
                    <w:sz w:val="20"/>
                  </w:rPr>
                  <m:t>between</m:t>
                </m:r>
              </m:sub>
              <m:sup>
                <m:r>
                  <w:rPr>
                    <w:rFonts w:ascii="Cambria Math" w:hAnsi="Cambria Math"/>
                    <w:color w:val="FF0000"/>
                    <w:sz w:val="20"/>
                  </w:rPr>
                  <m:t>2</m:t>
                </m:r>
              </m:sup>
            </m:sSubSup>
            <m:r>
              <w:rPr>
                <w:rFonts w:ascii="Cambria Math" w:hAnsi="Cambria Math" w:cs="TimesNewRomanPS-ItalicMT"/>
                <w:color w:val="FF0000"/>
                <w:sz w:val="20"/>
              </w:rPr>
              <m:t>+</m:t>
            </m:r>
            <m:sSubSup>
              <m:sSubSupPr>
                <m:ctrlPr>
                  <w:rPr>
                    <w:rFonts w:ascii="Cambria Math" w:hAnsi="Cambria Math" w:cs="TimesNewRomanPS-ItalicMT"/>
                    <w:i/>
                    <w:iCs/>
                    <w:color w:val="FF0000"/>
                    <w:sz w:val="20"/>
                  </w:rPr>
                </m:ctrlPr>
              </m:sSubSupPr>
              <m:e>
                <m:r>
                  <w:rPr>
                    <w:rFonts w:ascii="Cambria Math" w:hAnsi="Cambria Math" w:cs="TimesNewRomanPS-ItalicMT"/>
                    <w:color w:val="FF0000"/>
                    <w:sz w:val="20"/>
                  </w:rPr>
                  <m:t>σ</m:t>
                </m:r>
              </m:e>
              <m:sub>
                <m:r>
                  <w:rPr>
                    <w:rFonts w:ascii="Cambria Math" w:hAnsi="Cambria Math" w:cs="TimesNewRomanPS-ItalicMT"/>
                    <w:color w:val="FF0000"/>
                    <w:sz w:val="20"/>
                  </w:rPr>
                  <m:t>within</m:t>
                </m:r>
              </m:sub>
              <m:sup>
                <m:r>
                  <w:rPr>
                    <w:rFonts w:ascii="Cambria Math" w:hAnsi="Cambria Math" w:cs="TimesNewRomanPS-ItalicMT"/>
                    <w:color w:val="FF0000"/>
                    <w:sz w:val="20"/>
                  </w:rPr>
                  <m:t>2</m:t>
                </m:r>
              </m:sup>
            </m:sSubSup>
          </m:den>
        </m:f>
      </m:oMath>
      <w:r w:rsidRPr="00F32679">
        <w:rPr>
          <w:rFonts w:ascii="TimesNewRomanPS-ItalicMT" w:hAnsi="TimesNewRomanPS-ItalicMT" w:cs="TimesNewRomanPS-ItalicMT"/>
          <w:iCs/>
          <w:color w:val="FF0000"/>
          <w:sz w:val="20"/>
        </w:rPr>
        <w:t xml:space="preserve"> (3);</w:t>
      </w:r>
    </w:p>
    <w:p w14:paraId="6116F12F" w14:textId="482F80C0" w:rsidR="00FA7E89" w:rsidRDefault="00FA7E89" w:rsidP="00F777FD">
      <w:pPr>
        <w:autoSpaceDE w:val="0"/>
        <w:autoSpaceDN w:val="0"/>
        <w:adjustRightInd w:val="0"/>
        <w:spacing w:before="240" w:after="240" w:line="240" w:lineRule="auto"/>
        <w:rPr>
          <w:rFonts w:ascii="TimesNewRomanPS-ItalicMT" w:hAnsi="TimesNewRomanPS-ItalicMT" w:cs="TimesNewRomanPS-ItalicMT"/>
          <w:iCs/>
          <w:color w:val="FF0000"/>
          <w:sz w:val="20"/>
        </w:rPr>
      </w:pPr>
    </w:p>
    <w:p w14:paraId="40BE6CFE" w14:textId="77777777" w:rsidR="00FA7E89" w:rsidRPr="00955FDF" w:rsidRDefault="00FA7E89" w:rsidP="00FA7E89">
      <w:pPr>
        <w:spacing w:before="60" w:after="120" w:line="240" w:lineRule="auto"/>
        <w:rPr>
          <w:color w:val="0000FF"/>
        </w:rPr>
      </w:pPr>
      <w:r w:rsidRPr="00955FDF">
        <w:rPr>
          <w:color w:val="0000FF"/>
        </w:rPr>
        <w:t xml:space="preserve">To examine the reliability of the measure score, we utilized the approach proposed by Adams (2009) and Scholle et al. (2008) to assess measure precision in the context of the observed variability across IPFs. The following is quoted from the tutorial published by Adams: </w:t>
      </w:r>
    </w:p>
    <w:p w14:paraId="646811E1" w14:textId="77777777" w:rsidR="00FA7E89" w:rsidRPr="00955FDF" w:rsidRDefault="00FA7E89" w:rsidP="00FA7E89">
      <w:pPr>
        <w:spacing w:before="60" w:after="120" w:line="240" w:lineRule="auto"/>
        <w:ind w:left="720" w:right="720"/>
        <w:rPr>
          <w:color w:val="0000FF"/>
        </w:rPr>
      </w:pPr>
      <w:r w:rsidRPr="00955FDF">
        <w:rPr>
          <w:color w:val="0000FF"/>
        </w:rPr>
        <w:t xml:space="preserve">“Reliability is a key metric of the suitability of a measure for [provider] profiling because it describes how well one can confidently distinguish the performance of one physician from another. Conceptually, it is the ratio of signal to noise. The signal in this case is the proportion of the variability in measured performance that can be explained by real differences in performance. There are three main drivers of reliability: sample size, differences between physicians, and measurement error. At the physician level, sample size can be increased by increasing the number of patients in the physician’s data as well as increasing the number of measures per patient.” </w:t>
      </w:r>
    </w:p>
    <w:p w14:paraId="0782DB21" w14:textId="77777777" w:rsidR="00FA7E89" w:rsidRPr="00955FDF" w:rsidRDefault="00FA7E89" w:rsidP="00FA7E89">
      <w:pPr>
        <w:spacing w:before="60" w:after="120" w:line="240" w:lineRule="auto"/>
        <w:rPr>
          <w:color w:val="0000FF"/>
        </w:rPr>
      </w:pPr>
      <w:r w:rsidRPr="00955FDF">
        <w:rPr>
          <w:color w:val="0000FF"/>
        </w:rPr>
        <w:t>For this measure, the signal-to-noise ratio was calculated as a function of the variance between IPFs (signal) and the variance within an IPF (noise). Reliability was estimated using a beta-binomial model. This approach has two basic assumptions:</w:t>
      </w:r>
    </w:p>
    <w:p w14:paraId="421D342A" w14:textId="77777777" w:rsidR="00FA7E89" w:rsidRPr="00955FDF" w:rsidRDefault="00FA7E89" w:rsidP="00FA7E89">
      <w:pPr>
        <w:pStyle w:val="ListParagraph"/>
        <w:numPr>
          <w:ilvl w:val="0"/>
          <w:numId w:val="35"/>
        </w:numPr>
        <w:spacing w:before="60" w:after="120" w:line="240" w:lineRule="auto"/>
        <w:rPr>
          <w:color w:val="0000FF"/>
        </w:rPr>
      </w:pPr>
      <w:r w:rsidRPr="00955FDF">
        <w:rPr>
          <w:color w:val="0000FF"/>
        </w:rPr>
        <w:t xml:space="preserve">Each measured entity has a true pass rate, p, which varies; and, </w:t>
      </w:r>
    </w:p>
    <w:p w14:paraId="75670B6B" w14:textId="77777777" w:rsidR="00FA7E89" w:rsidRPr="00955FDF" w:rsidRDefault="00FA7E89" w:rsidP="00FA7E89">
      <w:pPr>
        <w:pStyle w:val="ListParagraph"/>
        <w:numPr>
          <w:ilvl w:val="0"/>
          <w:numId w:val="35"/>
        </w:numPr>
        <w:spacing w:before="60" w:after="120" w:line="240" w:lineRule="auto"/>
        <w:rPr>
          <w:color w:val="0000FF"/>
        </w:rPr>
      </w:pPr>
      <w:r w:rsidRPr="00955FDF">
        <w:rPr>
          <w:color w:val="0000FF"/>
        </w:rPr>
        <w:t xml:space="preserve">The measured entity’s score is a binomial random variable conditional on the measured entity’s true value, which comes from the beta distribution. </w:t>
      </w:r>
    </w:p>
    <w:p w14:paraId="0D2DF1C0" w14:textId="77777777" w:rsidR="00FA7E89" w:rsidRPr="00955FDF" w:rsidRDefault="00FA7E89" w:rsidP="00FA7E89">
      <w:pPr>
        <w:spacing w:before="60" w:after="120" w:line="240" w:lineRule="auto"/>
        <w:rPr>
          <w:color w:val="0000FF"/>
        </w:rPr>
      </w:pPr>
      <w:r w:rsidRPr="00955FDF">
        <w:rPr>
          <w:color w:val="0000FF"/>
        </w:rPr>
        <w:t xml:space="preserve">Reliability scores vary from 0.0 to 1.0. A score of 0.0 implies that all variation is attributed to measurement error (noise); whereas, a reliability of 1.0 implies that all variation is caused by a real difference in performance (across IPFs). In a simulation, Adams showed that differences between physicians started to be seen at reliability of 0.7, and significant differences could be seen at reliability of 0.9. Our rationale was based on Adams’ work; thus, a minimum reliability score of 0.7 was used to indicate sufficient signal strength to discriminate performance between IPFs. </w:t>
      </w:r>
    </w:p>
    <w:p w14:paraId="369FF930" w14:textId="77777777" w:rsidR="00FA7E89" w:rsidRPr="00955FDF" w:rsidRDefault="00FA7E89" w:rsidP="00FA7E89">
      <w:pPr>
        <w:spacing w:before="60" w:after="120" w:line="240" w:lineRule="auto"/>
        <w:rPr>
          <w:color w:val="0000FF"/>
        </w:rPr>
      </w:pPr>
      <w:r w:rsidRPr="00955FDF">
        <w:rPr>
          <w:color w:val="0000FF"/>
        </w:rPr>
        <w:t>Using methodology described by Scholle et al. (2008), reliability estimates were computed separately, based on the mean denominator size for IPFs within each denominator category. As Scholle described in the article, the reliability estimate at the mean denominator for each category should reflect “the typical experience of IPFs in this population.”</w:t>
      </w:r>
    </w:p>
    <w:p w14:paraId="3227873F" w14:textId="77777777" w:rsidR="00FA7E89" w:rsidRPr="00955FDF" w:rsidRDefault="00FA7E89" w:rsidP="00FA7E89">
      <w:pPr>
        <w:spacing w:after="120" w:line="240" w:lineRule="auto"/>
        <w:ind w:left="360" w:hanging="274"/>
        <w:contextualSpacing/>
        <w:rPr>
          <w:rFonts w:eastAsia="Calibri,Times New Roman" w:cs="Calibri,Times New Roman"/>
          <w:color w:val="0000FF"/>
        </w:rPr>
      </w:pPr>
      <w:r w:rsidRPr="00955FDF">
        <w:rPr>
          <w:rFonts w:eastAsia="Calibri,Times New Roman" w:cs="Calibri,Times New Roman"/>
          <w:color w:val="0000FF"/>
        </w:rPr>
        <w:t>*Adams, J. L. The reliability of provider profiling: A tutorial. Santa Monica, California: RAND Corporation. TR-653-NCQA, 2009.</w:t>
      </w:r>
      <w:r w:rsidRPr="00955FDF">
        <w:rPr>
          <w:rFonts w:eastAsia="Calibri" w:cs="Calibri"/>
          <w:color w:val="0000FF"/>
        </w:rPr>
        <w:t xml:space="preserve"> </w:t>
      </w:r>
    </w:p>
    <w:p w14:paraId="616B1612" w14:textId="317C4970" w:rsidR="00FA7E89" w:rsidRPr="00F32679" w:rsidRDefault="00FA7E89" w:rsidP="00FA7E89">
      <w:pPr>
        <w:autoSpaceDE w:val="0"/>
        <w:autoSpaceDN w:val="0"/>
        <w:adjustRightInd w:val="0"/>
        <w:spacing w:before="240" w:after="240" w:line="240" w:lineRule="auto"/>
        <w:rPr>
          <w:rFonts w:ascii="TimesNewRomanPS-ItalicMT" w:hAnsi="TimesNewRomanPS-ItalicMT" w:cs="TimesNewRomanPS-ItalicMT"/>
          <w:iCs/>
          <w:color w:val="FF0000"/>
          <w:sz w:val="20"/>
        </w:rPr>
      </w:pPr>
      <w:r w:rsidRPr="00955FDF">
        <w:rPr>
          <w:rFonts w:eastAsia="Calibri,Times New Roman" w:cs="Calibri,Times New Roman"/>
          <w:color w:val="0000FF"/>
        </w:rPr>
        <w:t xml:space="preserve">*Scholle, S. H., Roski, J., Adams, J. L., Dunn, D. L., Kerr, E. A., Dugan, D. P., et al. (2008). Benchmarking physician performance: Reliability of individual and composite measures. </w:t>
      </w:r>
      <w:r w:rsidRPr="00955FDF">
        <w:rPr>
          <w:rFonts w:eastAsia="Calibri,Times New Roman" w:cs="Calibri,Times New Roman"/>
          <w:i/>
          <w:iCs/>
          <w:color w:val="0000FF"/>
        </w:rPr>
        <w:t>American Journal of Managed Care, 14</w:t>
      </w:r>
      <w:r w:rsidRPr="00955FDF">
        <w:rPr>
          <w:rFonts w:eastAsia="Calibri,Times New Roman" w:cs="Calibri,Times New Roman"/>
          <w:color w:val="0000FF"/>
        </w:rPr>
        <w:t>(12), 833-838.</w:t>
      </w:r>
    </w:p>
    <w:p w14:paraId="57D86C13" w14:textId="77777777" w:rsidR="00445614" w:rsidRPr="00445614" w:rsidRDefault="00445614" w:rsidP="008C54A9">
      <w:pPr>
        <w:autoSpaceDE w:val="0"/>
        <w:autoSpaceDN w:val="0"/>
        <w:adjustRightInd w:val="0"/>
        <w:spacing w:after="0" w:line="240" w:lineRule="auto"/>
        <w:rPr>
          <w:rFonts w:cstheme="minorHAnsi"/>
          <w:bCs/>
          <w:color w:val="0070C0"/>
        </w:rPr>
      </w:pPr>
    </w:p>
    <w:p w14:paraId="62E2F370" w14:textId="77777777" w:rsidR="003613AD" w:rsidRDefault="00092566" w:rsidP="008C54A9">
      <w:pPr>
        <w:autoSpaceDE w:val="0"/>
        <w:autoSpaceDN w:val="0"/>
        <w:adjustRightInd w:val="0"/>
        <w:spacing w:after="0" w:line="240" w:lineRule="auto"/>
        <w:rPr>
          <w:rFonts w:cstheme="minorHAnsi"/>
          <w:bCs/>
        </w:rPr>
      </w:pPr>
      <w:r>
        <w:rPr>
          <w:rFonts w:cstheme="minorHAnsi"/>
          <w:b/>
          <w:bCs/>
        </w:rPr>
        <w:lastRenderedPageBreak/>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5DDB5FEC" w14:textId="77777777" w:rsidR="003613AD" w:rsidRDefault="003613AD" w:rsidP="008C54A9">
      <w:pPr>
        <w:autoSpaceDE w:val="0"/>
        <w:autoSpaceDN w:val="0"/>
        <w:adjustRightInd w:val="0"/>
        <w:spacing w:after="0" w:line="240" w:lineRule="auto"/>
        <w:rPr>
          <w:rFonts w:cstheme="minorHAnsi"/>
          <w:bCs/>
        </w:rPr>
      </w:pPr>
    </w:p>
    <w:p w14:paraId="1837EFA6" w14:textId="77777777" w:rsidR="00AD52B2" w:rsidRDefault="00445614" w:rsidP="00FA7E89">
      <w:pPr>
        <w:autoSpaceDE w:val="0"/>
        <w:autoSpaceDN w:val="0"/>
        <w:adjustRightInd w:val="0"/>
        <w:spacing w:after="0" w:line="240" w:lineRule="auto"/>
        <w:rPr>
          <w:rFonts w:cstheme="minorHAnsi"/>
          <w:color w:val="FF0000"/>
        </w:rPr>
      </w:pPr>
      <w:r w:rsidRPr="00F32679">
        <w:rPr>
          <w:rFonts w:cstheme="minorHAnsi"/>
          <w:color w:val="FF0000"/>
        </w:rPr>
        <w:t xml:space="preserve">Table </w:t>
      </w:r>
      <w:r w:rsidR="00F32679">
        <w:rPr>
          <w:rFonts w:cstheme="minorHAnsi"/>
          <w:color w:val="FF0000"/>
        </w:rPr>
        <w:t>2a2.3</w:t>
      </w:r>
      <w:r w:rsidRPr="00F32679">
        <w:rPr>
          <w:rFonts w:cstheme="minorHAnsi"/>
          <w:color w:val="FF0000"/>
        </w:rPr>
        <w:t xml:space="preserve"> summarizes the mean and range of the reliability statistic for the </w:t>
      </w:r>
      <w:r w:rsidR="006049BC" w:rsidRPr="00F32679">
        <w:rPr>
          <w:rFonts w:cstheme="minorHAnsi"/>
          <w:color w:val="FF0000"/>
        </w:rPr>
        <w:t>Medication Continuation</w:t>
      </w:r>
      <w:r w:rsidRPr="00F32679">
        <w:rPr>
          <w:rFonts w:cstheme="minorHAnsi"/>
          <w:color w:val="FF0000"/>
        </w:rPr>
        <w:t xml:space="preserve"> measure, which was calculated separately by facility. </w:t>
      </w:r>
      <w:r w:rsidR="006049BC" w:rsidRPr="00F32679">
        <w:rPr>
          <w:rFonts w:cstheme="minorHAnsi"/>
          <w:color w:val="FF0000"/>
        </w:rPr>
        <w:t>T</w:t>
      </w:r>
      <w:r w:rsidRPr="00F32679">
        <w:rPr>
          <w:rFonts w:cstheme="minorHAnsi"/>
          <w:color w:val="FF0000"/>
        </w:rPr>
        <w:t xml:space="preserve">he mean reliability across </w:t>
      </w:r>
      <w:r w:rsidR="001465E3" w:rsidRPr="00F32679">
        <w:rPr>
          <w:rFonts w:cstheme="minorHAnsi"/>
          <w:color w:val="FF0000"/>
        </w:rPr>
        <w:t xml:space="preserve">all 1,066 facilities with at least 75 denominator cases </w:t>
      </w:r>
      <w:r w:rsidRPr="00F32679">
        <w:rPr>
          <w:rFonts w:cstheme="minorHAnsi"/>
          <w:color w:val="FF0000"/>
        </w:rPr>
        <w:t xml:space="preserve">exceeded the 0.70 threshold for acceptable reliability. The </w:t>
      </w:r>
      <w:r w:rsidR="006C0A0D" w:rsidRPr="00F32679">
        <w:rPr>
          <w:rFonts w:cstheme="minorHAnsi"/>
          <w:color w:val="FF0000"/>
        </w:rPr>
        <w:t>25th percentile</w:t>
      </w:r>
      <w:r w:rsidRPr="00F32679">
        <w:rPr>
          <w:rFonts w:cstheme="minorHAnsi"/>
          <w:color w:val="FF0000"/>
        </w:rPr>
        <w:t xml:space="preserve"> for the measure reliability was </w:t>
      </w:r>
      <w:r w:rsidR="006C0A0D" w:rsidRPr="00F32679">
        <w:rPr>
          <w:rFonts w:cstheme="minorHAnsi"/>
          <w:color w:val="FF0000"/>
        </w:rPr>
        <w:t>0.70, and the 75th percentile was 0.8</w:t>
      </w:r>
      <w:r w:rsidR="001465E3" w:rsidRPr="00F32679">
        <w:rPr>
          <w:rFonts w:cstheme="minorHAnsi"/>
          <w:color w:val="FF0000"/>
        </w:rPr>
        <w:t>1</w:t>
      </w:r>
      <w:r w:rsidRPr="00F32679">
        <w:rPr>
          <w:rFonts w:cstheme="minorHAnsi"/>
          <w:color w:val="FF0000"/>
        </w:rPr>
        <w:t>.</w:t>
      </w:r>
    </w:p>
    <w:p w14:paraId="2EA459F0" w14:textId="77777777" w:rsidR="00AD52B2" w:rsidRDefault="00AD52B2" w:rsidP="00FA7E89">
      <w:pPr>
        <w:autoSpaceDE w:val="0"/>
        <w:autoSpaceDN w:val="0"/>
        <w:adjustRightInd w:val="0"/>
        <w:spacing w:after="0" w:line="240" w:lineRule="auto"/>
        <w:rPr>
          <w:rFonts w:cstheme="minorHAnsi"/>
          <w:color w:val="FF0000"/>
        </w:rPr>
      </w:pPr>
    </w:p>
    <w:p w14:paraId="298D615A" w14:textId="587A4301" w:rsidR="00AD52B2" w:rsidRPr="00B953A6" w:rsidRDefault="00AD52B2" w:rsidP="00AD52B2">
      <w:pPr>
        <w:autoSpaceDE w:val="0"/>
        <w:autoSpaceDN w:val="0"/>
        <w:adjustRightInd w:val="0"/>
        <w:spacing w:before="60" w:after="120" w:line="240" w:lineRule="auto"/>
        <w:rPr>
          <w:rFonts w:cstheme="minorHAnsi"/>
          <w:b/>
          <w:bCs/>
        </w:rPr>
      </w:pPr>
      <w:r w:rsidRPr="00AD52B2">
        <w:rPr>
          <w:b/>
          <w:bCs/>
          <w:color w:val="FF0000"/>
        </w:rPr>
        <w:t>Table 2a.2.3. Comparison of IPF Measure Score Distribution by Denominator Minimum</w:t>
      </w:r>
    </w:p>
    <w:tbl>
      <w:tblPr>
        <w:tblW w:w="9958" w:type="dxa"/>
        <w:tblLook w:val="04A0" w:firstRow="1" w:lastRow="0" w:firstColumn="1" w:lastColumn="0" w:noHBand="0" w:noVBand="1"/>
      </w:tblPr>
      <w:tblGrid>
        <w:gridCol w:w="1845"/>
        <w:gridCol w:w="1395"/>
        <w:gridCol w:w="698"/>
        <w:gridCol w:w="657"/>
        <w:gridCol w:w="657"/>
        <w:gridCol w:w="657"/>
        <w:gridCol w:w="899"/>
        <w:gridCol w:w="972"/>
        <w:gridCol w:w="899"/>
        <w:gridCol w:w="657"/>
        <w:gridCol w:w="690"/>
      </w:tblGrid>
      <w:tr w:rsidR="00AD52B2" w:rsidRPr="004804AA" w14:paraId="584242B1" w14:textId="77777777" w:rsidTr="00193553">
        <w:trPr>
          <w:trHeight w:val="300"/>
        </w:trPr>
        <w:tc>
          <w:tcPr>
            <w:tcW w:w="1845" w:type="dxa"/>
            <w:tcBorders>
              <w:top w:val="nil"/>
              <w:left w:val="nil"/>
              <w:bottom w:val="nil"/>
              <w:right w:val="nil"/>
            </w:tcBorders>
            <w:shd w:val="clear" w:color="auto" w:fill="808080" w:themeFill="background1" w:themeFillShade="80"/>
            <w:noWrap/>
            <w:vAlign w:val="bottom"/>
            <w:hideMark/>
          </w:tcPr>
          <w:p w14:paraId="2FDC8C58" w14:textId="77777777" w:rsidR="00AD52B2" w:rsidRPr="00B953A6" w:rsidRDefault="00AD52B2" w:rsidP="00193553">
            <w:pPr>
              <w:spacing w:after="0" w:line="240" w:lineRule="auto"/>
              <w:rPr>
                <w:rFonts w:ascii="Calibri" w:eastAsia="Times New Roman" w:hAnsi="Calibri" w:cs="Calibri"/>
                <w:b/>
                <w:bCs/>
                <w:color w:val="FFFFFF" w:themeColor="background1"/>
                <w:sz w:val="20"/>
                <w:szCs w:val="20"/>
              </w:rPr>
            </w:pPr>
            <w:bookmarkStart w:id="16" w:name="RANGE!A1:L3"/>
            <w:r w:rsidRPr="00B953A6">
              <w:rPr>
                <w:rFonts w:ascii="Calibri" w:eastAsia="Times New Roman" w:hAnsi="Calibri" w:cs="Calibri"/>
                <w:b/>
                <w:bCs/>
                <w:color w:val="FFFFFF" w:themeColor="background1"/>
                <w:sz w:val="20"/>
                <w:szCs w:val="20"/>
              </w:rPr>
              <w:t>Denominator</w:t>
            </w:r>
            <w:bookmarkEnd w:id="16"/>
          </w:p>
        </w:tc>
        <w:tc>
          <w:tcPr>
            <w:tcW w:w="1395" w:type="dxa"/>
            <w:tcBorders>
              <w:top w:val="nil"/>
              <w:left w:val="nil"/>
              <w:bottom w:val="nil"/>
              <w:right w:val="nil"/>
            </w:tcBorders>
            <w:shd w:val="clear" w:color="auto" w:fill="808080" w:themeFill="background1" w:themeFillShade="80"/>
            <w:noWrap/>
            <w:vAlign w:val="bottom"/>
            <w:hideMark/>
          </w:tcPr>
          <w:p w14:paraId="3B00CCDB" w14:textId="77777777" w:rsidR="00AD52B2" w:rsidRPr="00B953A6" w:rsidRDefault="00AD52B2" w:rsidP="00193553">
            <w:pPr>
              <w:spacing w:after="0" w:line="240" w:lineRule="auto"/>
              <w:rPr>
                <w:rFonts w:ascii="Calibri" w:eastAsia="Times New Roman" w:hAnsi="Calibri" w:cs="Calibri"/>
                <w:b/>
                <w:bCs/>
                <w:color w:val="FFFFFF" w:themeColor="background1"/>
                <w:sz w:val="20"/>
                <w:szCs w:val="20"/>
              </w:rPr>
            </w:pPr>
            <w:r>
              <w:rPr>
                <w:rFonts w:ascii="Calibri" w:eastAsia="Times New Roman" w:hAnsi="Calibri" w:cs="Calibri"/>
                <w:b/>
                <w:bCs/>
                <w:color w:val="FFFFFF" w:themeColor="background1"/>
                <w:sz w:val="20"/>
                <w:szCs w:val="20"/>
              </w:rPr>
              <w:t xml:space="preserve"># </w:t>
            </w:r>
            <w:r w:rsidRPr="00B953A6">
              <w:rPr>
                <w:rFonts w:ascii="Calibri" w:eastAsia="Times New Roman" w:hAnsi="Calibri" w:cs="Calibri"/>
                <w:b/>
                <w:bCs/>
                <w:color w:val="FFFFFF" w:themeColor="background1"/>
                <w:sz w:val="20"/>
                <w:szCs w:val="20"/>
              </w:rPr>
              <w:t>IPFs</w:t>
            </w:r>
            <w:r>
              <w:rPr>
                <w:rFonts w:ascii="Calibri" w:eastAsia="Times New Roman" w:hAnsi="Calibri" w:cs="Calibri"/>
                <w:b/>
                <w:bCs/>
                <w:color w:val="FFFFFF" w:themeColor="background1"/>
                <w:sz w:val="20"/>
                <w:szCs w:val="20"/>
              </w:rPr>
              <w:t xml:space="preserve">  (%)</w:t>
            </w:r>
          </w:p>
        </w:tc>
        <w:tc>
          <w:tcPr>
            <w:tcW w:w="630" w:type="dxa"/>
            <w:tcBorders>
              <w:top w:val="nil"/>
              <w:left w:val="nil"/>
              <w:bottom w:val="nil"/>
              <w:right w:val="nil"/>
            </w:tcBorders>
            <w:shd w:val="clear" w:color="auto" w:fill="808080" w:themeFill="background1" w:themeFillShade="80"/>
            <w:noWrap/>
            <w:vAlign w:val="bottom"/>
            <w:hideMark/>
          </w:tcPr>
          <w:p w14:paraId="28BFD2F0" w14:textId="77777777" w:rsidR="00AD52B2" w:rsidRPr="00B953A6" w:rsidRDefault="00AD52B2" w:rsidP="00193553">
            <w:pPr>
              <w:spacing w:after="0" w:line="240" w:lineRule="auto"/>
              <w:rPr>
                <w:rFonts w:ascii="Calibri" w:eastAsia="Times New Roman" w:hAnsi="Calibri" w:cs="Calibri"/>
                <w:b/>
                <w:bCs/>
                <w:color w:val="FFFFFF" w:themeColor="background1"/>
                <w:sz w:val="20"/>
                <w:szCs w:val="20"/>
              </w:rPr>
            </w:pPr>
            <w:r w:rsidRPr="00B953A6">
              <w:rPr>
                <w:rFonts w:ascii="Calibri" w:eastAsia="Times New Roman" w:hAnsi="Calibri" w:cs="Calibri"/>
                <w:b/>
                <w:bCs/>
                <w:color w:val="FFFFFF" w:themeColor="background1"/>
                <w:sz w:val="20"/>
                <w:szCs w:val="20"/>
              </w:rPr>
              <w:t>Mean</w:t>
            </w:r>
          </w:p>
        </w:tc>
        <w:tc>
          <w:tcPr>
            <w:tcW w:w="657" w:type="dxa"/>
            <w:tcBorders>
              <w:top w:val="nil"/>
              <w:left w:val="nil"/>
              <w:bottom w:val="nil"/>
              <w:right w:val="nil"/>
            </w:tcBorders>
            <w:shd w:val="clear" w:color="auto" w:fill="808080" w:themeFill="background1" w:themeFillShade="80"/>
            <w:noWrap/>
            <w:vAlign w:val="bottom"/>
            <w:hideMark/>
          </w:tcPr>
          <w:p w14:paraId="620C11CF" w14:textId="77777777" w:rsidR="00AD52B2" w:rsidRPr="00B953A6" w:rsidRDefault="00AD52B2" w:rsidP="00193553">
            <w:pPr>
              <w:spacing w:after="0" w:line="240" w:lineRule="auto"/>
              <w:rPr>
                <w:rFonts w:ascii="Calibri" w:eastAsia="Times New Roman" w:hAnsi="Calibri" w:cs="Calibri"/>
                <w:b/>
                <w:bCs/>
                <w:color w:val="FFFFFF" w:themeColor="background1"/>
                <w:sz w:val="20"/>
                <w:szCs w:val="20"/>
              </w:rPr>
            </w:pPr>
            <w:r w:rsidRPr="00B953A6">
              <w:rPr>
                <w:rFonts w:ascii="Calibri" w:eastAsia="Times New Roman" w:hAnsi="Calibri" w:cs="Calibri"/>
                <w:b/>
                <w:bCs/>
                <w:color w:val="FFFFFF" w:themeColor="background1"/>
                <w:sz w:val="20"/>
                <w:szCs w:val="20"/>
              </w:rPr>
              <w:t>SD</w:t>
            </w:r>
          </w:p>
        </w:tc>
        <w:tc>
          <w:tcPr>
            <w:tcW w:w="657" w:type="dxa"/>
            <w:tcBorders>
              <w:top w:val="nil"/>
              <w:left w:val="nil"/>
              <w:bottom w:val="nil"/>
              <w:right w:val="nil"/>
            </w:tcBorders>
            <w:shd w:val="clear" w:color="auto" w:fill="808080" w:themeFill="background1" w:themeFillShade="80"/>
            <w:noWrap/>
            <w:vAlign w:val="bottom"/>
            <w:hideMark/>
          </w:tcPr>
          <w:p w14:paraId="04141D20" w14:textId="77777777" w:rsidR="00AD52B2" w:rsidRPr="00B953A6" w:rsidRDefault="00AD52B2" w:rsidP="00193553">
            <w:pPr>
              <w:spacing w:after="0" w:line="240" w:lineRule="auto"/>
              <w:rPr>
                <w:rFonts w:ascii="Calibri" w:eastAsia="Times New Roman" w:hAnsi="Calibri" w:cs="Calibri"/>
                <w:b/>
                <w:bCs/>
                <w:color w:val="FFFFFF" w:themeColor="background1"/>
                <w:sz w:val="20"/>
                <w:szCs w:val="20"/>
              </w:rPr>
            </w:pPr>
            <w:r w:rsidRPr="00B953A6">
              <w:rPr>
                <w:rFonts w:ascii="Calibri" w:eastAsia="Times New Roman" w:hAnsi="Calibri" w:cs="Calibri"/>
                <w:b/>
                <w:bCs/>
                <w:color w:val="FFFFFF" w:themeColor="background1"/>
                <w:sz w:val="20"/>
                <w:szCs w:val="20"/>
              </w:rPr>
              <w:t>Min</w:t>
            </w:r>
          </w:p>
        </w:tc>
        <w:tc>
          <w:tcPr>
            <w:tcW w:w="657" w:type="dxa"/>
            <w:tcBorders>
              <w:top w:val="nil"/>
              <w:left w:val="nil"/>
              <w:bottom w:val="nil"/>
              <w:right w:val="nil"/>
            </w:tcBorders>
            <w:shd w:val="clear" w:color="auto" w:fill="808080" w:themeFill="background1" w:themeFillShade="80"/>
            <w:noWrap/>
            <w:vAlign w:val="bottom"/>
            <w:hideMark/>
          </w:tcPr>
          <w:p w14:paraId="12AE0FD2" w14:textId="77777777" w:rsidR="00AD52B2" w:rsidRPr="00B953A6" w:rsidRDefault="00AD52B2" w:rsidP="00193553">
            <w:pPr>
              <w:spacing w:after="0" w:line="240" w:lineRule="auto"/>
              <w:rPr>
                <w:rFonts w:ascii="Calibri" w:eastAsia="Times New Roman" w:hAnsi="Calibri" w:cs="Calibri"/>
                <w:b/>
                <w:bCs/>
                <w:color w:val="FFFFFF" w:themeColor="background1"/>
                <w:sz w:val="20"/>
                <w:szCs w:val="20"/>
              </w:rPr>
            </w:pPr>
            <w:r w:rsidRPr="00B953A6">
              <w:rPr>
                <w:rFonts w:ascii="Calibri" w:eastAsia="Times New Roman" w:hAnsi="Calibri" w:cs="Calibri"/>
                <w:b/>
                <w:bCs/>
                <w:color w:val="FFFFFF" w:themeColor="background1"/>
                <w:sz w:val="20"/>
                <w:szCs w:val="20"/>
              </w:rPr>
              <w:t>10th Pctl</w:t>
            </w:r>
          </w:p>
        </w:tc>
        <w:tc>
          <w:tcPr>
            <w:tcW w:w="899" w:type="dxa"/>
            <w:tcBorders>
              <w:top w:val="nil"/>
              <w:left w:val="nil"/>
              <w:bottom w:val="nil"/>
              <w:right w:val="nil"/>
            </w:tcBorders>
            <w:shd w:val="clear" w:color="auto" w:fill="808080" w:themeFill="background1" w:themeFillShade="80"/>
            <w:noWrap/>
            <w:vAlign w:val="bottom"/>
            <w:hideMark/>
          </w:tcPr>
          <w:p w14:paraId="3AA1B1CC" w14:textId="77777777" w:rsidR="00AD52B2" w:rsidRPr="00B953A6" w:rsidRDefault="00AD52B2" w:rsidP="00193553">
            <w:pPr>
              <w:spacing w:after="0" w:line="240" w:lineRule="auto"/>
              <w:rPr>
                <w:rFonts w:ascii="Calibri" w:eastAsia="Times New Roman" w:hAnsi="Calibri" w:cs="Calibri"/>
                <w:b/>
                <w:bCs/>
                <w:color w:val="FFFFFF" w:themeColor="background1"/>
                <w:sz w:val="20"/>
                <w:szCs w:val="20"/>
              </w:rPr>
            </w:pPr>
            <w:r w:rsidRPr="00B953A6">
              <w:rPr>
                <w:rFonts w:ascii="Calibri" w:eastAsia="Times New Roman" w:hAnsi="Calibri" w:cs="Calibri"/>
                <w:b/>
                <w:bCs/>
                <w:color w:val="FFFFFF" w:themeColor="background1"/>
                <w:sz w:val="20"/>
                <w:szCs w:val="20"/>
              </w:rPr>
              <w:t>Lower Quartile</w:t>
            </w:r>
          </w:p>
        </w:tc>
        <w:tc>
          <w:tcPr>
            <w:tcW w:w="972" w:type="dxa"/>
            <w:tcBorders>
              <w:top w:val="nil"/>
              <w:left w:val="nil"/>
              <w:bottom w:val="nil"/>
              <w:right w:val="nil"/>
            </w:tcBorders>
            <w:shd w:val="clear" w:color="auto" w:fill="808080" w:themeFill="background1" w:themeFillShade="80"/>
            <w:noWrap/>
            <w:vAlign w:val="bottom"/>
            <w:hideMark/>
          </w:tcPr>
          <w:p w14:paraId="682EB606" w14:textId="77777777" w:rsidR="00AD52B2" w:rsidRPr="00B953A6" w:rsidRDefault="00AD52B2" w:rsidP="00193553">
            <w:pPr>
              <w:spacing w:after="0" w:line="240" w:lineRule="auto"/>
              <w:rPr>
                <w:rFonts w:ascii="Calibri" w:eastAsia="Times New Roman" w:hAnsi="Calibri" w:cs="Calibri"/>
                <w:b/>
                <w:bCs/>
                <w:color w:val="FFFFFF" w:themeColor="background1"/>
                <w:sz w:val="20"/>
                <w:szCs w:val="20"/>
              </w:rPr>
            </w:pPr>
            <w:r w:rsidRPr="00B953A6">
              <w:rPr>
                <w:rFonts w:ascii="Calibri" w:eastAsia="Times New Roman" w:hAnsi="Calibri" w:cs="Calibri"/>
                <w:b/>
                <w:bCs/>
                <w:color w:val="FFFFFF" w:themeColor="background1"/>
                <w:sz w:val="20"/>
                <w:szCs w:val="20"/>
              </w:rPr>
              <w:t>Median</w:t>
            </w:r>
          </w:p>
        </w:tc>
        <w:tc>
          <w:tcPr>
            <w:tcW w:w="899" w:type="dxa"/>
            <w:tcBorders>
              <w:top w:val="nil"/>
              <w:left w:val="nil"/>
              <w:bottom w:val="nil"/>
              <w:right w:val="nil"/>
            </w:tcBorders>
            <w:shd w:val="clear" w:color="auto" w:fill="808080" w:themeFill="background1" w:themeFillShade="80"/>
            <w:noWrap/>
            <w:vAlign w:val="bottom"/>
            <w:hideMark/>
          </w:tcPr>
          <w:p w14:paraId="6309F8FE" w14:textId="77777777" w:rsidR="00AD52B2" w:rsidRPr="00B953A6" w:rsidRDefault="00AD52B2" w:rsidP="00193553">
            <w:pPr>
              <w:spacing w:after="0" w:line="240" w:lineRule="auto"/>
              <w:rPr>
                <w:rFonts w:ascii="Calibri" w:eastAsia="Times New Roman" w:hAnsi="Calibri" w:cs="Calibri"/>
                <w:b/>
                <w:bCs/>
                <w:color w:val="FFFFFF" w:themeColor="background1"/>
                <w:sz w:val="20"/>
                <w:szCs w:val="20"/>
              </w:rPr>
            </w:pPr>
            <w:r w:rsidRPr="00B953A6">
              <w:rPr>
                <w:rFonts w:ascii="Calibri" w:eastAsia="Times New Roman" w:hAnsi="Calibri" w:cs="Calibri"/>
                <w:b/>
                <w:bCs/>
                <w:color w:val="FFFFFF" w:themeColor="background1"/>
                <w:sz w:val="20"/>
                <w:szCs w:val="20"/>
              </w:rPr>
              <w:t>Upper Quartile</w:t>
            </w:r>
          </w:p>
        </w:tc>
        <w:tc>
          <w:tcPr>
            <w:tcW w:w="657" w:type="dxa"/>
            <w:tcBorders>
              <w:top w:val="nil"/>
              <w:left w:val="nil"/>
              <w:bottom w:val="nil"/>
              <w:right w:val="nil"/>
            </w:tcBorders>
            <w:shd w:val="clear" w:color="auto" w:fill="808080" w:themeFill="background1" w:themeFillShade="80"/>
            <w:noWrap/>
            <w:vAlign w:val="bottom"/>
            <w:hideMark/>
          </w:tcPr>
          <w:p w14:paraId="10A208EF" w14:textId="77777777" w:rsidR="00AD52B2" w:rsidRPr="00B953A6" w:rsidRDefault="00AD52B2" w:rsidP="00193553">
            <w:pPr>
              <w:spacing w:after="0" w:line="240" w:lineRule="auto"/>
              <w:rPr>
                <w:rFonts w:ascii="Calibri" w:eastAsia="Times New Roman" w:hAnsi="Calibri" w:cs="Calibri"/>
                <w:b/>
                <w:bCs/>
                <w:color w:val="FFFFFF" w:themeColor="background1"/>
                <w:sz w:val="20"/>
                <w:szCs w:val="20"/>
              </w:rPr>
            </w:pPr>
            <w:r w:rsidRPr="00B953A6">
              <w:rPr>
                <w:rFonts w:ascii="Calibri" w:eastAsia="Times New Roman" w:hAnsi="Calibri" w:cs="Calibri"/>
                <w:b/>
                <w:bCs/>
                <w:color w:val="FFFFFF" w:themeColor="background1"/>
                <w:sz w:val="20"/>
                <w:szCs w:val="20"/>
              </w:rPr>
              <w:t>90th Pctl</w:t>
            </w:r>
          </w:p>
        </w:tc>
        <w:tc>
          <w:tcPr>
            <w:tcW w:w="690" w:type="dxa"/>
            <w:tcBorders>
              <w:top w:val="nil"/>
              <w:left w:val="nil"/>
              <w:bottom w:val="nil"/>
              <w:right w:val="nil"/>
            </w:tcBorders>
            <w:shd w:val="clear" w:color="auto" w:fill="808080" w:themeFill="background1" w:themeFillShade="80"/>
            <w:noWrap/>
            <w:vAlign w:val="bottom"/>
            <w:hideMark/>
          </w:tcPr>
          <w:p w14:paraId="333D7870" w14:textId="77777777" w:rsidR="00AD52B2" w:rsidRPr="00B953A6" w:rsidRDefault="00AD52B2" w:rsidP="00193553">
            <w:pPr>
              <w:spacing w:after="0" w:line="240" w:lineRule="auto"/>
              <w:rPr>
                <w:rFonts w:ascii="Calibri" w:eastAsia="Times New Roman" w:hAnsi="Calibri" w:cs="Calibri"/>
                <w:b/>
                <w:bCs/>
                <w:color w:val="FFFFFF" w:themeColor="background1"/>
                <w:sz w:val="20"/>
                <w:szCs w:val="20"/>
              </w:rPr>
            </w:pPr>
            <w:r w:rsidRPr="00B953A6">
              <w:rPr>
                <w:rFonts w:ascii="Calibri" w:eastAsia="Times New Roman" w:hAnsi="Calibri" w:cs="Calibri"/>
                <w:b/>
                <w:bCs/>
                <w:color w:val="FFFFFF" w:themeColor="background1"/>
                <w:sz w:val="20"/>
                <w:szCs w:val="20"/>
              </w:rPr>
              <w:t>Max</w:t>
            </w:r>
          </w:p>
        </w:tc>
      </w:tr>
      <w:tr w:rsidR="00AD52B2" w:rsidRPr="00D94508" w14:paraId="1D82E8F4" w14:textId="77777777" w:rsidTr="00193553">
        <w:trPr>
          <w:trHeight w:val="300"/>
        </w:trPr>
        <w:tc>
          <w:tcPr>
            <w:tcW w:w="1845" w:type="dxa"/>
            <w:tcBorders>
              <w:top w:val="nil"/>
              <w:left w:val="nil"/>
              <w:right w:val="nil"/>
            </w:tcBorders>
            <w:shd w:val="clear" w:color="auto" w:fill="auto"/>
            <w:noWrap/>
            <w:vAlign w:val="bottom"/>
            <w:hideMark/>
          </w:tcPr>
          <w:p w14:paraId="0105709F" w14:textId="77777777" w:rsidR="00AD52B2" w:rsidRPr="00D94508" w:rsidRDefault="00AD52B2" w:rsidP="00193553">
            <w:pPr>
              <w:spacing w:after="0" w:line="240" w:lineRule="auto"/>
              <w:rPr>
                <w:rFonts w:ascii="Calibri" w:eastAsia="Times New Roman" w:hAnsi="Calibri" w:cs="Calibri"/>
                <w:sz w:val="20"/>
                <w:szCs w:val="20"/>
              </w:rPr>
            </w:pPr>
            <w:r w:rsidRPr="00D94508">
              <w:rPr>
                <w:rFonts w:ascii="Calibri" w:eastAsia="Times New Roman" w:hAnsi="Calibri" w:cs="Calibri"/>
                <w:sz w:val="20"/>
                <w:szCs w:val="20"/>
              </w:rPr>
              <w:t>Denominator &gt;=75</w:t>
            </w:r>
          </w:p>
        </w:tc>
        <w:tc>
          <w:tcPr>
            <w:tcW w:w="1395" w:type="dxa"/>
            <w:tcBorders>
              <w:top w:val="nil"/>
              <w:left w:val="nil"/>
              <w:right w:val="nil"/>
            </w:tcBorders>
            <w:shd w:val="clear" w:color="auto" w:fill="auto"/>
            <w:noWrap/>
            <w:vAlign w:val="bottom"/>
            <w:hideMark/>
          </w:tcPr>
          <w:p w14:paraId="48BE41F4"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eastAsia="Times New Roman" w:hAnsi="Calibri" w:cs="Calibri"/>
                <w:sz w:val="20"/>
                <w:szCs w:val="20"/>
              </w:rPr>
              <w:t>1,066 (63.5%)</w:t>
            </w:r>
          </w:p>
        </w:tc>
        <w:tc>
          <w:tcPr>
            <w:tcW w:w="630" w:type="dxa"/>
            <w:tcBorders>
              <w:top w:val="nil"/>
              <w:left w:val="nil"/>
              <w:right w:val="nil"/>
            </w:tcBorders>
            <w:shd w:val="clear" w:color="auto" w:fill="auto"/>
            <w:noWrap/>
            <w:vAlign w:val="bottom"/>
            <w:hideMark/>
          </w:tcPr>
          <w:p w14:paraId="45F4FE57"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75.1</w:t>
            </w:r>
          </w:p>
        </w:tc>
        <w:tc>
          <w:tcPr>
            <w:tcW w:w="657" w:type="dxa"/>
            <w:tcBorders>
              <w:top w:val="nil"/>
              <w:left w:val="nil"/>
              <w:right w:val="nil"/>
            </w:tcBorders>
            <w:shd w:val="clear" w:color="auto" w:fill="auto"/>
            <w:noWrap/>
            <w:vAlign w:val="bottom"/>
            <w:hideMark/>
          </w:tcPr>
          <w:p w14:paraId="62CE2698"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8.3</w:t>
            </w:r>
          </w:p>
        </w:tc>
        <w:tc>
          <w:tcPr>
            <w:tcW w:w="657" w:type="dxa"/>
            <w:tcBorders>
              <w:top w:val="nil"/>
              <w:left w:val="nil"/>
              <w:right w:val="nil"/>
            </w:tcBorders>
            <w:shd w:val="clear" w:color="auto" w:fill="auto"/>
            <w:noWrap/>
            <w:vAlign w:val="bottom"/>
            <w:hideMark/>
          </w:tcPr>
          <w:p w14:paraId="19AB9101"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34.8</w:t>
            </w:r>
          </w:p>
        </w:tc>
        <w:tc>
          <w:tcPr>
            <w:tcW w:w="657" w:type="dxa"/>
            <w:tcBorders>
              <w:top w:val="nil"/>
              <w:left w:val="nil"/>
              <w:right w:val="nil"/>
            </w:tcBorders>
            <w:shd w:val="clear" w:color="auto" w:fill="auto"/>
            <w:noWrap/>
            <w:vAlign w:val="bottom"/>
            <w:hideMark/>
          </w:tcPr>
          <w:p w14:paraId="65E68989"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63.4</w:t>
            </w:r>
          </w:p>
        </w:tc>
        <w:tc>
          <w:tcPr>
            <w:tcW w:w="899" w:type="dxa"/>
            <w:tcBorders>
              <w:top w:val="nil"/>
              <w:left w:val="nil"/>
              <w:right w:val="nil"/>
            </w:tcBorders>
            <w:shd w:val="clear" w:color="auto" w:fill="auto"/>
            <w:noWrap/>
            <w:vAlign w:val="bottom"/>
            <w:hideMark/>
          </w:tcPr>
          <w:p w14:paraId="5837331F"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70.1</w:t>
            </w:r>
          </w:p>
        </w:tc>
        <w:tc>
          <w:tcPr>
            <w:tcW w:w="972" w:type="dxa"/>
            <w:tcBorders>
              <w:top w:val="nil"/>
              <w:left w:val="nil"/>
              <w:right w:val="nil"/>
            </w:tcBorders>
            <w:shd w:val="clear" w:color="auto" w:fill="auto"/>
            <w:noWrap/>
            <w:vAlign w:val="bottom"/>
            <w:hideMark/>
          </w:tcPr>
          <w:p w14:paraId="58B10ABF"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76.2</w:t>
            </w:r>
          </w:p>
        </w:tc>
        <w:tc>
          <w:tcPr>
            <w:tcW w:w="899" w:type="dxa"/>
            <w:tcBorders>
              <w:top w:val="nil"/>
              <w:left w:val="nil"/>
              <w:right w:val="nil"/>
            </w:tcBorders>
            <w:shd w:val="clear" w:color="auto" w:fill="auto"/>
            <w:noWrap/>
            <w:vAlign w:val="bottom"/>
            <w:hideMark/>
          </w:tcPr>
          <w:p w14:paraId="1AF61D1A"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81.1</w:t>
            </w:r>
          </w:p>
        </w:tc>
        <w:tc>
          <w:tcPr>
            <w:tcW w:w="657" w:type="dxa"/>
            <w:tcBorders>
              <w:top w:val="nil"/>
              <w:left w:val="nil"/>
              <w:right w:val="nil"/>
            </w:tcBorders>
            <w:shd w:val="clear" w:color="auto" w:fill="auto"/>
            <w:noWrap/>
            <w:vAlign w:val="bottom"/>
            <w:hideMark/>
          </w:tcPr>
          <w:p w14:paraId="6EC72E82"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84.7</w:t>
            </w:r>
          </w:p>
        </w:tc>
        <w:tc>
          <w:tcPr>
            <w:tcW w:w="690" w:type="dxa"/>
            <w:tcBorders>
              <w:top w:val="nil"/>
              <w:left w:val="nil"/>
              <w:right w:val="nil"/>
            </w:tcBorders>
            <w:shd w:val="clear" w:color="auto" w:fill="auto"/>
            <w:noWrap/>
            <w:vAlign w:val="bottom"/>
            <w:hideMark/>
          </w:tcPr>
          <w:p w14:paraId="6A5016AD"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94.3</w:t>
            </w:r>
          </w:p>
        </w:tc>
      </w:tr>
      <w:tr w:rsidR="00AD52B2" w:rsidRPr="00D94508" w14:paraId="099850DD" w14:textId="77777777" w:rsidTr="00193553">
        <w:trPr>
          <w:trHeight w:val="300"/>
        </w:trPr>
        <w:tc>
          <w:tcPr>
            <w:tcW w:w="1845" w:type="dxa"/>
            <w:tcBorders>
              <w:top w:val="nil"/>
              <w:left w:val="nil"/>
              <w:bottom w:val="single" w:sz="4" w:space="0" w:color="auto"/>
              <w:right w:val="nil"/>
            </w:tcBorders>
            <w:shd w:val="clear" w:color="auto" w:fill="auto"/>
            <w:noWrap/>
            <w:vAlign w:val="bottom"/>
            <w:hideMark/>
          </w:tcPr>
          <w:p w14:paraId="422FA704" w14:textId="77777777" w:rsidR="00AD52B2" w:rsidRPr="00D94508" w:rsidRDefault="00AD52B2" w:rsidP="00193553">
            <w:pPr>
              <w:spacing w:after="0" w:line="240" w:lineRule="auto"/>
              <w:rPr>
                <w:rFonts w:ascii="Calibri" w:eastAsia="Times New Roman" w:hAnsi="Calibri" w:cs="Calibri"/>
                <w:sz w:val="20"/>
                <w:szCs w:val="20"/>
              </w:rPr>
            </w:pPr>
            <w:r w:rsidRPr="00D94508">
              <w:rPr>
                <w:rFonts w:ascii="Calibri" w:eastAsia="Times New Roman" w:hAnsi="Calibri" w:cs="Calibri"/>
                <w:sz w:val="20"/>
                <w:szCs w:val="20"/>
              </w:rPr>
              <w:t>Overall</w:t>
            </w:r>
          </w:p>
        </w:tc>
        <w:tc>
          <w:tcPr>
            <w:tcW w:w="1395" w:type="dxa"/>
            <w:tcBorders>
              <w:top w:val="nil"/>
              <w:left w:val="nil"/>
              <w:bottom w:val="single" w:sz="4" w:space="0" w:color="auto"/>
              <w:right w:val="nil"/>
            </w:tcBorders>
            <w:shd w:val="clear" w:color="auto" w:fill="auto"/>
            <w:noWrap/>
            <w:vAlign w:val="bottom"/>
            <w:hideMark/>
          </w:tcPr>
          <w:p w14:paraId="39271E25"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eastAsia="Times New Roman" w:hAnsi="Calibri" w:cs="Calibri"/>
                <w:sz w:val="20"/>
                <w:szCs w:val="20"/>
              </w:rPr>
              <w:t>1,680 (100%)</w:t>
            </w:r>
          </w:p>
        </w:tc>
        <w:tc>
          <w:tcPr>
            <w:tcW w:w="630" w:type="dxa"/>
            <w:tcBorders>
              <w:top w:val="nil"/>
              <w:left w:val="nil"/>
              <w:bottom w:val="single" w:sz="4" w:space="0" w:color="auto"/>
              <w:right w:val="nil"/>
            </w:tcBorders>
            <w:shd w:val="clear" w:color="auto" w:fill="auto"/>
            <w:noWrap/>
            <w:vAlign w:val="bottom"/>
            <w:hideMark/>
          </w:tcPr>
          <w:p w14:paraId="2CBC352E"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75.0</w:t>
            </w:r>
          </w:p>
        </w:tc>
        <w:tc>
          <w:tcPr>
            <w:tcW w:w="657" w:type="dxa"/>
            <w:tcBorders>
              <w:top w:val="nil"/>
              <w:left w:val="nil"/>
              <w:bottom w:val="single" w:sz="4" w:space="0" w:color="auto"/>
              <w:right w:val="nil"/>
            </w:tcBorders>
            <w:shd w:val="clear" w:color="auto" w:fill="auto"/>
            <w:noWrap/>
            <w:vAlign w:val="bottom"/>
            <w:hideMark/>
          </w:tcPr>
          <w:p w14:paraId="4B50E0FB"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12.8</w:t>
            </w:r>
          </w:p>
        </w:tc>
        <w:tc>
          <w:tcPr>
            <w:tcW w:w="657" w:type="dxa"/>
            <w:tcBorders>
              <w:top w:val="nil"/>
              <w:left w:val="nil"/>
              <w:bottom w:val="single" w:sz="4" w:space="0" w:color="auto"/>
              <w:right w:val="nil"/>
            </w:tcBorders>
            <w:shd w:val="clear" w:color="auto" w:fill="auto"/>
            <w:noWrap/>
            <w:vAlign w:val="bottom"/>
            <w:hideMark/>
          </w:tcPr>
          <w:p w14:paraId="78D3CAA8"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0.0</w:t>
            </w:r>
          </w:p>
        </w:tc>
        <w:tc>
          <w:tcPr>
            <w:tcW w:w="657" w:type="dxa"/>
            <w:tcBorders>
              <w:top w:val="nil"/>
              <w:left w:val="nil"/>
              <w:bottom w:val="single" w:sz="4" w:space="0" w:color="auto"/>
              <w:right w:val="nil"/>
            </w:tcBorders>
            <w:shd w:val="clear" w:color="auto" w:fill="auto"/>
            <w:noWrap/>
            <w:vAlign w:val="bottom"/>
            <w:hideMark/>
          </w:tcPr>
          <w:p w14:paraId="70128830"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61.8</w:t>
            </w:r>
          </w:p>
        </w:tc>
        <w:tc>
          <w:tcPr>
            <w:tcW w:w="899" w:type="dxa"/>
            <w:tcBorders>
              <w:top w:val="nil"/>
              <w:left w:val="nil"/>
              <w:bottom w:val="single" w:sz="4" w:space="0" w:color="auto"/>
              <w:right w:val="nil"/>
            </w:tcBorders>
            <w:shd w:val="clear" w:color="auto" w:fill="auto"/>
            <w:noWrap/>
            <w:vAlign w:val="bottom"/>
            <w:hideMark/>
          </w:tcPr>
          <w:p w14:paraId="11FF8EB4"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70.0</w:t>
            </w:r>
          </w:p>
        </w:tc>
        <w:tc>
          <w:tcPr>
            <w:tcW w:w="972" w:type="dxa"/>
            <w:tcBorders>
              <w:top w:val="nil"/>
              <w:left w:val="nil"/>
              <w:bottom w:val="single" w:sz="4" w:space="0" w:color="auto"/>
              <w:right w:val="nil"/>
            </w:tcBorders>
            <w:shd w:val="clear" w:color="auto" w:fill="auto"/>
            <w:noWrap/>
            <w:vAlign w:val="bottom"/>
            <w:hideMark/>
          </w:tcPr>
          <w:p w14:paraId="14124D36"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76.8</w:t>
            </w:r>
          </w:p>
        </w:tc>
        <w:tc>
          <w:tcPr>
            <w:tcW w:w="899" w:type="dxa"/>
            <w:tcBorders>
              <w:top w:val="nil"/>
              <w:left w:val="nil"/>
              <w:bottom w:val="single" w:sz="4" w:space="0" w:color="auto"/>
              <w:right w:val="nil"/>
            </w:tcBorders>
            <w:shd w:val="clear" w:color="auto" w:fill="auto"/>
            <w:noWrap/>
            <w:vAlign w:val="bottom"/>
            <w:hideMark/>
          </w:tcPr>
          <w:p w14:paraId="1D28BE7A"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82.6</w:t>
            </w:r>
          </w:p>
        </w:tc>
        <w:tc>
          <w:tcPr>
            <w:tcW w:w="657" w:type="dxa"/>
            <w:tcBorders>
              <w:top w:val="nil"/>
              <w:left w:val="nil"/>
              <w:bottom w:val="single" w:sz="4" w:space="0" w:color="auto"/>
              <w:right w:val="nil"/>
            </w:tcBorders>
            <w:shd w:val="clear" w:color="auto" w:fill="auto"/>
            <w:noWrap/>
            <w:vAlign w:val="bottom"/>
            <w:hideMark/>
          </w:tcPr>
          <w:p w14:paraId="3F200817"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87.5</w:t>
            </w:r>
          </w:p>
        </w:tc>
        <w:tc>
          <w:tcPr>
            <w:tcW w:w="690" w:type="dxa"/>
            <w:tcBorders>
              <w:top w:val="nil"/>
              <w:left w:val="nil"/>
              <w:bottom w:val="single" w:sz="4" w:space="0" w:color="auto"/>
              <w:right w:val="nil"/>
            </w:tcBorders>
            <w:shd w:val="clear" w:color="auto" w:fill="auto"/>
            <w:noWrap/>
            <w:vAlign w:val="bottom"/>
            <w:hideMark/>
          </w:tcPr>
          <w:p w14:paraId="4AE335EB" w14:textId="77777777" w:rsidR="00AD52B2" w:rsidRPr="00D94508" w:rsidRDefault="00AD52B2" w:rsidP="00193553">
            <w:pPr>
              <w:spacing w:after="0" w:line="240" w:lineRule="auto"/>
              <w:jc w:val="right"/>
              <w:rPr>
                <w:rFonts w:ascii="Calibri" w:eastAsia="Times New Roman" w:hAnsi="Calibri" w:cs="Calibri"/>
                <w:sz w:val="20"/>
                <w:szCs w:val="20"/>
              </w:rPr>
            </w:pPr>
            <w:r w:rsidRPr="00D94508">
              <w:rPr>
                <w:rFonts w:ascii="Calibri" w:hAnsi="Calibri" w:cs="Calibri"/>
                <w:sz w:val="20"/>
                <w:szCs w:val="20"/>
              </w:rPr>
              <w:t>100.0</w:t>
            </w:r>
          </w:p>
        </w:tc>
      </w:tr>
    </w:tbl>
    <w:p w14:paraId="0490ADE0" w14:textId="0AD66067" w:rsidR="00445614" w:rsidRPr="00D94508" w:rsidRDefault="00445614" w:rsidP="00AD52B2">
      <w:pPr>
        <w:autoSpaceDE w:val="0"/>
        <w:autoSpaceDN w:val="0"/>
        <w:adjustRightInd w:val="0"/>
        <w:spacing w:after="0" w:line="240" w:lineRule="auto"/>
        <w:rPr>
          <w:rFonts w:cstheme="minorHAnsi"/>
          <w:color w:val="0070C0"/>
          <w:sz w:val="18"/>
          <w:szCs w:val="18"/>
        </w:rPr>
      </w:pPr>
      <w:r w:rsidRPr="00D94508">
        <w:rPr>
          <w:rFonts w:cstheme="minorHAnsi"/>
          <w:color w:val="FF0000"/>
          <w:sz w:val="18"/>
          <w:szCs w:val="18"/>
        </w:rPr>
        <w:t>Source:</w:t>
      </w:r>
      <w:r w:rsidRPr="00D94508">
        <w:rPr>
          <w:rFonts w:cstheme="minorHAnsi"/>
          <w:color w:val="FF0000"/>
          <w:sz w:val="18"/>
          <w:szCs w:val="18"/>
        </w:rPr>
        <w:tab/>
        <w:t xml:space="preserve">Mathematica analysis of the Medicare </w:t>
      </w:r>
      <w:r w:rsidR="00AD52B2" w:rsidRPr="00D94508">
        <w:rPr>
          <w:rFonts w:cstheme="minorHAnsi"/>
          <w:color w:val="FF0000"/>
          <w:sz w:val="18"/>
          <w:szCs w:val="18"/>
        </w:rPr>
        <w:t>f</w:t>
      </w:r>
      <w:r w:rsidR="00B757E3" w:rsidRPr="00D94508">
        <w:rPr>
          <w:rFonts w:cstheme="minorHAnsi"/>
          <w:color w:val="FF0000"/>
          <w:sz w:val="18"/>
          <w:szCs w:val="18"/>
        </w:rPr>
        <w:t>ee-</w:t>
      </w:r>
      <w:r w:rsidRPr="00D94508">
        <w:rPr>
          <w:rFonts w:cstheme="minorHAnsi"/>
          <w:color w:val="FF0000"/>
          <w:sz w:val="18"/>
          <w:szCs w:val="18"/>
        </w:rPr>
        <w:t>for</w:t>
      </w:r>
      <w:r w:rsidR="00B757E3" w:rsidRPr="00D94508">
        <w:rPr>
          <w:rFonts w:cstheme="minorHAnsi"/>
          <w:color w:val="FF0000"/>
          <w:sz w:val="18"/>
          <w:szCs w:val="18"/>
        </w:rPr>
        <w:t>-s</w:t>
      </w:r>
      <w:r w:rsidRPr="00D94508">
        <w:rPr>
          <w:rFonts w:cstheme="minorHAnsi"/>
          <w:color w:val="FF0000"/>
          <w:sz w:val="18"/>
          <w:szCs w:val="18"/>
        </w:rPr>
        <w:t xml:space="preserve">ervice (FFS) data for the </w:t>
      </w:r>
      <w:r w:rsidR="009674D5" w:rsidRPr="00D94508">
        <w:rPr>
          <w:rFonts w:cstheme="minorHAnsi"/>
          <w:color w:val="FF0000"/>
          <w:sz w:val="18"/>
          <w:szCs w:val="18"/>
        </w:rPr>
        <w:t>July 1, 2017</w:t>
      </w:r>
      <w:r w:rsidR="00B757E3" w:rsidRPr="00D94508">
        <w:rPr>
          <w:rFonts w:cstheme="minorHAnsi"/>
          <w:color w:val="FF0000"/>
          <w:sz w:val="18"/>
          <w:szCs w:val="18"/>
        </w:rPr>
        <w:t>–</w:t>
      </w:r>
      <w:r w:rsidR="009674D5" w:rsidRPr="00D94508">
        <w:rPr>
          <w:rFonts w:cstheme="minorHAnsi"/>
          <w:color w:val="FF0000"/>
          <w:sz w:val="18"/>
          <w:szCs w:val="18"/>
        </w:rPr>
        <w:t>June 30, 2019</w:t>
      </w:r>
      <w:r w:rsidRPr="00D94508">
        <w:rPr>
          <w:rFonts w:cstheme="minorHAnsi"/>
          <w:color w:val="FF0000"/>
          <w:sz w:val="18"/>
          <w:szCs w:val="18"/>
        </w:rPr>
        <w:t xml:space="preserve"> performance period. </w:t>
      </w:r>
    </w:p>
    <w:p w14:paraId="0CABCFD3" w14:textId="1742EFF1" w:rsidR="007422FD" w:rsidRDefault="007422FD" w:rsidP="008C54A9">
      <w:pPr>
        <w:autoSpaceDE w:val="0"/>
        <w:autoSpaceDN w:val="0"/>
        <w:adjustRightInd w:val="0"/>
        <w:spacing w:after="0" w:line="240" w:lineRule="auto"/>
        <w:rPr>
          <w:rFonts w:cstheme="minorHAnsi"/>
          <w:bCs/>
        </w:rPr>
      </w:pPr>
    </w:p>
    <w:p w14:paraId="3B62E01C" w14:textId="77777777" w:rsidR="00FA7E89" w:rsidRPr="00955FDF" w:rsidRDefault="00FA7E89" w:rsidP="00FA7E89">
      <w:pPr>
        <w:autoSpaceDE w:val="0"/>
        <w:autoSpaceDN w:val="0"/>
        <w:adjustRightInd w:val="0"/>
        <w:spacing w:before="60" w:after="120" w:line="240" w:lineRule="auto"/>
        <w:rPr>
          <w:color w:val="0000FF"/>
        </w:rPr>
      </w:pPr>
      <w:r w:rsidRPr="00955FDF">
        <w:rPr>
          <w:color w:val="0000FF"/>
        </w:rPr>
        <w:t xml:space="preserve">A minimum denominator size of 75 discharges is needed to attain an overall reliability score of at least 0.7 (Table 2a.2.3-A), which is within acceptable norms and indicates sufficient signal strength to discriminate performance between facilities, using the method of mean denominator and volume categories. With a minimum denominator of 75 discharges, 1,184 IPFs (70%) have enough discharges within a two-year measurement period for public reporting. The removal of smaller facilities does not have an appreciable impact on the distribution of measure scores (Table 2a.2.3-B). </w:t>
      </w:r>
    </w:p>
    <w:p w14:paraId="5B3C6A36" w14:textId="77777777" w:rsidR="00FA7E89" w:rsidRPr="005E0E3B" w:rsidRDefault="00FA7E89" w:rsidP="00FA7E89">
      <w:pPr>
        <w:keepNext/>
        <w:spacing w:before="120" w:after="0" w:line="240" w:lineRule="auto"/>
        <w:rPr>
          <w:rFonts w:ascii="Calibri" w:eastAsia="Arial" w:hAnsi="Calibri" w:cs="Arial"/>
          <w:b/>
          <w:bCs/>
          <w:sz w:val="20"/>
          <w:szCs w:val="20"/>
        </w:rPr>
      </w:pPr>
      <w:r w:rsidRPr="007C558A">
        <w:rPr>
          <w:rFonts w:ascii="Calibri" w:eastAsia="Arial" w:hAnsi="Calibri" w:cs="Arial"/>
          <w:b/>
          <w:bCs/>
          <w:sz w:val="20"/>
          <w:szCs w:val="20"/>
        </w:rPr>
        <w:t xml:space="preserve">Table </w:t>
      </w:r>
      <w:r w:rsidRPr="007C558A">
        <w:rPr>
          <w:rFonts w:ascii="Calibri" w:eastAsia="Arial" w:hAnsi="Calibri"/>
          <w:b/>
          <w:sz w:val="20"/>
        </w:rPr>
        <w:t>2a.2.3</w:t>
      </w:r>
      <w:r w:rsidRPr="007C558A">
        <w:rPr>
          <w:b/>
        </w:rPr>
        <w:t>-</w:t>
      </w:r>
      <w:r w:rsidRPr="007C558A">
        <w:rPr>
          <w:rFonts w:ascii="Calibri" w:eastAsia="Arial" w:hAnsi="Calibri" w:cs="Arial"/>
          <w:b/>
          <w:bCs/>
          <w:sz w:val="20"/>
          <w:szCs w:val="20"/>
        </w:rPr>
        <w:t>A. IPF</w:t>
      </w:r>
      <w:r w:rsidRPr="005E0E3B">
        <w:rPr>
          <w:rFonts w:ascii="Calibri" w:eastAsia="Arial" w:hAnsi="Calibri" w:cs="Arial"/>
          <w:b/>
          <w:bCs/>
          <w:sz w:val="20"/>
          <w:szCs w:val="20"/>
        </w:rPr>
        <w:t xml:space="preserve"> Reliability and Assessment of Adequacy for Tests Conducted </w:t>
      </w:r>
    </w:p>
    <w:tbl>
      <w:tblPr>
        <w:tblStyle w:val="TableGrid"/>
        <w:tblW w:w="4899" w:type="pct"/>
        <w:tblInd w:w="99" w:type="dxa"/>
        <w:tblLook w:val="04A0" w:firstRow="1" w:lastRow="0" w:firstColumn="1" w:lastColumn="0" w:noHBand="0" w:noVBand="1"/>
      </w:tblPr>
      <w:tblGrid>
        <w:gridCol w:w="1586"/>
        <w:gridCol w:w="1893"/>
        <w:gridCol w:w="1894"/>
        <w:gridCol w:w="1894"/>
        <w:gridCol w:w="1894"/>
      </w:tblGrid>
      <w:tr w:rsidR="00FA7E89" w:rsidRPr="00BE40E3" w14:paraId="6B82AF29" w14:textId="77777777" w:rsidTr="002E0CEC">
        <w:trPr>
          <w:trHeight w:val="490"/>
        </w:trPr>
        <w:tc>
          <w:tcPr>
            <w:tcW w:w="865" w:type="pct"/>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14:paraId="37C383DE" w14:textId="77777777" w:rsidR="00FA7E89" w:rsidRPr="005D4433" w:rsidRDefault="00FA7E89" w:rsidP="002E0CEC">
            <w:pPr>
              <w:keepNext/>
              <w:jc w:val="center"/>
              <w:rPr>
                <w:rFonts w:ascii="Calibri" w:eastAsia="Times New Roman" w:hAnsi="Calibri" w:cs="Arial"/>
                <w:b/>
                <w:color w:val="FFFFFF" w:themeColor="background1"/>
                <w:sz w:val="20"/>
                <w:szCs w:val="20"/>
              </w:rPr>
            </w:pPr>
          </w:p>
        </w:tc>
        <w:tc>
          <w:tcPr>
            <w:tcW w:w="1033" w:type="pct"/>
            <w:tcBorders>
              <w:top w:val="single" w:sz="4" w:space="0" w:color="auto"/>
              <w:left w:val="single" w:sz="4" w:space="0" w:color="auto"/>
              <w:bottom w:val="single" w:sz="4" w:space="0" w:color="auto"/>
              <w:right w:val="single" w:sz="4" w:space="0" w:color="auto"/>
            </w:tcBorders>
            <w:shd w:val="clear" w:color="auto" w:fill="365F91" w:themeFill="accent1" w:themeFillShade="BF"/>
            <w:vAlign w:val="bottom"/>
            <w:hideMark/>
          </w:tcPr>
          <w:p w14:paraId="62A6A4DA" w14:textId="77777777" w:rsidR="00FA7E89" w:rsidRPr="00A36267" w:rsidRDefault="00FA7E89" w:rsidP="002E0CEC">
            <w:pPr>
              <w:keepNext/>
              <w:jc w:val="center"/>
              <w:rPr>
                <w:rFonts w:ascii="Calibri" w:eastAsia="Arial,Times New Roman" w:hAnsi="Calibri" w:cs="Arial,Times New Roman"/>
                <w:b/>
                <w:color w:val="FFFFFF" w:themeColor="background1"/>
                <w:sz w:val="20"/>
                <w:szCs w:val="20"/>
              </w:rPr>
            </w:pPr>
            <w:r w:rsidRPr="00A36267">
              <w:rPr>
                <w:rFonts w:ascii="Calibri" w:eastAsia="Arial,Times New Roman" w:hAnsi="Calibri" w:cs="Arial,Times New Roman"/>
                <w:b/>
                <w:color w:val="FFFFFF" w:themeColor="background1"/>
                <w:sz w:val="20"/>
                <w:szCs w:val="20"/>
              </w:rPr>
              <w:t>Minimum Denominator</w:t>
            </w:r>
          </w:p>
        </w:tc>
        <w:tc>
          <w:tcPr>
            <w:tcW w:w="1034" w:type="pct"/>
            <w:tcBorders>
              <w:top w:val="single" w:sz="4" w:space="0" w:color="auto"/>
              <w:left w:val="single" w:sz="4" w:space="0" w:color="auto"/>
              <w:bottom w:val="single" w:sz="4" w:space="0" w:color="auto"/>
              <w:right w:val="single" w:sz="4" w:space="0" w:color="auto"/>
            </w:tcBorders>
            <w:shd w:val="clear" w:color="auto" w:fill="365F91" w:themeFill="accent1" w:themeFillShade="BF"/>
            <w:vAlign w:val="bottom"/>
            <w:hideMark/>
          </w:tcPr>
          <w:p w14:paraId="2E0F2ACB" w14:textId="77777777" w:rsidR="00FA7E89" w:rsidRPr="00A36267" w:rsidRDefault="00FA7E89" w:rsidP="002E0CEC">
            <w:pPr>
              <w:keepNext/>
              <w:jc w:val="center"/>
              <w:rPr>
                <w:rFonts w:ascii="Calibri" w:eastAsia="Arial,Times New Roman" w:hAnsi="Calibri" w:cs="Arial,Times New Roman"/>
                <w:b/>
                <w:color w:val="FFFFFF" w:themeColor="background1"/>
                <w:sz w:val="20"/>
                <w:szCs w:val="20"/>
              </w:rPr>
            </w:pPr>
            <w:r w:rsidRPr="00A36267">
              <w:rPr>
                <w:rFonts w:ascii="Calibri" w:eastAsia="Arial,Times New Roman" w:hAnsi="Calibri" w:cs="Arial,Times New Roman"/>
                <w:b/>
                <w:color w:val="FFFFFF" w:themeColor="background1"/>
                <w:sz w:val="20"/>
                <w:szCs w:val="20"/>
              </w:rPr>
              <w:t># of IPFs</w:t>
            </w:r>
          </w:p>
          <w:p w14:paraId="16E9814B" w14:textId="77777777" w:rsidR="00FA7E89" w:rsidRPr="00A36267" w:rsidRDefault="00FA7E89" w:rsidP="002E0CEC">
            <w:pPr>
              <w:keepNext/>
              <w:jc w:val="center"/>
              <w:rPr>
                <w:rFonts w:ascii="Calibri" w:eastAsia="Arial,Times New Roman" w:hAnsi="Calibri" w:cs="Arial,Times New Roman"/>
                <w:b/>
                <w:color w:val="FFFFFF" w:themeColor="background1"/>
                <w:sz w:val="20"/>
                <w:szCs w:val="20"/>
              </w:rPr>
            </w:pPr>
            <w:r w:rsidRPr="00A36267">
              <w:rPr>
                <w:rFonts w:ascii="Calibri" w:eastAsia="Arial,Times New Roman" w:hAnsi="Calibri" w:cs="Arial,Times New Roman"/>
                <w:b/>
                <w:color w:val="FFFFFF" w:themeColor="background1"/>
                <w:sz w:val="20"/>
                <w:szCs w:val="20"/>
              </w:rPr>
              <w:t>N=1,694 (%)</w:t>
            </w:r>
          </w:p>
        </w:tc>
        <w:tc>
          <w:tcPr>
            <w:tcW w:w="1034" w:type="pct"/>
            <w:tcBorders>
              <w:top w:val="single" w:sz="4" w:space="0" w:color="auto"/>
              <w:left w:val="single" w:sz="4" w:space="0" w:color="auto"/>
              <w:bottom w:val="single" w:sz="4" w:space="0" w:color="auto"/>
              <w:right w:val="single" w:sz="4" w:space="0" w:color="auto"/>
            </w:tcBorders>
            <w:shd w:val="clear" w:color="auto" w:fill="365F91" w:themeFill="accent1" w:themeFillShade="BF"/>
            <w:vAlign w:val="bottom"/>
            <w:hideMark/>
          </w:tcPr>
          <w:p w14:paraId="1711E208" w14:textId="77777777" w:rsidR="00FA7E89" w:rsidRPr="00A36267" w:rsidRDefault="00FA7E89" w:rsidP="002E0CEC">
            <w:pPr>
              <w:keepNext/>
              <w:jc w:val="center"/>
              <w:rPr>
                <w:rFonts w:ascii="Calibri" w:eastAsia="Arial,Times New Roman" w:hAnsi="Calibri" w:cs="Arial,Times New Roman"/>
                <w:b/>
                <w:color w:val="FFFFFF" w:themeColor="background1"/>
                <w:sz w:val="20"/>
                <w:szCs w:val="20"/>
              </w:rPr>
            </w:pPr>
            <w:r w:rsidRPr="00A36267">
              <w:rPr>
                <w:rFonts w:ascii="Calibri" w:eastAsia="Arial,Times New Roman" w:hAnsi="Calibri" w:cs="Arial,Times New Roman"/>
                <w:b/>
                <w:color w:val="FFFFFF" w:themeColor="background1"/>
                <w:sz w:val="20"/>
                <w:szCs w:val="20"/>
              </w:rPr>
              <w:t xml:space="preserve">Mean Rate (%) </w:t>
            </w:r>
          </w:p>
          <w:p w14:paraId="241900D5" w14:textId="77777777" w:rsidR="00FA7E89" w:rsidRPr="00A36267" w:rsidRDefault="00FA7E89" w:rsidP="002E0CEC">
            <w:pPr>
              <w:keepNext/>
              <w:jc w:val="center"/>
              <w:rPr>
                <w:rFonts w:ascii="Calibri" w:eastAsia="Arial,Times New Roman" w:hAnsi="Calibri" w:cs="Arial,Times New Roman"/>
                <w:b/>
                <w:color w:val="FFFFFF" w:themeColor="background1"/>
                <w:sz w:val="20"/>
                <w:szCs w:val="20"/>
              </w:rPr>
            </w:pPr>
            <w:r w:rsidRPr="00A36267">
              <w:rPr>
                <w:rFonts w:ascii="Calibri" w:eastAsia="Arial,Times New Roman" w:hAnsi="Calibri" w:cs="Arial,Times New Roman"/>
                <w:b/>
                <w:color w:val="FFFFFF" w:themeColor="background1"/>
                <w:sz w:val="20"/>
                <w:szCs w:val="20"/>
              </w:rPr>
              <w:t xml:space="preserve">of IPFs </w:t>
            </w:r>
          </w:p>
        </w:tc>
        <w:tc>
          <w:tcPr>
            <w:tcW w:w="1034" w:type="pct"/>
            <w:tcBorders>
              <w:top w:val="single" w:sz="4" w:space="0" w:color="auto"/>
              <w:left w:val="single" w:sz="4" w:space="0" w:color="auto"/>
              <w:bottom w:val="single" w:sz="4" w:space="0" w:color="auto"/>
              <w:right w:val="single" w:sz="4" w:space="0" w:color="auto"/>
            </w:tcBorders>
            <w:shd w:val="clear" w:color="auto" w:fill="365F91" w:themeFill="accent1" w:themeFillShade="BF"/>
            <w:vAlign w:val="bottom"/>
            <w:hideMark/>
          </w:tcPr>
          <w:p w14:paraId="6E41C07F" w14:textId="77777777" w:rsidR="00FA7E89" w:rsidRPr="00A36267" w:rsidRDefault="00FA7E89" w:rsidP="002E0CEC">
            <w:pPr>
              <w:keepNext/>
              <w:jc w:val="center"/>
              <w:rPr>
                <w:rFonts w:ascii="Calibri" w:eastAsia="Arial,Times New Roman" w:hAnsi="Calibri" w:cs="Arial,Times New Roman"/>
                <w:b/>
                <w:color w:val="FFFFFF" w:themeColor="background1"/>
                <w:sz w:val="20"/>
                <w:szCs w:val="20"/>
              </w:rPr>
            </w:pPr>
            <w:r w:rsidRPr="00A36267">
              <w:rPr>
                <w:rFonts w:ascii="Calibri" w:eastAsia="Arial,Times New Roman" w:hAnsi="Calibri" w:cs="Arial,Times New Roman"/>
                <w:b/>
                <w:color w:val="FFFFFF" w:themeColor="background1"/>
                <w:sz w:val="20"/>
                <w:szCs w:val="20"/>
              </w:rPr>
              <w:t>Reliability Score</w:t>
            </w:r>
          </w:p>
        </w:tc>
      </w:tr>
      <w:tr w:rsidR="00FA7E89" w:rsidRPr="00BE40E3" w14:paraId="1B5D2F1F" w14:textId="77777777" w:rsidTr="002E0CEC">
        <w:trPr>
          <w:trHeight w:val="288"/>
        </w:trPr>
        <w:tc>
          <w:tcPr>
            <w:tcW w:w="865"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0F86AECF" w14:textId="77777777" w:rsidR="00FA7E89" w:rsidRPr="005D4433" w:rsidRDefault="00FA7E89" w:rsidP="002E0CEC">
            <w:pPr>
              <w:keepNext/>
              <w:rPr>
                <w:rFonts w:ascii="Calibri" w:eastAsia="Arial,Times New Roman" w:hAnsi="Calibri" w:cs="Arial,Times New Roman"/>
                <w:b/>
                <w:bCs/>
                <w:color w:val="000000" w:themeColor="text1"/>
                <w:sz w:val="20"/>
                <w:szCs w:val="20"/>
              </w:rPr>
            </w:pPr>
            <w:r w:rsidRPr="005D4433">
              <w:rPr>
                <w:rFonts w:ascii="Calibri" w:eastAsia="Arial,Times New Roman" w:hAnsi="Calibri" w:cs="Arial,Times New Roman"/>
                <w:b/>
                <w:bCs/>
                <w:color w:val="000000" w:themeColor="text1"/>
                <w:sz w:val="20"/>
                <w:szCs w:val="20"/>
              </w:rPr>
              <w:t>Overall</w:t>
            </w:r>
          </w:p>
        </w:tc>
        <w:tc>
          <w:tcPr>
            <w:tcW w:w="10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CECF8DE" w14:textId="77777777" w:rsidR="00FA7E89" w:rsidRPr="005D4433" w:rsidRDefault="00FA7E89" w:rsidP="002E0CEC">
            <w:pPr>
              <w:keepNext/>
              <w:jc w:val="center"/>
              <w:rPr>
                <w:rFonts w:ascii="Calibri" w:eastAsia="Arial,Times New Roman" w:hAnsi="Calibri" w:cs="Arial,Times New Roman"/>
                <w:color w:val="000000" w:themeColor="text1"/>
                <w:sz w:val="20"/>
                <w:szCs w:val="20"/>
              </w:rPr>
            </w:pPr>
            <w:r w:rsidRPr="005D4433">
              <w:rPr>
                <w:rFonts w:ascii="Calibri" w:eastAsia="Arial,Times New Roman" w:hAnsi="Calibri" w:cs="Arial,Times New Roman"/>
                <w:color w:val="000000" w:themeColor="text1"/>
                <w:sz w:val="20"/>
                <w:szCs w:val="20"/>
              </w:rPr>
              <w:t>75</w:t>
            </w:r>
          </w:p>
        </w:tc>
        <w:tc>
          <w:tcPr>
            <w:tcW w:w="1034"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6A1422EE" w14:textId="77777777" w:rsidR="00FA7E89" w:rsidRPr="005D4433" w:rsidRDefault="00FA7E89" w:rsidP="002E0CEC">
            <w:pPr>
              <w:keepNext/>
              <w:jc w:val="center"/>
              <w:rPr>
                <w:rFonts w:ascii="Calibri" w:eastAsia="Arial,Times New Roman" w:hAnsi="Calibri" w:cs="Arial,Times New Roman"/>
                <w:color w:val="000000" w:themeColor="text1"/>
                <w:sz w:val="20"/>
                <w:szCs w:val="20"/>
              </w:rPr>
            </w:pPr>
            <w:r w:rsidRPr="005D4433">
              <w:rPr>
                <w:rFonts w:ascii="Calibri" w:eastAsia="Arial,Times New Roman" w:hAnsi="Calibri" w:cs="Arial,Times New Roman"/>
                <w:color w:val="000000" w:themeColor="text1"/>
                <w:sz w:val="20"/>
                <w:szCs w:val="20"/>
              </w:rPr>
              <w:t>1,184 (69.9)</w:t>
            </w:r>
          </w:p>
        </w:tc>
        <w:tc>
          <w:tcPr>
            <w:tcW w:w="1034"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218CECD7" w14:textId="77777777" w:rsidR="00FA7E89" w:rsidRPr="005D4433" w:rsidRDefault="00FA7E89" w:rsidP="002E0CEC">
            <w:pPr>
              <w:keepNext/>
              <w:jc w:val="center"/>
              <w:rPr>
                <w:rFonts w:ascii="Calibri" w:eastAsia="Times New Roman" w:hAnsi="Calibri" w:cs="Arial"/>
                <w:color w:val="000000"/>
                <w:sz w:val="20"/>
                <w:szCs w:val="20"/>
              </w:rPr>
            </w:pPr>
            <w:r w:rsidRPr="005D4433">
              <w:rPr>
                <w:rFonts w:ascii="Calibri" w:eastAsia="Times New Roman" w:hAnsi="Calibri" w:cs="Arial"/>
                <w:color w:val="000000"/>
                <w:sz w:val="20"/>
                <w:szCs w:val="20"/>
              </w:rPr>
              <w:t>78.0</w:t>
            </w:r>
          </w:p>
        </w:tc>
        <w:tc>
          <w:tcPr>
            <w:tcW w:w="1034"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666A88E" w14:textId="77777777" w:rsidR="00FA7E89" w:rsidRPr="005D4433" w:rsidRDefault="00FA7E89" w:rsidP="002E0CEC">
            <w:pPr>
              <w:keepNext/>
              <w:jc w:val="center"/>
              <w:rPr>
                <w:rFonts w:ascii="Calibri" w:eastAsia="Times New Roman" w:hAnsi="Calibri" w:cs="Arial"/>
                <w:color w:val="000000"/>
                <w:sz w:val="20"/>
                <w:szCs w:val="20"/>
              </w:rPr>
            </w:pPr>
            <w:r w:rsidRPr="005D4433">
              <w:rPr>
                <w:rFonts w:ascii="Calibri" w:eastAsia="Times New Roman" w:hAnsi="Calibri" w:cs="Arial"/>
                <w:color w:val="000000"/>
                <w:sz w:val="20"/>
                <w:szCs w:val="20"/>
              </w:rPr>
              <w:t>0.77</w:t>
            </w:r>
          </w:p>
        </w:tc>
      </w:tr>
    </w:tbl>
    <w:p w14:paraId="60E58270" w14:textId="77777777" w:rsidR="00FA7E89" w:rsidRPr="00FA7E89" w:rsidRDefault="00FA7E89" w:rsidP="00BD4785">
      <w:pPr>
        <w:pStyle w:val="Caption"/>
      </w:pPr>
      <w:bookmarkStart w:id="17" w:name="_Ref461999955"/>
      <w:bookmarkStart w:id="18" w:name="_Toc461786363"/>
      <w:bookmarkStart w:id="19" w:name="_Toc461788520"/>
      <w:bookmarkStart w:id="20" w:name="_Toc461789710"/>
      <w:bookmarkStart w:id="21" w:name="_Toc462065414"/>
      <w:bookmarkStart w:id="22" w:name="_Toc462148744"/>
      <w:bookmarkStart w:id="23" w:name="_Toc462222775"/>
      <w:bookmarkStart w:id="24" w:name="_Toc462225269"/>
      <w:bookmarkStart w:id="25" w:name="_Toc462226865"/>
      <w:bookmarkStart w:id="26" w:name="_Toc462232834"/>
      <w:bookmarkStart w:id="27" w:name="_Toc462232777"/>
      <w:bookmarkStart w:id="28" w:name="_Toc462382601"/>
      <w:bookmarkStart w:id="29" w:name="_Toc462403108"/>
      <w:bookmarkStart w:id="30" w:name="_Toc462661251"/>
      <w:bookmarkStart w:id="31" w:name="_Toc462825189"/>
      <w:bookmarkStart w:id="32" w:name="_Toc462829429"/>
      <w:bookmarkStart w:id="33" w:name="_Toc462840736"/>
      <w:bookmarkStart w:id="34" w:name="_Toc467532399"/>
      <w:r w:rsidRPr="00FA7E89">
        <w:t xml:space="preserve">Table </w:t>
      </w:r>
      <w:bookmarkEnd w:id="17"/>
      <w:r w:rsidRPr="00FA7E89">
        <w:t>2a.2.3-B. Comparison of IPF Measure Score Distribution by Denominator Minimum</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tbl>
      <w:tblPr>
        <w:tblpPr w:leftFromText="180" w:rightFromText="180" w:vertAnchor="text" w:tblpX="105" w:tblpY="1"/>
        <w:tblOverlap w:val="never"/>
        <w:tblW w:w="9369" w:type="dxa"/>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Layout w:type="fixed"/>
        <w:tblLook w:val="0000" w:firstRow="0" w:lastRow="0" w:firstColumn="0" w:lastColumn="0" w:noHBand="0" w:noVBand="0"/>
      </w:tblPr>
      <w:tblGrid>
        <w:gridCol w:w="1728"/>
        <w:gridCol w:w="720"/>
        <w:gridCol w:w="720"/>
        <w:gridCol w:w="630"/>
        <w:gridCol w:w="630"/>
        <w:gridCol w:w="810"/>
        <w:gridCol w:w="909"/>
        <w:gridCol w:w="891"/>
        <w:gridCol w:w="900"/>
        <w:gridCol w:w="720"/>
        <w:gridCol w:w="711"/>
      </w:tblGrid>
      <w:tr w:rsidR="00FA7E89" w:rsidRPr="00BE40E3" w14:paraId="2DD3D6D0" w14:textId="77777777" w:rsidTr="002E0CEC">
        <w:trPr>
          <w:trHeight w:val="490"/>
        </w:trPr>
        <w:tc>
          <w:tcPr>
            <w:tcW w:w="1728" w:type="dxa"/>
            <w:shd w:val="clear" w:color="auto" w:fill="365F91" w:themeFill="accent1" w:themeFillShade="BF"/>
            <w:tcMar>
              <w:top w:w="144" w:type="nil"/>
              <w:right w:w="144" w:type="nil"/>
            </w:tcMar>
            <w:vAlign w:val="center"/>
          </w:tcPr>
          <w:p w14:paraId="5FC9FC25" w14:textId="77777777" w:rsidR="00FA7E89" w:rsidRPr="005D4433" w:rsidRDefault="00FA7E89" w:rsidP="002E0CEC">
            <w:pPr>
              <w:autoSpaceDE w:val="0"/>
              <w:autoSpaceDN w:val="0"/>
              <w:adjustRightInd w:val="0"/>
              <w:spacing w:after="0" w:line="240" w:lineRule="auto"/>
              <w:rPr>
                <w:rFonts w:ascii="Calibri" w:hAnsi="Calibri" w:cs="Calibri"/>
                <w:color w:val="FFFFFF" w:themeColor="background1"/>
                <w:sz w:val="20"/>
                <w:szCs w:val="20"/>
              </w:rPr>
            </w:pPr>
          </w:p>
        </w:tc>
        <w:tc>
          <w:tcPr>
            <w:tcW w:w="720" w:type="dxa"/>
            <w:shd w:val="clear" w:color="auto" w:fill="365F91" w:themeFill="accent1" w:themeFillShade="BF"/>
            <w:tcMar>
              <w:top w:w="144" w:type="nil"/>
              <w:right w:w="144" w:type="nil"/>
            </w:tcMar>
            <w:vAlign w:val="bottom"/>
          </w:tcPr>
          <w:p w14:paraId="62DB0223" w14:textId="77777777" w:rsidR="00FA7E89" w:rsidRPr="005D4433" w:rsidRDefault="00FA7E89" w:rsidP="002E0CEC">
            <w:pPr>
              <w:autoSpaceDE w:val="0"/>
              <w:autoSpaceDN w:val="0"/>
              <w:adjustRightInd w:val="0"/>
              <w:spacing w:after="0" w:line="240" w:lineRule="auto"/>
              <w:jc w:val="center"/>
              <w:rPr>
                <w:rFonts w:ascii="Calibri" w:eastAsia="Calibri" w:hAnsi="Calibri" w:cs="Calibri"/>
                <w:color w:val="FFFFFF" w:themeColor="background1"/>
                <w:sz w:val="20"/>
                <w:szCs w:val="20"/>
              </w:rPr>
            </w:pPr>
            <w:r w:rsidRPr="005D4433">
              <w:rPr>
                <w:rFonts w:ascii="Calibri" w:eastAsia="Arial" w:hAnsi="Calibri" w:cs="Arial"/>
                <w:b/>
                <w:bCs/>
                <w:color w:val="FFFFFF" w:themeColor="background1"/>
                <w:sz w:val="20"/>
                <w:szCs w:val="20"/>
              </w:rPr>
              <w:t># IPFs</w:t>
            </w:r>
          </w:p>
        </w:tc>
        <w:tc>
          <w:tcPr>
            <w:tcW w:w="720" w:type="dxa"/>
            <w:shd w:val="clear" w:color="auto" w:fill="365F91" w:themeFill="accent1" w:themeFillShade="BF"/>
            <w:tcMar>
              <w:top w:w="144" w:type="nil"/>
              <w:right w:w="144" w:type="nil"/>
            </w:tcMar>
            <w:vAlign w:val="bottom"/>
          </w:tcPr>
          <w:p w14:paraId="06EDEBBC" w14:textId="77777777" w:rsidR="00FA7E89" w:rsidRPr="005D4433" w:rsidRDefault="00FA7E89" w:rsidP="002E0CEC">
            <w:pPr>
              <w:autoSpaceDE w:val="0"/>
              <w:autoSpaceDN w:val="0"/>
              <w:adjustRightInd w:val="0"/>
              <w:spacing w:after="0" w:line="240" w:lineRule="auto"/>
              <w:jc w:val="center"/>
              <w:rPr>
                <w:rFonts w:ascii="Calibri" w:eastAsia="Calibri" w:hAnsi="Calibri" w:cs="Calibri"/>
                <w:color w:val="FFFFFF" w:themeColor="background1"/>
                <w:sz w:val="20"/>
                <w:szCs w:val="20"/>
              </w:rPr>
            </w:pPr>
            <w:r w:rsidRPr="005D4433">
              <w:rPr>
                <w:rFonts w:ascii="Calibri" w:eastAsia="Arial" w:hAnsi="Calibri" w:cs="Arial"/>
                <w:b/>
                <w:bCs/>
                <w:color w:val="FFFFFF" w:themeColor="background1"/>
                <w:sz w:val="20"/>
                <w:szCs w:val="20"/>
              </w:rPr>
              <w:t>Mean</w:t>
            </w:r>
          </w:p>
        </w:tc>
        <w:tc>
          <w:tcPr>
            <w:tcW w:w="630" w:type="dxa"/>
            <w:shd w:val="clear" w:color="auto" w:fill="365F91" w:themeFill="accent1" w:themeFillShade="BF"/>
            <w:tcMar>
              <w:top w:w="144" w:type="nil"/>
              <w:right w:w="144" w:type="nil"/>
            </w:tcMar>
            <w:vAlign w:val="bottom"/>
          </w:tcPr>
          <w:p w14:paraId="707937CD" w14:textId="77777777" w:rsidR="00FA7E89" w:rsidRPr="005D4433" w:rsidRDefault="00FA7E89" w:rsidP="002E0CEC">
            <w:pPr>
              <w:autoSpaceDE w:val="0"/>
              <w:autoSpaceDN w:val="0"/>
              <w:adjustRightInd w:val="0"/>
              <w:spacing w:after="0" w:line="240" w:lineRule="auto"/>
              <w:jc w:val="center"/>
              <w:rPr>
                <w:rFonts w:ascii="Calibri" w:eastAsia="Calibri" w:hAnsi="Calibri" w:cs="Calibri"/>
                <w:color w:val="FFFFFF" w:themeColor="background1"/>
                <w:sz w:val="20"/>
                <w:szCs w:val="20"/>
              </w:rPr>
            </w:pPr>
            <w:r w:rsidRPr="005D4433">
              <w:rPr>
                <w:rFonts w:ascii="Calibri" w:eastAsia="Arial" w:hAnsi="Calibri" w:cs="Arial"/>
                <w:b/>
                <w:bCs/>
                <w:color w:val="FFFFFF" w:themeColor="background1"/>
                <w:sz w:val="20"/>
                <w:szCs w:val="20"/>
              </w:rPr>
              <w:t>SD</w:t>
            </w:r>
          </w:p>
        </w:tc>
        <w:tc>
          <w:tcPr>
            <w:tcW w:w="630" w:type="dxa"/>
            <w:shd w:val="clear" w:color="auto" w:fill="365F91" w:themeFill="accent1" w:themeFillShade="BF"/>
            <w:vAlign w:val="bottom"/>
          </w:tcPr>
          <w:p w14:paraId="755EAFA0" w14:textId="77777777" w:rsidR="00FA7E89" w:rsidRPr="005D4433" w:rsidRDefault="00FA7E89" w:rsidP="002E0CEC">
            <w:pPr>
              <w:autoSpaceDE w:val="0"/>
              <w:autoSpaceDN w:val="0"/>
              <w:adjustRightInd w:val="0"/>
              <w:spacing w:after="0" w:line="240" w:lineRule="auto"/>
              <w:jc w:val="center"/>
              <w:rPr>
                <w:rFonts w:ascii="Calibri" w:eastAsia="Arial" w:hAnsi="Calibri" w:cs="Arial"/>
                <w:b/>
                <w:bCs/>
                <w:color w:val="FFFFFF" w:themeColor="background1"/>
                <w:sz w:val="20"/>
                <w:szCs w:val="20"/>
              </w:rPr>
            </w:pPr>
            <w:r w:rsidRPr="005D4433">
              <w:rPr>
                <w:rFonts w:ascii="Calibri" w:eastAsia="Arial" w:hAnsi="Calibri" w:cs="Arial"/>
                <w:b/>
                <w:bCs/>
                <w:color w:val="FFFFFF" w:themeColor="background1"/>
                <w:sz w:val="20"/>
                <w:szCs w:val="20"/>
              </w:rPr>
              <w:t>Min</w:t>
            </w:r>
          </w:p>
        </w:tc>
        <w:tc>
          <w:tcPr>
            <w:tcW w:w="810" w:type="dxa"/>
            <w:shd w:val="clear" w:color="auto" w:fill="365F91" w:themeFill="accent1" w:themeFillShade="BF"/>
            <w:tcMar>
              <w:top w:w="144" w:type="nil"/>
              <w:right w:w="144" w:type="nil"/>
            </w:tcMar>
            <w:vAlign w:val="bottom"/>
          </w:tcPr>
          <w:p w14:paraId="4C848C94" w14:textId="77777777" w:rsidR="00FA7E89" w:rsidRPr="005D4433" w:rsidRDefault="00FA7E89" w:rsidP="002E0CEC">
            <w:pPr>
              <w:autoSpaceDE w:val="0"/>
              <w:autoSpaceDN w:val="0"/>
              <w:adjustRightInd w:val="0"/>
              <w:spacing w:after="0" w:line="240" w:lineRule="auto"/>
              <w:jc w:val="center"/>
              <w:rPr>
                <w:rFonts w:ascii="Calibri" w:eastAsia="Calibri" w:hAnsi="Calibri" w:cs="Calibri"/>
                <w:color w:val="FFFFFF" w:themeColor="background1"/>
                <w:sz w:val="20"/>
                <w:szCs w:val="20"/>
              </w:rPr>
            </w:pPr>
            <w:r w:rsidRPr="005D4433">
              <w:rPr>
                <w:rFonts w:ascii="Calibri" w:eastAsia="Arial" w:hAnsi="Calibri" w:cs="Arial"/>
                <w:b/>
                <w:bCs/>
                <w:color w:val="FFFFFF" w:themeColor="background1"/>
                <w:sz w:val="20"/>
                <w:szCs w:val="20"/>
              </w:rPr>
              <w:t>10th Pctl</w:t>
            </w:r>
          </w:p>
        </w:tc>
        <w:tc>
          <w:tcPr>
            <w:tcW w:w="909" w:type="dxa"/>
            <w:shd w:val="clear" w:color="auto" w:fill="365F91" w:themeFill="accent1" w:themeFillShade="BF"/>
            <w:tcMar>
              <w:top w:w="144" w:type="nil"/>
              <w:right w:w="144" w:type="nil"/>
            </w:tcMar>
            <w:vAlign w:val="bottom"/>
          </w:tcPr>
          <w:p w14:paraId="1411E28F" w14:textId="77777777" w:rsidR="00FA7E89" w:rsidRPr="005D4433" w:rsidRDefault="00FA7E89" w:rsidP="002E0CEC">
            <w:pPr>
              <w:autoSpaceDE w:val="0"/>
              <w:autoSpaceDN w:val="0"/>
              <w:adjustRightInd w:val="0"/>
              <w:spacing w:after="0" w:line="240" w:lineRule="auto"/>
              <w:jc w:val="center"/>
              <w:rPr>
                <w:rFonts w:ascii="Calibri" w:eastAsia="Calibri" w:hAnsi="Calibri" w:cs="Calibri"/>
                <w:color w:val="FFFFFF" w:themeColor="background1"/>
                <w:sz w:val="20"/>
                <w:szCs w:val="20"/>
              </w:rPr>
            </w:pPr>
            <w:r w:rsidRPr="005D4433">
              <w:rPr>
                <w:rFonts w:ascii="Calibri" w:eastAsia="Arial" w:hAnsi="Calibri" w:cs="Arial"/>
                <w:b/>
                <w:bCs/>
                <w:color w:val="FFFFFF" w:themeColor="background1"/>
                <w:sz w:val="20"/>
                <w:szCs w:val="20"/>
              </w:rPr>
              <w:t>Lower Quartile</w:t>
            </w:r>
          </w:p>
        </w:tc>
        <w:tc>
          <w:tcPr>
            <w:tcW w:w="891" w:type="dxa"/>
            <w:shd w:val="clear" w:color="auto" w:fill="365F91" w:themeFill="accent1" w:themeFillShade="BF"/>
            <w:tcMar>
              <w:top w:w="144" w:type="nil"/>
              <w:right w:w="144" w:type="nil"/>
            </w:tcMar>
            <w:vAlign w:val="bottom"/>
          </w:tcPr>
          <w:p w14:paraId="0D2D44CB" w14:textId="77777777" w:rsidR="00FA7E89" w:rsidRPr="005D4433" w:rsidRDefault="00FA7E89" w:rsidP="002E0CEC">
            <w:pPr>
              <w:autoSpaceDE w:val="0"/>
              <w:autoSpaceDN w:val="0"/>
              <w:adjustRightInd w:val="0"/>
              <w:spacing w:after="0" w:line="240" w:lineRule="auto"/>
              <w:jc w:val="center"/>
              <w:rPr>
                <w:rFonts w:ascii="Calibri" w:eastAsia="Calibri" w:hAnsi="Calibri" w:cs="Calibri"/>
                <w:color w:val="FFFFFF" w:themeColor="background1"/>
                <w:sz w:val="20"/>
                <w:szCs w:val="20"/>
              </w:rPr>
            </w:pPr>
            <w:r w:rsidRPr="005D4433">
              <w:rPr>
                <w:rFonts w:ascii="Calibri" w:eastAsia="Arial" w:hAnsi="Calibri" w:cs="Arial"/>
                <w:b/>
                <w:bCs/>
                <w:color w:val="FFFFFF" w:themeColor="background1"/>
                <w:sz w:val="20"/>
                <w:szCs w:val="20"/>
              </w:rPr>
              <w:t>Median</w:t>
            </w:r>
          </w:p>
        </w:tc>
        <w:tc>
          <w:tcPr>
            <w:tcW w:w="900" w:type="dxa"/>
            <w:shd w:val="clear" w:color="auto" w:fill="365F91" w:themeFill="accent1" w:themeFillShade="BF"/>
            <w:tcMar>
              <w:top w:w="144" w:type="nil"/>
              <w:right w:w="144" w:type="nil"/>
            </w:tcMar>
            <w:vAlign w:val="bottom"/>
          </w:tcPr>
          <w:p w14:paraId="1CB4E61B" w14:textId="77777777" w:rsidR="00FA7E89" w:rsidRPr="005D4433" w:rsidRDefault="00FA7E89" w:rsidP="002E0CEC">
            <w:pPr>
              <w:autoSpaceDE w:val="0"/>
              <w:autoSpaceDN w:val="0"/>
              <w:adjustRightInd w:val="0"/>
              <w:spacing w:after="0" w:line="240" w:lineRule="auto"/>
              <w:jc w:val="center"/>
              <w:rPr>
                <w:rFonts w:ascii="Calibri" w:eastAsia="Calibri" w:hAnsi="Calibri" w:cs="Calibri"/>
                <w:color w:val="FFFFFF" w:themeColor="background1"/>
                <w:sz w:val="20"/>
                <w:szCs w:val="20"/>
              </w:rPr>
            </w:pPr>
            <w:r w:rsidRPr="005D4433">
              <w:rPr>
                <w:rFonts w:ascii="Calibri" w:eastAsia="Arial" w:hAnsi="Calibri" w:cs="Arial"/>
                <w:b/>
                <w:bCs/>
                <w:color w:val="FFFFFF" w:themeColor="background1"/>
                <w:sz w:val="20"/>
                <w:szCs w:val="20"/>
              </w:rPr>
              <w:t>Upper Quartile</w:t>
            </w:r>
          </w:p>
        </w:tc>
        <w:tc>
          <w:tcPr>
            <w:tcW w:w="720" w:type="dxa"/>
            <w:shd w:val="clear" w:color="auto" w:fill="365F91" w:themeFill="accent1" w:themeFillShade="BF"/>
            <w:tcMar>
              <w:top w:w="144" w:type="nil"/>
              <w:right w:w="144" w:type="nil"/>
            </w:tcMar>
            <w:vAlign w:val="bottom"/>
          </w:tcPr>
          <w:p w14:paraId="62EC62C9" w14:textId="77777777" w:rsidR="00FA7E89" w:rsidRPr="005D4433" w:rsidRDefault="00FA7E89" w:rsidP="002E0CEC">
            <w:pPr>
              <w:autoSpaceDE w:val="0"/>
              <w:autoSpaceDN w:val="0"/>
              <w:adjustRightInd w:val="0"/>
              <w:spacing w:after="0" w:line="240" w:lineRule="auto"/>
              <w:jc w:val="center"/>
              <w:rPr>
                <w:rFonts w:ascii="Calibri" w:eastAsia="Calibri" w:hAnsi="Calibri" w:cs="Calibri"/>
                <w:color w:val="FFFFFF" w:themeColor="background1"/>
                <w:sz w:val="20"/>
                <w:szCs w:val="20"/>
              </w:rPr>
            </w:pPr>
            <w:r w:rsidRPr="005D4433">
              <w:rPr>
                <w:rFonts w:ascii="Calibri" w:eastAsia="Arial" w:hAnsi="Calibri" w:cs="Arial"/>
                <w:b/>
                <w:bCs/>
                <w:color w:val="FFFFFF" w:themeColor="background1"/>
                <w:sz w:val="20"/>
                <w:szCs w:val="20"/>
              </w:rPr>
              <w:t>90th Pctl</w:t>
            </w:r>
          </w:p>
        </w:tc>
        <w:tc>
          <w:tcPr>
            <w:tcW w:w="711" w:type="dxa"/>
            <w:shd w:val="clear" w:color="auto" w:fill="365F91" w:themeFill="accent1" w:themeFillShade="BF"/>
            <w:vAlign w:val="bottom"/>
          </w:tcPr>
          <w:p w14:paraId="2196B614" w14:textId="77777777" w:rsidR="00FA7E89" w:rsidRPr="005D4433" w:rsidRDefault="00FA7E89" w:rsidP="002E0CEC">
            <w:pPr>
              <w:autoSpaceDE w:val="0"/>
              <w:autoSpaceDN w:val="0"/>
              <w:adjustRightInd w:val="0"/>
              <w:spacing w:after="0" w:line="240" w:lineRule="auto"/>
              <w:jc w:val="center"/>
              <w:rPr>
                <w:rFonts w:ascii="Calibri" w:eastAsia="Arial" w:hAnsi="Calibri" w:cs="Arial"/>
                <w:b/>
                <w:bCs/>
                <w:color w:val="FFFFFF" w:themeColor="background1"/>
                <w:sz w:val="20"/>
                <w:szCs w:val="20"/>
              </w:rPr>
            </w:pPr>
            <w:r w:rsidRPr="005D4433">
              <w:rPr>
                <w:rFonts w:ascii="Calibri" w:eastAsia="Arial" w:hAnsi="Calibri" w:cs="Arial"/>
                <w:b/>
                <w:bCs/>
                <w:color w:val="FFFFFF" w:themeColor="background1"/>
                <w:sz w:val="20"/>
                <w:szCs w:val="20"/>
              </w:rPr>
              <w:t>Max</w:t>
            </w:r>
          </w:p>
        </w:tc>
      </w:tr>
      <w:tr w:rsidR="00FA7E89" w:rsidRPr="00BE40E3" w14:paraId="12E7B4C3" w14:textId="77777777" w:rsidTr="002E0CEC">
        <w:trPr>
          <w:trHeight w:val="288"/>
        </w:trPr>
        <w:tc>
          <w:tcPr>
            <w:tcW w:w="1728" w:type="dxa"/>
            <w:shd w:val="clear" w:color="auto" w:fill="auto"/>
            <w:tcMar>
              <w:top w:w="144" w:type="nil"/>
              <w:right w:w="144" w:type="nil"/>
            </w:tcMar>
            <w:vAlign w:val="bottom"/>
          </w:tcPr>
          <w:p w14:paraId="32E4B039" w14:textId="77777777" w:rsidR="00FA7E89" w:rsidRPr="005D4433" w:rsidRDefault="00FA7E89" w:rsidP="002E0CEC">
            <w:pPr>
              <w:autoSpaceDE w:val="0"/>
              <w:autoSpaceDN w:val="0"/>
              <w:adjustRightInd w:val="0"/>
              <w:spacing w:after="0"/>
              <w:rPr>
                <w:rFonts w:ascii="Calibri" w:eastAsia="Calibri" w:hAnsi="Calibri" w:cs="Calibri"/>
                <w:sz w:val="20"/>
                <w:szCs w:val="20"/>
              </w:rPr>
            </w:pPr>
            <w:r w:rsidRPr="005D4433">
              <w:rPr>
                <w:rFonts w:ascii="Calibri" w:eastAsia="Arial" w:hAnsi="Calibri" w:cs="Arial"/>
                <w:sz w:val="20"/>
                <w:szCs w:val="20"/>
              </w:rPr>
              <w:t>Overall</w:t>
            </w:r>
          </w:p>
        </w:tc>
        <w:tc>
          <w:tcPr>
            <w:tcW w:w="720" w:type="dxa"/>
            <w:tcMar>
              <w:top w:w="144" w:type="nil"/>
              <w:right w:w="144" w:type="nil"/>
            </w:tcMar>
            <w:vAlign w:val="bottom"/>
          </w:tcPr>
          <w:p w14:paraId="0A493933" w14:textId="77777777" w:rsidR="00FA7E89" w:rsidRPr="005D4433" w:rsidRDefault="00FA7E89" w:rsidP="002E0CEC">
            <w:pPr>
              <w:autoSpaceDE w:val="0"/>
              <w:autoSpaceDN w:val="0"/>
              <w:adjustRightInd w:val="0"/>
              <w:spacing w:after="0"/>
              <w:jc w:val="right"/>
              <w:rPr>
                <w:rFonts w:ascii="Calibri" w:eastAsia="Calibri" w:hAnsi="Calibri" w:cs="Calibri"/>
                <w:sz w:val="20"/>
                <w:szCs w:val="20"/>
              </w:rPr>
            </w:pPr>
            <w:r w:rsidRPr="005D4433">
              <w:rPr>
                <w:rFonts w:ascii="Calibri" w:eastAsia="Calibri" w:hAnsi="Calibri" w:cs="Calibri"/>
                <w:color w:val="000000" w:themeColor="text1"/>
                <w:sz w:val="20"/>
                <w:szCs w:val="20"/>
              </w:rPr>
              <w:t>1,694</w:t>
            </w:r>
          </w:p>
        </w:tc>
        <w:tc>
          <w:tcPr>
            <w:tcW w:w="720" w:type="dxa"/>
            <w:tcMar>
              <w:top w:w="144" w:type="nil"/>
              <w:right w:w="144" w:type="nil"/>
            </w:tcMar>
            <w:vAlign w:val="bottom"/>
          </w:tcPr>
          <w:p w14:paraId="36241FBC" w14:textId="77777777" w:rsidR="00FA7E89" w:rsidRPr="005D4433" w:rsidRDefault="00FA7E89" w:rsidP="002E0CEC">
            <w:pPr>
              <w:autoSpaceDE w:val="0"/>
              <w:autoSpaceDN w:val="0"/>
              <w:adjustRightInd w:val="0"/>
              <w:spacing w:after="0"/>
              <w:jc w:val="right"/>
              <w:rPr>
                <w:rFonts w:ascii="Calibri" w:hAnsi="Calibri" w:cs="Calibri"/>
                <w:sz w:val="20"/>
                <w:szCs w:val="20"/>
              </w:rPr>
            </w:pPr>
            <w:r w:rsidRPr="005D4433">
              <w:rPr>
                <w:rFonts w:ascii="Calibri" w:hAnsi="Calibri"/>
                <w:color w:val="000000"/>
                <w:sz w:val="20"/>
                <w:szCs w:val="20"/>
              </w:rPr>
              <w:t>78.0</w:t>
            </w:r>
          </w:p>
        </w:tc>
        <w:tc>
          <w:tcPr>
            <w:tcW w:w="630" w:type="dxa"/>
            <w:tcMar>
              <w:top w:w="144" w:type="nil"/>
              <w:right w:w="144" w:type="nil"/>
            </w:tcMar>
            <w:vAlign w:val="bottom"/>
          </w:tcPr>
          <w:p w14:paraId="22E250B5" w14:textId="77777777" w:rsidR="00FA7E89" w:rsidRPr="005D4433" w:rsidRDefault="00FA7E89" w:rsidP="002E0CEC">
            <w:pPr>
              <w:autoSpaceDE w:val="0"/>
              <w:autoSpaceDN w:val="0"/>
              <w:adjustRightInd w:val="0"/>
              <w:spacing w:after="0"/>
              <w:jc w:val="right"/>
              <w:rPr>
                <w:rFonts w:ascii="Calibri" w:hAnsi="Calibri" w:cs="Calibri"/>
                <w:sz w:val="20"/>
                <w:szCs w:val="20"/>
              </w:rPr>
            </w:pPr>
            <w:r w:rsidRPr="005D4433">
              <w:rPr>
                <w:rFonts w:ascii="Calibri" w:hAnsi="Calibri"/>
                <w:color w:val="000000"/>
                <w:sz w:val="20"/>
              </w:rPr>
              <w:t>11.</w:t>
            </w:r>
            <w:r w:rsidRPr="005D4433">
              <w:rPr>
                <w:rFonts w:ascii="Calibri" w:hAnsi="Calibri"/>
                <w:color w:val="000000"/>
                <w:sz w:val="20"/>
                <w:szCs w:val="20"/>
              </w:rPr>
              <w:t>1</w:t>
            </w:r>
          </w:p>
        </w:tc>
        <w:tc>
          <w:tcPr>
            <w:tcW w:w="630" w:type="dxa"/>
            <w:vAlign w:val="bottom"/>
          </w:tcPr>
          <w:p w14:paraId="5F3EE853" w14:textId="77777777" w:rsidR="00FA7E89" w:rsidRPr="005D4433" w:rsidRDefault="00FA7E89" w:rsidP="002E0CEC">
            <w:pPr>
              <w:autoSpaceDE w:val="0"/>
              <w:autoSpaceDN w:val="0"/>
              <w:adjustRightInd w:val="0"/>
              <w:spacing w:after="0"/>
              <w:jc w:val="right"/>
              <w:rPr>
                <w:rFonts w:ascii="Calibri" w:hAnsi="Calibri"/>
                <w:sz w:val="20"/>
                <w:szCs w:val="20"/>
              </w:rPr>
            </w:pPr>
            <w:r w:rsidRPr="005D4433">
              <w:rPr>
                <w:rFonts w:ascii="Calibri" w:hAnsi="Calibri"/>
                <w:color w:val="000000"/>
                <w:sz w:val="20"/>
              </w:rPr>
              <w:t>0.0</w:t>
            </w:r>
          </w:p>
        </w:tc>
        <w:tc>
          <w:tcPr>
            <w:tcW w:w="810" w:type="dxa"/>
            <w:tcMar>
              <w:top w:w="144" w:type="nil"/>
              <w:right w:w="144" w:type="nil"/>
            </w:tcMar>
            <w:vAlign w:val="bottom"/>
          </w:tcPr>
          <w:p w14:paraId="0B639751" w14:textId="77777777" w:rsidR="00FA7E89" w:rsidRPr="005D4433" w:rsidRDefault="00FA7E89" w:rsidP="002E0CEC">
            <w:pPr>
              <w:autoSpaceDE w:val="0"/>
              <w:autoSpaceDN w:val="0"/>
              <w:adjustRightInd w:val="0"/>
              <w:spacing w:after="0"/>
              <w:jc w:val="right"/>
              <w:rPr>
                <w:rFonts w:ascii="Calibri" w:hAnsi="Calibri" w:cs="Calibri"/>
                <w:sz w:val="20"/>
                <w:szCs w:val="20"/>
              </w:rPr>
            </w:pPr>
            <w:r w:rsidRPr="005D4433">
              <w:rPr>
                <w:rFonts w:ascii="Calibri" w:hAnsi="Calibri"/>
                <w:color w:val="000000"/>
                <w:sz w:val="20"/>
                <w:szCs w:val="20"/>
              </w:rPr>
              <w:t>66.7</w:t>
            </w:r>
          </w:p>
        </w:tc>
        <w:tc>
          <w:tcPr>
            <w:tcW w:w="909" w:type="dxa"/>
            <w:tcMar>
              <w:top w:w="144" w:type="nil"/>
              <w:right w:w="144" w:type="nil"/>
            </w:tcMar>
            <w:vAlign w:val="bottom"/>
          </w:tcPr>
          <w:p w14:paraId="06B0A5C4" w14:textId="77777777" w:rsidR="00FA7E89" w:rsidRPr="005D4433" w:rsidRDefault="00FA7E89" w:rsidP="002E0CEC">
            <w:pPr>
              <w:autoSpaceDE w:val="0"/>
              <w:autoSpaceDN w:val="0"/>
              <w:adjustRightInd w:val="0"/>
              <w:spacing w:after="0"/>
              <w:jc w:val="right"/>
              <w:rPr>
                <w:rFonts w:ascii="Calibri" w:hAnsi="Calibri" w:cs="Calibri"/>
                <w:sz w:val="20"/>
                <w:szCs w:val="20"/>
              </w:rPr>
            </w:pPr>
            <w:r w:rsidRPr="005D4433">
              <w:rPr>
                <w:rFonts w:ascii="Calibri" w:hAnsi="Calibri"/>
                <w:color w:val="000000"/>
                <w:sz w:val="20"/>
                <w:szCs w:val="20"/>
              </w:rPr>
              <w:t>73.6</w:t>
            </w:r>
          </w:p>
        </w:tc>
        <w:tc>
          <w:tcPr>
            <w:tcW w:w="891" w:type="dxa"/>
            <w:tcMar>
              <w:top w:w="144" w:type="nil"/>
              <w:right w:w="144" w:type="nil"/>
            </w:tcMar>
            <w:vAlign w:val="bottom"/>
          </w:tcPr>
          <w:p w14:paraId="41D4118A" w14:textId="77777777" w:rsidR="00FA7E89" w:rsidRPr="005D4433" w:rsidRDefault="00FA7E89" w:rsidP="002E0CEC">
            <w:pPr>
              <w:autoSpaceDE w:val="0"/>
              <w:autoSpaceDN w:val="0"/>
              <w:adjustRightInd w:val="0"/>
              <w:spacing w:after="0"/>
              <w:jc w:val="right"/>
              <w:rPr>
                <w:rFonts w:ascii="Calibri" w:hAnsi="Calibri" w:cs="Calibri"/>
                <w:sz w:val="20"/>
                <w:szCs w:val="20"/>
              </w:rPr>
            </w:pPr>
            <w:r w:rsidRPr="005D4433">
              <w:rPr>
                <w:rFonts w:ascii="Calibri" w:hAnsi="Calibri"/>
                <w:color w:val="000000"/>
                <w:sz w:val="20"/>
                <w:szCs w:val="20"/>
              </w:rPr>
              <w:t>79</w:t>
            </w:r>
            <w:r w:rsidRPr="005D4433">
              <w:rPr>
                <w:rFonts w:ascii="Calibri" w:hAnsi="Calibri"/>
                <w:color w:val="000000"/>
                <w:sz w:val="20"/>
              </w:rPr>
              <w:t>.6</w:t>
            </w:r>
          </w:p>
        </w:tc>
        <w:tc>
          <w:tcPr>
            <w:tcW w:w="900" w:type="dxa"/>
            <w:tcMar>
              <w:top w:w="144" w:type="nil"/>
              <w:right w:w="144" w:type="nil"/>
            </w:tcMar>
            <w:vAlign w:val="bottom"/>
          </w:tcPr>
          <w:p w14:paraId="7FB1C3F4" w14:textId="77777777" w:rsidR="00FA7E89" w:rsidRPr="005D4433" w:rsidRDefault="00FA7E89" w:rsidP="002E0CEC">
            <w:pPr>
              <w:autoSpaceDE w:val="0"/>
              <w:autoSpaceDN w:val="0"/>
              <w:adjustRightInd w:val="0"/>
              <w:spacing w:after="0"/>
              <w:jc w:val="right"/>
              <w:rPr>
                <w:rFonts w:ascii="Calibri" w:hAnsi="Calibri" w:cs="Calibri"/>
                <w:sz w:val="20"/>
                <w:szCs w:val="20"/>
              </w:rPr>
            </w:pPr>
            <w:r w:rsidRPr="005D4433">
              <w:rPr>
                <w:rFonts w:ascii="Calibri" w:hAnsi="Calibri"/>
                <w:color w:val="000000"/>
                <w:sz w:val="20"/>
                <w:szCs w:val="20"/>
              </w:rPr>
              <w:t>84.4</w:t>
            </w:r>
          </w:p>
        </w:tc>
        <w:tc>
          <w:tcPr>
            <w:tcW w:w="720" w:type="dxa"/>
            <w:tcMar>
              <w:top w:w="144" w:type="nil"/>
              <w:right w:w="144" w:type="nil"/>
            </w:tcMar>
            <w:vAlign w:val="bottom"/>
          </w:tcPr>
          <w:p w14:paraId="61B76C43" w14:textId="77777777" w:rsidR="00FA7E89" w:rsidRPr="005D4433" w:rsidRDefault="00FA7E89" w:rsidP="002E0CEC">
            <w:pPr>
              <w:autoSpaceDE w:val="0"/>
              <w:autoSpaceDN w:val="0"/>
              <w:adjustRightInd w:val="0"/>
              <w:spacing w:after="0"/>
              <w:jc w:val="right"/>
              <w:rPr>
                <w:rFonts w:ascii="Calibri" w:hAnsi="Calibri" w:cs="Calibri"/>
                <w:sz w:val="20"/>
                <w:szCs w:val="20"/>
              </w:rPr>
            </w:pPr>
            <w:r w:rsidRPr="005D4433">
              <w:rPr>
                <w:rFonts w:ascii="Calibri" w:hAnsi="Calibri"/>
                <w:color w:val="000000"/>
                <w:sz w:val="20"/>
                <w:szCs w:val="20"/>
              </w:rPr>
              <w:t>88.3</w:t>
            </w:r>
          </w:p>
        </w:tc>
        <w:tc>
          <w:tcPr>
            <w:tcW w:w="711" w:type="dxa"/>
            <w:vAlign w:val="bottom"/>
          </w:tcPr>
          <w:p w14:paraId="54C133A9" w14:textId="77777777" w:rsidR="00FA7E89" w:rsidRPr="005D4433" w:rsidRDefault="00FA7E89" w:rsidP="002E0CEC">
            <w:pPr>
              <w:autoSpaceDE w:val="0"/>
              <w:autoSpaceDN w:val="0"/>
              <w:adjustRightInd w:val="0"/>
              <w:spacing w:after="0"/>
              <w:jc w:val="right"/>
              <w:rPr>
                <w:rFonts w:ascii="Calibri" w:hAnsi="Calibri"/>
                <w:sz w:val="20"/>
                <w:szCs w:val="20"/>
              </w:rPr>
            </w:pPr>
            <w:r w:rsidRPr="005D4433">
              <w:rPr>
                <w:rFonts w:ascii="Calibri" w:hAnsi="Calibri"/>
                <w:color w:val="000000"/>
                <w:sz w:val="20"/>
              </w:rPr>
              <w:t>100</w:t>
            </w:r>
            <w:r w:rsidRPr="005D4433">
              <w:rPr>
                <w:rFonts w:ascii="Calibri" w:hAnsi="Calibri"/>
                <w:color w:val="000000"/>
                <w:sz w:val="20"/>
                <w:szCs w:val="20"/>
              </w:rPr>
              <w:t>.0</w:t>
            </w:r>
          </w:p>
        </w:tc>
      </w:tr>
      <w:tr w:rsidR="00FA7E89" w:rsidRPr="00BE40E3" w14:paraId="42C66993" w14:textId="77777777" w:rsidTr="002E0CEC">
        <w:trPr>
          <w:trHeight w:val="288"/>
        </w:trPr>
        <w:tc>
          <w:tcPr>
            <w:tcW w:w="1728" w:type="dxa"/>
            <w:tcMar>
              <w:top w:w="144" w:type="nil"/>
              <w:right w:w="144" w:type="nil"/>
            </w:tcMar>
            <w:vAlign w:val="bottom"/>
          </w:tcPr>
          <w:p w14:paraId="5E0E5290" w14:textId="77777777" w:rsidR="00FA7E89" w:rsidRPr="005D4433" w:rsidRDefault="00FA7E89" w:rsidP="002E0CEC">
            <w:pPr>
              <w:autoSpaceDE w:val="0"/>
              <w:autoSpaceDN w:val="0"/>
              <w:adjustRightInd w:val="0"/>
              <w:spacing w:after="0"/>
              <w:rPr>
                <w:rFonts w:ascii="Calibri" w:hAnsi="Calibri"/>
                <w:sz w:val="20"/>
                <w:szCs w:val="20"/>
              </w:rPr>
            </w:pPr>
            <w:r w:rsidRPr="005D4433">
              <w:rPr>
                <w:rStyle w:val="CommentReference"/>
                <w:rFonts w:ascii="Calibri" w:hAnsi="Calibri"/>
                <w:sz w:val="20"/>
                <w:szCs w:val="20"/>
              </w:rPr>
              <w:t>Denominator ≥ 75</w:t>
            </w:r>
          </w:p>
        </w:tc>
        <w:tc>
          <w:tcPr>
            <w:tcW w:w="720" w:type="dxa"/>
            <w:tcMar>
              <w:top w:w="144" w:type="nil"/>
              <w:right w:w="144" w:type="nil"/>
            </w:tcMar>
            <w:vAlign w:val="bottom"/>
          </w:tcPr>
          <w:p w14:paraId="66824137" w14:textId="77777777" w:rsidR="00FA7E89" w:rsidRPr="005D4433" w:rsidRDefault="00FA7E89" w:rsidP="002E0CEC">
            <w:pPr>
              <w:autoSpaceDE w:val="0"/>
              <w:autoSpaceDN w:val="0"/>
              <w:adjustRightInd w:val="0"/>
              <w:spacing w:after="0"/>
              <w:jc w:val="right"/>
              <w:rPr>
                <w:rFonts w:ascii="Calibri" w:hAnsi="Calibri"/>
                <w:color w:val="000000" w:themeColor="text1"/>
                <w:sz w:val="20"/>
                <w:szCs w:val="20"/>
              </w:rPr>
            </w:pPr>
            <w:r w:rsidRPr="005D4433">
              <w:rPr>
                <w:rFonts w:ascii="Calibri" w:hAnsi="Calibri"/>
                <w:color w:val="000000" w:themeColor="text1"/>
                <w:sz w:val="20"/>
                <w:szCs w:val="20"/>
              </w:rPr>
              <w:t>1,184</w:t>
            </w:r>
          </w:p>
        </w:tc>
        <w:tc>
          <w:tcPr>
            <w:tcW w:w="720" w:type="dxa"/>
            <w:tcMar>
              <w:top w:w="144" w:type="nil"/>
              <w:right w:w="144" w:type="nil"/>
            </w:tcMar>
            <w:vAlign w:val="bottom"/>
          </w:tcPr>
          <w:p w14:paraId="2E0CD231" w14:textId="77777777" w:rsidR="00FA7E89" w:rsidRPr="005D4433" w:rsidRDefault="00FA7E89" w:rsidP="002E0CEC">
            <w:pPr>
              <w:autoSpaceDE w:val="0"/>
              <w:autoSpaceDN w:val="0"/>
              <w:adjustRightInd w:val="0"/>
              <w:spacing w:after="0"/>
              <w:jc w:val="right"/>
              <w:rPr>
                <w:rFonts w:ascii="Calibri" w:hAnsi="Calibri"/>
                <w:color w:val="000000"/>
                <w:sz w:val="20"/>
                <w:szCs w:val="20"/>
              </w:rPr>
            </w:pPr>
            <w:r w:rsidRPr="005D4433">
              <w:rPr>
                <w:rFonts w:ascii="Calibri" w:hAnsi="Calibri"/>
                <w:color w:val="000000"/>
                <w:sz w:val="20"/>
                <w:szCs w:val="20"/>
              </w:rPr>
              <w:t>78.0</w:t>
            </w:r>
          </w:p>
        </w:tc>
        <w:tc>
          <w:tcPr>
            <w:tcW w:w="630" w:type="dxa"/>
            <w:tcMar>
              <w:top w:w="144" w:type="nil"/>
              <w:right w:w="144" w:type="nil"/>
            </w:tcMar>
            <w:vAlign w:val="bottom"/>
          </w:tcPr>
          <w:p w14:paraId="3CE87B44" w14:textId="77777777" w:rsidR="00FA7E89" w:rsidRPr="005D4433" w:rsidRDefault="00FA7E89" w:rsidP="002E0CEC">
            <w:pPr>
              <w:autoSpaceDE w:val="0"/>
              <w:autoSpaceDN w:val="0"/>
              <w:adjustRightInd w:val="0"/>
              <w:spacing w:after="0"/>
              <w:jc w:val="right"/>
              <w:rPr>
                <w:rFonts w:ascii="Calibri" w:hAnsi="Calibri"/>
                <w:color w:val="000000"/>
                <w:sz w:val="20"/>
                <w:szCs w:val="20"/>
              </w:rPr>
            </w:pPr>
            <w:r w:rsidRPr="005D4433">
              <w:rPr>
                <w:rFonts w:ascii="Calibri" w:hAnsi="Calibri"/>
                <w:color w:val="000000"/>
                <w:sz w:val="20"/>
                <w:szCs w:val="20"/>
              </w:rPr>
              <w:t>7.9</w:t>
            </w:r>
          </w:p>
        </w:tc>
        <w:tc>
          <w:tcPr>
            <w:tcW w:w="630" w:type="dxa"/>
            <w:vAlign w:val="bottom"/>
          </w:tcPr>
          <w:p w14:paraId="3DCDB4E6" w14:textId="77777777" w:rsidR="00FA7E89" w:rsidRPr="005D4433" w:rsidRDefault="00FA7E89" w:rsidP="002E0CEC">
            <w:pPr>
              <w:autoSpaceDE w:val="0"/>
              <w:autoSpaceDN w:val="0"/>
              <w:adjustRightInd w:val="0"/>
              <w:spacing w:after="0"/>
              <w:jc w:val="right"/>
              <w:rPr>
                <w:rFonts w:ascii="Calibri" w:hAnsi="Calibri"/>
                <w:color w:val="000000"/>
                <w:sz w:val="20"/>
                <w:szCs w:val="20"/>
              </w:rPr>
            </w:pPr>
            <w:r w:rsidRPr="005D4433">
              <w:rPr>
                <w:rFonts w:ascii="Calibri" w:hAnsi="Calibri"/>
                <w:color w:val="000000"/>
                <w:sz w:val="20"/>
                <w:szCs w:val="20"/>
              </w:rPr>
              <w:t>21.1</w:t>
            </w:r>
          </w:p>
        </w:tc>
        <w:tc>
          <w:tcPr>
            <w:tcW w:w="810" w:type="dxa"/>
            <w:tcMar>
              <w:top w:w="144" w:type="nil"/>
              <w:right w:w="144" w:type="nil"/>
            </w:tcMar>
            <w:vAlign w:val="bottom"/>
          </w:tcPr>
          <w:p w14:paraId="17A1A330" w14:textId="77777777" w:rsidR="00FA7E89" w:rsidRPr="005D4433" w:rsidRDefault="00FA7E89" w:rsidP="002E0CEC">
            <w:pPr>
              <w:autoSpaceDE w:val="0"/>
              <w:autoSpaceDN w:val="0"/>
              <w:adjustRightInd w:val="0"/>
              <w:spacing w:after="0"/>
              <w:jc w:val="right"/>
              <w:rPr>
                <w:rFonts w:ascii="Calibri" w:hAnsi="Calibri"/>
                <w:color w:val="000000"/>
                <w:sz w:val="20"/>
                <w:szCs w:val="20"/>
              </w:rPr>
            </w:pPr>
            <w:r w:rsidRPr="005D4433">
              <w:rPr>
                <w:rFonts w:ascii="Calibri" w:hAnsi="Calibri"/>
                <w:color w:val="000000"/>
                <w:sz w:val="20"/>
                <w:szCs w:val="20"/>
              </w:rPr>
              <w:t>68.3</w:t>
            </w:r>
          </w:p>
        </w:tc>
        <w:tc>
          <w:tcPr>
            <w:tcW w:w="909" w:type="dxa"/>
            <w:tcMar>
              <w:top w:w="144" w:type="nil"/>
              <w:right w:w="144" w:type="nil"/>
            </w:tcMar>
            <w:vAlign w:val="bottom"/>
          </w:tcPr>
          <w:p w14:paraId="2EFE34CA" w14:textId="77777777" w:rsidR="00FA7E89" w:rsidRPr="005D4433" w:rsidRDefault="00FA7E89" w:rsidP="002E0CEC">
            <w:pPr>
              <w:autoSpaceDE w:val="0"/>
              <w:autoSpaceDN w:val="0"/>
              <w:adjustRightInd w:val="0"/>
              <w:spacing w:after="0"/>
              <w:jc w:val="right"/>
              <w:rPr>
                <w:rFonts w:ascii="Calibri" w:hAnsi="Calibri"/>
                <w:color w:val="000000"/>
                <w:sz w:val="20"/>
                <w:szCs w:val="20"/>
              </w:rPr>
            </w:pPr>
            <w:r w:rsidRPr="005D4433">
              <w:rPr>
                <w:rFonts w:ascii="Calibri" w:hAnsi="Calibri"/>
                <w:color w:val="000000"/>
                <w:sz w:val="20"/>
                <w:szCs w:val="20"/>
              </w:rPr>
              <w:t>73.9</w:t>
            </w:r>
          </w:p>
        </w:tc>
        <w:tc>
          <w:tcPr>
            <w:tcW w:w="891" w:type="dxa"/>
            <w:tcMar>
              <w:top w:w="144" w:type="nil"/>
              <w:right w:w="144" w:type="nil"/>
            </w:tcMar>
            <w:vAlign w:val="bottom"/>
          </w:tcPr>
          <w:p w14:paraId="693C06BE" w14:textId="77777777" w:rsidR="00FA7E89" w:rsidRPr="005D4433" w:rsidRDefault="00FA7E89" w:rsidP="002E0CEC">
            <w:pPr>
              <w:autoSpaceDE w:val="0"/>
              <w:autoSpaceDN w:val="0"/>
              <w:adjustRightInd w:val="0"/>
              <w:spacing w:after="0"/>
              <w:jc w:val="right"/>
              <w:rPr>
                <w:rFonts w:ascii="Calibri" w:hAnsi="Calibri"/>
                <w:color w:val="000000"/>
                <w:sz w:val="20"/>
                <w:szCs w:val="20"/>
              </w:rPr>
            </w:pPr>
            <w:r w:rsidRPr="005D4433">
              <w:rPr>
                <w:rFonts w:ascii="Calibri" w:hAnsi="Calibri"/>
                <w:color w:val="000000"/>
                <w:sz w:val="20"/>
                <w:szCs w:val="20"/>
              </w:rPr>
              <w:t>79.1</w:t>
            </w:r>
          </w:p>
        </w:tc>
        <w:tc>
          <w:tcPr>
            <w:tcW w:w="900" w:type="dxa"/>
            <w:tcMar>
              <w:top w:w="144" w:type="nil"/>
              <w:right w:w="144" w:type="nil"/>
            </w:tcMar>
            <w:vAlign w:val="bottom"/>
          </w:tcPr>
          <w:p w14:paraId="3EDB8D4D" w14:textId="77777777" w:rsidR="00FA7E89" w:rsidRPr="005D4433" w:rsidRDefault="00FA7E89" w:rsidP="002E0CEC">
            <w:pPr>
              <w:autoSpaceDE w:val="0"/>
              <w:autoSpaceDN w:val="0"/>
              <w:adjustRightInd w:val="0"/>
              <w:spacing w:after="0"/>
              <w:jc w:val="right"/>
              <w:rPr>
                <w:rFonts w:ascii="Calibri" w:hAnsi="Calibri"/>
                <w:color w:val="000000"/>
                <w:sz w:val="20"/>
                <w:szCs w:val="20"/>
              </w:rPr>
            </w:pPr>
            <w:r w:rsidRPr="005D4433">
              <w:rPr>
                <w:rFonts w:ascii="Calibri" w:hAnsi="Calibri"/>
                <w:color w:val="000000"/>
                <w:sz w:val="20"/>
                <w:szCs w:val="20"/>
              </w:rPr>
              <w:t>83.4</w:t>
            </w:r>
          </w:p>
        </w:tc>
        <w:tc>
          <w:tcPr>
            <w:tcW w:w="720" w:type="dxa"/>
            <w:tcMar>
              <w:top w:w="144" w:type="nil"/>
              <w:right w:w="144" w:type="nil"/>
            </w:tcMar>
            <w:vAlign w:val="bottom"/>
          </w:tcPr>
          <w:p w14:paraId="07C89A7E" w14:textId="77777777" w:rsidR="00FA7E89" w:rsidRPr="005D4433" w:rsidRDefault="00FA7E89" w:rsidP="002E0CEC">
            <w:pPr>
              <w:autoSpaceDE w:val="0"/>
              <w:autoSpaceDN w:val="0"/>
              <w:adjustRightInd w:val="0"/>
              <w:spacing w:after="0"/>
              <w:jc w:val="right"/>
              <w:rPr>
                <w:rFonts w:ascii="Calibri" w:hAnsi="Calibri"/>
                <w:color w:val="000000"/>
                <w:sz w:val="20"/>
                <w:szCs w:val="20"/>
              </w:rPr>
            </w:pPr>
            <w:r w:rsidRPr="005D4433">
              <w:rPr>
                <w:rFonts w:ascii="Calibri" w:hAnsi="Calibri"/>
                <w:color w:val="000000"/>
                <w:sz w:val="20"/>
                <w:szCs w:val="20"/>
              </w:rPr>
              <w:t>86.5</w:t>
            </w:r>
          </w:p>
        </w:tc>
        <w:tc>
          <w:tcPr>
            <w:tcW w:w="711" w:type="dxa"/>
            <w:vAlign w:val="bottom"/>
          </w:tcPr>
          <w:p w14:paraId="35DB8D3F" w14:textId="77777777" w:rsidR="00FA7E89" w:rsidRPr="005D4433" w:rsidRDefault="00FA7E89" w:rsidP="002E0CEC">
            <w:pPr>
              <w:autoSpaceDE w:val="0"/>
              <w:autoSpaceDN w:val="0"/>
              <w:adjustRightInd w:val="0"/>
              <w:spacing w:after="0"/>
              <w:jc w:val="right"/>
              <w:rPr>
                <w:rFonts w:ascii="Calibri" w:hAnsi="Calibri"/>
                <w:color w:val="000000"/>
                <w:sz w:val="20"/>
                <w:szCs w:val="20"/>
              </w:rPr>
            </w:pPr>
            <w:r w:rsidRPr="005D4433">
              <w:rPr>
                <w:rFonts w:ascii="Calibri" w:hAnsi="Calibri"/>
                <w:color w:val="000000"/>
                <w:sz w:val="20"/>
                <w:szCs w:val="20"/>
              </w:rPr>
              <w:t>98.5</w:t>
            </w:r>
          </w:p>
        </w:tc>
      </w:tr>
    </w:tbl>
    <w:p w14:paraId="7DFBAE83" w14:textId="77777777" w:rsidR="00FA7E89" w:rsidRDefault="00FA7E89" w:rsidP="008C54A9">
      <w:pPr>
        <w:autoSpaceDE w:val="0"/>
        <w:autoSpaceDN w:val="0"/>
        <w:adjustRightInd w:val="0"/>
        <w:spacing w:after="0" w:line="240" w:lineRule="auto"/>
        <w:rPr>
          <w:rFonts w:cstheme="minorHAnsi"/>
          <w:bCs/>
        </w:rPr>
      </w:pPr>
    </w:p>
    <w:p w14:paraId="2977B1C3" w14:textId="77777777" w:rsidR="00706B7F" w:rsidRPr="00A25024" w:rsidRDefault="00706B7F" w:rsidP="008C54A9">
      <w:pPr>
        <w:autoSpaceDE w:val="0"/>
        <w:autoSpaceDN w:val="0"/>
        <w:adjustRightInd w:val="0"/>
        <w:spacing w:after="0" w:line="240" w:lineRule="auto"/>
        <w:rPr>
          <w:rFonts w:cstheme="minorHAnsi"/>
          <w:bCs/>
        </w:rPr>
      </w:pPr>
    </w:p>
    <w:p w14:paraId="7F0467F4" w14:textId="77777777" w:rsidR="003613AD"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669F910F" w14:textId="431F6B96" w:rsidR="0069253D" w:rsidRPr="00F32679" w:rsidRDefault="007A2EA5" w:rsidP="0069253D">
      <w:pPr>
        <w:spacing w:before="240" w:after="240" w:line="240" w:lineRule="auto"/>
        <w:rPr>
          <w:rFonts w:cstheme="minorHAnsi"/>
          <w:color w:val="FF0000"/>
        </w:rPr>
      </w:pPr>
      <w:r w:rsidRPr="00F32679">
        <w:rPr>
          <w:rFonts w:cstheme="minorHAnsi"/>
          <w:color w:val="FF0000"/>
        </w:rPr>
        <w:t>T</w:t>
      </w:r>
      <w:r w:rsidR="0069253D" w:rsidRPr="00F32679">
        <w:rPr>
          <w:rFonts w:cstheme="minorHAnsi"/>
          <w:color w:val="FF0000"/>
        </w:rPr>
        <w:t>he mean reliability</w:t>
      </w:r>
      <w:r w:rsidRPr="00F32679">
        <w:rPr>
          <w:rFonts w:cstheme="minorHAnsi"/>
          <w:color w:val="FF0000"/>
        </w:rPr>
        <w:t>, as well as the 25th percentile,</w:t>
      </w:r>
      <w:r w:rsidR="0069253D" w:rsidRPr="00F32679">
        <w:rPr>
          <w:rFonts w:cstheme="minorHAnsi"/>
          <w:color w:val="FF0000"/>
        </w:rPr>
        <w:t xml:space="preserve"> across all facilities exceeded the 0.70 threshold for acceptable </w:t>
      </w:r>
      <w:r w:rsidR="00DC4DEE" w:rsidRPr="00F32679">
        <w:rPr>
          <w:rFonts w:cstheme="minorHAnsi"/>
          <w:color w:val="FF0000"/>
        </w:rPr>
        <w:t>reliability. Reliability above 0.7 indicates</w:t>
      </w:r>
      <w:r w:rsidR="00B757E3">
        <w:rPr>
          <w:rFonts w:cstheme="minorHAnsi"/>
          <w:color w:val="FF0000"/>
        </w:rPr>
        <w:t xml:space="preserve"> that</w:t>
      </w:r>
      <w:r w:rsidR="00DC4DEE" w:rsidRPr="00F32679">
        <w:rPr>
          <w:rFonts w:cstheme="minorHAnsi"/>
          <w:color w:val="FF0000"/>
        </w:rPr>
        <w:t xml:space="preserve"> </w:t>
      </w:r>
      <w:r w:rsidR="00233315" w:rsidRPr="00F32679">
        <w:rPr>
          <w:rFonts w:cstheme="minorHAnsi"/>
          <w:color w:val="FF0000"/>
        </w:rPr>
        <w:t>the measure can be judged to be reliable (Glance et al</w:t>
      </w:r>
      <w:r w:rsidR="00770350">
        <w:rPr>
          <w:rFonts w:cstheme="minorHAnsi"/>
          <w:color w:val="FF0000"/>
        </w:rPr>
        <w:t>.</w:t>
      </w:r>
      <w:r w:rsidR="00233315" w:rsidRPr="00F32679">
        <w:rPr>
          <w:rFonts w:cstheme="minorHAnsi"/>
          <w:color w:val="FF0000"/>
        </w:rPr>
        <w:t xml:space="preserve"> 2019</w:t>
      </w:r>
      <w:r w:rsidR="00DC4DEE" w:rsidRPr="00F32679">
        <w:rPr>
          <w:rFonts w:cstheme="minorHAnsi"/>
          <w:color w:val="FF0000"/>
        </w:rPr>
        <w:t>).</w:t>
      </w:r>
    </w:p>
    <w:p w14:paraId="5A772144" w14:textId="77777777" w:rsidR="00DC4DEE" w:rsidRPr="00F32679" w:rsidRDefault="00DC4DEE" w:rsidP="00DC4DEE">
      <w:pPr>
        <w:spacing w:before="100" w:beforeAutospacing="1" w:after="100" w:afterAutospacing="1" w:line="240" w:lineRule="auto"/>
        <w:rPr>
          <w:rFonts w:cstheme="minorHAnsi"/>
          <w:bCs/>
          <w:color w:val="FF0000"/>
        </w:rPr>
      </w:pPr>
      <w:r w:rsidRPr="00F32679">
        <w:rPr>
          <w:rFonts w:cstheme="minorHAnsi"/>
          <w:bCs/>
          <w:color w:val="FF0000"/>
        </w:rPr>
        <w:t xml:space="preserve">References: </w:t>
      </w:r>
    </w:p>
    <w:p w14:paraId="2E27D162" w14:textId="5886408C" w:rsidR="000D4EE0" w:rsidRPr="00F32679" w:rsidRDefault="000D4EE0" w:rsidP="000D4EE0">
      <w:pPr>
        <w:pStyle w:val="NormalWeb"/>
        <w:spacing w:before="0" w:beforeAutospacing="0" w:after="0" w:afterAutospacing="0"/>
        <w:rPr>
          <w:rFonts w:asciiTheme="minorHAnsi" w:hAnsiTheme="minorHAnsi" w:cstheme="minorHAnsi"/>
          <w:color w:val="FF0000"/>
          <w:sz w:val="22"/>
          <w:szCs w:val="22"/>
        </w:rPr>
      </w:pPr>
      <w:r w:rsidRPr="00F32679">
        <w:rPr>
          <w:rFonts w:asciiTheme="minorHAnsi" w:hAnsiTheme="minorHAnsi" w:cstheme="minorHAnsi"/>
          <w:color w:val="FF0000"/>
          <w:sz w:val="22"/>
          <w:szCs w:val="22"/>
        </w:rPr>
        <w:t xml:space="preserve">Glance, L.G., </w:t>
      </w:r>
      <w:r w:rsidR="00770350">
        <w:rPr>
          <w:rFonts w:asciiTheme="minorHAnsi" w:hAnsiTheme="minorHAnsi" w:cstheme="minorHAnsi"/>
          <w:color w:val="FF0000"/>
          <w:sz w:val="22"/>
          <w:szCs w:val="22"/>
        </w:rPr>
        <w:t xml:space="preserve">K.J. </w:t>
      </w:r>
      <w:r w:rsidRPr="00F32679">
        <w:rPr>
          <w:rFonts w:asciiTheme="minorHAnsi" w:hAnsiTheme="minorHAnsi" w:cstheme="minorHAnsi"/>
          <w:color w:val="FF0000"/>
          <w:sz w:val="22"/>
          <w:szCs w:val="22"/>
        </w:rPr>
        <w:t xml:space="preserve">Maddox, </w:t>
      </w:r>
      <w:r w:rsidR="00770350">
        <w:rPr>
          <w:rFonts w:asciiTheme="minorHAnsi" w:hAnsiTheme="minorHAnsi" w:cstheme="minorHAnsi"/>
          <w:color w:val="FF0000"/>
          <w:sz w:val="22"/>
          <w:szCs w:val="22"/>
        </w:rPr>
        <w:t xml:space="preserve">K. </w:t>
      </w:r>
      <w:r w:rsidRPr="00F32679">
        <w:rPr>
          <w:rFonts w:asciiTheme="minorHAnsi" w:hAnsiTheme="minorHAnsi" w:cstheme="minorHAnsi"/>
          <w:color w:val="FF0000"/>
          <w:sz w:val="22"/>
          <w:szCs w:val="22"/>
        </w:rPr>
        <w:t xml:space="preserve">Johnson, </w:t>
      </w:r>
      <w:r w:rsidR="00770350">
        <w:rPr>
          <w:rFonts w:asciiTheme="minorHAnsi" w:hAnsiTheme="minorHAnsi" w:cstheme="minorHAnsi"/>
          <w:color w:val="FF0000"/>
          <w:sz w:val="22"/>
          <w:szCs w:val="22"/>
        </w:rPr>
        <w:t xml:space="preserve">D. </w:t>
      </w:r>
      <w:r w:rsidRPr="00F32679">
        <w:rPr>
          <w:rFonts w:asciiTheme="minorHAnsi" w:hAnsiTheme="minorHAnsi" w:cstheme="minorHAnsi"/>
          <w:color w:val="FF0000"/>
          <w:sz w:val="22"/>
          <w:szCs w:val="22"/>
        </w:rPr>
        <w:t xml:space="preserve">Nerenz, </w:t>
      </w:r>
      <w:r w:rsidR="00770350">
        <w:rPr>
          <w:rFonts w:asciiTheme="minorHAnsi" w:hAnsiTheme="minorHAnsi" w:cstheme="minorHAnsi"/>
          <w:color w:val="FF0000"/>
          <w:sz w:val="22"/>
          <w:szCs w:val="22"/>
        </w:rPr>
        <w:t xml:space="preserve">D. </w:t>
      </w:r>
      <w:r w:rsidRPr="00F32679">
        <w:rPr>
          <w:rFonts w:asciiTheme="minorHAnsi" w:hAnsiTheme="minorHAnsi" w:cstheme="minorHAnsi"/>
          <w:color w:val="FF0000"/>
          <w:sz w:val="22"/>
          <w:szCs w:val="22"/>
        </w:rPr>
        <w:t xml:space="preserve">Cella, </w:t>
      </w:r>
      <w:r w:rsidR="00770350">
        <w:rPr>
          <w:rFonts w:asciiTheme="minorHAnsi" w:hAnsiTheme="minorHAnsi" w:cstheme="minorHAnsi"/>
          <w:color w:val="FF0000"/>
          <w:sz w:val="22"/>
          <w:szCs w:val="22"/>
        </w:rPr>
        <w:t xml:space="preserve">B. </w:t>
      </w:r>
      <w:r w:rsidRPr="00F32679">
        <w:rPr>
          <w:rFonts w:asciiTheme="minorHAnsi" w:hAnsiTheme="minorHAnsi" w:cstheme="minorHAnsi"/>
          <w:color w:val="FF0000"/>
          <w:sz w:val="22"/>
          <w:szCs w:val="22"/>
        </w:rPr>
        <w:t xml:space="preserve"> Borah, </w:t>
      </w:r>
      <w:r w:rsidR="00770350">
        <w:rPr>
          <w:rFonts w:asciiTheme="minorHAnsi" w:hAnsiTheme="minorHAnsi" w:cstheme="minorHAnsi"/>
          <w:color w:val="FF0000"/>
          <w:sz w:val="22"/>
          <w:szCs w:val="22"/>
        </w:rPr>
        <w:t>J.</w:t>
      </w:r>
      <w:r w:rsidRPr="00F32679">
        <w:rPr>
          <w:rFonts w:asciiTheme="minorHAnsi" w:hAnsiTheme="minorHAnsi" w:cstheme="minorHAnsi"/>
          <w:color w:val="FF0000"/>
          <w:sz w:val="22"/>
          <w:szCs w:val="22"/>
        </w:rPr>
        <w:t xml:space="preserve"> Kunisch</w:t>
      </w:r>
      <w:r w:rsidR="00770350">
        <w:rPr>
          <w:rFonts w:asciiTheme="minorHAnsi" w:hAnsiTheme="minorHAnsi" w:cstheme="minorHAnsi"/>
          <w:color w:val="FF0000"/>
          <w:sz w:val="22"/>
          <w:szCs w:val="22"/>
        </w:rPr>
        <w:t>, et al.</w:t>
      </w:r>
      <w:r w:rsidRPr="00F32679">
        <w:rPr>
          <w:rFonts w:asciiTheme="minorHAnsi" w:hAnsiTheme="minorHAnsi" w:cstheme="minorHAnsi"/>
          <w:color w:val="FF0000"/>
          <w:sz w:val="22"/>
          <w:szCs w:val="22"/>
        </w:rPr>
        <w:t xml:space="preserve"> 2019. </w:t>
      </w:r>
      <w:r w:rsidR="00770350">
        <w:rPr>
          <w:rFonts w:asciiTheme="minorHAnsi" w:hAnsiTheme="minorHAnsi" w:cstheme="minorHAnsi"/>
          <w:color w:val="FF0000"/>
          <w:sz w:val="22"/>
          <w:szCs w:val="22"/>
        </w:rPr>
        <w:t>“</w:t>
      </w:r>
      <w:r w:rsidRPr="00F32679">
        <w:rPr>
          <w:rFonts w:asciiTheme="minorHAnsi" w:hAnsiTheme="minorHAnsi" w:cstheme="minorHAnsi"/>
          <w:color w:val="FF0000"/>
          <w:sz w:val="22"/>
          <w:szCs w:val="22"/>
        </w:rPr>
        <w:t>National Quality Forum Guidelines for Evaluating the Scientific Acceptability of Risk-</w:t>
      </w:r>
      <w:r w:rsidR="00770350">
        <w:rPr>
          <w:rFonts w:asciiTheme="minorHAnsi" w:hAnsiTheme="minorHAnsi" w:cstheme="minorHAnsi"/>
          <w:color w:val="FF0000"/>
          <w:sz w:val="22"/>
          <w:szCs w:val="22"/>
        </w:rPr>
        <w:t>A</w:t>
      </w:r>
      <w:r w:rsidR="00770350" w:rsidRPr="00F32679">
        <w:rPr>
          <w:rFonts w:asciiTheme="minorHAnsi" w:hAnsiTheme="minorHAnsi" w:cstheme="minorHAnsi"/>
          <w:color w:val="FF0000"/>
          <w:sz w:val="22"/>
          <w:szCs w:val="22"/>
        </w:rPr>
        <w:t xml:space="preserve">djusted </w:t>
      </w:r>
      <w:r w:rsidRPr="00F32679">
        <w:rPr>
          <w:rFonts w:asciiTheme="minorHAnsi" w:hAnsiTheme="minorHAnsi" w:cstheme="minorHAnsi"/>
          <w:color w:val="FF0000"/>
          <w:sz w:val="22"/>
          <w:szCs w:val="22"/>
        </w:rPr>
        <w:t>Clinical Outcome Measures</w:t>
      </w:r>
      <w:r w:rsidR="00680ACE">
        <w:rPr>
          <w:rFonts w:asciiTheme="minorHAnsi" w:hAnsiTheme="minorHAnsi" w:cstheme="minorHAnsi"/>
          <w:color w:val="FF0000"/>
          <w:sz w:val="22"/>
          <w:szCs w:val="22"/>
        </w:rPr>
        <w:t>.”</w:t>
      </w:r>
      <w:r w:rsidRPr="00F32679">
        <w:rPr>
          <w:rFonts w:asciiTheme="minorHAnsi" w:hAnsiTheme="minorHAnsi" w:cstheme="minorHAnsi"/>
          <w:color w:val="FF0000"/>
          <w:sz w:val="22"/>
          <w:szCs w:val="22"/>
        </w:rPr>
        <w:t xml:space="preserve"> A Report From the National Quality Forum Scientific Methods Panel. </w:t>
      </w:r>
      <w:r w:rsidR="008F288A" w:rsidRPr="00AD52B2">
        <w:rPr>
          <w:rFonts w:asciiTheme="minorHAnsi" w:hAnsiTheme="minorHAnsi" w:cstheme="minorHAnsi"/>
          <w:i/>
          <w:iCs/>
          <w:color w:val="FF0000"/>
          <w:sz w:val="22"/>
          <w:szCs w:val="22"/>
        </w:rPr>
        <w:t>Annals of Surgery</w:t>
      </w:r>
      <w:r w:rsidR="008F288A" w:rsidRPr="008F288A">
        <w:rPr>
          <w:rFonts w:asciiTheme="minorHAnsi" w:hAnsiTheme="minorHAnsi" w:cstheme="minorHAnsi"/>
          <w:color w:val="FF0000"/>
          <w:sz w:val="22"/>
          <w:szCs w:val="22"/>
        </w:rPr>
        <w:t xml:space="preserve">: June </w:t>
      </w:r>
      <w:r w:rsidR="008F288A" w:rsidRPr="008F288A">
        <w:rPr>
          <w:rFonts w:asciiTheme="minorHAnsi" w:hAnsiTheme="minorHAnsi" w:cstheme="minorHAnsi"/>
          <w:color w:val="FF0000"/>
          <w:sz w:val="22"/>
          <w:szCs w:val="22"/>
        </w:rPr>
        <w:lastRenderedPageBreak/>
        <w:t xml:space="preserve">2020 </w:t>
      </w:r>
      <w:r w:rsidR="008F288A">
        <w:rPr>
          <w:rFonts w:asciiTheme="minorHAnsi" w:hAnsiTheme="minorHAnsi" w:cstheme="minorHAnsi"/>
          <w:color w:val="FF0000"/>
          <w:sz w:val="22"/>
          <w:szCs w:val="22"/>
        </w:rPr>
        <w:t>–</w:t>
      </w:r>
      <w:r w:rsidR="008F288A" w:rsidRPr="008F288A">
        <w:rPr>
          <w:rFonts w:asciiTheme="minorHAnsi" w:hAnsiTheme="minorHAnsi" w:cstheme="minorHAnsi"/>
          <w:color w:val="FF0000"/>
          <w:sz w:val="22"/>
          <w:szCs w:val="22"/>
        </w:rPr>
        <w:t xml:space="preserve"> </w:t>
      </w:r>
      <w:r w:rsidR="008F288A">
        <w:rPr>
          <w:rFonts w:asciiTheme="minorHAnsi" w:hAnsiTheme="minorHAnsi" w:cstheme="minorHAnsi"/>
          <w:color w:val="FF0000"/>
          <w:sz w:val="22"/>
          <w:szCs w:val="22"/>
        </w:rPr>
        <w:t>v</w:t>
      </w:r>
      <w:r w:rsidR="008F288A" w:rsidRPr="008F288A">
        <w:rPr>
          <w:rFonts w:asciiTheme="minorHAnsi" w:hAnsiTheme="minorHAnsi" w:cstheme="minorHAnsi"/>
          <w:color w:val="FF0000"/>
          <w:sz w:val="22"/>
          <w:szCs w:val="22"/>
        </w:rPr>
        <w:t>ol</w:t>
      </w:r>
      <w:r w:rsidR="008F288A">
        <w:rPr>
          <w:rFonts w:asciiTheme="minorHAnsi" w:hAnsiTheme="minorHAnsi" w:cstheme="minorHAnsi"/>
          <w:color w:val="FF0000"/>
          <w:sz w:val="22"/>
          <w:szCs w:val="22"/>
        </w:rPr>
        <w:t>.</w:t>
      </w:r>
      <w:r w:rsidR="008F288A" w:rsidRPr="008F288A">
        <w:rPr>
          <w:rFonts w:asciiTheme="minorHAnsi" w:hAnsiTheme="minorHAnsi" w:cstheme="minorHAnsi"/>
          <w:color w:val="FF0000"/>
          <w:sz w:val="22"/>
          <w:szCs w:val="22"/>
        </w:rPr>
        <w:t xml:space="preserve"> 271</w:t>
      </w:r>
      <w:r w:rsidR="008F288A">
        <w:rPr>
          <w:rFonts w:asciiTheme="minorHAnsi" w:hAnsiTheme="minorHAnsi" w:cstheme="minorHAnsi"/>
          <w:color w:val="FF0000"/>
          <w:sz w:val="22"/>
          <w:szCs w:val="22"/>
        </w:rPr>
        <w:t xml:space="preserve">, no. </w:t>
      </w:r>
      <w:r w:rsidR="008F288A" w:rsidRPr="008F288A">
        <w:rPr>
          <w:rFonts w:asciiTheme="minorHAnsi" w:hAnsiTheme="minorHAnsi" w:cstheme="minorHAnsi"/>
          <w:color w:val="FF0000"/>
          <w:sz w:val="22"/>
          <w:szCs w:val="22"/>
        </w:rPr>
        <w:t>6</w:t>
      </w:r>
      <w:r w:rsidR="008F288A">
        <w:rPr>
          <w:rFonts w:asciiTheme="minorHAnsi" w:hAnsiTheme="minorHAnsi" w:cstheme="minorHAnsi"/>
          <w:color w:val="FF0000"/>
          <w:sz w:val="22"/>
          <w:szCs w:val="22"/>
        </w:rPr>
        <w:t xml:space="preserve">, June 2020, </w:t>
      </w:r>
      <w:r w:rsidR="008F288A" w:rsidRPr="008F288A">
        <w:rPr>
          <w:rFonts w:asciiTheme="minorHAnsi" w:hAnsiTheme="minorHAnsi" w:cstheme="minorHAnsi"/>
          <w:color w:val="FF0000"/>
          <w:sz w:val="22"/>
          <w:szCs w:val="22"/>
        </w:rPr>
        <w:t xml:space="preserve"> -</w:t>
      </w:r>
      <w:r w:rsidR="008F288A">
        <w:rPr>
          <w:rFonts w:asciiTheme="minorHAnsi" w:hAnsiTheme="minorHAnsi" w:cstheme="minorHAnsi"/>
          <w:color w:val="FF0000"/>
          <w:sz w:val="22"/>
          <w:szCs w:val="22"/>
        </w:rPr>
        <w:t>pp.</w:t>
      </w:r>
      <w:r w:rsidR="008F288A" w:rsidRPr="008F288A">
        <w:rPr>
          <w:rFonts w:asciiTheme="minorHAnsi" w:hAnsiTheme="minorHAnsi" w:cstheme="minorHAnsi"/>
          <w:color w:val="FF0000"/>
          <w:sz w:val="22"/>
          <w:szCs w:val="22"/>
        </w:rPr>
        <w:t xml:space="preserve"> 1048</w:t>
      </w:r>
      <w:r w:rsidR="008F288A">
        <w:rPr>
          <w:rFonts w:asciiTheme="minorHAnsi" w:hAnsiTheme="minorHAnsi" w:cstheme="minorHAnsi"/>
          <w:color w:val="FF0000"/>
          <w:sz w:val="22"/>
          <w:szCs w:val="22"/>
        </w:rPr>
        <w:t>–</w:t>
      </w:r>
      <w:r w:rsidR="008F288A" w:rsidRPr="008F288A">
        <w:rPr>
          <w:rFonts w:asciiTheme="minorHAnsi" w:hAnsiTheme="minorHAnsi" w:cstheme="minorHAnsi"/>
          <w:color w:val="FF0000"/>
          <w:sz w:val="22"/>
          <w:szCs w:val="22"/>
        </w:rPr>
        <w:t>1055</w:t>
      </w:r>
      <w:r w:rsidR="008F288A">
        <w:rPr>
          <w:rFonts w:asciiTheme="minorHAnsi" w:hAnsiTheme="minorHAnsi" w:cstheme="minorHAnsi"/>
          <w:color w:val="FF0000"/>
          <w:sz w:val="22"/>
          <w:szCs w:val="22"/>
        </w:rPr>
        <w:t xml:space="preserve">. </w:t>
      </w:r>
      <w:r w:rsidR="00680ACE">
        <w:rPr>
          <w:rFonts w:asciiTheme="minorHAnsi" w:hAnsiTheme="minorHAnsi" w:cstheme="minorHAnsi"/>
          <w:color w:val="FF0000"/>
          <w:sz w:val="22"/>
          <w:szCs w:val="22"/>
        </w:rPr>
        <w:t xml:space="preserve">Available at </w:t>
      </w:r>
      <w:hyperlink r:id="rId12" w:history="1">
        <w:r w:rsidRPr="00F32679">
          <w:rPr>
            <w:rStyle w:val="Hyperlink"/>
            <w:rFonts w:asciiTheme="minorHAnsi" w:hAnsiTheme="minorHAnsi" w:cstheme="minorHAnsi"/>
            <w:color w:val="FF0000"/>
            <w:sz w:val="22"/>
            <w:szCs w:val="22"/>
          </w:rPr>
          <w:t>https://doi.org/10.1097/SLA.0000000000003592</w:t>
        </w:r>
      </w:hyperlink>
      <w:r w:rsidR="00680ACE">
        <w:rPr>
          <w:rStyle w:val="Hyperlink"/>
          <w:rFonts w:asciiTheme="minorHAnsi" w:hAnsiTheme="minorHAnsi" w:cstheme="minorHAnsi"/>
          <w:color w:val="FF0000"/>
          <w:sz w:val="22"/>
          <w:szCs w:val="22"/>
        </w:rPr>
        <w:t>.</w:t>
      </w:r>
      <w:r w:rsidR="00680ACE" w:rsidRPr="00586519">
        <w:rPr>
          <w:rStyle w:val="Hyperlink"/>
          <w:rFonts w:asciiTheme="minorHAnsi" w:hAnsiTheme="minorHAnsi" w:cstheme="minorHAnsi"/>
          <w:color w:val="FF0000"/>
          <w:sz w:val="22"/>
          <w:szCs w:val="22"/>
          <w:u w:val="none"/>
        </w:rPr>
        <w:t xml:space="preserve"> Accessed July 1, 2020.</w:t>
      </w:r>
    </w:p>
    <w:p w14:paraId="6CD07F74" w14:textId="77777777" w:rsidR="000D4EE0" w:rsidRPr="00F32679" w:rsidRDefault="000D4EE0" w:rsidP="000D4EE0">
      <w:pPr>
        <w:pStyle w:val="NormalWeb"/>
        <w:spacing w:before="0" w:beforeAutospacing="0" w:after="0" w:afterAutospacing="0"/>
        <w:rPr>
          <w:color w:val="FF0000"/>
        </w:rPr>
      </w:pPr>
    </w:p>
    <w:p w14:paraId="66F86568" w14:textId="58FB89AE" w:rsidR="00DC4DEE" w:rsidRPr="00F32679" w:rsidRDefault="00DC4DEE" w:rsidP="00DC4DEE">
      <w:pPr>
        <w:pStyle w:val="Default"/>
        <w:rPr>
          <w:rFonts w:asciiTheme="minorHAnsi" w:eastAsia="Times New Roman" w:hAnsiTheme="minorHAnsi" w:cstheme="minorHAnsi"/>
          <w:color w:val="FF0000"/>
          <w:sz w:val="22"/>
          <w:szCs w:val="22"/>
        </w:rPr>
      </w:pPr>
      <w:r w:rsidRPr="00F32679">
        <w:rPr>
          <w:rFonts w:asciiTheme="minorHAnsi" w:eastAsia="Times New Roman" w:hAnsiTheme="minorHAnsi" w:cstheme="minorHAnsi"/>
          <w:color w:val="FF0000"/>
          <w:sz w:val="22"/>
          <w:szCs w:val="22"/>
        </w:rPr>
        <w:t xml:space="preserve">National Quality Forum. </w:t>
      </w:r>
      <w:r w:rsidR="00680ACE">
        <w:rPr>
          <w:rFonts w:asciiTheme="minorHAnsi" w:eastAsia="Times New Roman" w:hAnsiTheme="minorHAnsi" w:cstheme="minorHAnsi"/>
          <w:color w:val="FF0000"/>
          <w:sz w:val="22"/>
          <w:szCs w:val="22"/>
        </w:rPr>
        <w:t>“</w:t>
      </w:r>
      <w:r w:rsidRPr="00AD52B2">
        <w:rPr>
          <w:rFonts w:asciiTheme="minorHAnsi" w:eastAsia="Times New Roman" w:hAnsiTheme="minorHAnsi" w:cstheme="minorHAnsi"/>
          <w:color w:val="FF0000"/>
          <w:sz w:val="22"/>
          <w:szCs w:val="22"/>
        </w:rPr>
        <w:t>Guidance for Measure Testing and Evaluating Scientific Acceptability of Measure Properties</w:t>
      </w:r>
      <w:r w:rsidRPr="00F32679">
        <w:rPr>
          <w:rFonts w:asciiTheme="minorHAnsi" w:eastAsia="Times New Roman" w:hAnsiTheme="minorHAnsi" w:cstheme="minorHAnsi"/>
          <w:color w:val="FF0000"/>
          <w:sz w:val="22"/>
          <w:szCs w:val="22"/>
        </w:rPr>
        <w:t>.</w:t>
      </w:r>
      <w:r w:rsidR="00680ACE">
        <w:rPr>
          <w:rFonts w:asciiTheme="minorHAnsi" w:eastAsia="Times New Roman" w:hAnsiTheme="minorHAnsi" w:cstheme="minorHAnsi"/>
          <w:color w:val="FF0000"/>
          <w:sz w:val="22"/>
          <w:szCs w:val="22"/>
        </w:rPr>
        <w:t>”</w:t>
      </w:r>
      <w:r w:rsidRPr="00F32679">
        <w:rPr>
          <w:rFonts w:asciiTheme="minorHAnsi" w:eastAsia="Times New Roman" w:hAnsiTheme="minorHAnsi" w:cstheme="minorHAnsi"/>
          <w:color w:val="FF0000"/>
          <w:sz w:val="22"/>
          <w:szCs w:val="22"/>
        </w:rPr>
        <w:t xml:space="preserve"> 2011. </w:t>
      </w:r>
      <w:r w:rsidR="00680ACE">
        <w:rPr>
          <w:rFonts w:asciiTheme="minorHAnsi" w:eastAsia="Times New Roman" w:hAnsiTheme="minorHAnsi" w:cstheme="minorHAnsi"/>
          <w:color w:val="FF0000"/>
          <w:sz w:val="22"/>
          <w:szCs w:val="22"/>
        </w:rPr>
        <w:t>Available at</w:t>
      </w:r>
      <w:r w:rsidR="00586519">
        <w:rPr>
          <w:rFonts w:asciiTheme="minorHAnsi" w:eastAsia="Times New Roman" w:hAnsiTheme="minorHAnsi" w:cstheme="minorHAnsi"/>
          <w:sz w:val="22"/>
          <w:szCs w:val="22"/>
        </w:rPr>
        <w:t xml:space="preserve"> </w:t>
      </w:r>
      <w:r w:rsidR="00586519">
        <w:rPr>
          <w:rFonts w:asciiTheme="minorHAnsi" w:eastAsia="Times New Roman" w:hAnsiTheme="minorHAnsi" w:cstheme="minorHAnsi"/>
          <w:sz w:val="22"/>
          <w:szCs w:val="22"/>
        </w:rPr>
        <w:fldChar w:fldCharType="begin"/>
      </w:r>
      <w:r w:rsidR="00586519">
        <w:rPr>
          <w:rFonts w:asciiTheme="minorHAnsi" w:eastAsia="Times New Roman" w:hAnsiTheme="minorHAnsi" w:cstheme="minorHAnsi"/>
          <w:sz w:val="22"/>
          <w:szCs w:val="22"/>
        </w:rPr>
        <w:instrText xml:space="preserve"> H"</w:instrText>
      </w:r>
      <w:r w:rsidR="00586519" w:rsidRPr="00586519">
        <w:rPr>
          <w:rStyle w:val="Hyperlink"/>
          <w:rFonts w:asciiTheme="minorHAnsi" w:eastAsia="Times New Roman" w:hAnsiTheme="minorHAnsi" w:cstheme="minorHAnsi"/>
          <w:color w:val="FF0000"/>
          <w:sz w:val="22"/>
          <w:szCs w:val="22"/>
        </w:rPr>
        <w:instrText>https://www.qualityforum.org/WorkArea/linkit.aspx?LinkIdentifier=id&amp;ItemID=70943</w:instrText>
      </w:r>
      <w:r w:rsidR="00586519">
        <w:rPr>
          <w:rFonts w:asciiTheme="minorHAnsi" w:eastAsia="Times New Roman" w:hAnsiTheme="minorHAnsi" w:cstheme="minorHAnsi"/>
          <w:sz w:val="22"/>
          <w:szCs w:val="22"/>
        </w:rPr>
        <w:instrText xml:space="preserve">" </w:instrText>
      </w:r>
      <w:r w:rsidR="00586519">
        <w:rPr>
          <w:rFonts w:asciiTheme="minorHAnsi" w:eastAsia="Times New Roman" w:hAnsiTheme="minorHAnsi" w:cstheme="minorHAnsi"/>
          <w:sz w:val="22"/>
          <w:szCs w:val="22"/>
        </w:rPr>
        <w:fldChar w:fldCharType="separate"/>
      </w:r>
      <w:r w:rsidR="00586519" w:rsidRPr="00586519">
        <w:rPr>
          <w:rStyle w:val="Hyperlink"/>
          <w:rFonts w:asciiTheme="minorHAnsi" w:eastAsia="Times New Roman" w:hAnsiTheme="minorHAnsi" w:cstheme="minorHAnsi"/>
          <w:color w:val="FF0000"/>
          <w:sz w:val="22"/>
          <w:szCs w:val="22"/>
        </w:rPr>
        <w:t>https://www.qualityforum.org/WorkArea/linkit.aspx?LinkIdentifier=id&amp;ItemID=70943</w:t>
      </w:r>
      <w:r w:rsidR="00586519">
        <w:rPr>
          <w:rFonts w:asciiTheme="minorHAnsi" w:eastAsia="Times New Roman" w:hAnsiTheme="minorHAnsi" w:cstheme="minorHAnsi"/>
          <w:sz w:val="22"/>
          <w:szCs w:val="22"/>
        </w:rPr>
        <w:fldChar w:fldCharType="end"/>
      </w:r>
      <w:r w:rsidRPr="00F32679">
        <w:rPr>
          <w:rFonts w:asciiTheme="minorHAnsi" w:eastAsia="Times New Roman" w:hAnsiTheme="minorHAnsi" w:cstheme="minorHAnsi"/>
          <w:color w:val="FF0000"/>
          <w:sz w:val="22"/>
          <w:szCs w:val="22"/>
        </w:rPr>
        <w:t>. Accessed July 9, 2019.</w:t>
      </w:r>
    </w:p>
    <w:p w14:paraId="0CABCFD4" w14:textId="66201E66" w:rsidR="007422FD" w:rsidRPr="00A25024" w:rsidRDefault="007422FD" w:rsidP="00DB3627">
      <w:pPr>
        <w:autoSpaceDE w:val="0"/>
        <w:autoSpaceDN w:val="0"/>
        <w:adjustRightInd w:val="0"/>
        <w:spacing w:after="0" w:line="240" w:lineRule="auto"/>
        <w:rPr>
          <w:rFonts w:cstheme="minorHAnsi"/>
          <w:bCs/>
        </w:rPr>
      </w:pPr>
      <w:r w:rsidRPr="00A25024">
        <w:rPr>
          <w:rFonts w:cstheme="minorHAnsi"/>
          <w:bCs/>
        </w:rPr>
        <w:br/>
      </w:r>
      <w:r w:rsidR="00FA7E89" w:rsidRPr="00833290">
        <w:rPr>
          <w:color w:val="0000FF"/>
        </w:rPr>
        <w:t>The results indicate the measure score is reliable by adjusting the minimum case size for the denominator to require at least 75 cases during the measurement period. To increase the number of IPFs that have at least 75 cases during the measurement period, we recommend using a two-year measurement period.</w:t>
      </w:r>
    </w:p>
    <w:p w14:paraId="0CABCFD5" w14:textId="0CD84256"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597D0F49"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23331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395252BA" w:rsidR="00696262" w:rsidRPr="00A25024" w:rsidRDefault="00BF1DD7"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CD7C8A">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6A3B86E5" w:rsidR="000574AB" w:rsidRPr="00A25024" w:rsidRDefault="00BF1DD7"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310AFB">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0"/>
            <w14:checkedState w14:val="2612" w14:font="MS Gothic"/>
            <w14:uncheckedState w14:val="2610" w14:font="MS Gothic"/>
          </w14:checkbox>
        </w:sdtPr>
        <w:sdtEndPr/>
        <w:sdtContent>
          <w:r w:rsidR="00310AFB">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0CABCFDC" w14:textId="1740740D" w:rsidR="00833325"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69E275C3" w14:textId="7E7FA31F" w:rsidR="00CB6E91" w:rsidRPr="00F32679" w:rsidRDefault="00CB6E91" w:rsidP="00CB6E91">
      <w:pPr>
        <w:spacing w:after="160" w:line="259" w:lineRule="auto"/>
        <w:rPr>
          <w:rStyle w:val="Emphasis"/>
          <w:rFonts w:eastAsiaTheme="minorHAnsi" w:cstheme="minorHAnsi"/>
          <w:i w:val="0"/>
          <w:iCs w:val="0"/>
          <w:color w:val="FF0000"/>
        </w:rPr>
      </w:pPr>
      <w:r w:rsidRPr="00F32679">
        <w:rPr>
          <w:rStyle w:val="Emphasis"/>
          <w:rFonts w:eastAsiaTheme="minorHAnsi" w:cstheme="minorHAnsi"/>
          <w:i w:val="0"/>
          <w:iCs w:val="0"/>
          <w:color w:val="FF0000"/>
          <w:shd w:val="clear" w:color="auto" w:fill="FFFFFF"/>
        </w:rPr>
        <w:t xml:space="preserve">We examined validity of the Medication Continuation measure using the known-group method. A measure is considered to exhibit known-group validity if the measure score </w:t>
      </w:r>
      <w:r w:rsidR="0082363D">
        <w:rPr>
          <w:rStyle w:val="Emphasis"/>
          <w:rFonts w:eastAsiaTheme="minorHAnsi" w:cstheme="minorHAnsi"/>
          <w:i w:val="0"/>
          <w:iCs w:val="0"/>
          <w:color w:val="FF0000"/>
          <w:shd w:val="clear" w:color="auto" w:fill="FFFFFF"/>
        </w:rPr>
        <w:t>can</w:t>
      </w:r>
      <w:r w:rsidR="0082363D" w:rsidRPr="00F32679">
        <w:rPr>
          <w:rStyle w:val="Emphasis"/>
          <w:rFonts w:eastAsiaTheme="minorHAnsi" w:cstheme="minorHAnsi"/>
          <w:i w:val="0"/>
          <w:iCs w:val="0"/>
          <w:color w:val="FF0000"/>
          <w:shd w:val="clear" w:color="auto" w:fill="FFFFFF"/>
        </w:rPr>
        <w:t xml:space="preserve"> </w:t>
      </w:r>
      <w:r w:rsidRPr="00F32679">
        <w:rPr>
          <w:rStyle w:val="Emphasis"/>
          <w:rFonts w:eastAsiaTheme="minorHAnsi" w:cstheme="minorHAnsi"/>
          <w:i w:val="0"/>
          <w:iCs w:val="0"/>
          <w:color w:val="FF0000"/>
          <w:shd w:val="clear" w:color="auto" w:fill="FFFFFF"/>
        </w:rPr>
        <w:t xml:space="preserve">be used to discriminate between subgroups of patients known to have differences in the measure rates based on findings from the literature. </w:t>
      </w:r>
      <w:r w:rsidR="00CC5FC9" w:rsidRPr="00F32679">
        <w:rPr>
          <w:rStyle w:val="Emphasis"/>
          <w:rFonts w:eastAsiaTheme="minorHAnsi" w:cstheme="minorHAnsi"/>
          <w:i w:val="0"/>
          <w:iCs w:val="0"/>
          <w:color w:val="FF0000"/>
          <w:shd w:val="clear" w:color="auto" w:fill="FFFFFF"/>
        </w:rPr>
        <w:t>We investigated k</w:t>
      </w:r>
      <w:r w:rsidRPr="00F32679">
        <w:rPr>
          <w:rStyle w:val="Emphasis"/>
          <w:rFonts w:eastAsiaTheme="minorHAnsi" w:cstheme="minorHAnsi"/>
          <w:i w:val="0"/>
          <w:iCs w:val="0"/>
          <w:color w:val="FF0000"/>
          <w:shd w:val="clear" w:color="auto" w:fill="FFFFFF"/>
        </w:rPr>
        <w:t>nown</w:t>
      </w:r>
      <w:r w:rsidRPr="00F32679">
        <w:rPr>
          <w:rStyle w:val="Emphasis"/>
          <w:rFonts w:eastAsiaTheme="minorHAnsi" w:cstheme="minorHAnsi"/>
          <w:i w:val="0"/>
          <w:iCs w:val="0"/>
          <w:color w:val="FF0000"/>
        </w:rPr>
        <w:t>‐</w:t>
      </w:r>
      <w:r w:rsidRPr="00F32679">
        <w:rPr>
          <w:rStyle w:val="Emphasis"/>
          <w:rFonts w:eastAsiaTheme="minorHAnsi" w:cstheme="minorHAnsi"/>
          <w:i w:val="0"/>
          <w:iCs w:val="0"/>
          <w:color w:val="FF0000"/>
          <w:shd w:val="clear" w:color="auto" w:fill="FFFFFF"/>
        </w:rPr>
        <w:t>group validity</w:t>
      </w:r>
      <w:r w:rsidRPr="00F32679">
        <w:rPr>
          <w:rStyle w:val="Emphasis"/>
          <w:rFonts w:eastAsiaTheme="minorHAnsi" w:cstheme="minorHAnsi"/>
          <w:i w:val="0"/>
          <w:iCs w:val="0"/>
          <w:color w:val="FF0000"/>
        </w:rPr>
        <w:t xml:space="preserve"> by evaluating differences in mean </w:t>
      </w:r>
      <w:r w:rsidRPr="00F32679">
        <w:rPr>
          <w:rStyle w:val="Emphasis"/>
          <w:rFonts w:eastAsiaTheme="minorHAnsi" w:cstheme="minorHAnsi"/>
          <w:i w:val="0"/>
          <w:iCs w:val="0"/>
          <w:color w:val="FF0000"/>
          <w:shd w:val="clear" w:color="auto" w:fill="FFFFFF"/>
        </w:rPr>
        <w:t xml:space="preserve">Medication Continuation </w:t>
      </w:r>
      <w:r w:rsidRPr="00F32679">
        <w:rPr>
          <w:rStyle w:val="Emphasis"/>
          <w:rFonts w:eastAsiaTheme="minorHAnsi" w:cstheme="minorHAnsi"/>
          <w:i w:val="0"/>
          <w:iCs w:val="0"/>
          <w:color w:val="FF0000"/>
        </w:rPr>
        <w:t>facility scores among predefined groups of patients based on the evidence from peer-reviewed studies</w:t>
      </w:r>
      <w:r w:rsidR="0082363D">
        <w:rPr>
          <w:rStyle w:val="Emphasis"/>
          <w:rFonts w:eastAsiaTheme="minorHAnsi" w:cstheme="minorHAnsi"/>
          <w:i w:val="0"/>
          <w:iCs w:val="0"/>
          <w:color w:val="FF0000"/>
        </w:rPr>
        <w:t>. These studies examined</w:t>
      </w:r>
      <w:r w:rsidRPr="00F32679">
        <w:rPr>
          <w:rStyle w:val="Emphasis"/>
          <w:rFonts w:eastAsiaTheme="minorHAnsi" w:cstheme="minorHAnsi"/>
          <w:i w:val="0"/>
          <w:iCs w:val="0"/>
          <w:color w:val="FF0000"/>
        </w:rPr>
        <w:t xml:space="preserve"> factors related to nonadherence to psychotropic medication among patients with major psychiatric disorders. Consistent with the literature, IPF-level </w:t>
      </w:r>
      <w:r w:rsidRPr="00F32679">
        <w:rPr>
          <w:rStyle w:val="Emphasis"/>
          <w:rFonts w:eastAsiaTheme="minorHAnsi" w:cstheme="minorHAnsi"/>
          <w:i w:val="0"/>
          <w:iCs w:val="0"/>
          <w:color w:val="FF0000"/>
          <w:shd w:val="clear" w:color="auto" w:fill="FFFFFF"/>
        </w:rPr>
        <w:t xml:space="preserve">Medication Continuation measure </w:t>
      </w:r>
      <w:r w:rsidRPr="00F32679">
        <w:rPr>
          <w:rStyle w:val="Emphasis"/>
          <w:rFonts w:eastAsiaTheme="minorHAnsi" w:cstheme="minorHAnsi"/>
          <w:i w:val="0"/>
          <w:iCs w:val="0"/>
          <w:color w:val="FF0000"/>
        </w:rPr>
        <w:t xml:space="preserve">scores were hypothesized to be lower </w:t>
      </w:r>
      <w:r w:rsidR="00DB3703">
        <w:rPr>
          <w:rStyle w:val="Emphasis"/>
          <w:rFonts w:eastAsiaTheme="minorHAnsi" w:cstheme="minorHAnsi"/>
          <w:i w:val="0"/>
          <w:iCs w:val="0"/>
          <w:color w:val="FF0000"/>
        </w:rPr>
        <w:t xml:space="preserve">based on evidence demonstrated </w:t>
      </w:r>
      <w:r w:rsidRPr="00F32679">
        <w:rPr>
          <w:rStyle w:val="Emphasis"/>
          <w:rFonts w:eastAsiaTheme="minorHAnsi" w:cstheme="minorHAnsi"/>
          <w:i w:val="0"/>
          <w:iCs w:val="0"/>
          <w:color w:val="FF0000"/>
        </w:rPr>
        <w:t>(</w:t>
      </w:r>
      <w:r w:rsidR="0082363D">
        <w:rPr>
          <w:rStyle w:val="Emphasis"/>
          <w:rFonts w:eastAsiaTheme="minorHAnsi" w:cstheme="minorHAnsi"/>
          <w:i w:val="0"/>
          <w:iCs w:val="0"/>
          <w:color w:val="FF0000"/>
        </w:rPr>
        <w:t>that is</w:t>
      </w:r>
      <w:r w:rsidRPr="00F32679">
        <w:rPr>
          <w:rStyle w:val="Emphasis"/>
          <w:rFonts w:eastAsiaTheme="minorHAnsi" w:cstheme="minorHAnsi"/>
          <w:i w:val="0"/>
          <w:iCs w:val="0"/>
          <w:color w:val="FF0000"/>
        </w:rPr>
        <w:t xml:space="preserve">. worse medication adherence) among younger patients </w:t>
      </w:r>
      <w:r w:rsidR="00CC5FC9" w:rsidRPr="00F32679">
        <w:rPr>
          <w:rStyle w:val="Emphasis"/>
          <w:rFonts w:eastAsiaTheme="minorHAnsi" w:cstheme="minorHAnsi"/>
          <w:i w:val="0"/>
          <w:iCs w:val="0"/>
          <w:color w:val="FF0000"/>
        </w:rPr>
        <w:t xml:space="preserve">(&lt;40 years old) </w:t>
      </w:r>
      <w:r w:rsidRPr="00F32679">
        <w:rPr>
          <w:rStyle w:val="Emphasis"/>
          <w:rFonts w:eastAsiaTheme="minorHAnsi" w:cstheme="minorHAnsi"/>
          <w:i w:val="0"/>
          <w:iCs w:val="0"/>
          <w:color w:val="FF0000"/>
        </w:rPr>
        <w:t xml:space="preserve">(Garcia et al. 2016; Sajatovic et al. 2007); male patients (Chakrabarti 2017; Lacasta-Tintorer 2011) patients with a comorbid </w:t>
      </w:r>
      <w:r w:rsidR="003222FA">
        <w:rPr>
          <w:rStyle w:val="Emphasis"/>
          <w:rFonts w:eastAsiaTheme="minorHAnsi" w:cstheme="minorHAnsi"/>
          <w:i w:val="0"/>
          <w:iCs w:val="0"/>
          <w:color w:val="FF0000"/>
        </w:rPr>
        <w:t>Substance Use Disorder (</w:t>
      </w:r>
      <w:r w:rsidRPr="003222FA">
        <w:rPr>
          <w:rStyle w:val="Emphasis"/>
          <w:rFonts w:eastAsiaTheme="minorHAnsi" w:cstheme="minorHAnsi"/>
          <w:i w:val="0"/>
          <w:iCs w:val="0"/>
          <w:color w:val="FF0000"/>
        </w:rPr>
        <w:t>SUD</w:t>
      </w:r>
      <w:r w:rsidR="003222FA">
        <w:rPr>
          <w:rStyle w:val="Emphasis"/>
          <w:rFonts w:eastAsiaTheme="minorHAnsi" w:cstheme="minorHAnsi"/>
          <w:i w:val="0"/>
          <w:iCs w:val="0"/>
          <w:color w:val="FF0000"/>
        </w:rPr>
        <w:t>)</w:t>
      </w:r>
      <w:r w:rsidRPr="00F32679">
        <w:rPr>
          <w:rStyle w:val="Emphasis"/>
          <w:rFonts w:eastAsiaTheme="minorHAnsi" w:cstheme="minorHAnsi"/>
          <w:i w:val="0"/>
          <w:iCs w:val="0"/>
          <w:color w:val="FF0000"/>
        </w:rPr>
        <w:t xml:space="preserve"> diagnosis (Garcia et al. 2016; Chakrabarti 2017;</w:t>
      </w:r>
      <w:r w:rsidRPr="00F32679">
        <w:rPr>
          <w:i/>
          <w:iCs/>
          <w:color w:val="FF0000"/>
          <w:sz w:val="20"/>
          <w:szCs w:val="20"/>
        </w:rPr>
        <w:t xml:space="preserve"> </w:t>
      </w:r>
      <w:r w:rsidRPr="00F32679">
        <w:rPr>
          <w:rStyle w:val="Emphasis"/>
          <w:rFonts w:eastAsiaTheme="minorHAnsi" w:cstheme="minorHAnsi"/>
          <w:i w:val="0"/>
          <w:iCs w:val="0"/>
          <w:color w:val="FF0000"/>
        </w:rPr>
        <w:t>Sajatovic et al. 2007; Velligan et al. 2017); non-</w:t>
      </w:r>
      <w:r w:rsidR="00A5497E">
        <w:rPr>
          <w:rStyle w:val="Emphasis"/>
          <w:rFonts w:eastAsiaTheme="minorHAnsi" w:cstheme="minorHAnsi"/>
          <w:i w:val="0"/>
          <w:iCs w:val="0"/>
          <w:color w:val="FF0000"/>
        </w:rPr>
        <w:t>W</w:t>
      </w:r>
      <w:r w:rsidR="00A5497E" w:rsidRPr="00F32679">
        <w:rPr>
          <w:rStyle w:val="Emphasis"/>
          <w:rFonts w:eastAsiaTheme="minorHAnsi" w:cstheme="minorHAnsi"/>
          <w:i w:val="0"/>
          <w:iCs w:val="0"/>
          <w:color w:val="FF0000"/>
        </w:rPr>
        <w:t xml:space="preserve">hite </w:t>
      </w:r>
      <w:r w:rsidRPr="00F32679">
        <w:rPr>
          <w:rStyle w:val="Emphasis"/>
          <w:rFonts w:eastAsiaTheme="minorHAnsi" w:cstheme="minorHAnsi"/>
          <w:i w:val="0"/>
          <w:iCs w:val="0"/>
          <w:color w:val="FF0000"/>
        </w:rPr>
        <w:t>patients (Fleck et al. 2005; Sajatovic et al. 2007); patients with a diagnosis of schizophrenia (Chakrabarti 2017; Higashi et al. 2013; Sajatovic et al. 2007)</w:t>
      </w:r>
      <w:r w:rsidR="00CC5FC9" w:rsidRPr="00F32679">
        <w:rPr>
          <w:rStyle w:val="Emphasis"/>
          <w:rFonts w:eastAsiaTheme="minorHAnsi" w:cstheme="minorHAnsi"/>
          <w:i w:val="0"/>
          <w:iCs w:val="0"/>
          <w:color w:val="FF0000"/>
        </w:rPr>
        <w:t>; and</w:t>
      </w:r>
      <w:r w:rsidRPr="00F32679">
        <w:rPr>
          <w:rStyle w:val="Emphasis"/>
          <w:rFonts w:eastAsiaTheme="minorHAnsi" w:cstheme="minorHAnsi"/>
          <w:i w:val="0"/>
          <w:iCs w:val="0"/>
          <w:color w:val="FF0000"/>
        </w:rPr>
        <w:t xml:space="preserve"> more disadvantaged patients with problems accessing medication and limited socioeconomic resources (Lanouette et al. 2009; Jawad et al. 2018). We used the beneficiaries’ dual Medicare-Medicaid status as </w:t>
      </w:r>
      <w:r w:rsidR="00D1741D" w:rsidRPr="00F32679">
        <w:rPr>
          <w:rStyle w:val="Emphasis"/>
          <w:rFonts w:eastAsiaTheme="minorHAnsi" w:cstheme="minorHAnsi"/>
          <w:i w:val="0"/>
          <w:iCs w:val="0"/>
          <w:color w:val="FF0000"/>
        </w:rPr>
        <w:t>a</w:t>
      </w:r>
      <w:r w:rsidRPr="00F32679">
        <w:rPr>
          <w:rStyle w:val="Emphasis"/>
          <w:rFonts w:eastAsiaTheme="minorHAnsi" w:cstheme="minorHAnsi"/>
          <w:i w:val="0"/>
          <w:iCs w:val="0"/>
          <w:color w:val="FF0000"/>
        </w:rPr>
        <w:t xml:space="preserve"> proxy for socioeconomic status.  </w:t>
      </w:r>
    </w:p>
    <w:p w14:paraId="2FCC9807" w14:textId="218496E9" w:rsidR="00CB6E91" w:rsidRPr="00F32679" w:rsidRDefault="00CB6E91" w:rsidP="00CB6E91">
      <w:pPr>
        <w:pStyle w:val="CommentText"/>
        <w:rPr>
          <w:rStyle w:val="Emphasis"/>
          <w:rFonts w:eastAsiaTheme="minorHAnsi" w:cstheme="minorHAnsi"/>
          <w:bCs/>
          <w:i w:val="0"/>
          <w:iCs w:val="0"/>
          <w:color w:val="FF0000"/>
        </w:rPr>
      </w:pPr>
      <w:r w:rsidRPr="00F32679">
        <w:rPr>
          <w:rStyle w:val="Emphasis"/>
          <w:rFonts w:eastAsiaTheme="minorHAnsi" w:cstheme="minorHAnsi"/>
          <w:i w:val="0"/>
          <w:iCs w:val="0"/>
          <w:color w:val="FF0000"/>
          <w:sz w:val="22"/>
          <w:szCs w:val="22"/>
          <w:shd w:val="clear" w:color="auto" w:fill="FFFFFF"/>
        </w:rPr>
        <w:t>To test for the differences in the Medication Continuation measure rates by patient subgroups</w:t>
      </w:r>
      <w:r w:rsidR="00D1741D" w:rsidRPr="00F32679">
        <w:rPr>
          <w:rStyle w:val="Emphasis"/>
          <w:rFonts w:eastAsiaTheme="minorHAnsi" w:cstheme="minorHAnsi"/>
          <w:i w:val="0"/>
          <w:iCs w:val="0"/>
          <w:color w:val="FF0000"/>
          <w:sz w:val="22"/>
          <w:szCs w:val="22"/>
          <w:shd w:val="clear" w:color="auto" w:fill="FFFFFF"/>
        </w:rPr>
        <w:t>,</w:t>
      </w:r>
      <w:r w:rsidRPr="00F32679">
        <w:rPr>
          <w:rStyle w:val="Emphasis"/>
          <w:rFonts w:eastAsiaTheme="minorHAnsi" w:cstheme="minorHAnsi"/>
          <w:i w:val="0"/>
          <w:iCs w:val="0"/>
          <w:color w:val="FF0000"/>
          <w:sz w:val="22"/>
          <w:szCs w:val="22"/>
          <w:shd w:val="clear" w:color="auto" w:fill="FFFFFF"/>
        </w:rPr>
        <w:t xml:space="preserve"> we first calculated measure rates for each subgroup by facility. Then, we computed mean rate and standard deviations by subgroup across all facilities. For dichotomous variables</w:t>
      </w:r>
      <w:r w:rsidR="00D1741D" w:rsidRPr="00F32679">
        <w:rPr>
          <w:rStyle w:val="Emphasis"/>
          <w:rFonts w:eastAsiaTheme="minorHAnsi" w:cstheme="minorHAnsi"/>
          <w:i w:val="0"/>
          <w:iCs w:val="0"/>
          <w:color w:val="FF0000"/>
          <w:sz w:val="22"/>
          <w:szCs w:val="22"/>
          <w:shd w:val="clear" w:color="auto" w:fill="FFFFFF"/>
        </w:rPr>
        <w:t xml:space="preserve">, we used </w:t>
      </w:r>
      <w:r w:rsidRPr="00F32679">
        <w:rPr>
          <w:rStyle w:val="Emphasis"/>
          <w:rFonts w:eastAsiaTheme="minorHAnsi" w:cstheme="minorHAnsi"/>
          <w:i w:val="0"/>
          <w:iCs w:val="0"/>
          <w:color w:val="FF0000"/>
          <w:sz w:val="22"/>
          <w:szCs w:val="22"/>
          <w:shd w:val="clear" w:color="auto" w:fill="FFFFFF"/>
        </w:rPr>
        <w:t xml:space="preserve">t-tests to compare mean </w:t>
      </w:r>
      <w:r w:rsidRPr="00F32679">
        <w:rPr>
          <w:rStyle w:val="Emphasis"/>
          <w:rFonts w:eastAsiaTheme="minorHAnsi" w:cstheme="minorHAnsi"/>
          <w:i w:val="0"/>
          <w:iCs w:val="0"/>
          <w:color w:val="FF0000"/>
          <w:sz w:val="22"/>
          <w:szCs w:val="22"/>
          <w:shd w:val="clear" w:color="auto" w:fill="FFFFFF"/>
        </w:rPr>
        <w:lastRenderedPageBreak/>
        <w:t>group differences. With large sample sizes, small differences that are statistically significant may not always be practically or clinically meaningful. Therefore, we additionally computed Cohen's</w:t>
      </w:r>
      <w:r w:rsidR="007A047F">
        <w:rPr>
          <w:rStyle w:val="Emphasis"/>
          <w:rFonts w:eastAsiaTheme="minorHAnsi" w:cstheme="minorHAnsi"/>
          <w:i w:val="0"/>
          <w:iCs w:val="0"/>
          <w:color w:val="FF0000"/>
          <w:sz w:val="22"/>
          <w:szCs w:val="22"/>
          <w:shd w:val="clear" w:color="auto" w:fill="FFFFFF"/>
        </w:rPr>
        <w:t xml:space="preserve"> (1988)</w:t>
      </w:r>
      <w:r w:rsidRPr="00F32679">
        <w:rPr>
          <w:rStyle w:val="Emphasis"/>
          <w:rFonts w:eastAsiaTheme="minorHAnsi" w:cstheme="minorHAnsi"/>
          <w:i w:val="0"/>
          <w:iCs w:val="0"/>
          <w:color w:val="FF0000"/>
          <w:sz w:val="22"/>
          <w:szCs w:val="22"/>
          <w:shd w:val="clear" w:color="auto" w:fill="FFFFFF"/>
        </w:rPr>
        <w:t xml:space="preserve"> d effect size (the difference in mean scores divided by the pooled standard deviation). </w:t>
      </w:r>
      <w:r w:rsidRPr="00F32679">
        <w:rPr>
          <w:rStyle w:val="Emphasis"/>
          <w:rFonts w:eastAsiaTheme="minorHAnsi" w:cstheme="minorHAnsi"/>
          <w:i w:val="0"/>
          <w:iCs w:val="0"/>
          <w:color w:val="FF0000"/>
          <w:sz w:val="22"/>
          <w:szCs w:val="22"/>
        </w:rPr>
        <w:t>A </w:t>
      </w:r>
      <w:r w:rsidR="00D1741D" w:rsidRPr="00F32679">
        <w:rPr>
          <w:rStyle w:val="Emphasis"/>
          <w:rFonts w:eastAsiaTheme="minorHAnsi" w:cstheme="minorHAnsi"/>
          <w:i w:val="0"/>
          <w:iCs w:val="0"/>
          <w:color w:val="FF0000"/>
          <w:sz w:val="22"/>
          <w:szCs w:val="22"/>
          <w:shd w:val="clear" w:color="auto" w:fill="FFFFFF"/>
        </w:rPr>
        <w:t>d</w:t>
      </w:r>
      <w:r w:rsidRPr="00F32679">
        <w:rPr>
          <w:rStyle w:val="Emphasis"/>
          <w:rFonts w:eastAsiaTheme="minorHAnsi" w:cstheme="minorHAnsi"/>
          <w:i w:val="0"/>
          <w:iCs w:val="0"/>
          <w:color w:val="FF0000"/>
          <w:sz w:val="22"/>
          <w:szCs w:val="22"/>
          <w:shd w:val="clear" w:color="auto" w:fill="FFFFFF"/>
        </w:rPr>
        <w:t xml:space="preserve"> </w:t>
      </w:r>
      <w:r w:rsidRPr="00F32679">
        <w:rPr>
          <w:rStyle w:val="Emphasis"/>
          <w:rFonts w:eastAsiaTheme="minorHAnsi" w:cstheme="minorHAnsi"/>
          <w:i w:val="0"/>
          <w:iCs w:val="0"/>
          <w:color w:val="FF0000"/>
          <w:sz w:val="22"/>
          <w:szCs w:val="22"/>
        </w:rPr>
        <w:t>of </w:t>
      </w:r>
      <w:r w:rsidRPr="00F32679">
        <w:rPr>
          <w:rStyle w:val="Emphasis"/>
          <w:rFonts w:eastAsiaTheme="minorHAnsi" w:cstheme="minorHAnsi"/>
          <w:i w:val="0"/>
          <w:iCs w:val="0"/>
          <w:color w:val="FF0000"/>
          <w:sz w:val="22"/>
          <w:szCs w:val="22"/>
          <w:shd w:val="clear" w:color="auto" w:fill="FFFFFF"/>
        </w:rPr>
        <w:t>1</w:t>
      </w:r>
      <w:r w:rsidRPr="00F32679">
        <w:rPr>
          <w:rStyle w:val="Emphasis"/>
          <w:rFonts w:eastAsiaTheme="minorHAnsi" w:cstheme="minorHAnsi"/>
          <w:i w:val="0"/>
          <w:iCs w:val="0"/>
          <w:color w:val="FF0000"/>
          <w:sz w:val="22"/>
          <w:szCs w:val="22"/>
        </w:rPr>
        <w:t> indicates the two groups differ by </w:t>
      </w:r>
      <w:r w:rsidRPr="00F32679">
        <w:rPr>
          <w:rStyle w:val="Emphasis"/>
          <w:rFonts w:eastAsiaTheme="minorHAnsi" w:cstheme="minorHAnsi"/>
          <w:i w:val="0"/>
          <w:iCs w:val="0"/>
          <w:color w:val="FF0000"/>
          <w:sz w:val="22"/>
          <w:szCs w:val="22"/>
          <w:shd w:val="clear" w:color="auto" w:fill="FFFFFF"/>
        </w:rPr>
        <w:t>1</w:t>
      </w:r>
      <w:r w:rsidRPr="00F32679">
        <w:rPr>
          <w:rStyle w:val="Emphasis"/>
          <w:rFonts w:eastAsiaTheme="minorHAnsi" w:cstheme="minorHAnsi"/>
          <w:i w:val="0"/>
          <w:iCs w:val="0"/>
          <w:color w:val="FF0000"/>
          <w:sz w:val="22"/>
          <w:szCs w:val="22"/>
        </w:rPr>
        <w:t xml:space="preserve"> standard deviation, a d of 2 indicates they differ by 2 standard deviations, and so on. </w:t>
      </w:r>
      <w:r w:rsidRPr="00F32679">
        <w:rPr>
          <w:rStyle w:val="Emphasis"/>
          <w:rFonts w:eastAsiaTheme="minorHAnsi" w:cstheme="minorHAnsi"/>
          <w:i w:val="0"/>
          <w:iCs w:val="0"/>
          <w:color w:val="FF0000"/>
          <w:sz w:val="22"/>
          <w:szCs w:val="22"/>
          <w:shd w:val="clear" w:color="auto" w:fill="FFFFFF"/>
        </w:rPr>
        <w:t xml:space="preserve">Following Cohen’s (1988) definitions, </w:t>
      </w:r>
      <w:r w:rsidR="00D1741D" w:rsidRPr="00F32679">
        <w:rPr>
          <w:rStyle w:val="Emphasis"/>
          <w:rFonts w:eastAsiaTheme="minorHAnsi" w:cstheme="minorHAnsi"/>
          <w:i w:val="0"/>
          <w:iCs w:val="0"/>
          <w:color w:val="FF0000"/>
          <w:sz w:val="22"/>
          <w:szCs w:val="22"/>
          <w:shd w:val="clear" w:color="auto" w:fill="FFFFFF"/>
        </w:rPr>
        <w:t xml:space="preserve">we defined </w:t>
      </w:r>
      <w:r w:rsidRPr="00F32679">
        <w:rPr>
          <w:rStyle w:val="Emphasis"/>
          <w:rFonts w:eastAsiaTheme="minorHAnsi" w:cstheme="minorHAnsi"/>
          <w:i w:val="0"/>
          <w:iCs w:val="0"/>
          <w:color w:val="FF0000"/>
          <w:sz w:val="22"/>
          <w:szCs w:val="22"/>
          <w:shd w:val="clear" w:color="auto" w:fill="FFFFFF"/>
        </w:rPr>
        <w:t>effect size values for dichotomous variables as small (0.2), medium (0.5), or large (0.8). For patient subgroups with more than two categories (age and diagnosis)</w:t>
      </w:r>
      <w:r w:rsidR="003C5CE0" w:rsidRPr="00F32679">
        <w:rPr>
          <w:rStyle w:val="Emphasis"/>
          <w:rFonts w:eastAsiaTheme="minorHAnsi" w:cstheme="minorHAnsi"/>
          <w:i w:val="0"/>
          <w:iCs w:val="0"/>
          <w:color w:val="FF0000"/>
          <w:sz w:val="22"/>
          <w:szCs w:val="22"/>
          <w:shd w:val="clear" w:color="auto" w:fill="FFFFFF"/>
        </w:rPr>
        <w:t>,</w:t>
      </w:r>
      <w:r w:rsidRPr="00F32679">
        <w:rPr>
          <w:rStyle w:val="Emphasis"/>
          <w:rFonts w:eastAsiaTheme="minorHAnsi" w:cstheme="minorHAnsi"/>
          <w:i w:val="0"/>
          <w:iCs w:val="0"/>
          <w:color w:val="FF0000"/>
          <w:sz w:val="22"/>
          <w:szCs w:val="22"/>
          <w:shd w:val="clear" w:color="auto" w:fill="FFFFFF"/>
        </w:rPr>
        <w:t xml:space="preserve"> we computed Eta-squared (ɳ2) effect size to capture the overall difference in the measure rate between groups. </w:t>
      </w:r>
      <w:r w:rsidR="003C5CE0" w:rsidRPr="00F32679">
        <w:rPr>
          <w:rStyle w:val="Emphasis"/>
          <w:rFonts w:eastAsiaTheme="minorHAnsi" w:cstheme="minorHAnsi"/>
          <w:i w:val="0"/>
          <w:iCs w:val="0"/>
          <w:color w:val="FF0000"/>
          <w:sz w:val="22"/>
          <w:szCs w:val="22"/>
          <w:shd w:val="clear" w:color="auto" w:fill="FFFFFF"/>
        </w:rPr>
        <w:t>We categorized c</w:t>
      </w:r>
      <w:r w:rsidRPr="00F32679">
        <w:rPr>
          <w:rStyle w:val="Emphasis"/>
          <w:rFonts w:eastAsiaTheme="minorHAnsi" w:cstheme="minorHAnsi"/>
          <w:i w:val="0"/>
          <w:iCs w:val="0"/>
          <w:color w:val="FF0000"/>
          <w:sz w:val="22"/>
          <w:szCs w:val="22"/>
          <w:shd w:val="clear" w:color="auto" w:fill="FFFFFF"/>
        </w:rPr>
        <w:t>orresponding effect size values as small (0.01), medium (0.06), or large (0.14).</w:t>
      </w:r>
    </w:p>
    <w:p w14:paraId="7741F425" w14:textId="77777777" w:rsidR="00CB6E91" w:rsidRPr="00F32679" w:rsidRDefault="00CB6E91" w:rsidP="00CB6E91">
      <w:pPr>
        <w:autoSpaceDE w:val="0"/>
        <w:autoSpaceDN w:val="0"/>
        <w:adjustRightInd w:val="0"/>
        <w:spacing w:after="0" w:line="240" w:lineRule="auto"/>
        <w:rPr>
          <w:rFonts w:cstheme="minorHAnsi"/>
          <w:bCs/>
          <w:color w:val="FF0000"/>
        </w:rPr>
      </w:pPr>
      <w:r w:rsidRPr="00F32679">
        <w:rPr>
          <w:rFonts w:cstheme="minorHAnsi"/>
          <w:bCs/>
          <w:color w:val="FF0000"/>
        </w:rPr>
        <w:t>References:</w:t>
      </w:r>
    </w:p>
    <w:p w14:paraId="384039C3" w14:textId="30FD0F3D" w:rsidR="00CB6E91" w:rsidRPr="00F32679" w:rsidRDefault="00CB6E91" w:rsidP="00CB6E91">
      <w:pPr>
        <w:pStyle w:val="NormalWeb"/>
        <w:rPr>
          <w:rFonts w:asciiTheme="minorHAnsi" w:eastAsiaTheme="minorEastAsia" w:hAnsiTheme="minorHAnsi" w:cstheme="minorBidi"/>
          <w:color w:val="FF0000"/>
          <w:sz w:val="20"/>
          <w:szCs w:val="20"/>
        </w:rPr>
      </w:pPr>
      <w:r w:rsidRPr="00F32679">
        <w:rPr>
          <w:rFonts w:asciiTheme="minorHAnsi" w:eastAsiaTheme="minorEastAsia" w:hAnsiTheme="minorHAnsi" w:cstheme="minorBidi"/>
          <w:color w:val="FF0000"/>
          <w:sz w:val="20"/>
          <w:szCs w:val="20"/>
        </w:rPr>
        <w:t xml:space="preserve">Chakrabarti, S. (2017). </w:t>
      </w:r>
      <w:r w:rsidR="00A5497E">
        <w:rPr>
          <w:rFonts w:asciiTheme="minorHAnsi" w:eastAsiaTheme="minorEastAsia" w:hAnsiTheme="minorHAnsi" w:cstheme="minorBidi"/>
          <w:color w:val="FF0000"/>
          <w:sz w:val="20"/>
          <w:szCs w:val="20"/>
        </w:rPr>
        <w:t>“</w:t>
      </w:r>
      <w:r w:rsidRPr="00F32679">
        <w:rPr>
          <w:rFonts w:asciiTheme="minorHAnsi" w:eastAsiaTheme="minorEastAsia" w:hAnsiTheme="minorHAnsi" w:cstheme="minorBidi"/>
          <w:color w:val="FF0000"/>
          <w:sz w:val="20"/>
          <w:szCs w:val="20"/>
        </w:rPr>
        <w:t xml:space="preserve">Medication </w:t>
      </w:r>
      <w:r w:rsidR="00A5497E">
        <w:rPr>
          <w:rFonts w:asciiTheme="minorHAnsi" w:eastAsiaTheme="minorEastAsia" w:hAnsiTheme="minorHAnsi" w:cstheme="minorBidi"/>
          <w:color w:val="FF0000"/>
          <w:sz w:val="20"/>
          <w:szCs w:val="20"/>
        </w:rPr>
        <w:t>N</w:t>
      </w:r>
      <w:r w:rsidR="00A5497E" w:rsidRPr="00F32679">
        <w:rPr>
          <w:rFonts w:asciiTheme="minorHAnsi" w:eastAsiaTheme="minorEastAsia" w:hAnsiTheme="minorHAnsi" w:cstheme="minorBidi"/>
          <w:color w:val="FF0000"/>
          <w:sz w:val="20"/>
          <w:szCs w:val="20"/>
        </w:rPr>
        <w:t>on</w:t>
      </w:r>
      <w:r w:rsidRPr="00F32679">
        <w:rPr>
          <w:rFonts w:asciiTheme="minorHAnsi" w:eastAsiaTheme="minorEastAsia" w:hAnsiTheme="minorHAnsi" w:cstheme="minorBidi"/>
          <w:color w:val="FF0000"/>
          <w:sz w:val="20"/>
          <w:szCs w:val="20"/>
        </w:rPr>
        <w:t>-</w:t>
      </w:r>
      <w:r w:rsidR="00A5497E">
        <w:rPr>
          <w:rFonts w:asciiTheme="minorHAnsi" w:eastAsiaTheme="minorEastAsia" w:hAnsiTheme="minorHAnsi" w:cstheme="minorBidi"/>
          <w:color w:val="FF0000"/>
          <w:sz w:val="20"/>
          <w:szCs w:val="20"/>
        </w:rPr>
        <w:t>A</w:t>
      </w:r>
      <w:r w:rsidR="00A5497E" w:rsidRPr="00F32679">
        <w:rPr>
          <w:rFonts w:asciiTheme="minorHAnsi" w:eastAsiaTheme="minorEastAsia" w:hAnsiTheme="minorHAnsi" w:cstheme="minorBidi"/>
          <w:color w:val="FF0000"/>
          <w:sz w:val="20"/>
          <w:szCs w:val="20"/>
        </w:rPr>
        <w:t xml:space="preserve">dherence </w:t>
      </w:r>
      <w:r w:rsidRPr="00F32679">
        <w:rPr>
          <w:rFonts w:asciiTheme="minorHAnsi" w:eastAsiaTheme="minorEastAsia" w:hAnsiTheme="minorHAnsi" w:cstheme="minorBidi"/>
          <w:color w:val="FF0000"/>
          <w:sz w:val="20"/>
          <w:szCs w:val="20"/>
        </w:rPr>
        <w:t xml:space="preserve">in </w:t>
      </w:r>
      <w:r w:rsidR="00A5497E">
        <w:rPr>
          <w:rFonts w:asciiTheme="minorHAnsi" w:eastAsiaTheme="minorEastAsia" w:hAnsiTheme="minorHAnsi" w:cstheme="minorBidi"/>
          <w:color w:val="FF0000"/>
          <w:sz w:val="20"/>
          <w:szCs w:val="20"/>
        </w:rPr>
        <w:t>B</w:t>
      </w:r>
      <w:r w:rsidR="00A5497E" w:rsidRPr="00F32679">
        <w:rPr>
          <w:rFonts w:asciiTheme="minorHAnsi" w:eastAsiaTheme="minorEastAsia" w:hAnsiTheme="minorHAnsi" w:cstheme="minorBidi"/>
          <w:color w:val="FF0000"/>
          <w:sz w:val="20"/>
          <w:szCs w:val="20"/>
        </w:rPr>
        <w:t xml:space="preserve">ipolar </w:t>
      </w:r>
      <w:r w:rsidR="00A5497E">
        <w:rPr>
          <w:rFonts w:asciiTheme="minorHAnsi" w:eastAsiaTheme="minorEastAsia" w:hAnsiTheme="minorHAnsi" w:cstheme="minorBidi"/>
          <w:color w:val="FF0000"/>
          <w:sz w:val="20"/>
          <w:szCs w:val="20"/>
        </w:rPr>
        <w:t>D</w:t>
      </w:r>
      <w:r w:rsidR="00A5497E" w:rsidRPr="00F32679">
        <w:rPr>
          <w:rFonts w:asciiTheme="minorHAnsi" w:eastAsiaTheme="minorEastAsia" w:hAnsiTheme="minorHAnsi" w:cstheme="minorBidi"/>
          <w:color w:val="FF0000"/>
          <w:sz w:val="20"/>
          <w:szCs w:val="20"/>
        </w:rPr>
        <w:t>isorder</w:t>
      </w:r>
      <w:r w:rsidRPr="00F32679">
        <w:rPr>
          <w:rFonts w:asciiTheme="minorHAnsi" w:eastAsiaTheme="minorEastAsia" w:hAnsiTheme="minorHAnsi" w:cstheme="minorBidi"/>
          <w:color w:val="FF0000"/>
          <w:sz w:val="20"/>
          <w:szCs w:val="20"/>
        </w:rPr>
        <w:t xml:space="preserve">: Review of </w:t>
      </w:r>
      <w:r w:rsidR="00A5497E">
        <w:rPr>
          <w:rFonts w:asciiTheme="minorHAnsi" w:eastAsiaTheme="minorEastAsia" w:hAnsiTheme="minorHAnsi" w:cstheme="minorBidi"/>
          <w:color w:val="FF0000"/>
          <w:sz w:val="20"/>
          <w:szCs w:val="20"/>
        </w:rPr>
        <w:t>R</w:t>
      </w:r>
      <w:r w:rsidR="00A5497E" w:rsidRPr="00F32679">
        <w:rPr>
          <w:rFonts w:asciiTheme="minorHAnsi" w:eastAsiaTheme="minorEastAsia" w:hAnsiTheme="minorHAnsi" w:cstheme="minorBidi"/>
          <w:color w:val="FF0000"/>
          <w:sz w:val="20"/>
          <w:szCs w:val="20"/>
        </w:rPr>
        <w:t>ates</w:t>
      </w:r>
      <w:r w:rsidRPr="00F32679">
        <w:rPr>
          <w:rFonts w:asciiTheme="minorHAnsi" w:eastAsiaTheme="minorEastAsia" w:hAnsiTheme="minorHAnsi" w:cstheme="minorBidi"/>
          <w:color w:val="FF0000"/>
          <w:sz w:val="20"/>
          <w:szCs w:val="20"/>
        </w:rPr>
        <w:t xml:space="preserve">, </w:t>
      </w:r>
      <w:r w:rsidR="00A5497E">
        <w:rPr>
          <w:rFonts w:asciiTheme="minorHAnsi" w:eastAsiaTheme="minorEastAsia" w:hAnsiTheme="minorHAnsi" w:cstheme="minorBidi"/>
          <w:color w:val="FF0000"/>
          <w:sz w:val="20"/>
          <w:szCs w:val="20"/>
        </w:rPr>
        <w:t>D</w:t>
      </w:r>
      <w:r w:rsidR="00A5497E" w:rsidRPr="00F32679">
        <w:rPr>
          <w:rFonts w:asciiTheme="minorHAnsi" w:eastAsiaTheme="minorEastAsia" w:hAnsiTheme="minorHAnsi" w:cstheme="minorBidi"/>
          <w:color w:val="FF0000"/>
          <w:sz w:val="20"/>
          <w:szCs w:val="20"/>
        </w:rPr>
        <w:t xml:space="preserve">emographic </w:t>
      </w:r>
      <w:r w:rsidRPr="00F32679">
        <w:rPr>
          <w:rFonts w:asciiTheme="minorHAnsi" w:eastAsiaTheme="minorEastAsia" w:hAnsiTheme="minorHAnsi" w:cstheme="minorBidi"/>
          <w:color w:val="FF0000"/>
          <w:sz w:val="20"/>
          <w:szCs w:val="20"/>
        </w:rPr>
        <w:t xml:space="preserve">and </w:t>
      </w:r>
      <w:r w:rsidR="00A5497E">
        <w:rPr>
          <w:rFonts w:asciiTheme="minorHAnsi" w:eastAsiaTheme="minorEastAsia" w:hAnsiTheme="minorHAnsi" w:cstheme="minorBidi"/>
          <w:color w:val="FF0000"/>
          <w:sz w:val="20"/>
          <w:szCs w:val="20"/>
        </w:rPr>
        <w:t>C</w:t>
      </w:r>
      <w:r w:rsidRPr="00F32679">
        <w:rPr>
          <w:rFonts w:asciiTheme="minorHAnsi" w:eastAsiaTheme="minorEastAsia" w:hAnsiTheme="minorHAnsi" w:cstheme="minorBidi"/>
          <w:color w:val="FF0000"/>
          <w:sz w:val="20"/>
          <w:szCs w:val="20"/>
        </w:rPr>
        <w:t xml:space="preserve">linical </w:t>
      </w:r>
      <w:r w:rsidR="00A5497E">
        <w:rPr>
          <w:rFonts w:asciiTheme="minorHAnsi" w:eastAsiaTheme="minorEastAsia" w:hAnsiTheme="minorHAnsi" w:cstheme="minorBidi"/>
          <w:color w:val="FF0000"/>
          <w:sz w:val="20"/>
          <w:szCs w:val="20"/>
        </w:rPr>
        <w:t>P</w:t>
      </w:r>
      <w:r w:rsidR="00A5497E" w:rsidRPr="00F32679">
        <w:rPr>
          <w:rFonts w:asciiTheme="minorHAnsi" w:eastAsiaTheme="minorEastAsia" w:hAnsiTheme="minorHAnsi" w:cstheme="minorBidi"/>
          <w:color w:val="FF0000"/>
          <w:sz w:val="20"/>
          <w:szCs w:val="20"/>
        </w:rPr>
        <w:t>redictors</w:t>
      </w:r>
      <w:r w:rsidRPr="00F32679">
        <w:rPr>
          <w:rFonts w:asciiTheme="minorHAnsi" w:eastAsiaTheme="minorEastAsia" w:hAnsiTheme="minorHAnsi" w:cstheme="minorBidi"/>
          <w:color w:val="FF0000"/>
          <w:sz w:val="20"/>
          <w:szCs w:val="20"/>
        </w:rPr>
        <w:t>.</w:t>
      </w:r>
      <w:r w:rsidR="00A5497E">
        <w:rPr>
          <w:rFonts w:asciiTheme="minorHAnsi" w:eastAsiaTheme="minorEastAsia" w:hAnsiTheme="minorHAnsi" w:cstheme="minorBidi"/>
          <w:color w:val="FF0000"/>
          <w:sz w:val="20"/>
          <w:szCs w:val="20"/>
        </w:rPr>
        <w:t>”</w:t>
      </w:r>
      <w:r w:rsidRPr="00F32679">
        <w:rPr>
          <w:rFonts w:asciiTheme="minorHAnsi" w:eastAsiaTheme="minorEastAsia" w:hAnsiTheme="minorHAnsi" w:cstheme="minorBidi"/>
          <w:color w:val="FF0000"/>
          <w:sz w:val="20"/>
          <w:szCs w:val="20"/>
        </w:rPr>
        <w:t xml:space="preserve"> </w:t>
      </w:r>
      <w:r w:rsidR="00A5497E">
        <w:rPr>
          <w:rFonts w:asciiTheme="minorHAnsi" w:eastAsiaTheme="minorEastAsia" w:hAnsiTheme="minorHAnsi" w:cstheme="minorBidi"/>
          <w:color w:val="FF0000"/>
          <w:sz w:val="20"/>
          <w:szCs w:val="20"/>
        </w:rPr>
        <w:t>Available at</w:t>
      </w:r>
      <w:r w:rsidRPr="00F32679">
        <w:rPr>
          <w:rFonts w:asciiTheme="minorHAnsi" w:eastAsiaTheme="minorEastAsia" w:hAnsiTheme="minorHAnsi" w:cstheme="minorBidi"/>
          <w:color w:val="FF0000"/>
          <w:sz w:val="20"/>
          <w:szCs w:val="20"/>
        </w:rPr>
        <w:t xml:space="preserve"> </w:t>
      </w:r>
      <w:hyperlink r:id="rId13" w:history="1">
        <w:r w:rsidRPr="00F32679">
          <w:rPr>
            <w:rStyle w:val="Hyperlink"/>
            <w:rFonts w:asciiTheme="minorHAnsi" w:eastAsiaTheme="minorEastAsia" w:hAnsiTheme="minorHAnsi" w:cstheme="minorBidi"/>
            <w:color w:val="FF0000"/>
            <w:sz w:val="20"/>
            <w:szCs w:val="20"/>
          </w:rPr>
          <w:t>https://doi.org/10.13105/wjma.v5.i4.103</w:t>
        </w:r>
      </w:hyperlink>
      <w:r w:rsidR="00A5497E">
        <w:rPr>
          <w:rStyle w:val="Hyperlink"/>
          <w:rFonts w:asciiTheme="minorHAnsi" w:eastAsiaTheme="minorEastAsia" w:hAnsiTheme="minorHAnsi" w:cstheme="minorBidi"/>
          <w:color w:val="FF0000"/>
          <w:sz w:val="20"/>
          <w:szCs w:val="20"/>
        </w:rPr>
        <w:t xml:space="preserve">. Accessed </w:t>
      </w:r>
      <w:r w:rsidR="008F288A">
        <w:rPr>
          <w:rStyle w:val="Hyperlink"/>
          <w:rFonts w:asciiTheme="minorHAnsi" w:eastAsiaTheme="minorEastAsia" w:hAnsiTheme="minorHAnsi" w:cstheme="minorBidi"/>
          <w:color w:val="FF0000"/>
          <w:sz w:val="20"/>
          <w:szCs w:val="20"/>
        </w:rPr>
        <w:t>July 1, 2020.</w:t>
      </w:r>
      <w:r w:rsidRPr="00F32679">
        <w:rPr>
          <w:rFonts w:asciiTheme="minorHAnsi" w:eastAsiaTheme="minorEastAsia" w:hAnsiTheme="minorHAnsi" w:cstheme="minorBidi"/>
          <w:color w:val="FF0000"/>
          <w:sz w:val="20"/>
          <w:szCs w:val="20"/>
        </w:rPr>
        <w:t xml:space="preserve"> </w:t>
      </w:r>
    </w:p>
    <w:p w14:paraId="12F4AD4F" w14:textId="13F6C1D7" w:rsidR="00CB6E91" w:rsidRPr="00F32679" w:rsidRDefault="00CB6E91" w:rsidP="00586519">
      <w:pPr>
        <w:rPr>
          <w:color w:val="FF0000"/>
        </w:rPr>
      </w:pPr>
      <w:r w:rsidRPr="00F32679">
        <w:rPr>
          <w:color w:val="FF0000"/>
        </w:rPr>
        <w:t xml:space="preserve">Fleck, D.E., </w:t>
      </w:r>
      <w:r w:rsidR="00A5497E">
        <w:rPr>
          <w:color w:val="FF0000"/>
        </w:rPr>
        <w:t xml:space="preserve">P.E. </w:t>
      </w:r>
      <w:r w:rsidRPr="00F32679">
        <w:rPr>
          <w:color w:val="FF0000"/>
        </w:rPr>
        <w:t xml:space="preserve">Keck, </w:t>
      </w:r>
      <w:r w:rsidR="00A5497E">
        <w:rPr>
          <w:color w:val="FF0000"/>
        </w:rPr>
        <w:t>K.B.</w:t>
      </w:r>
      <w:r w:rsidRPr="00F32679">
        <w:rPr>
          <w:color w:val="FF0000"/>
        </w:rPr>
        <w:t xml:space="preserve"> Corey, </w:t>
      </w:r>
      <w:r w:rsidR="00A5497E">
        <w:rPr>
          <w:color w:val="FF0000"/>
        </w:rPr>
        <w:t>and S.M.</w:t>
      </w:r>
      <w:r w:rsidRPr="00F32679">
        <w:rPr>
          <w:color w:val="FF0000"/>
        </w:rPr>
        <w:t xml:space="preserve"> Strakowski</w:t>
      </w:r>
      <w:r w:rsidR="00A5497E">
        <w:rPr>
          <w:color w:val="FF0000"/>
        </w:rPr>
        <w:t>.</w:t>
      </w:r>
      <w:r w:rsidRPr="00F32679">
        <w:rPr>
          <w:color w:val="FF0000"/>
        </w:rPr>
        <w:t xml:space="preserve"> (2005). </w:t>
      </w:r>
      <w:r w:rsidR="00A5497E">
        <w:rPr>
          <w:color w:val="FF0000"/>
        </w:rPr>
        <w:t>“</w:t>
      </w:r>
      <w:r w:rsidRPr="00F32679">
        <w:rPr>
          <w:color w:val="FF0000"/>
        </w:rPr>
        <w:t xml:space="preserve">Factors Associated With Medication Adherence in African American and White Patients </w:t>
      </w:r>
      <w:r w:rsidR="008F288A">
        <w:rPr>
          <w:color w:val="FF0000"/>
        </w:rPr>
        <w:t>w</w:t>
      </w:r>
      <w:r w:rsidR="008F288A" w:rsidRPr="00F32679">
        <w:rPr>
          <w:color w:val="FF0000"/>
        </w:rPr>
        <w:t xml:space="preserve">ith </w:t>
      </w:r>
      <w:r w:rsidRPr="00F32679">
        <w:rPr>
          <w:color w:val="FF0000"/>
        </w:rPr>
        <w:t>Bipolar Disorder.</w:t>
      </w:r>
      <w:r w:rsidR="00A5497E">
        <w:rPr>
          <w:color w:val="FF0000"/>
        </w:rPr>
        <w:t>”</w:t>
      </w:r>
      <w:r w:rsidR="008F288A">
        <w:rPr>
          <w:i/>
          <w:iCs/>
          <w:color w:val="FF0000"/>
        </w:rPr>
        <w:t xml:space="preserve">Journal of Clinical </w:t>
      </w:r>
      <w:r w:rsidR="008F288A" w:rsidRPr="008F288A">
        <w:rPr>
          <w:i/>
          <w:iCs/>
          <w:color w:val="FF0000"/>
          <w:sz w:val="20"/>
          <w:szCs w:val="20"/>
        </w:rPr>
        <w:t>Psychiatry</w:t>
      </w:r>
      <w:r w:rsidR="008F288A">
        <w:rPr>
          <w:i/>
          <w:iCs/>
          <w:color w:val="FF0000"/>
          <w:sz w:val="20"/>
          <w:szCs w:val="20"/>
        </w:rPr>
        <w:t xml:space="preserve">, </w:t>
      </w:r>
      <w:r w:rsidR="008F288A" w:rsidRPr="00586519">
        <w:rPr>
          <w:color w:val="FF0000"/>
          <w:sz w:val="20"/>
          <w:szCs w:val="20"/>
        </w:rPr>
        <w:t>vol. 66, no. 5, 2006, pp. 646–652.</w:t>
      </w:r>
      <w:r w:rsidR="008F288A">
        <w:rPr>
          <w:i/>
          <w:iCs/>
          <w:color w:val="FF0000"/>
          <w:sz w:val="20"/>
          <w:szCs w:val="20"/>
        </w:rPr>
        <w:t xml:space="preserve"> </w:t>
      </w:r>
      <w:r w:rsidR="00A5497E">
        <w:rPr>
          <w:color w:val="FF0000"/>
        </w:rPr>
        <w:t xml:space="preserve">Available at </w:t>
      </w:r>
      <w:hyperlink r:id="rId14" w:history="1">
        <w:r w:rsidRPr="00F32679">
          <w:rPr>
            <w:rStyle w:val="Hyperlink"/>
            <w:color w:val="FF0000"/>
          </w:rPr>
          <w:t>https://doi.org/10.4088/JCP.v66n0517</w:t>
        </w:r>
      </w:hyperlink>
      <w:r w:rsidR="00A5497E">
        <w:rPr>
          <w:rStyle w:val="Hyperlink"/>
          <w:color w:val="FF0000"/>
        </w:rPr>
        <w:t xml:space="preserve">. Accessed </w:t>
      </w:r>
      <w:r w:rsidR="008F288A">
        <w:rPr>
          <w:rStyle w:val="Hyperlink"/>
          <w:color w:val="FF0000"/>
        </w:rPr>
        <w:t>July 1, 2020.</w:t>
      </w:r>
    </w:p>
    <w:p w14:paraId="2F7130FB" w14:textId="6A68A27D" w:rsidR="00CB6E91" w:rsidRPr="00F32679" w:rsidRDefault="00CB6E91" w:rsidP="00CB6E91">
      <w:pPr>
        <w:pStyle w:val="NormalWeb"/>
        <w:rPr>
          <w:rFonts w:asciiTheme="minorHAnsi" w:eastAsiaTheme="minorEastAsia" w:hAnsiTheme="minorHAnsi" w:cstheme="minorBidi"/>
          <w:color w:val="FF0000"/>
          <w:sz w:val="20"/>
          <w:szCs w:val="20"/>
        </w:rPr>
      </w:pPr>
      <w:r w:rsidRPr="00F32679">
        <w:rPr>
          <w:rFonts w:asciiTheme="minorHAnsi" w:eastAsiaTheme="minorEastAsia" w:hAnsiTheme="minorHAnsi" w:cstheme="minorBidi"/>
          <w:color w:val="FF0000"/>
          <w:sz w:val="20"/>
          <w:szCs w:val="20"/>
        </w:rPr>
        <w:t xml:space="preserve">García, S., </w:t>
      </w:r>
      <w:r w:rsidR="008750E4">
        <w:rPr>
          <w:rFonts w:asciiTheme="minorHAnsi" w:eastAsiaTheme="minorEastAsia" w:hAnsiTheme="minorHAnsi" w:cstheme="minorBidi"/>
          <w:color w:val="FF0000"/>
          <w:sz w:val="20"/>
          <w:szCs w:val="20"/>
        </w:rPr>
        <w:t xml:space="preserve">M. </w:t>
      </w:r>
      <w:r w:rsidRPr="00F32679">
        <w:rPr>
          <w:rFonts w:asciiTheme="minorHAnsi" w:eastAsiaTheme="minorEastAsia" w:hAnsiTheme="minorHAnsi" w:cstheme="minorBidi"/>
          <w:color w:val="FF0000"/>
          <w:sz w:val="20"/>
          <w:szCs w:val="20"/>
        </w:rPr>
        <w:t xml:space="preserve">Martínez-Cengotitabengoa, </w:t>
      </w:r>
      <w:r w:rsidR="008750E4">
        <w:rPr>
          <w:rFonts w:asciiTheme="minorHAnsi" w:eastAsiaTheme="minorEastAsia" w:hAnsiTheme="minorHAnsi" w:cstheme="minorBidi"/>
          <w:color w:val="FF0000"/>
          <w:sz w:val="20"/>
          <w:szCs w:val="20"/>
        </w:rPr>
        <w:t>S.</w:t>
      </w:r>
      <w:r w:rsidRPr="00F32679">
        <w:rPr>
          <w:rFonts w:asciiTheme="minorHAnsi" w:eastAsiaTheme="minorEastAsia" w:hAnsiTheme="minorHAnsi" w:cstheme="minorBidi"/>
          <w:color w:val="FF0000"/>
          <w:sz w:val="20"/>
          <w:szCs w:val="20"/>
        </w:rPr>
        <w:t xml:space="preserve"> López-Zurbano, </w:t>
      </w:r>
      <w:r w:rsidR="008750E4">
        <w:rPr>
          <w:rFonts w:asciiTheme="minorHAnsi" w:eastAsiaTheme="minorEastAsia" w:hAnsiTheme="minorHAnsi" w:cstheme="minorBidi"/>
          <w:color w:val="FF0000"/>
          <w:sz w:val="20"/>
          <w:szCs w:val="20"/>
        </w:rPr>
        <w:t>I.</w:t>
      </w:r>
      <w:r w:rsidRPr="00F32679">
        <w:rPr>
          <w:rFonts w:asciiTheme="minorHAnsi" w:eastAsiaTheme="minorEastAsia" w:hAnsiTheme="minorHAnsi" w:cstheme="minorBidi"/>
          <w:color w:val="FF0000"/>
          <w:sz w:val="20"/>
          <w:szCs w:val="20"/>
        </w:rPr>
        <w:t xml:space="preserve"> Zorrilla</w:t>
      </w:r>
      <w:r w:rsidR="008750E4">
        <w:rPr>
          <w:rFonts w:asciiTheme="minorHAnsi" w:eastAsiaTheme="minorEastAsia" w:hAnsiTheme="minorHAnsi" w:cstheme="minorBidi"/>
          <w:color w:val="FF0000"/>
          <w:sz w:val="20"/>
          <w:szCs w:val="20"/>
        </w:rPr>
        <w:t xml:space="preserve">, P. </w:t>
      </w:r>
      <w:r w:rsidRPr="00F32679">
        <w:rPr>
          <w:rFonts w:asciiTheme="minorHAnsi" w:eastAsiaTheme="minorEastAsia" w:hAnsiTheme="minorHAnsi" w:cstheme="minorBidi"/>
          <w:color w:val="FF0000"/>
          <w:sz w:val="20"/>
          <w:szCs w:val="20"/>
        </w:rPr>
        <w:t xml:space="preserve">López, </w:t>
      </w:r>
      <w:r w:rsidR="008750E4">
        <w:rPr>
          <w:rFonts w:asciiTheme="minorHAnsi" w:eastAsiaTheme="minorEastAsia" w:hAnsiTheme="minorHAnsi" w:cstheme="minorBidi"/>
          <w:color w:val="FF0000"/>
          <w:sz w:val="20"/>
          <w:szCs w:val="20"/>
        </w:rPr>
        <w:t>E.</w:t>
      </w:r>
      <w:r w:rsidRPr="00F32679">
        <w:rPr>
          <w:rFonts w:asciiTheme="minorHAnsi" w:eastAsiaTheme="minorEastAsia" w:hAnsiTheme="minorHAnsi" w:cstheme="minorBidi"/>
          <w:color w:val="FF0000"/>
          <w:sz w:val="20"/>
          <w:szCs w:val="20"/>
        </w:rPr>
        <w:t xml:space="preserve"> Vieta, E., </w:t>
      </w:r>
      <w:r w:rsidR="008750E4">
        <w:rPr>
          <w:rFonts w:asciiTheme="minorHAnsi" w:eastAsiaTheme="minorEastAsia" w:hAnsiTheme="minorHAnsi" w:cstheme="minorBidi"/>
          <w:color w:val="FF0000"/>
          <w:sz w:val="20"/>
          <w:szCs w:val="20"/>
        </w:rPr>
        <w:t xml:space="preserve">and A. </w:t>
      </w:r>
      <w:r w:rsidRPr="00F32679">
        <w:rPr>
          <w:rFonts w:asciiTheme="minorHAnsi" w:eastAsiaTheme="minorEastAsia" w:hAnsiTheme="minorHAnsi" w:cstheme="minorBidi"/>
          <w:color w:val="FF0000"/>
          <w:sz w:val="20"/>
          <w:szCs w:val="20"/>
        </w:rPr>
        <w:t xml:space="preserve">González-Pinto, (2016). </w:t>
      </w:r>
      <w:r w:rsidR="008750E4">
        <w:rPr>
          <w:rFonts w:asciiTheme="minorHAnsi" w:eastAsiaTheme="minorEastAsia" w:hAnsiTheme="minorHAnsi" w:cstheme="minorBidi"/>
          <w:color w:val="FF0000"/>
          <w:sz w:val="20"/>
          <w:szCs w:val="20"/>
        </w:rPr>
        <w:t>“</w:t>
      </w:r>
      <w:r w:rsidRPr="00F32679">
        <w:rPr>
          <w:rFonts w:asciiTheme="minorHAnsi" w:eastAsiaTheme="minorEastAsia" w:hAnsiTheme="minorHAnsi" w:cstheme="minorBidi"/>
          <w:color w:val="FF0000"/>
          <w:sz w:val="20"/>
          <w:szCs w:val="20"/>
        </w:rPr>
        <w:t xml:space="preserve">Adherence to </w:t>
      </w:r>
      <w:r w:rsidR="008750E4" w:rsidRPr="00F32679">
        <w:rPr>
          <w:rFonts w:asciiTheme="minorHAnsi" w:eastAsiaTheme="minorEastAsia" w:hAnsiTheme="minorHAnsi" w:cstheme="minorBidi"/>
          <w:color w:val="FF0000"/>
          <w:sz w:val="20"/>
          <w:szCs w:val="20"/>
        </w:rPr>
        <w:t xml:space="preserve">Antipsychotic Medication </w:t>
      </w:r>
      <w:r w:rsidR="008750E4">
        <w:rPr>
          <w:rFonts w:asciiTheme="minorHAnsi" w:eastAsiaTheme="minorEastAsia" w:hAnsiTheme="minorHAnsi" w:cstheme="minorBidi"/>
          <w:color w:val="FF0000"/>
          <w:sz w:val="20"/>
          <w:szCs w:val="20"/>
        </w:rPr>
        <w:t>in</w:t>
      </w:r>
      <w:r w:rsidR="008750E4" w:rsidRPr="00F32679">
        <w:rPr>
          <w:rFonts w:asciiTheme="minorHAnsi" w:eastAsiaTheme="minorEastAsia" w:hAnsiTheme="minorHAnsi" w:cstheme="minorBidi"/>
          <w:color w:val="FF0000"/>
          <w:sz w:val="20"/>
          <w:szCs w:val="20"/>
        </w:rPr>
        <w:t xml:space="preserve"> Bipolar Disorder And Schizophrenic Patients.</w:t>
      </w:r>
      <w:r w:rsidR="008750E4">
        <w:rPr>
          <w:rFonts w:asciiTheme="minorHAnsi" w:eastAsiaTheme="minorEastAsia" w:hAnsiTheme="minorHAnsi" w:cstheme="minorBidi"/>
          <w:color w:val="FF0000"/>
          <w:sz w:val="20"/>
          <w:szCs w:val="20"/>
        </w:rPr>
        <w:t>”</w:t>
      </w:r>
      <w:r w:rsidRPr="00F32679">
        <w:rPr>
          <w:rFonts w:asciiTheme="minorHAnsi" w:eastAsiaTheme="minorEastAsia" w:hAnsiTheme="minorHAnsi" w:cstheme="minorBidi"/>
          <w:color w:val="FF0000"/>
          <w:sz w:val="20"/>
          <w:szCs w:val="20"/>
        </w:rPr>
        <w:t xml:space="preserve"> </w:t>
      </w:r>
      <w:r w:rsidR="008F288A" w:rsidRPr="00586519">
        <w:rPr>
          <w:rFonts w:asciiTheme="minorHAnsi" w:eastAsiaTheme="minorEastAsia" w:hAnsiTheme="minorHAnsi" w:cstheme="minorBidi"/>
          <w:i/>
          <w:iCs/>
          <w:color w:val="FF0000"/>
          <w:sz w:val="20"/>
          <w:szCs w:val="20"/>
        </w:rPr>
        <w:t>Journal of Clinical Psychopharmacology</w:t>
      </w:r>
      <w:r w:rsidR="008F288A">
        <w:rPr>
          <w:rFonts w:asciiTheme="minorHAnsi" w:eastAsiaTheme="minorEastAsia" w:hAnsiTheme="minorHAnsi" w:cstheme="minorBidi"/>
          <w:color w:val="FF0000"/>
          <w:sz w:val="20"/>
          <w:szCs w:val="20"/>
        </w:rPr>
        <w:t>, vol. 36, no. 4, A</w:t>
      </w:r>
      <w:r w:rsidR="008F288A" w:rsidRPr="008F288A">
        <w:rPr>
          <w:rFonts w:asciiTheme="minorHAnsi" w:eastAsiaTheme="minorEastAsia" w:hAnsiTheme="minorHAnsi" w:cstheme="minorBidi"/>
          <w:color w:val="FF0000"/>
          <w:sz w:val="20"/>
          <w:szCs w:val="20"/>
        </w:rPr>
        <w:t>ugust 2016</w:t>
      </w:r>
      <w:r w:rsidR="008F288A">
        <w:rPr>
          <w:rFonts w:asciiTheme="minorHAnsi" w:eastAsiaTheme="minorEastAsia" w:hAnsiTheme="minorHAnsi" w:cstheme="minorBidi"/>
          <w:color w:val="FF0000"/>
          <w:sz w:val="20"/>
          <w:szCs w:val="20"/>
        </w:rPr>
        <w:t>, p</w:t>
      </w:r>
      <w:r w:rsidR="008F288A" w:rsidRPr="008F288A">
        <w:rPr>
          <w:rFonts w:asciiTheme="minorHAnsi" w:eastAsiaTheme="minorEastAsia" w:hAnsiTheme="minorHAnsi" w:cstheme="minorBidi"/>
          <w:color w:val="FF0000"/>
          <w:sz w:val="20"/>
          <w:szCs w:val="20"/>
        </w:rPr>
        <w:t>p</w:t>
      </w:r>
      <w:r w:rsidR="008F288A">
        <w:rPr>
          <w:rFonts w:asciiTheme="minorHAnsi" w:eastAsiaTheme="minorEastAsia" w:hAnsiTheme="minorHAnsi" w:cstheme="minorBidi"/>
          <w:color w:val="FF0000"/>
          <w:sz w:val="20"/>
          <w:szCs w:val="20"/>
        </w:rPr>
        <w:t>.</w:t>
      </w:r>
      <w:r w:rsidR="008F288A" w:rsidRPr="008F288A">
        <w:rPr>
          <w:rFonts w:asciiTheme="minorHAnsi" w:eastAsiaTheme="minorEastAsia" w:hAnsiTheme="minorHAnsi" w:cstheme="minorBidi"/>
          <w:color w:val="FF0000"/>
          <w:sz w:val="20"/>
          <w:szCs w:val="20"/>
        </w:rPr>
        <w:t xml:space="preserve"> 355</w:t>
      </w:r>
      <w:r w:rsidR="008F288A">
        <w:rPr>
          <w:rFonts w:asciiTheme="minorHAnsi" w:eastAsiaTheme="minorEastAsia" w:hAnsiTheme="minorHAnsi" w:cstheme="minorBidi"/>
          <w:color w:val="FF0000"/>
          <w:sz w:val="20"/>
          <w:szCs w:val="20"/>
        </w:rPr>
        <w:t>–</w:t>
      </w:r>
      <w:r w:rsidR="008F288A" w:rsidRPr="008F288A">
        <w:rPr>
          <w:rFonts w:asciiTheme="minorHAnsi" w:eastAsiaTheme="minorEastAsia" w:hAnsiTheme="minorHAnsi" w:cstheme="minorBidi"/>
          <w:color w:val="FF0000"/>
          <w:sz w:val="20"/>
          <w:szCs w:val="20"/>
        </w:rPr>
        <w:t>371</w:t>
      </w:r>
      <w:r w:rsidR="008F288A">
        <w:rPr>
          <w:rFonts w:asciiTheme="minorHAnsi" w:eastAsiaTheme="minorEastAsia" w:hAnsiTheme="minorHAnsi" w:cstheme="minorBidi"/>
          <w:color w:val="FF0000"/>
          <w:sz w:val="20"/>
          <w:szCs w:val="20"/>
        </w:rPr>
        <w:t xml:space="preserve">. </w:t>
      </w:r>
      <w:r w:rsidR="008750E4">
        <w:rPr>
          <w:rFonts w:asciiTheme="minorHAnsi" w:eastAsiaTheme="minorEastAsia" w:hAnsiTheme="minorHAnsi" w:cstheme="minorBidi"/>
          <w:color w:val="FF0000"/>
          <w:sz w:val="20"/>
          <w:szCs w:val="20"/>
        </w:rPr>
        <w:t>Available at</w:t>
      </w:r>
      <w:r w:rsidRPr="00F32679">
        <w:rPr>
          <w:rFonts w:asciiTheme="minorHAnsi" w:eastAsiaTheme="minorEastAsia" w:hAnsiTheme="minorHAnsi" w:cstheme="minorBidi"/>
          <w:color w:val="FF0000"/>
          <w:sz w:val="20"/>
          <w:szCs w:val="20"/>
        </w:rPr>
        <w:t xml:space="preserve"> </w:t>
      </w:r>
      <w:hyperlink r:id="rId15" w:history="1">
        <w:r w:rsidRPr="00F32679">
          <w:rPr>
            <w:rStyle w:val="Hyperlink"/>
            <w:rFonts w:asciiTheme="minorHAnsi" w:eastAsiaTheme="minorEastAsia" w:hAnsiTheme="minorHAnsi" w:cstheme="minorBidi"/>
            <w:color w:val="FF0000"/>
            <w:sz w:val="20"/>
            <w:szCs w:val="20"/>
          </w:rPr>
          <w:t>https://doi.org/10.1097/JCP.0000000000000523</w:t>
        </w:r>
      </w:hyperlink>
      <w:r w:rsidR="008750E4">
        <w:rPr>
          <w:rStyle w:val="Hyperlink"/>
          <w:rFonts w:asciiTheme="minorHAnsi" w:eastAsiaTheme="minorEastAsia" w:hAnsiTheme="minorHAnsi" w:cstheme="minorBidi"/>
          <w:color w:val="FF0000"/>
          <w:sz w:val="20"/>
          <w:szCs w:val="20"/>
        </w:rPr>
        <w:t xml:space="preserve">. Accessed </w:t>
      </w:r>
      <w:r w:rsidR="008F288A">
        <w:rPr>
          <w:rStyle w:val="Hyperlink"/>
          <w:rFonts w:asciiTheme="minorHAnsi" w:eastAsiaTheme="minorEastAsia" w:hAnsiTheme="minorHAnsi" w:cstheme="minorBidi"/>
          <w:color w:val="FF0000"/>
          <w:sz w:val="20"/>
          <w:szCs w:val="20"/>
        </w:rPr>
        <w:t>July 1, 2020.</w:t>
      </w:r>
    </w:p>
    <w:p w14:paraId="2470CAA0" w14:textId="0725AA4D" w:rsidR="00CB6E91" w:rsidRPr="00F32679" w:rsidRDefault="00CB6E91" w:rsidP="00CB6E91">
      <w:pPr>
        <w:pStyle w:val="CommentText"/>
        <w:rPr>
          <w:color w:val="FF0000"/>
        </w:rPr>
      </w:pPr>
      <w:r w:rsidRPr="00F32679">
        <w:rPr>
          <w:color w:val="FF0000"/>
        </w:rPr>
        <w:t xml:space="preserve">Higashi, K., </w:t>
      </w:r>
      <w:r w:rsidR="008750E4">
        <w:rPr>
          <w:color w:val="FF0000"/>
        </w:rPr>
        <w:t>G.</w:t>
      </w:r>
      <w:r w:rsidRPr="00F32679">
        <w:rPr>
          <w:color w:val="FF0000"/>
        </w:rPr>
        <w:t xml:space="preserve">Medic, </w:t>
      </w:r>
      <w:r w:rsidR="008750E4">
        <w:rPr>
          <w:color w:val="FF0000"/>
        </w:rPr>
        <w:t xml:space="preserve"> K.J.</w:t>
      </w:r>
      <w:r w:rsidRPr="00F32679">
        <w:rPr>
          <w:color w:val="FF0000"/>
        </w:rPr>
        <w:t xml:space="preserve"> Littlewood, </w:t>
      </w:r>
      <w:r w:rsidR="008750E4">
        <w:rPr>
          <w:color w:val="FF0000"/>
        </w:rPr>
        <w:t>T.</w:t>
      </w:r>
      <w:r w:rsidRPr="00F32679">
        <w:rPr>
          <w:color w:val="FF0000"/>
        </w:rPr>
        <w:t xml:space="preserve"> Diez, </w:t>
      </w:r>
      <w:r w:rsidR="008750E4">
        <w:rPr>
          <w:color w:val="FF0000"/>
        </w:rPr>
        <w:t>O.</w:t>
      </w:r>
      <w:r w:rsidRPr="00F32679">
        <w:rPr>
          <w:color w:val="FF0000"/>
        </w:rPr>
        <w:t xml:space="preserve"> Granström, O., </w:t>
      </w:r>
      <w:r w:rsidR="008750E4">
        <w:rPr>
          <w:color w:val="FF0000"/>
        </w:rPr>
        <w:t xml:space="preserve">and M. </w:t>
      </w:r>
      <w:r w:rsidRPr="00F32679">
        <w:rPr>
          <w:color w:val="FF0000"/>
        </w:rPr>
        <w:t xml:space="preserve">de Hert. (2013). Medication </w:t>
      </w:r>
      <w:r w:rsidR="008750E4">
        <w:rPr>
          <w:color w:val="FF0000"/>
        </w:rPr>
        <w:t>A</w:t>
      </w:r>
      <w:r w:rsidR="008750E4" w:rsidRPr="00F32679">
        <w:rPr>
          <w:color w:val="FF0000"/>
        </w:rPr>
        <w:t xml:space="preserve">dherence </w:t>
      </w:r>
      <w:r w:rsidRPr="00F32679">
        <w:rPr>
          <w:color w:val="FF0000"/>
        </w:rPr>
        <w:t xml:space="preserve">in </w:t>
      </w:r>
      <w:r w:rsidR="008750E4">
        <w:rPr>
          <w:color w:val="FF0000"/>
        </w:rPr>
        <w:t>S</w:t>
      </w:r>
      <w:r w:rsidR="008750E4" w:rsidRPr="00F32679">
        <w:rPr>
          <w:color w:val="FF0000"/>
        </w:rPr>
        <w:t>chizophrenia</w:t>
      </w:r>
      <w:r w:rsidRPr="00F32679">
        <w:rPr>
          <w:color w:val="FF0000"/>
        </w:rPr>
        <w:t xml:space="preserve">: Factors </w:t>
      </w:r>
      <w:r w:rsidR="00BB3DF6">
        <w:rPr>
          <w:color w:val="FF0000"/>
        </w:rPr>
        <w:t>I</w:t>
      </w:r>
      <w:r w:rsidR="00BB3DF6" w:rsidRPr="00F32679">
        <w:rPr>
          <w:color w:val="FF0000"/>
        </w:rPr>
        <w:t xml:space="preserve">nfluencing </w:t>
      </w:r>
      <w:r w:rsidR="00BB3DF6">
        <w:rPr>
          <w:color w:val="FF0000"/>
        </w:rPr>
        <w:t>A</w:t>
      </w:r>
      <w:r w:rsidR="00BB3DF6" w:rsidRPr="00F32679">
        <w:rPr>
          <w:color w:val="FF0000"/>
        </w:rPr>
        <w:t xml:space="preserve">dherence </w:t>
      </w:r>
      <w:r w:rsidRPr="00F32679">
        <w:rPr>
          <w:color w:val="FF0000"/>
        </w:rPr>
        <w:t xml:space="preserve">and </w:t>
      </w:r>
      <w:r w:rsidR="00BB3DF6">
        <w:rPr>
          <w:color w:val="FF0000"/>
        </w:rPr>
        <w:t>C</w:t>
      </w:r>
      <w:r w:rsidR="00BB3DF6" w:rsidRPr="00F32679">
        <w:rPr>
          <w:color w:val="FF0000"/>
        </w:rPr>
        <w:t xml:space="preserve">onsequences </w:t>
      </w:r>
      <w:r w:rsidRPr="00F32679">
        <w:rPr>
          <w:color w:val="FF0000"/>
        </w:rPr>
        <w:t xml:space="preserve">of </w:t>
      </w:r>
      <w:r w:rsidR="00BB3DF6">
        <w:rPr>
          <w:color w:val="FF0000"/>
        </w:rPr>
        <w:t>N</w:t>
      </w:r>
      <w:r w:rsidR="00BB3DF6" w:rsidRPr="00F32679">
        <w:rPr>
          <w:color w:val="FF0000"/>
        </w:rPr>
        <w:t>onadherence</w:t>
      </w:r>
      <w:r w:rsidR="00761C78">
        <w:rPr>
          <w:color w:val="FF0000"/>
        </w:rPr>
        <w:t>:</w:t>
      </w:r>
      <w:r w:rsidR="00761C78" w:rsidRPr="00F32679">
        <w:rPr>
          <w:color w:val="FF0000"/>
        </w:rPr>
        <w:t xml:space="preserve"> </w:t>
      </w:r>
      <w:r w:rsidR="00761C78">
        <w:rPr>
          <w:color w:val="FF0000"/>
        </w:rPr>
        <w:t>A</w:t>
      </w:r>
      <w:r w:rsidR="00761C78" w:rsidRPr="00F32679">
        <w:rPr>
          <w:color w:val="FF0000"/>
        </w:rPr>
        <w:t xml:space="preserve"> </w:t>
      </w:r>
      <w:r w:rsidR="00761C78">
        <w:rPr>
          <w:color w:val="FF0000"/>
        </w:rPr>
        <w:t>S</w:t>
      </w:r>
      <w:r w:rsidR="00761C78" w:rsidRPr="00F32679">
        <w:rPr>
          <w:color w:val="FF0000"/>
        </w:rPr>
        <w:t xml:space="preserve">ystematic </w:t>
      </w:r>
      <w:r w:rsidR="00761C78">
        <w:rPr>
          <w:color w:val="FF0000"/>
        </w:rPr>
        <w:t>L</w:t>
      </w:r>
      <w:r w:rsidR="00761C78" w:rsidRPr="00F32679">
        <w:rPr>
          <w:color w:val="FF0000"/>
        </w:rPr>
        <w:t xml:space="preserve">iterature </w:t>
      </w:r>
      <w:r w:rsidR="00761C78">
        <w:rPr>
          <w:color w:val="FF0000"/>
        </w:rPr>
        <w:t>R</w:t>
      </w:r>
      <w:r w:rsidR="00761C78" w:rsidRPr="00F32679">
        <w:rPr>
          <w:color w:val="FF0000"/>
        </w:rPr>
        <w:t>eview</w:t>
      </w:r>
      <w:r w:rsidRPr="00F32679">
        <w:rPr>
          <w:color w:val="FF0000"/>
        </w:rPr>
        <w:t>.</w:t>
      </w:r>
      <w:r w:rsidR="00761C78">
        <w:rPr>
          <w:color w:val="FF0000"/>
        </w:rPr>
        <w:t xml:space="preserve"> </w:t>
      </w:r>
      <w:r w:rsidR="00195ABA">
        <w:rPr>
          <w:color w:val="FF0000"/>
        </w:rPr>
        <w:t xml:space="preserve"> </w:t>
      </w:r>
      <w:r w:rsidR="00195ABA" w:rsidRPr="00586519">
        <w:rPr>
          <w:i/>
          <w:iCs/>
          <w:color w:val="FF0000"/>
        </w:rPr>
        <w:t>Therapeutic Advances in Psychopharmacology</w:t>
      </w:r>
      <w:r w:rsidR="00195ABA">
        <w:rPr>
          <w:i/>
          <w:iCs/>
          <w:color w:val="FF0000"/>
        </w:rPr>
        <w:t xml:space="preserve">, </w:t>
      </w:r>
      <w:r w:rsidR="00195ABA">
        <w:rPr>
          <w:color w:val="FF0000"/>
        </w:rPr>
        <w:t>vol.</w:t>
      </w:r>
      <w:r w:rsidR="00195ABA" w:rsidRPr="00586519">
        <w:rPr>
          <w:color w:val="FF0000"/>
        </w:rPr>
        <w:t xml:space="preserve"> 3</w:t>
      </w:r>
      <w:r w:rsidR="00195ABA">
        <w:rPr>
          <w:color w:val="FF0000"/>
        </w:rPr>
        <w:t xml:space="preserve">, no. </w:t>
      </w:r>
      <w:r w:rsidR="00195ABA" w:rsidRPr="00586519">
        <w:rPr>
          <w:color w:val="FF0000"/>
        </w:rPr>
        <w:t xml:space="preserve"> 4</w:t>
      </w:r>
      <w:r w:rsidR="00195ABA">
        <w:rPr>
          <w:color w:val="FF0000"/>
        </w:rPr>
        <w:t>, August 2013, pp.</w:t>
      </w:r>
      <w:r w:rsidR="00195ABA" w:rsidRPr="00586519">
        <w:rPr>
          <w:color w:val="FF0000"/>
        </w:rPr>
        <w:t xml:space="preserve"> 200</w:t>
      </w:r>
      <w:r w:rsidR="00195ABA">
        <w:rPr>
          <w:color w:val="FF0000"/>
        </w:rPr>
        <w:t>–</w:t>
      </w:r>
      <w:r w:rsidR="00195ABA" w:rsidRPr="00586519">
        <w:rPr>
          <w:color w:val="FF0000"/>
        </w:rPr>
        <w:t>218</w:t>
      </w:r>
      <w:r w:rsidR="00195ABA">
        <w:rPr>
          <w:color w:val="FF0000"/>
        </w:rPr>
        <w:t xml:space="preserve">. </w:t>
      </w:r>
      <w:r w:rsidR="00761C78">
        <w:rPr>
          <w:color w:val="FF0000"/>
        </w:rPr>
        <w:t>Available at</w:t>
      </w:r>
      <w:r w:rsidRPr="00F32679">
        <w:rPr>
          <w:color w:val="FF0000"/>
        </w:rPr>
        <w:t xml:space="preserve"> </w:t>
      </w:r>
      <w:hyperlink r:id="rId16" w:history="1">
        <w:r w:rsidRPr="00F32679">
          <w:rPr>
            <w:rStyle w:val="Hyperlink"/>
            <w:color w:val="FF0000"/>
          </w:rPr>
          <w:t>https://doi.org/10.1177/2045125312474019</w:t>
        </w:r>
      </w:hyperlink>
      <w:r w:rsidR="00195ABA">
        <w:rPr>
          <w:color w:val="FF0000"/>
        </w:rPr>
        <w:t>. Accessed July 1, 2020.</w:t>
      </w:r>
    </w:p>
    <w:p w14:paraId="161A33DE" w14:textId="2497A4DC" w:rsidR="00CB6E91" w:rsidRPr="00F32679" w:rsidRDefault="00CB6E91" w:rsidP="00CB6E91">
      <w:pPr>
        <w:pStyle w:val="CommentText"/>
        <w:rPr>
          <w:color w:val="FF0000"/>
        </w:rPr>
      </w:pPr>
      <w:r w:rsidRPr="00F32679">
        <w:rPr>
          <w:color w:val="FF0000"/>
        </w:rPr>
        <w:t xml:space="preserve">Jawad, I., </w:t>
      </w:r>
      <w:r w:rsidR="00761C78">
        <w:rPr>
          <w:color w:val="FF0000"/>
        </w:rPr>
        <w:t xml:space="preserve">S. </w:t>
      </w:r>
      <w:r w:rsidRPr="00F32679">
        <w:rPr>
          <w:color w:val="FF0000"/>
        </w:rPr>
        <w:t xml:space="preserve">Watson, </w:t>
      </w:r>
      <w:r w:rsidR="00761C78">
        <w:rPr>
          <w:color w:val="FF0000"/>
        </w:rPr>
        <w:t>P.M.</w:t>
      </w:r>
      <w:r w:rsidRPr="00F32679">
        <w:rPr>
          <w:color w:val="FF0000"/>
        </w:rPr>
        <w:t xml:space="preserve"> Haddad, </w:t>
      </w:r>
      <w:r w:rsidR="00761C78">
        <w:rPr>
          <w:color w:val="FF0000"/>
        </w:rPr>
        <w:t xml:space="preserve">P.S. </w:t>
      </w:r>
      <w:r w:rsidRPr="00F32679">
        <w:rPr>
          <w:color w:val="FF0000"/>
        </w:rPr>
        <w:t xml:space="preserve">Talbot, </w:t>
      </w:r>
      <w:r w:rsidR="00761C78">
        <w:rPr>
          <w:color w:val="FF0000"/>
        </w:rPr>
        <w:t>and R.H.</w:t>
      </w:r>
      <w:r w:rsidR="00761C78" w:rsidRPr="00F32679">
        <w:rPr>
          <w:color w:val="FF0000"/>
        </w:rPr>
        <w:t xml:space="preserve"> </w:t>
      </w:r>
      <w:r w:rsidRPr="00F32679">
        <w:rPr>
          <w:color w:val="FF0000"/>
        </w:rPr>
        <w:t xml:space="preserve">McAllister-Williams. (2018). Medication </w:t>
      </w:r>
      <w:r w:rsidR="00761C78">
        <w:rPr>
          <w:color w:val="FF0000"/>
        </w:rPr>
        <w:t>N</w:t>
      </w:r>
      <w:r w:rsidR="00761C78" w:rsidRPr="00F32679">
        <w:rPr>
          <w:color w:val="FF0000"/>
        </w:rPr>
        <w:t xml:space="preserve">onadherence </w:t>
      </w:r>
      <w:r w:rsidRPr="00F32679">
        <w:rPr>
          <w:color w:val="FF0000"/>
        </w:rPr>
        <w:t xml:space="preserve">in </w:t>
      </w:r>
      <w:r w:rsidR="00761C78">
        <w:rPr>
          <w:color w:val="FF0000"/>
        </w:rPr>
        <w:t>B</w:t>
      </w:r>
      <w:r w:rsidR="00761C78" w:rsidRPr="00F32679">
        <w:rPr>
          <w:color w:val="FF0000"/>
        </w:rPr>
        <w:t xml:space="preserve">ipolar </w:t>
      </w:r>
      <w:r w:rsidR="00946CE0">
        <w:rPr>
          <w:color w:val="FF0000"/>
        </w:rPr>
        <w:t>D</w:t>
      </w:r>
      <w:r w:rsidR="00946CE0" w:rsidRPr="00F32679">
        <w:rPr>
          <w:color w:val="FF0000"/>
        </w:rPr>
        <w:t>isorder</w:t>
      </w:r>
      <w:r w:rsidRPr="00F32679">
        <w:rPr>
          <w:color w:val="FF0000"/>
        </w:rPr>
        <w:t xml:space="preserve">: </w:t>
      </w:r>
      <w:r w:rsidR="00946CE0">
        <w:rPr>
          <w:color w:val="FF0000"/>
        </w:rPr>
        <w:t>A</w:t>
      </w:r>
      <w:r w:rsidR="00946CE0" w:rsidRPr="00F32679">
        <w:rPr>
          <w:color w:val="FF0000"/>
        </w:rPr>
        <w:t xml:space="preserve"> </w:t>
      </w:r>
      <w:r w:rsidR="00946CE0">
        <w:rPr>
          <w:color w:val="FF0000"/>
        </w:rPr>
        <w:t>N</w:t>
      </w:r>
      <w:r w:rsidR="00946CE0" w:rsidRPr="00F32679">
        <w:rPr>
          <w:color w:val="FF0000"/>
        </w:rPr>
        <w:t xml:space="preserve">arrative </w:t>
      </w:r>
      <w:r w:rsidR="00946CE0">
        <w:rPr>
          <w:color w:val="FF0000"/>
        </w:rPr>
        <w:t>R</w:t>
      </w:r>
      <w:r w:rsidR="00946CE0" w:rsidRPr="00F32679">
        <w:rPr>
          <w:color w:val="FF0000"/>
        </w:rPr>
        <w:t>eview</w:t>
      </w:r>
      <w:r w:rsidRPr="00F32679">
        <w:rPr>
          <w:color w:val="FF0000"/>
        </w:rPr>
        <w:t xml:space="preserve">. </w:t>
      </w:r>
      <w:r w:rsidR="00946CE0">
        <w:rPr>
          <w:color w:val="FF0000"/>
        </w:rPr>
        <w:t>Available at</w:t>
      </w:r>
      <w:r w:rsidRPr="00F32679">
        <w:rPr>
          <w:color w:val="FF0000"/>
        </w:rPr>
        <w:t xml:space="preserve"> </w:t>
      </w:r>
      <w:hyperlink r:id="rId17" w:history="1">
        <w:r w:rsidRPr="00F32679">
          <w:rPr>
            <w:rStyle w:val="Hyperlink"/>
            <w:color w:val="FF0000"/>
          </w:rPr>
          <w:t>https://doi.org/10.1177/2045125318804364</w:t>
        </w:r>
      </w:hyperlink>
      <w:r w:rsidR="00946CE0">
        <w:rPr>
          <w:rStyle w:val="Hyperlink"/>
          <w:color w:val="FF0000"/>
        </w:rPr>
        <w:t>. Accessed July 1, 2020.</w:t>
      </w:r>
      <w:r w:rsidRPr="00F32679">
        <w:rPr>
          <w:color w:val="FF0000"/>
        </w:rPr>
        <w:t xml:space="preserve"> </w:t>
      </w:r>
    </w:p>
    <w:p w14:paraId="06449A07" w14:textId="02252C82" w:rsidR="00CB6E91" w:rsidRPr="00F32679" w:rsidRDefault="00CB6E91" w:rsidP="00CB6E91">
      <w:pPr>
        <w:pStyle w:val="NormalWeb"/>
        <w:rPr>
          <w:rFonts w:asciiTheme="minorHAnsi" w:eastAsiaTheme="minorEastAsia" w:hAnsiTheme="minorHAnsi" w:cstheme="minorBidi"/>
          <w:color w:val="FF0000"/>
          <w:sz w:val="20"/>
          <w:szCs w:val="20"/>
        </w:rPr>
      </w:pPr>
      <w:r w:rsidRPr="00F32679">
        <w:rPr>
          <w:rFonts w:asciiTheme="minorHAnsi" w:eastAsiaTheme="minorEastAsia" w:hAnsiTheme="minorHAnsi" w:cstheme="minorBidi"/>
          <w:color w:val="FF0000"/>
          <w:sz w:val="20"/>
          <w:szCs w:val="20"/>
        </w:rPr>
        <w:t>Lacasta-tintorer</w:t>
      </w:r>
      <w:r w:rsidR="00946CE0">
        <w:rPr>
          <w:rFonts w:asciiTheme="minorHAnsi" w:eastAsiaTheme="minorEastAsia" w:hAnsiTheme="minorHAnsi" w:cstheme="minorBidi"/>
          <w:color w:val="FF0000"/>
          <w:sz w:val="20"/>
          <w:szCs w:val="20"/>
        </w:rPr>
        <w:t>,</w:t>
      </w:r>
      <w:r w:rsidRPr="00F32679">
        <w:rPr>
          <w:rFonts w:asciiTheme="minorHAnsi" w:eastAsiaTheme="minorEastAsia" w:hAnsiTheme="minorHAnsi" w:cstheme="minorBidi"/>
          <w:color w:val="FF0000"/>
          <w:sz w:val="20"/>
          <w:szCs w:val="20"/>
        </w:rPr>
        <w:t xml:space="preserve"> D</w:t>
      </w:r>
      <w:r w:rsidR="00946CE0">
        <w:rPr>
          <w:rFonts w:asciiTheme="minorHAnsi" w:eastAsiaTheme="minorEastAsia" w:hAnsiTheme="minorHAnsi" w:cstheme="minorBidi"/>
          <w:color w:val="FF0000"/>
          <w:sz w:val="20"/>
          <w:szCs w:val="20"/>
        </w:rPr>
        <w:t>. R.</w:t>
      </w:r>
      <w:r w:rsidRPr="00F32679">
        <w:rPr>
          <w:rFonts w:asciiTheme="minorHAnsi" w:eastAsiaTheme="minorEastAsia" w:hAnsiTheme="minorHAnsi" w:cstheme="minorBidi"/>
          <w:color w:val="FF0000"/>
          <w:sz w:val="20"/>
          <w:szCs w:val="20"/>
        </w:rPr>
        <w:t xml:space="preserve"> García-lecina, </w:t>
      </w:r>
      <w:r w:rsidR="00946CE0">
        <w:rPr>
          <w:rFonts w:asciiTheme="minorHAnsi" w:eastAsiaTheme="minorEastAsia" w:hAnsiTheme="minorHAnsi" w:cstheme="minorBidi"/>
          <w:color w:val="FF0000"/>
          <w:sz w:val="20"/>
          <w:szCs w:val="20"/>
        </w:rPr>
        <w:t xml:space="preserve">D. </w:t>
      </w:r>
      <w:r w:rsidRPr="00F32679">
        <w:rPr>
          <w:rFonts w:asciiTheme="minorHAnsi" w:eastAsiaTheme="minorEastAsia" w:hAnsiTheme="minorHAnsi" w:cstheme="minorBidi"/>
          <w:color w:val="FF0000"/>
          <w:sz w:val="20"/>
          <w:szCs w:val="20"/>
        </w:rPr>
        <w:t xml:space="preserve">Flamarich-zampalo, </w:t>
      </w:r>
      <w:r w:rsidR="00946CE0">
        <w:rPr>
          <w:rFonts w:asciiTheme="minorHAnsi" w:eastAsiaTheme="minorEastAsia" w:hAnsiTheme="minorHAnsi" w:cstheme="minorBidi"/>
          <w:color w:val="FF0000"/>
          <w:sz w:val="20"/>
          <w:szCs w:val="20"/>
        </w:rPr>
        <w:t xml:space="preserve">T. </w:t>
      </w:r>
      <w:r w:rsidRPr="00F32679">
        <w:rPr>
          <w:rFonts w:asciiTheme="minorHAnsi" w:eastAsiaTheme="minorEastAsia" w:hAnsiTheme="minorHAnsi" w:cstheme="minorBidi"/>
          <w:color w:val="FF0000"/>
          <w:sz w:val="20"/>
          <w:szCs w:val="20"/>
        </w:rPr>
        <w:t>Font-canal</w:t>
      </w:r>
      <w:r w:rsidR="00946CE0">
        <w:rPr>
          <w:rFonts w:asciiTheme="minorHAnsi" w:eastAsiaTheme="minorEastAsia" w:hAnsiTheme="minorHAnsi" w:cstheme="minorBidi"/>
          <w:color w:val="FF0000"/>
          <w:sz w:val="20"/>
          <w:szCs w:val="20"/>
        </w:rPr>
        <w:t>, and M.I.F.</w:t>
      </w:r>
      <w:r w:rsidRPr="00F32679">
        <w:rPr>
          <w:rFonts w:asciiTheme="minorHAnsi" w:eastAsiaTheme="minorEastAsia" w:hAnsiTheme="minorHAnsi" w:cstheme="minorBidi"/>
          <w:color w:val="FF0000"/>
          <w:sz w:val="20"/>
          <w:szCs w:val="20"/>
        </w:rPr>
        <w:t xml:space="preserve"> Martín MIF. Do </w:t>
      </w:r>
      <w:r w:rsidR="00946CE0">
        <w:rPr>
          <w:rFonts w:asciiTheme="minorHAnsi" w:eastAsiaTheme="minorEastAsia" w:hAnsiTheme="minorHAnsi" w:cstheme="minorBidi"/>
          <w:color w:val="FF0000"/>
          <w:sz w:val="20"/>
          <w:szCs w:val="20"/>
        </w:rPr>
        <w:t>D</w:t>
      </w:r>
      <w:r w:rsidR="00946CE0" w:rsidRPr="00F32679">
        <w:rPr>
          <w:rFonts w:asciiTheme="minorHAnsi" w:eastAsiaTheme="minorEastAsia" w:hAnsiTheme="minorHAnsi" w:cstheme="minorBidi"/>
          <w:color w:val="FF0000"/>
          <w:sz w:val="20"/>
          <w:szCs w:val="20"/>
        </w:rPr>
        <w:t xml:space="preserve">epressed </w:t>
      </w:r>
      <w:r w:rsidR="00946CE0">
        <w:rPr>
          <w:rFonts w:asciiTheme="minorHAnsi" w:eastAsiaTheme="minorEastAsia" w:hAnsiTheme="minorHAnsi" w:cstheme="minorBidi"/>
          <w:color w:val="FF0000"/>
          <w:sz w:val="20"/>
          <w:szCs w:val="20"/>
        </w:rPr>
        <w:t>P</w:t>
      </w:r>
      <w:r w:rsidR="00946CE0" w:rsidRPr="00F32679">
        <w:rPr>
          <w:rFonts w:asciiTheme="minorHAnsi" w:eastAsiaTheme="minorEastAsia" w:hAnsiTheme="minorHAnsi" w:cstheme="minorBidi"/>
          <w:color w:val="FF0000"/>
          <w:sz w:val="20"/>
          <w:szCs w:val="20"/>
        </w:rPr>
        <w:t xml:space="preserve">atients </w:t>
      </w:r>
      <w:r w:rsidR="00946CE0">
        <w:rPr>
          <w:rFonts w:asciiTheme="minorHAnsi" w:eastAsiaTheme="minorEastAsia" w:hAnsiTheme="minorHAnsi" w:cstheme="minorBidi"/>
          <w:color w:val="FF0000"/>
          <w:sz w:val="20"/>
          <w:szCs w:val="20"/>
        </w:rPr>
        <w:t>C</w:t>
      </w:r>
      <w:r w:rsidR="00946CE0" w:rsidRPr="00F32679">
        <w:rPr>
          <w:rFonts w:asciiTheme="minorHAnsi" w:eastAsiaTheme="minorEastAsia" w:hAnsiTheme="minorHAnsi" w:cstheme="minorBidi"/>
          <w:color w:val="FF0000"/>
          <w:sz w:val="20"/>
          <w:szCs w:val="20"/>
        </w:rPr>
        <w:t xml:space="preserve">omply </w:t>
      </w:r>
      <w:r w:rsidRPr="00F32679">
        <w:rPr>
          <w:rFonts w:asciiTheme="minorHAnsi" w:eastAsiaTheme="minorEastAsia" w:hAnsiTheme="minorHAnsi" w:cstheme="minorBidi"/>
          <w:color w:val="FF0000"/>
          <w:sz w:val="20"/>
          <w:szCs w:val="20"/>
        </w:rPr>
        <w:t xml:space="preserve">with </w:t>
      </w:r>
      <w:r w:rsidR="00946CE0">
        <w:rPr>
          <w:rFonts w:asciiTheme="minorHAnsi" w:eastAsiaTheme="minorEastAsia" w:hAnsiTheme="minorHAnsi" w:cstheme="minorBidi"/>
          <w:color w:val="FF0000"/>
          <w:sz w:val="20"/>
          <w:szCs w:val="20"/>
        </w:rPr>
        <w:t>T</w:t>
      </w:r>
      <w:r w:rsidR="00946CE0" w:rsidRPr="00F32679">
        <w:rPr>
          <w:rFonts w:asciiTheme="minorHAnsi" w:eastAsiaTheme="minorEastAsia" w:hAnsiTheme="minorHAnsi" w:cstheme="minorBidi"/>
          <w:color w:val="FF0000"/>
          <w:sz w:val="20"/>
          <w:szCs w:val="20"/>
        </w:rPr>
        <w:t xml:space="preserve">reatments </w:t>
      </w:r>
      <w:r w:rsidR="00946CE0">
        <w:rPr>
          <w:rFonts w:asciiTheme="minorHAnsi" w:eastAsiaTheme="minorEastAsia" w:hAnsiTheme="minorHAnsi" w:cstheme="minorBidi"/>
          <w:color w:val="FF0000"/>
          <w:sz w:val="20"/>
          <w:szCs w:val="20"/>
        </w:rPr>
        <w:t>P</w:t>
      </w:r>
      <w:r w:rsidR="00946CE0" w:rsidRPr="00F32679">
        <w:rPr>
          <w:rFonts w:asciiTheme="minorHAnsi" w:eastAsiaTheme="minorEastAsia" w:hAnsiTheme="minorHAnsi" w:cstheme="minorBidi"/>
          <w:color w:val="FF0000"/>
          <w:sz w:val="20"/>
          <w:szCs w:val="20"/>
        </w:rPr>
        <w:t>rescribed</w:t>
      </w:r>
      <w:r w:rsidRPr="00F32679">
        <w:rPr>
          <w:rFonts w:asciiTheme="minorHAnsi" w:eastAsiaTheme="minorEastAsia" w:hAnsiTheme="minorHAnsi" w:cstheme="minorBidi"/>
          <w:color w:val="FF0000"/>
          <w:sz w:val="20"/>
          <w:szCs w:val="20"/>
        </w:rPr>
        <w:t xml:space="preserve">? A </w:t>
      </w:r>
      <w:r w:rsidR="00946CE0">
        <w:rPr>
          <w:rFonts w:asciiTheme="minorHAnsi" w:eastAsiaTheme="minorEastAsia" w:hAnsiTheme="minorHAnsi" w:cstheme="minorBidi"/>
          <w:color w:val="FF0000"/>
          <w:sz w:val="20"/>
          <w:szCs w:val="20"/>
        </w:rPr>
        <w:t>C</w:t>
      </w:r>
      <w:r w:rsidR="00946CE0" w:rsidRPr="00F32679">
        <w:rPr>
          <w:rFonts w:asciiTheme="minorHAnsi" w:eastAsiaTheme="minorEastAsia" w:hAnsiTheme="minorHAnsi" w:cstheme="minorBidi"/>
          <w:color w:val="FF0000"/>
          <w:sz w:val="20"/>
          <w:szCs w:val="20"/>
        </w:rPr>
        <w:t>ross</w:t>
      </w:r>
      <w:r w:rsidRPr="00F32679">
        <w:rPr>
          <w:rFonts w:asciiTheme="minorHAnsi" w:eastAsiaTheme="minorEastAsia" w:hAnsiTheme="minorHAnsi" w:cstheme="minorBidi"/>
          <w:color w:val="FF0000"/>
          <w:sz w:val="20"/>
          <w:szCs w:val="20"/>
        </w:rPr>
        <w:t>-</w:t>
      </w:r>
      <w:r w:rsidR="00946CE0">
        <w:rPr>
          <w:rFonts w:asciiTheme="minorHAnsi" w:eastAsiaTheme="minorEastAsia" w:hAnsiTheme="minorHAnsi" w:cstheme="minorBidi"/>
          <w:color w:val="FF0000"/>
          <w:sz w:val="20"/>
          <w:szCs w:val="20"/>
        </w:rPr>
        <w:t>S</w:t>
      </w:r>
      <w:r w:rsidR="00946CE0" w:rsidRPr="00F32679">
        <w:rPr>
          <w:rFonts w:asciiTheme="minorHAnsi" w:eastAsiaTheme="minorEastAsia" w:hAnsiTheme="minorHAnsi" w:cstheme="minorBidi"/>
          <w:color w:val="FF0000"/>
          <w:sz w:val="20"/>
          <w:szCs w:val="20"/>
        </w:rPr>
        <w:t xml:space="preserve">ectional </w:t>
      </w:r>
      <w:r w:rsidR="00946CE0">
        <w:rPr>
          <w:rFonts w:asciiTheme="minorHAnsi" w:eastAsiaTheme="minorEastAsia" w:hAnsiTheme="minorHAnsi" w:cstheme="minorBidi"/>
          <w:color w:val="FF0000"/>
          <w:sz w:val="20"/>
          <w:szCs w:val="20"/>
        </w:rPr>
        <w:t>S</w:t>
      </w:r>
      <w:r w:rsidR="00946CE0" w:rsidRPr="00F32679">
        <w:rPr>
          <w:rFonts w:asciiTheme="minorHAnsi" w:eastAsiaTheme="minorEastAsia" w:hAnsiTheme="minorHAnsi" w:cstheme="minorBidi"/>
          <w:color w:val="FF0000"/>
          <w:sz w:val="20"/>
          <w:szCs w:val="20"/>
        </w:rPr>
        <w:t xml:space="preserve">tudy </w:t>
      </w:r>
      <w:r w:rsidRPr="00F32679">
        <w:rPr>
          <w:rFonts w:asciiTheme="minorHAnsi" w:eastAsiaTheme="minorEastAsia" w:hAnsiTheme="minorHAnsi" w:cstheme="minorBidi"/>
          <w:color w:val="FF0000"/>
          <w:sz w:val="20"/>
          <w:szCs w:val="20"/>
        </w:rPr>
        <w:t xml:space="preserve">of </w:t>
      </w:r>
      <w:r w:rsidR="00946CE0">
        <w:rPr>
          <w:rFonts w:asciiTheme="minorHAnsi" w:eastAsiaTheme="minorEastAsia" w:hAnsiTheme="minorHAnsi" w:cstheme="minorBidi"/>
          <w:color w:val="FF0000"/>
          <w:sz w:val="20"/>
          <w:szCs w:val="20"/>
        </w:rPr>
        <w:t>A</w:t>
      </w:r>
      <w:r w:rsidR="00946CE0" w:rsidRPr="00F32679">
        <w:rPr>
          <w:rFonts w:asciiTheme="minorHAnsi" w:eastAsiaTheme="minorEastAsia" w:hAnsiTheme="minorHAnsi" w:cstheme="minorBidi"/>
          <w:color w:val="FF0000"/>
          <w:sz w:val="20"/>
          <w:szCs w:val="20"/>
        </w:rPr>
        <w:t xml:space="preserve">dherence </w:t>
      </w:r>
      <w:r w:rsidRPr="00F32679">
        <w:rPr>
          <w:rFonts w:asciiTheme="minorHAnsi" w:eastAsiaTheme="minorEastAsia" w:hAnsiTheme="minorHAnsi" w:cstheme="minorBidi"/>
          <w:color w:val="FF0000"/>
          <w:sz w:val="20"/>
          <w:szCs w:val="20"/>
        </w:rPr>
        <w:t xml:space="preserve">to the </w:t>
      </w:r>
      <w:r w:rsidR="00946CE0">
        <w:rPr>
          <w:rFonts w:asciiTheme="minorHAnsi" w:eastAsiaTheme="minorEastAsia" w:hAnsiTheme="minorHAnsi" w:cstheme="minorBidi"/>
          <w:color w:val="FF0000"/>
          <w:sz w:val="20"/>
          <w:szCs w:val="20"/>
        </w:rPr>
        <w:t>A</w:t>
      </w:r>
      <w:r w:rsidR="00946CE0" w:rsidRPr="00F32679">
        <w:rPr>
          <w:rFonts w:asciiTheme="minorHAnsi" w:eastAsiaTheme="minorEastAsia" w:hAnsiTheme="minorHAnsi" w:cstheme="minorBidi"/>
          <w:color w:val="FF0000"/>
          <w:sz w:val="20"/>
          <w:szCs w:val="20"/>
        </w:rPr>
        <w:t xml:space="preserve">ntidepressant </w:t>
      </w:r>
      <w:r w:rsidR="00946CE0">
        <w:rPr>
          <w:rFonts w:asciiTheme="minorHAnsi" w:eastAsiaTheme="minorEastAsia" w:hAnsiTheme="minorHAnsi" w:cstheme="minorBidi"/>
          <w:color w:val="FF0000"/>
          <w:sz w:val="20"/>
          <w:szCs w:val="20"/>
        </w:rPr>
        <w:t>T</w:t>
      </w:r>
      <w:r w:rsidR="00946CE0" w:rsidRPr="00F32679">
        <w:rPr>
          <w:rFonts w:asciiTheme="minorHAnsi" w:eastAsiaTheme="minorEastAsia" w:hAnsiTheme="minorHAnsi" w:cstheme="minorBidi"/>
          <w:color w:val="FF0000"/>
          <w:sz w:val="20"/>
          <w:szCs w:val="20"/>
        </w:rPr>
        <w:t>reatment</w:t>
      </w:r>
      <w:r w:rsidRPr="00F32679">
        <w:rPr>
          <w:rFonts w:asciiTheme="minorHAnsi" w:eastAsiaTheme="minorEastAsia" w:hAnsiTheme="minorHAnsi" w:cstheme="minorBidi"/>
          <w:color w:val="FF0000"/>
          <w:sz w:val="20"/>
          <w:szCs w:val="20"/>
        </w:rPr>
        <w:t>.</w:t>
      </w:r>
      <w:r w:rsidR="00946CE0">
        <w:rPr>
          <w:rFonts w:asciiTheme="minorHAnsi" w:eastAsiaTheme="minorEastAsia" w:hAnsiTheme="minorHAnsi" w:cstheme="minorBidi"/>
          <w:color w:val="FF0000"/>
          <w:sz w:val="20"/>
          <w:szCs w:val="20"/>
        </w:rPr>
        <w:t>”</w:t>
      </w:r>
      <w:r w:rsidRPr="00F32679">
        <w:rPr>
          <w:rFonts w:asciiTheme="minorHAnsi" w:eastAsiaTheme="minorEastAsia" w:hAnsiTheme="minorHAnsi" w:cstheme="minorBidi"/>
          <w:color w:val="FF0000"/>
          <w:sz w:val="20"/>
          <w:szCs w:val="20"/>
        </w:rPr>
        <w:t xml:space="preserve"> </w:t>
      </w:r>
      <w:r w:rsidRPr="00586519">
        <w:rPr>
          <w:rFonts w:asciiTheme="minorHAnsi" w:eastAsiaTheme="minorEastAsia" w:hAnsiTheme="minorHAnsi" w:cstheme="minorBidi"/>
          <w:i/>
          <w:iCs/>
          <w:color w:val="FF0000"/>
          <w:sz w:val="20"/>
          <w:szCs w:val="20"/>
        </w:rPr>
        <w:t>Actas Esp Psiquiatr</w:t>
      </w:r>
      <w:r w:rsidR="00946CE0">
        <w:rPr>
          <w:rFonts w:asciiTheme="minorHAnsi" w:eastAsiaTheme="minorEastAsia" w:hAnsiTheme="minorHAnsi" w:cstheme="minorBidi"/>
          <w:color w:val="FF0000"/>
          <w:sz w:val="20"/>
          <w:szCs w:val="20"/>
        </w:rPr>
        <w:t>, vol. 39, no. 5,</w:t>
      </w:r>
      <w:r w:rsidRPr="00F32679">
        <w:rPr>
          <w:rFonts w:asciiTheme="minorHAnsi" w:eastAsiaTheme="minorEastAsia" w:hAnsiTheme="minorHAnsi" w:cstheme="minorBidi"/>
          <w:color w:val="FF0000"/>
          <w:sz w:val="20"/>
          <w:szCs w:val="20"/>
        </w:rPr>
        <w:t xml:space="preserve"> 2011</w:t>
      </w:r>
      <w:r w:rsidR="00946CE0">
        <w:rPr>
          <w:rFonts w:asciiTheme="minorHAnsi" w:eastAsiaTheme="minorEastAsia" w:hAnsiTheme="minorHAnsi" w:cstheme="minorBidi"/>
          <w:color w:val="FF0000"/>
          <w:sz w:val="20"/>
          <w:szCs w:val="20"/>
        </w:rPr>
        <w:t xml:space="preserve">, pp. </w:t>
      </w:r>
      <w:r w:rsidRPr="00F32679">
        <w:rPr>
          <w:rFonts w:asciiTheme="minorHAnsi" w:eastAsiaTheme="minorEastAsia" w:hAnsiTheme="minorHAnsi" w:cstheme="minorBidi"/>
          <w:color w:val="FF0000"/>
          <w:sz w:val="20"/>
          <w:szCs w:val="20"/>
        </w:rPr>
        <w:t>288–</w:t>
      </w:r>
      <w:r w:rsidR="00946CE0">
        <w:rPr>
          <w:rFonts w:asciiTheme="minorHAnsi" w:eastAsiaTheme="minorEastAsia" w:hAnsiTheme="minorHAnsi" w:cstheme="minorBidi"/>
          <w:color w:val="FF0000"/>
          <w:sz w:val="20"/>
          <w:szCs w:val="20"/>
        </w:rPr>
        <w:t>2</w:t>
      </w:r>
      <w:r w:rsidRPr="00F32679">
        <w:rPr>
          <w:rFonts w:asciiTheme="minorHAnsi" w:eastAsiaTheme="minorEastAsia" w:hAnsiTheme="minorHAnsi" w:cstheme="minorBidi"/>
          <w:color w:val="FF0000"/>
          <w:sz w:val="20"/>
          <w:szCs w:val="20"/>
        </w:rPr>
        <w:t>93.</w:t>
      </w:r>
    </w:p>
    <w:p w14:paraId="10D5B1DF" w14:textId="5B358711" w:rsidR="00CB6E91" w:rsidRPr="00F32679" w:rsidRDefault="00CB6E91" w:rsidP="00CB6E91">
      <w:pPr>
        <w:rPr>
          <w:color w:val="FF0000"/>
          <w:sz w:val="20"/>
          <w:szCs w:val="20"/>
        </w:rPr>
      </w:pPr>
      <w:r w:rsidRPr="00F32679">
        <w:rPr>
          <w:color w:val="FF0000"/>
          <w:sz w:val="20"/>
          <w:szCs w:val="20"/>
        </w:rPr>
        <w:t xml:space="preserve">Lanouette, N., </w:t>
      </w:r>
      <w:r w:rsidR="00946CE0">
        <w:rPr>
          <w:color w:val="FF0000"/>
          <w:sz w:val="20"/>
          <w:szCs w:val="20"/>
        </w:rPr>
        <w:t>D. v</w:t>
      </w:r>
      <w:r w:rsidRPr="00F32679">
        <w:rPr>
          <w:color w:val="FF0000"/>
          <w:sz w:val="20"/>
          <w:szCs w:val="20"/>
        </w:rPr>
        <w:t xml:space="preserve">Folsom, </w:t>
      </w:r>
      <w:r w:rsidR="00946CE0">
        <w:rPr>
          <w:color w:val="FF0000"/>
          <w:sz w:val="20"/>
          <w:szCs w:val="20"/>
        </w:rPr>
        <w:t>A.</w:t>
      </w:r>
      <w:r w:rsidRPr="00F32679">
        <w:rPr>
          <w:color w:val="FF0000"/>
          <w:sz w:val="20"/>
          <w:szCs w:val="20"/>
        </w:rPr>
        <w:t xml:space="preserve"> Sciolla, A</w:t>
      </w:r>
      <w:r w:rsidR="00946CE0">
        <w:rPr>
          <w:color w:val="FF0000"/>
          <w:sz w:val="20"/>
          <w:szCs w:val="20"/>
        </w:rPr>
        <w:t>., and D.</w:t>
      </w:r>
      <w:r w:rsidRPr="00F32679">
        <w:rPr>
          <w:color w:val="FF0000"/>
          <w:sz w:val="20"/>
          <w:szCs w:val="20"/>
        </w:rPr>
        <w:t xml:space="preserve"> Jeste</w:t>
      </w:r>
      <w:r w:rsidR="00946CE0">
        <w:rPr>
          <w:color w:val="FF0000"/>
          <w:sz w:val="20"/>
          <w:szCs w:val="20"/>
        </w:rPr>
        <w:t>.</w:t>
      </w:r>
      <w:r w:rsidRPr="00F32679">
        <w:rPr>
          <w:color w:val="FF0000"/>
          <w:sz w:val="20"/>
          <w:szCs w:val="20"/>
        </w:rPr>
        <w:t xml:space="preserve">  </w:t>
      </w:r>
      <w:r w:rsidR="00195ABA">
        <w:rPr>
          <w:color w:val="FF0000"/>
          <w:sz w:val="20"/>
          <w:szCs w:val="20"/>
        </w:rPr>
        <w:t>“</w:t>
      </w:r>
      <w:r w:rsidRPr="00F32679">
        <w:rPr>
          <w:color w:val="FF0000"/>
          <w:sz w:val="20"/>
          <w:szCs w:val="20"/>
        </w:rPr>
        <w:t>Psychotropic Medication Nonadherence Among United States Latinos: A Comprehensive Literature Review.</w:t>
      </w:r>
      <w:r w:rsidR="00195ABA">
        <w:rPr>
          <w:color w:val="FF0000"/>
          <w:sz w:val="20"/>
          <w:szCs w:val="20"/>
        </w:rPr>
        <w:t>”</w:t>
      </w:r>
      <w:r w:rsidRPr="00F32679">
        <w:rPr>
          <w:color w:val="FF0000"/>
          <w:sz w:val="20"/>
          <w:szCs w:val="20"/>
        </w:rPr>
        <w:t xml:space="preserve"> </w:t>
      </w:r>
      <w:r w:rsidRPr="00586519">
        <w:rPr>
          <w:i/>
          <w:iCs/>
          <w:color w:val="FF0000"/>
          <w:sz w:val="20"/>
          <w:szCs w:val="20"/>
        </w:rPr>
        <w:t>Psychiatric Services</w:t>
      </w:r>
      <w:r w:rsidRPr="00F32679">
        <w:rPr>
          <w:color w:val="FF0000"/>
          <w:sz w:val="20"/>
          <w:szCs w:val="20"/>
        </w:rPr>
        <w:t xml:space="preserve">, </w:t>
      </w:r>
      <w:r w:rsidR="00195ABA">
        <w:rPr>
          <w:color w:val="FF0000"/>
          <w:sz w:val="20"/>
          <w:szCs w:val="20"/>
        </w:rPr>
        <w:t xml:space="preserve">vol. </w:t>
      </w:r>
      <w:r w:rsidRPr="00F32679">
        <w:rPr>
          <w:color w:val="FF0000"/>
          <w:sz w:val="20"/>
          <w:szCs w:val="20"/>
        </w:rPr>
        <w:t>60</w:t>
      </w:r>
      <w:r w:rsidR="00195ABA">
        <w:rPr>
          <w:color w:val="FF0000"/>
          <w:sz w:val="20"/>
          <w:szCs w:val="20"/>
        </w:rPr>
        <w:t xml:space="preserve">, no. </w:t>
      </w:r>
      <w:r w:rsidRPr="00F32679">
        <w:rPr>
          <w:color w:val="FF0000"/>
          <w:sz w:val="20"/>
          <w:szCs w:val="20"/>
        </w:rPr>
        <w:t xml:space="preserve">2, </w:t>
      </w:r>
      <w:r w:rsidR="00195ABA">
        <w:rPr>
          <w:color w:val="FF0000"/>
          <w:sz w:val="20"/>
          <w:szCs w:val="20"/>
        </w:rPr>
        <w:t xml:space="preserve">2009, pp. </w:t>
      </w:r>
      <w:r w:rsidRPr="00F32679">
        <w:rPr>
          <w:color w:val="FF0000"/>
          <w:sz w:val="20"/>
          <w:szCs w:val="20"/>
        </w:rPr>
        <w:t>157–174.</w:t>
      </w:r>
      <w:r w:rsidR="00946CE0">
        <w:rPr>
          <w:color w:val="FF0000"/>
          <w:sz w:val="20"/>
          <w:szCs w:val="20"/>
        </w:rPr>
        <w:t>Available at</w:t>
      </w:r>
      <w:r w:rsidRPr="00F32679">
        <w:rPr>
          <w:color w:val="FF0000"/>
          <w:sz w:val="20"/>
          <w:szCs w:val="20"/>
        </w:rPr>
        <w:t xml:space="preserve"> </w:t>
      </w:r>
      <w:hyperlink r:id="rId18" w:history="1">
        <w:r w:rsidRPr="00F32679">
          <w:rPr>
            <w:rStyle w:val="Hyperlink"/>
            <w:color w:val="FF0000"/>
            <w:sz w:val="20"/>
            <w:szCs w:val="20"/>
          </w:rPr>
          <w:t>https://doi.org/10.1176/appi.ps.60.2.157</w:t>
        </w:r>
      </w:hyperlink>
      <w:r w:rsidR="00946CE0">
        <w:rPr>
          <w:rStyle w:val="Hyperlink"/>
          <w:color w:val="FF0000"/>
          <w:sz w:val="20"/>
          <w:szCs w:val="20"/>
        </w:rPr>
        <w:t>. Accessed July 1, 2020.</w:t>
      </w:r>
    </w:p>
    <w:p w14:paraId="71157BBF" w14:textId="115236E3" w:rsidR="00CB6E91" w:rsidRPr="00F32679" w:rsidRDefault="00CB6E91" w:rsidP="00CB6E91">
      <w:pPr>
        <w:pStyle w:val="NormalWeb"/>
        <w:rPr>
          <w:rFonts w:asciiTheme="minorHAnsi" w:eastAsiaTheme="minorEastAsia" w:hAnsiTheme="minorHAnsi" w:cstheme="minorBidi"/>
          <w:color w:val="FF0000"/>
          <w:sz w:val="20"/>
          <w:szCs w:val="20"/>
        </w:rPr>
      </w:pPr>
      <w:r w:rsidRPr="00F32679">
        <w:rPr>
          <w:rFonts w:asciiTheme="minorHAnsi" w:eastAsiaTheme="minorEastAsia" w:hAnsiTheme="minorHAnsi" w:cstheme="minorBidi"/>
          <w:color w:val="FF0000"/>
          <w:sz w:val="20"/>
          <w:szCs w:val="20"/>
        </w:rPr>
        <w:t>McCann</w:t>
      </w:r>
      <w:r w:rsidR="00946CE0">
        <w:rPr>
          <w:rFonts w:asciiTheme="minorHAnsi" w:eastAsiaTheme="minorEastAsia" w:hAnsiTheme="minorHAnsi" w:cstheme="minorBidi"/>
          <w:color w:val="FF0000"/>
          <w:sz w:val="20"/>
          <w:szCs w:val="20"/>
        </w:rPr>
        <w:t>,</w:t>
      </w:r>
      <w:r w:rsidRPr="00F32679">
        <w:rPr>
          <w:rFonts w:asciiTheme="minorHAnsi" w:eastAsiaTheme="minorEastAsia" w:hAnsiTheme="minorHAnsi" w:cstheme="minorBidi"/>
          <w:color w:val="FF0000"/>
          <w:sz w:val="20"/>
          <w:szCs w:val="20"/>
        </w:rPr>
        <w:t xml:space="preserve"> T</w:t>
      </w:r>
      <w:r w:rsidR="00946CE0">
        <w:rPr>
          <w:rFonts w:asciiTheme="minorHAnsi" w:eastAsiaTheme="minorEastAsia" w:hAnsiTheme="minorHAnsi" w:cstheme="minorBidi"/>
          <w:color w:val="FF0000"/>
          <w:sz w:val="20"/>
          <w:szCs w:val="20"/>
        </w:rPr>
        <w:t>.</w:t>
      </w:r>
      <w:r w:rsidRPr="00F32679">
        <w:rPr>
          <w:rFonts w:asciiTheme="minorHAnsi" w:eastAsiaTheme="minorEastAsia" w:hAnsiTheme="minorHAnsi" w:cstheme="minorBidi"/>
          <w:color w:val="FF0000"/>
          <w:sz w:val="20"/>
          <w:szCs w:val="20"/>
        </w:rPr>
        <w:t>V</w:t>
      </w:r>
      <w:r w:rsidR="00946CE0">
        <w:rPr>
          <w:rFonts w:asciiTheme="minorHAnsi" w:eastAsiaTheme="minorEastAsia" w:hAnsiTheme="minorHAnsi" w:cstheme="minorBidi"/>
          <w:color w:val="FF0000"/>
          <w:sz w:val="20"/>
          <w:szCs w:val="20"/>
        </w:rPr>
        <w:t>.</w:t>
      </w:r>
      <w:r w:rsidRPr="00F32679">
        <w:rPr>
          <w:rFonts w:asciiTheme="minorHAnsi" w:eastAsiaTheme="minorEastAsia" w:hAnsiTheme="minorHAnsi" w:cstheme="minorBidi"/>
          <w:color w:val="FF0000"/>
          <w:sz w:val="20"/>
          <w:szCs w:val="20"/>
        </w:rPr>
        <w:t xml:space="preserve">, </w:t>
      </w:r>
      <w:r w:rsidR="00946CE0">
        <w:rPr>
          <w:rFonts w:asciiTheme="minorHAnsi" w:eastAsiaTheme="minorEastAsia" w:hAnsiTheme="minorHAnsi" w:cstheme="minorBidi"/>
          <w:color w:val="FF0000"/>
          <w:sz w:val="20"/>
          <w:szCs w:val="20"/>
        </w:rPr>
        <w:t xml:space="preserve">G. </w:t>
      </w:r>
      <w:r w:rsidRPr="00F32679">
        <w:rPr>
          <w:rFonts w:asciiTheme="minorHAnsi" w:eastAsiaTheme="minorEastAsia" w:hAnsiTheme="minorHAnsi" w:cstheme="minorBidi"/>
          <w:color w:val="FF0000"/>
          <w:sz w:val="20"/>
          <w:szCs w:val="20"/>
        </w:rPr>
        <w:t>Boardman</w:t>
      </w:r>
      <w:r w:rsidR="00946CE0">
        <w:rPr>
          <w:rFonts w:asciiTheme="minorHAnsi" w:eastAsiaTheme="minorEastAsia" w:hAnsiTheme="minorHAnsi" w:cstheme="minorBidi"/>
          <w:color w:val="FF0000"/>
          <w:sz w:val="20"/>
          <w:szCs w:val="20"/>
        </w:rPr>
        <w:t xml:space="preserve">, E. </w:t>
      </w:r>
      <w:r w:rsidRPr="00F32679">
        <w:rPr>
          <w:rFonts w:asciiTheme="minorHAnsi" w:eastAsiaTheme="minorEastAsia" w:hAnsiTheme="minorHAnsi" w:cstheme="minorBidi"/>
          <w:color w:val="FF0000"/>
          <w:sz w:val="20"/>
          <w:szCs w:val="20"/>
        </w:rPr>
        <w:t>Clark</w:t>
      </w:r>
      <w:r w:rsidR="00946CE0">
        <w:rPr>
          <w:rFonts w:asciiTheme="minorHAnsi" w:eastAsiaTheme="minorEastAsia" w:hAnsiTheme="minorHAnsi" w:cstheme="minorBidi"/>
          <w:color w:val="FF0000"/>
          <w:sz w:val="20"/>
          <w:szCs w:val="20"/>
        </w:rPr>
        <w:t xml:space="preserve">, and S. </w:t>
      </w:r>
      <w:r w:rsidRPr="00F32679">
        <w:rPr>
          <w:rFonts w:asciiTheme="minorHAnsi" w:eastAsiaTheme="minorEastAsia" w:hAnsiTheme="minorHAnsi" w:cstheme="minorBidi"/>
          <w:color w:val="FF0000"/>
          <w:sz w:val="20"/>
          <w:szCs w:val="20"/>
        </w:rPr>
        <w:t xml:space="preserve">Lu. </w:t>
      </w:r>
      <w:r w:rsidR="00946CE0">
        <w:rPr>
          <w:rFonts w:asciiTheme="minorHAnsi" w:eastAsiaTheme="minorEastAsia" w:hAnsiTheme="minorHAnsi" w:cstheme="minorBidi"/>
          <w:color w:val="FF0000"/>
          <w:sz w:val="20"/>
          <w:szCs w:val="20"/>
        </w:rPr>
        <w:t>“</w:t>
      </w:r>
      <w:r w:rsidRPr="00F32679">
        <w:rPr>
          <w:rFonts w:asciiTheme="minorHAnsi" w:eastAsiaTheme="minorEastAsia" w:hAnsiTheme="minorHAnsi" w:cstheme="minorBidi"/>
          <w:color w:val="FF0000"/>
          <w:sz w:val="20"/>
          <w:szCs w:val="20"/>
        </w:rPr>
        <w:t xml:space="preserve">Risk </w:t>
      </w:r>
      <w:r w:rsidR="00946CE0">
        <w:rPr>
          <w:rFonts w:asciiTheme="minorHAnsi" w:eastAsiaTheme="minorEastAsia" w:hAnsiTheme="minorHAnsi" w:cstheme="minorBidi"/>
          <w:color w:val="FF0000"/>
          <w:sz w:val="20"/>
          <w:szCs w:val="20"/>
        </w:rPr>
        <w:t>P</w:t>
      </w:r>
      <w:r w:rsidR="00946CE0" w:rsidRPr="00F32679">
        <w:rPr>
          <w:rFonts w:asciiTheme="minorHAnsi" w:eastAsiaTheme="minorEastAsia" w:hAnsiTheme="minorHAnsi" w:cstheme="minorBidi"/>
          <w:color w:val="FF0000"/>
          <w:sz w:val="20"/>
          <w:szCs w:val="20"/>
        </w:rPr>
        <w:t xml:space="preserve">rofiles </w:t>
      </w:r>
      <w:r w:rsidRPr="00F32679">
        <w:rPr>
          <w:rFonts w:asciiTheme="minorHAnsi" w:eastAsiaTheme="minorEastAsia" w:hAnsiTheme="minorHAnsi" w:cstheme="minorBidi"/>
          <w:color w:val="FF0000"/>
          <w:sz w:val="20"/>
          <w:szCs w:val="20"/>
        </w:rPr>
        <w:t xml:space="preserve">for </w:t>
      </w:r>
      <w:r w:rsidR="00946CE0">
        <w:rPr>
          <w:rFonts w:asciiTheme="minorHAnsi" w:eastAsiaTheme="minorEastAsia" w:hAnsiTheme="minorHAnsi" w:cstheme="minorBidi"/>
          <w:color w:val="FF0000"/>
          <w:sz w:val="20"/>
          <w:szCs w:val="20"/>
        </w:rPr>
        <w:t>N</w:t>
      </w:r>
      <w:r w:rsidR="00946CE0" w:rsidRPr="00F32679">
        <w:rPr>
          <w:rFonts w:asciiTheme="minorHAnsi" w:eastAsiaTheme="minorEastAsia" w:hAnsiTheme="minorHAnsi" w:cstheme="minorBidi"/>
          <w:color w:val="FF0000"/>
          <w:sz w:val="20"/>
          <w:szCs w:val="20"/>
        </w:rPr>
        <w:t>on</w:t>
      </w:r>
      <w:r w:rsidRPr="00F32679">
        <w:rPr>
          <w:rFonts w:asciiTheme="minorHAnsi" w:eastAsiaTheme="minorEastAsia" w:hAnsiTheme="minorHAnsi" w:cstheme="minorBidi"/>
          <w:color w:val="FF0000"/>
          <w:sz w:val="20"/>
          <w:szCs w:val="20"/>
        </w:rPr>
        <w:t xml:space="preserve">adherence to </w:t>
      </w:r>
      <w:r w:rsidR="00946CE0">
        <w:rPr>
          <w:rFonts w:asciiTheme="minorHAnsi" w:eastAsiaTheme="minorEastAsia" w:hAnsiTheme="minorHAnsi" w:cstheme="minorBidi"/>
          <w:color w:val="FF0000"/>
          <w:sz w:val="20"/>
          <w:szCs w:val="20"/>
        </w:rPr>
        <w:t>A</w:t>
      </w:r>
      <w:r w:rsidR="00946CE0" w:rsidRPr="00F32679">
        <w:rPr>
          <w:rFonts w:asciiTheme="minorHAnsi" w:eastAsiaTheme="minorEastAsia" w:hAnsiTheme="minorHAnsi" w:cstheme="minorBidi"/>
          <w:color w:val="FF0000"/>
          <w:sz w:val="20"/>
          <w:szCs w:val="20"/>
        </w:rPr>
        <w:t xml:space="preserve">ntipsychotic </w:t>
      </w:r>
      <w:r w:rsidR="00946CE0">
        <w:rPr>
          <w:rFonts w:asciiTheme="minorHAnsi" w:eastAsiaTheme="minorEastAsia" w:hAnsiTheme="minorHAnsi" w:cstheme="minorBidi"/>
          <w:color w:val="FF0000"/>
          <w:sz w:val="20"/>
          <w:szCs w:val="20"/>
        </w:rPr>
        <w:t>M</w:t>
      </w:r>
      <w:r w:rsidR="00946CE0" w:rsidRPr="00F32679">
        <w:rPr>
          <w:rFonts w:asciiTheme="minorHAnsi" w:eastAsiaTheme="minorEastAsia" w:hAnsiTheme="minorHAnsi" w:cstheme="minorBidi"/>
          <w:color w:val="FF0000"/>
          <w:sz w:val="20"/>
          <w:szCs w:val="20"/>
        </w:rPr>
        <w:t>edications</w:t>
      </w:r>
      <w:r w:rsidRPr="00F32679">
        <w:rPr>
          <w:rFonts w:asciiTheme="minorHAnsi" w:eastAsiaTheme="minorEastAsia" w:hAnsiTheme="minorHAnsi" w:cstheme="minorBidi"/>
          <w:color w:val="FF0000"/>
          <w:sz w:val="20"/>
          <w:szCs w:val="20"/>
        </w:rPr>
        <w:t>.</w:t>
      </w:r>
      <w:r w:rsidR="00946CE0">
        <w:rPr>
          <w:rFonts w:asciiTheme="minorHAnsi" w:eastAsiaTheme="minorEastAsia" w:hAnsiTheme="minorHAnsi" w:cstheme="minorBidi"/>
          <w:color w:val="FF0000"/>
          <w:sz w:val="20"/>
          <w:szCs w:val="20"/>
        </w:rPr>
        <w:t>”</w:t>
      </w:r>
      <w:r w:rsidRPr="00F32679">
        <w:rPr>
          <w:rFonts w:asciiTheme="minorHAnsi" w:eastAsiaTheme="minorEastAsia" w:hAnsiTheme="minorHAnsi" w:cstheme="minorBidi"/>
          <w:color w:val="FF0000"/>
          <w:sz w:val="20"/>
          <w:szCs w:val="20"/>
        </w:rPr>
        <w:t xml:space="preserve"> </w:t>
      </w:r>
      <w:r w:rsidR="00946CE0">
        <w:rPr>
          <w:rFonts w:asciiTheme="minorHAnsi" w:eastAsiaTheme="minorEastAsia" w:hAnsiTheme="minorHAnsi" w:cstheme="minorBidi"/>
          <w:i/>
          <w:iCs/>
          <w:color w:val="FF0000"/>
          <w:sz w:val="20"/>
          <w:szCs w:val="20"/>
        </w:rPr>
        <w:t>Journal of</w:t>
      </w:r>
      <w:r w:rsidR="00946CE0" w:rsidRPr="00F32679">
        <w:rPr>
          <w:rFonts w:asciiTheme="minorHAnsi" w:eastAsiaTheme="minorEastAsia" w:hAnsiTheme="minorHAnsi" w:cstheme="minorBidi"/>
          <w:color w:val="FF0000"/>
          <w:sz w:val="20"/>
          <w:szCs w:val="20"/>
        </w:rPr>
        <w:t xml:space="preserve"> </w:t>
      </w:r>
      <w:r w:rsidRPr="00586519">
        <w:rPr>
          <w:rFonts w:asciiTheme="minorHAnsi" w:eastAsiaTheme="minorEastAsia" w:hAnsiTheme="minorHAnsi" w:cstheme="minorBidi"/>
          <w:i/>
          <w:iCs/>
          <w:color w:val="FF0000"/>
          <w:sz w:val="20"/>
          <w:szCs w:val="20"/>
        </w:rPr>
        <w:t>Psychiatr</w:t>
      </w:r>
      <w:r w:rsidR="00946CE0">
        <w:rPr>
          <w:rFonts w:asciiTheme="minorHAnsi" w:eastAsiaTheme="minorEastAsia" w:hAnsiTheme="minorHAnsi" w:cstheme="minorBidi"/>
          <w:i/>
          <w:iCs/>
          <w:color w:val="FF0000"/>
          <w:sz w:val="20"/>
          <w:szCs w:val="20"/>
        </w:rPr>
        <w:t xml:space="preserve">ic and </w:t>
      </w:r>
      <w:r w:rsidRPr="00586519">
        <w:rPr>
          <w:rFonts w:asciiTheme="minorHAnsi" w:eastAsiaTheme="minorEastAsia" w:hAnsiTheme="minorHAnsi" w:cstheme="minorBidi"/>
          <w:i/>
          <w:iCs/>
          <w:color w:val="FF0000"/>
          <w:sz w:val="20"/>
          <w:szCs w:val="20"/>
        </w:rPr>
        <w:t xml:space="preserve"> Ment</w:t>
      </w:r>
      <w:r w:rsidR="00946CE0">
        <w:rPr>
          <w:rFonts w:asciiTheme="minorHAnsi" w:eastAsiaTheme="minorEastAsia" w:hAnsiTheme="minorHAnsi" w:cstheme="minorBidi"/>
          <w:i/>
          <w:iCs/>
          <w:color w:val="FF0000"/>
          <w:sz w:val="20"/>
          <w:szCs w:val="20"/>
        </w:rPr>
        <w:t>al</w:t>
      </w:r>
      <w:r w:rsidRPr="00586519">
        <w:rPr>
          <w:rFonts w:asciiTheme="minorHAnsi" w:eastAsiaTheme="minorEastAsia" w:hAnsiTheme="minorHAnsi" w:cstheme="minorBidi"/>
          <w:i/>
          <w:iCs/>
          <w:color w:val="FF0000"/>
          <w:sz w:val="20"/>
          <w:szCs w:val="20"/>
        </w:rPr>
        <w:t xml:space="preserve"> Health Nurs</w:t>
      </w:r>
      <w:r w:rsidR="00946CE0">
        <w:rPr>
          <w:rFonts w:asciiTheme="minorHAnsi" w:eastAsiaTheme="minorEastAsia" w:hAnsiTheme="minorHAnsi" w:cstheme="minorBidi"/>
          <w:i/>
          <w:iCs/>
          <w:color w:val="FF0000"/>
          <w:sz w:val="20"/>
          <w:szCs w:val="20"/>
        </w:rPr>
        <w:t>ing</w:t>
      </w:r>
      <w:r w:rsidR="00946CE0">
        <w:rPr>
          <w:rFonts w:asciiTheme="minorHAnsi" w:eastAsiaTheme="minorEastAsia" w:hAnsiTheme="minorHAnsi" w:cstheme="minorBidi"/>
          <w:color w:val="FF0000"/>
          <w:sz w:val="20"/>
          <w:szCs w:val="20"/>
        </w:rPr>
        <w:t xml:space="preserve">, vol. 15, no. 8, </w:t>
      </w:r>
      <w:r w:rsidRPr="00F32679">
        <w:rPr>
          <w:rFonts w:asciiTheme="minorHAnsi" w:eastAsiaTheme="minorEastAsia" w:hAnsiTheme="minorHAnsi" w:cstheme="minorBidi"/>
          <w:color w:val="FF0000"/>
          <w:sz w:val="20"/>
          <w:szCs w:val="20"/>
        </w:rPr>
        <w:t>2008</w:t>
      </w:r>
      <w:r w:rsidR="00946CE0">
        <w:rPr>
          <w:rFonts w:asciiTheme="minorHAnsi" w:eastAsiaTheme="minorEastAsia" w:hAnsiTheme="minorHAnsi" w:cstheme="minorBidi"/>
          <w:color w:val="FF0000"/>
          <w:sz w:val="20"/>
          <w:szCs w:val="20"/>
        </w:rPr>
        <w:t xml:space="preserve">, pp. </w:t>
      </w:r>
      <w:r w:rsidRPr="00F32679">
        <w:rPr>
          <w:rFonts w:asciiTheme="minorHAnsi" w:eastAsiaTheme="minorEastAsia" w:hAnsiTheme="minorHAnsi" w:cstheme="minorBidi"/>
          <w:color w:val="FF0000"/>
          <w:sz w:val="20"/>
          <w:szCs w:val="20"/>
        </w:rPr>
        <w:t>622–629.</w:t>
      </w:r>
    </w:p>
    <w:p w14:paraId="60393004" w14:textId="5D677E48" w:rsidR="00CB6E91" w:rsidRPr="00F32679" w:rsidRDefault="00CB6E91" w:rsidP="00CB6E91">
      <w:pPr>
        <w:pStyle w:val="NormalWeb"/>
        <w:rPr>
          <w:rFonts w:asciiTheme="minorHAnsi" w:eastAsiaTheme="minorEastAsia" w:hAnsiTheme="minorHAnsi" w:cstheme="minorBidi"/>
          <w:color w:val="FF0000"/>
          <w:sz w:val="20"/>
          <w:szCs w:val="20"/>
        </w:rPr>
      </w:pPr>
      <w:r w:rsidRPr="00F32679">
        <w:rPr>
          <w:rFonts w:asciiTheme="minorHAnsi" w:eastAsiaTheme="minorEastAsia" w:hAnsiTheme="minorHAnsi" w:cstheme="minorBidi"/>
          <w:color w:val="FF0000"/>
          <w:sz w:val="20"/>
          <w:szCs w:val="20"/>
        </w:rPr>
        <w:t xml:space="preserve">Sajatovic, M., </w:t>
      </w:r>
      <w:r w:rsidR="00946CE0">
        <w:rPr>
          <w:rFonts w:asciiTheme="minorHAnsi" w:eastAsiaTheme="minorEastAsia" w:hAnsiTheme="minorHAnsi" w:cstheme="minorBidi"/>
          <w:color w:val="FF0000"/>
          <w:sz w:val="20"/>
          <w:szCs w:val="20"/>
        </w:rPr>
        <w:t xml:space="preserve">O. </w:t>
      </w:r>
      <w:r w:rsidRPr="00F32679">
        <w:rPr>
          <w:rFonts w:asciiTheme="minorHAnsi" w:eastAsiaTheme="minorEastAsia" w:hAnsiTheme="minorHAnsi" w:cstheme="minorBidi"/>
          <w:color w:val="FF0000"/>
          <w:sz w:val="20"/>
          <w:szCs w:val="20"/>
        </w:rPr>
        <w:t xml:space="preserve">Elhaj, </w:t>
      </w:r>
      <w:r w:rsidR="00946CE0">
        <w:rPr>
          <w:rFonts w:asciiTheme="minorHAnsi" w:eastAsiaTheme="minorEastAsia" w:hAnsiTheme="minorHAnsi" w:cstheme="minorBidi"/>
          <w:color w:val="FF0000"/>
          <w:sz w:val="20"/>
          <w:szCs w:val="20"/>
        </w:rPr>
        <w:t xml:space="preserve">E.A. </w:t>
      </w:r>
      <w:r w:rsidRPr="00F32679">
        <w:rPr>
          <w:rFonts w:asciiTheme="minorHAnsi" w:eastAsiaTheme="minorEastAsia" w:hAnsiTheme="minorHAnsi" w:cstheme="minorBidi"/>
          <w:color w:val="FF0000"/>
          <w:sz w:val="20"/>
          <w:szCs w:val="20"/>
        </w:rPr>
        <w:t xml:space="preserve">Youngstrom, </w:t>
      </w:r>
      <w:r w:rsidR="00946CE0">
        <w:rPr>
          <w:rFonts w:asciiTheme="minorHAnsi" w:eastAsiaTheme="minorEastAsia" w:hAnsiTheme="minorHAnsi" w:cstheme="minorBidi"/>
          <w:color w:val="FF0000"/>
          <w:sz w:val="20"/>
          <w:szCs w:val="20"/>
        </w:rPr>
        <w:t xml:space="preserve">S.R. </w:t>
      </w:r>
      <w:r w:rsidRPr="00F32679">
        <w:rPr>
          <w:rFonts w:asciiTheme="minorHAnsi" w:eastAsiaTheme="minorEastAsia" w:hAnsiTheme="minorHAnsi" w:cstheme="minorBidi"/>
          <w:color w:val="FF0000"/>
          <w:sz w:val="20"/>
          <w:szCs w:val="20"/>
        </w:rPr>
        <w:t xml:space="preserve">Bilali, </w:t>
      </w:r>
      <w:r w:rsidR="00946CE0">
        <w:rPr>
          <w:rFonts w:asciiTheme="minorHAnsi" w:eastAsiaTheme="minorEastAsia" w:hAnsiTheme="minorHAnsi" w:cstheme="minorBidi"/>
          <w:color w:val="FF0000"/>
          <w:sz w:val="20"/>
          <w:szCs w:val="20"/>
        </w:rPr>
        <w:t>D.J.</w:t>
      </w:r>
      <w:r w:rsidRPr="00F32679">
        <w:rPr>
          <w:rFonts w:asciiTheme="minorHAnsi" w:eastAsiaTheme="minorEastAsia" w:hAnsiTheme="minorHAnsi" w:cstheme="minorBidi"/>
          <w:color w:val="FF0000"/>
          <w:sz w:val="20"/>
          <w:szCs w:val="20"/>
        </w:rPr>
        <w:t xml:space="preserve"> Rapport, </w:t>
      </w:r>
      <w:r w:rsidR="00FC5630">
        <w:rPr>
          <w:rFonts w:asciiTheme="minorHAnsi" w:eastAsiaTheme="minorEastAsia" w:hAnsiTheme="minorHAnsi" w:cstheme="minorBidi"/>
          <w:color w:val="FF0000"/>
          <w:sz w:val="20"/>
          <w:szCs w:val="20"/>
        </w:rPr>
        <w:t>S.J.</w:t>
      </w:r>
      <w:r w:rsidRPr="00F32679">
        <w:rPr>
          <w:rFonts w:asciiTheme="minorHAnsi" w:eastAsiaTheme="minorEastAsia" w:hAnsiTheme="minorHAnsi" w:cstheme="minorBidi"/>
          <w:color w:val="FF0000"/>
          <w:sz w:val="20"/>
          <w:szCs w:val="20"/>
        </w:rPr>
        <w:t xml:space="preserve"> Ganocy, </w:t>
      </w:r>
      <w:r w:rsidR="00FC5630">
        <w:rPr>
          <w:rFonts w:asciiTheme="minorHAnsi" w:eastAsiaTheme="minorEastAsia" w:hAnsiTheme="minorHAnsi" w:cstheme="minorBidi"/>
          <w:color w:val="FF0000"/>
          <w:sz w:val="20"/>
          <w:szCs w:val="20"/>
        </w:rPr>
        <w:t>and J.R.</w:t>
      </w:r>
      <w:r w:rsidRPr="00F32679">
        <w:rPr>
          <w:rFonts w:asciiTheme="minorHAnsi" w:eastAsiaTheme="minorEastAsia" w:hAnsiTheme="minorHAnsi" w:cstheme="minorBidi"/>
          <w:color w:val="FF0000"/>
          <w:sz w:val="20"/>
          <w:szCs w:val="20"/>
        </w:rPr>
        <w:t xml:space="preserve"> Calabrese. </w:t>
      </w:r>
      <w:r w:rsidR="00FC5630">
        <w:rPr>
          <w:rFonts w:asciiTheme="minorHAnsi" w:eastAsiaTheme="minorEastAsia" w:hAnsiTheme="minorHAnsi" w:cstheme="minorBidi"/>
          <w:color w:val="FF0000"/>
          <w:sz w:val="20"/>
          <w:szCs w:val="20"/>
        </w:rPr>
        <w:t>“</w:t>
      </w:r>
      <w:r w:rsidRPr="00F32679">
        <w:rPr>
          <w:rFonts w:asciiTheme="minorHAnsi" w:eastAsiaTheme="minorEastAsia" w:hAnsiTheme="minorHAnsi" w:cstheme="minorBidi"/>
          <w:color w:val="FF0000"/>
          <w:sz w:val="20"/>
          <w:szCs w:val="20"/>
        </w:rPr>
        <w:t>Treatment Adherence in Individuals With Rapid Cycling Bipolar Disorder.</w:t>
      </w:r>
      <w:r w:rsidR="00FC5630">
        <w:rPr>
          <w:rFonts w:asciiTheme="minorHAnsi" w:eastAsiaTheme="minorEastAsia" w:hAnsiTheme="minorHAnsi" w:cstheme="minorBidi"/>
          <w:color w:val="FF0000"/>
          <w:sz w:val="20"/>
          <w:szCs w:val="20"/>
        </w:rPr>
        <w:t>”</w:t>
      </w:r>
      <w:r w:rsidRPr="00F32679">
        <w:rPr>
          <w:rFonts w:asciiTheme="minorHAnsi" w:eastAsiaTheme="minorEastAsia" w:hAnsiTheme="minorHAnsi" w:cstheme="minorBidi"/>
          <w:color w:val="FF0000"/>
          <w:sz w:val="20"/>
          <w:szCs w:val="20"/>
        </w:rPr>
        <w:t xml:space="preserve"> </w:t>
      </w:r>
      <w:r w:rsidRPr="00586519">
        <w:rPr>
          <w:rFonts w:asciiTheme="minorHAnsi" w:eastAsiaTheme="minorEastAsia" w:hAnsiTheme="minorHAnsi" w:cstheme="minorBidi"/>
          <w:i/>
          <w:iCs/>
          <w:color w:val="FF0000"/>
          <w:sz w:val="20"/>
          <w:szCs w:val="20"/>
        </w:rPr>
        <w:t>Journal of Clinical Psychopharmacology</w:t>
      </w:r>
      <w:r w:rsidRPr="00F32679">
        <w:rPr>
          <w:rFonts w:asciiTheme="minorHAnsi" w:eastAsiaTheme="minorEastAsia" w:hAnsiTheme="minorHAnsi" w:cstheme="minorBidi"/>
          <w:color w:val="FF0000"/>
          <w:sz w:val="20"/>
          <w:szCs w:val="20"/>
        </w:rPr>
        <w:t xml:space="preserve">, </w:t>
      </w:r>
      <w:r w:rsidR="00FC5630">
        <w:rPr>
          <w:rFonts w:asciiTheme="minorHAnsi" w:eastAsiaTheme="minorEastAsia" w:hAnsiTheme="minorHAnsi" w:cstheme="minorBidi"/>
          <w:color w:val="FF0000"/>
          <w:sz w:val="20"/>
          <w:szCs w:val="20"/>
        </w:rPr>
        <w:t xml:space="preserve">vol. </w:t>
      </w:r>
      <w:r w:rsidRPr="00F32679">
        <w:rPr>
          <w:rFonts w:asciiTheme="minorHAnsi" w:eastAsiaTheme="minorEastAsia" w:hAnsiTheme="minorHAnsi" w:cstheme="minorBidi"/>
          <w:color w:val="FF0000"/>
          <w:sz w:val="20"/>
          <w:szCs w:val="20"/>
        </w:rPr>
        <w:t>27</w:t>
      </w:r>
      <w:r w:rsidR="00FC5630">
        <w:rPr>
          <w:rFonts w:asciiTheme="minorHAnsi" w:eastAsiaTheme="minorEastAsia" w:hAnsiTheme="minorHAnsi" w:cstheme="minorBidi"/>
          <w:color w:val="FF0000"/>
          <w:sz w:val="20"/>
          <w:szCs w:val="20"/>
        </w:rPr>
        <w:t xml:space="preserve">, no. </w:t>
      </w:r>
      <w:r w:rsidRPr="00F32679">
        <w:rPr>
          <w:rFonts w:asciiTheme="minorHAnsi" w:eastAsiaTheme="minorEastAsia" w:hAnsiTheme="minorHAnsi" w:cstheme="minorBidi"/>
          <w:color w:val="FF0000"/>
          <w:sz w:val="20"/>
          <w:szCs w:val="20"/>
        </w:rPr>
        <w:t xml:space="preserve">4, </w:t>
      </w:r>
      <w:r w:rsidR="00FC5630">
        <w:rPr>
          <w:rFonts w:asciiTheme="minorHAnsi" w:eastAsiaTheme="minorEastAsia" w:hAnsiTheme="minorHAnsi" w:cstheme="minorBidi"/>
          <w:color w:val="FF0000"/>
          <w:sz w:val="20"/>
          <w:szCs w:val="20"/>
        </w:rPr>
        <w:t xml:space="preserve">2007, pp. </w:t>
      </w:r>
      <w:r w:rsidRPr="00F32679">
        <w:rPr>
          <w:rFonts w:asciiTheme="minorHAnsi" w:eastAsiaTheme="minorEastAsia" w:hAnsiTheme="minorHAnsi" w:cstheme="minorBidi"/>
          <w:color w:val="FF0000"/>
          <w:sz w:val="20"/>
          <w:szCs w:val="20"/>
        </w:rPr>
        <w:t xml:space="preserve">412–414. </w:t>
      </w:r>
    </w:p>
    <w:p w14:paraId="0CF3FD5F" w14:textId="1C92C5BF" w:rsidR="00CB6E91" w:rsidRDefault="00CB6E91" w:rsidP="00CB6E91">
      <w:pPr>
        <w:pStyle w:val="NormalWeb"/>
        <w:rPr>
          <w:rFonts w:asciiTheme="minorHAnsi" w:eastAsiaTheme="minorEastAsia" w:hAnsiTheme="minorHAnsi" w:cstheme="minorBidi"/>
          <w:color w:val="0070C0"/>
          <w:sz w:val="20"/>
          <w:szCs w:val="20"/>
        </w:rPr>
      </w:pPr>
      <w:r w:rsidRPr="00F32679">
        <w:rPr>
          <w:rFonts w:asciiTheme="minorHAnsi" w:eastAsiaTheme="minorEastAsia" w:hAnsiTheme="minorHAnsi" w:cstheme="minorBidi"/>
          <w:color w:val="FF0000"/>
          <w:sz w:val="20"/>
          <w:szCs w:val="20"/>
        </w:rPr>
        <w:lastRenderedPageBreak/>
        <w:t xml:space="preserve">Velligan, D.I., </w:t>
      </w:r>
      <w:r w:rsidR="00FC5630">
        <w:rPr>
          <w:rFonts w:asciiTheme="minorHAnsi" w:eastAsiaTheme="minorEastAsia" w:hAnsiTheme="minorHAnsi" w:cstheme="minorBidi"/>
          <w:color w:val="FF0000"/>
          <w:sz w:val="20"/>
          <w:szCs w:val="20"/>
        </w:rPr>
        <w:t xml:space="preserve">M. </w:t>
      </w:r>
      <w:r w:rsidRPr="00F32679">
        <w:rPr>
          <w:rFonts w:asciiTheme="minorHAnsi" w:eastAsiaTheme="minorEastAsia" w:hAnsiTheme="minorHAnsi" w:cstheme="minorBidi"/>
          <w:color w:val="FF0000"/>
          <w:sz w:val="20"/>
          <w:szCs w:val="20"/>
        </w:rPr>
        <w:t xml:space="preserve">Sajatovic, </w:t>
      </w:r>
      <w:r w:rsidR="00FC5630">
        <w:rPr>
          <w:rFonts w:asciiTheme="minorHAnsi" w:eastAsiaTheme="minorEastAsia" w:hAnsiTheme="minorHAnsi" w:cstheme="minorBidi"/>
          <w:color w:val="FF0000"/>
          <w:sz w:val="20"/>
          <w:szCs w:val="20"/>
        </w:rPr>
        <w:t>A.</w:t>
      </w:r>
      <w:r w:rsidRPr="00F32679">
        <w:rPr>
          <w:rFonts w:asciiTheme="minorHAnsi" w:eastAsiaTheme="minorEastAsia" w:hAnsiTheme="minorHAnsi" w:cstheme="minorBidi"/>
          <w:color w:val="FF0000"/>
          <w:sz w:val="20"/>
          <w:szCs w:val="20"/>
        </w:rPr>
        <w:t xml:space="preserve"> Hatch, </w:t>
      </w:r>
      <w:r w:rsidR="00FC5630">
        <w:rPr>
          <w:rFonts w:asciiTheme="minorHAnsi" w:eastAsiaTheme="minorEastAsia" w:hAnsiTheme="minorHAnsi" w:cstheme="minorBidi"/>
          <w:color w:val="FF0000"/>
          <w:sz w:val="20"/>
          <w:szCs w:val="20"/>
        </w:rPr>
        <w:t>P.</w:t>
      </w:r>
      <w:r w:rsidRPr="00F32679">
        <w:rPr>
          <w:rFonts w:asciiTheme="minorHAnsi" w:eastAsiaTheme="minorEastAsia" w:hAnsiTheme="minorHAnsi" w:cstheme="minorBidi"/>
          <w:color w:val="FF0000"/>
          <w:sz w:val="20"/>
          <w:szCs w:val="20"/>
        </w:rPr>
        <w:t xml:space="preserve"> Kramata, </w:t>
      </w:r>
      <w:r w:rsidR="00FC5630">
        <w:rPr>
          <w:rFonts w:asciiTheme="minorHAnsi" w:eastAsiaTheme="minorEastAsia" w:hAnsiTheme="minorHAnsi" w:cstheme="minorBidi"/>
          <w:color w:val="FF0000"/>
          <w:sz w:val="20"/>
          <w:szCs w:val="20"/>
        </w:rPr>
        <w:t>and J.</w:t>
      </w:r>
      <w:r w:rsidRPr="00F32679">
        <w:rPr>
          <w:rFonts w:asciiTheme="minorHAnsi" w:eastAsiaTheme="minorEastAsia" w:hAnsiTheme="minorHAnsi" w:cstheme="minorBidi"/>
          <w:color w:val="FF0000"/>
          <w:sz w:val="20"/>
          <w:szCs w:val="20"/>
        </w:rPr>
        <w:t xml:space="preserve"> Docherty, (2017). </w:t>
      </w:r>
      <w:r w:rsidR="00FC5630">
        <w:rPr>
          <w:rFonts w:asciiTheme="minorHAnsi" w:eastAsiaTheme="minorEastAsia" w:hAnsiTheme="minorHAnsi" w:cstheme="minorBidi"/>
          <w:color w:val="FF0000"/>
          <w:sz w:val="20"/>
          <w:szCs w:val="20"/>
        </w:rPr>
        <w:t>“</w:t>
      </w:r>
      <w:r w:rsidRPr="00F32679">
        <w:rPr>
          <w:rFonts w:asciiTheme="minorHAnsi" w:eastAsiaTheme="minorEastAsia" w:hAnsiTheme="minorHAnsi" w:cstheme="minorBidi"/>
          <w:color w:val="FF0000"/>
          <w:sz w:val="20"/>
          <w:szCs w:val="20"/>
        </w:rPr>
        <w:t xml:space="preserve">Why do </w:t>
      </w:r>
      <w:r w:rsidR="00FC5630" w:rsidRPr="00F32679">
        <w:rPr>
          <w:rFonts w:asciiTheme="minorHAnsi" w:eastAsiaTheme="minorEastAsia" w:hAnsiTheme="minorHAnsi" w:cstheme="minorBidi"/>
          <w:color w:val="FF0000"/>
          <w:sz w:val="20"/>
          <w:szCs w:val="20"/>
        </w:rPr>
        <w:t xml:space="preserve">Psychiatric Patients Stop Antipsychotic Medication? A Systematic Review </w:t>
      </w:r>
      <w:r w:rsidRPr="00F32679">
        <w:rPr>
          <w:rFonts w:asciiTheme="minorHAnsi" w:eastAsiaTheme="minorEastAsia" w:hAnsiTheme="minorHAnsi" w:cstheme="minorBidi"/>
          <w:color w:val="FF0000"/>
          <w:sz w:val="20"/>
          <w:szCs w:val="20"/>
        </w:rPr>
        <w:t xml:space="preserve">of </w:t>
      </w:r>
      <w:r w:rsidR="00FC5630">
        <w:rPr>
          <w:rFonts w:asciiTheme="minorHAnsi" w:eastAsiaTheme="minorEastAsia" w:hAnsiTheme="minorHAnsi" w:cstheme="minorBidi"/>
          <w:color w:val="FF0000"/>
          <w:sz w:val="20"/>
          <w:szCs w:val="20"/>
        </w:rPr>
        <w:t>R</w:t>
      </w:r>
      <w:r w:rsidR="00FC5630" w:rsidRPr="00F32679">
        <w:rPr>
          <w:rFonts w:asciiTheme="minorHAnsi" w:eastAsiaTheme="minorEastAsia" w:hAnsiTheme="minorHAnsi" w:cstheme="minorBidi"/>
          <w:color w:val="FF0000"/>
          <w:sz w:val="20"/>
          <w:szCs w:val="20"/>
        </w:rPr>
        <w:t xml:space="preserve">easons </w:t>
      </w:r>
      <w:r w:rsidRPr="00F32679">
        <w:rPr>
          <w:rFonts w:asciiTheme="minorHAnsi" w:eastAsiaTheme="minorEastAsia" w:hAnsiTheme="minorHAnsi" w:cstheme="minorBidi"/>
          <w:color w:val="FF0000"/>
          <w:sz w:val="20"/>
          <w:szCs w:val="20"/>
        </w:rPr>
        <w:t xml:space="preserve">for </w:t>
      </w:r>
      <w:r w:rsidR="00FC5630">
        <w:rPr>
          <w:rFonts w:asciiTheme="minorHAnsi" w:eastAsiaTheme="minorEastAsia" w:hAnsiTheme="minorHAnsi" w:cstheme="minorBidi"/>
          <w:color w:val="FF0000"/>
          <w:sz w:val="20"/>
          <w:szCs w:val="20"/>
        </w:rPr>
        <w:t>N</w:t>
      </w:r>
      <w:r w:rsidR="00FC5630" w:rsidRPr="00F32679">
        <w:rPr>
          <w:rFonts w:asciiTheme="minorHAnsi" w:eastAsiaTheme="minorEastAsia" w:hAnsiTheme="minorHAnsi" w:cstheme="minorBidi"/>
          <w:color w:val="FF0000"/>
          <w:sz w:val="20"/>
          <w:szCs w:val="20"/>
        </w:rPr>
        <w:t xml:space="preserve">onadherence </w:t>
      </w:r>
      <w:r w:rsidRPr="00F32679">
        <w:rPr>
          <w:rFonts w:asciiTheme="minorHAnsi" w:eastAsiaTheme="minorEastAsia" w:hAnsiTheme="minorHAnsi" w:cstheme="minorBidi"/>
          <w:color w:val="FF0000"/>
          <w:sz w:val="20"/>
          <w:szCs w:val="20"/>
        </w:rPr>
        <w:t xml:space="preserve">to </w:t>
      </w:r>
      <w:r w:rsidR="00971A0C">
        <w:rPr>
          <w:rFonts w:asciiTheme="minorHAnsi" w:eastAsiaTheme="minorEastAsia" w:hAnsiTheme="minorHAnsi" w:cstheme="minorBidi"/>
          <w:color w:val="FF0000"/>
          <w:sz w:val="20"/>
          <w:szCs w:val="20"/>
        </w:rPr>
        <w:t>M</w:t>
      </w:r>
      <w:r w:rsidR="00FC5630" w:rsidRPr="00F32679">
        <w:rPr>
          <w:rFonts w:asciiTheme="minorHAnsi" w:eastAsiaTheme="minorEastAsia" w:hAnsiTheme="minorHAnsi" w:cstheme="minorBidi"/>
          <w:color w:val="FF0000"/>
          <w:sz w:val="20"/>
          <w:szCs w:val="20"/>
        </w:rPr>
        <w:t xml:space="preserve">edication </w:t>
      </w:r>
      <w:r w:rsidRPr="00F32679">
        <w:rPr>
          <w:rFonts w:asciiTheme="minorHAnsi" w:eastAsiaTheme="minorEastAsia" w:hAnsiTheme="minorHAnsi" w:cstheme="minorBidi"/>
          <w:color w:val="FF0000"/>
          <w:sz w:val="20"/>
          <w:szCs w:val="20"/>
        </w:rPr>
        <w:t xml:space="preserve">in </w:t>
      </w:r>
      <w:r w:rsidR="00FC5630">
        <w:rPr>
          <w:rFonts w:asciiTheme="minorHAnsi" w:eastAsiaTheme="minorEastAsia" w:hAnsiTheme="minorHAnsi" w:cstheme="minorBidi"/>
          <w:color w:val="FF0000"/>
          <w:sz w:val="20"/>
          <w:szCs w:val="20"/>
        </w:rPr>
        <w:t>P</w:t>
      </w:r>
      <w:r w:rsidR="00FC5630" w:rsidRPr="00F32679">
        <w:rPr>
          <w:rFonts w:asciiTheme="minorHAnsi" w:eastAsiaTheme="minorEastAsia" w:hAnsiTheme="minorHAnsi" w:cstheme="minorBidi"/>
          <w:color w:val="FF0000"/>
          <w:sz w:val="20"/>
          <w:szCs w:val="20"/>
        </w:rPr>
        <w:t xml:space="preserve">atients </w:t>
      </w:r>
      <w:r w:rsidRPr="00F32679">
        <w:rPr>
          <w:rFonts w:asciiTheme="minorHAnsi" w:eastAsiaTheme="minorEastAsia" w:hAnsiTheme="minorHAnsi" w:cstheme="minorBidi"/>
          <w:color w:val="FF0000"/>
          <w:sz w:val="20"/>
          <w:szCs w:val="20"/>
        </w:rPr>
        <w:t xml:space="preserve">with </w:t>
      </w:r>
      <w:r w:rsidR="00FC5630" w:rsidRPr="00F32679">
        <w:rPr>
          <w:rFonts w:asciiTheme="minorHAnsi" w:eastAsiaTheme="minorEastAsia" w:hAnsiTheme="minorHAnsi" w:cstheme="minorBidi"/>
          <w:color w:val="FF0000"/>
          <w:sz w:val="20"/>
          <w:szCs w:val="20"/>
        </w:rPr>
        <w:t>Serious Mental Illness</w:t>
      </w:r>
      <w:r w:rsidRPr="00F32679">
        <w:rPr>
          <w:rFonts w:asciiTheme="minorHAnsi" w:eastAsiaTheme="minorEastAsia" w:hAnsiTheme="minorHAnsi" w:cstheme="minorBidi"/>
          <w:color w:val="FF0000"/>
          <w:sz w:val="20"/>
          <w:szCs w:val="20"/>
        </w:rPr>
        <w:t>.</w:t>
      </w:r>
      <w:r w:rsidR="00FC5630">
        <w:rPr>
          <w:rFonts w:asciiTheme="minorHAnsi" w:eastAsiaTheme="minorEastAsia" w:hAnsiTheme="minorHAnsi" w:cstheme="minorBidi"/>
          <w:color w:val="FF0000"/>
          <w:sz w:val="20"/>
          <w:szCs w:val="20"/>
        </w:rPr>
        <w:t>”</w:t>
      </w:r>
      <w:r w:rsidR="00971A0C">
        <w:rPr>
          <w:rFonts w:asciiTheme="minorHAnsi" w:eastAsiaTheme="minorEastAsia" w:hAnsiTheme="minorHAnsi" w:cstheme="minorBidi"/>
          <w:color w:val="FF0000"/>
          <w:sz w:val="20"/>
          <w:szCs w:val="20"/>
        </w:rPr>
        <w:t xml:space="preserve"> </w:t>
      </w:r>
      <w:r w:rsidR="00971A0C" w:rsidRPr="00586519">
        <w:rPr>
          <w:rFonts w:asciiTheme="minorHAnsi" w:eastAsiaTheme="minorEastAsia" w:hAnsiTheme="minorHAnsi" w:cstheme="minorBidi"/>
          <w:i/>
          <w:iCs/>
          <w:color w:val="FF0000"/>
          <w:sz w:val="20"/>
          <w:szCs w:val="20"/>
        </w:rPr>
        <w:t>Patient Preference and Adherence</w:t>
      </w:r>
      <w:r w:rsidR="00971A0C">
        <w:rPr>
          <w:rFonts w:asciiTheme="minorHAnsi" w:eastAsiaTheme="minorEastAsia" w:hAnsiTheme="minorHAnsi" w:cstheme="minorBidi"/>
          <w:color w:val="FF0000"/>
          <w:sz w:val="20"/>
          <w:szCs w:val="20"/>
        </w:rPr>
        <w:t xml:space="preserve">, </w:t>
      </w:r>
      <w:r w:rsidR="00971A0C" w:rsidRPr="00971A0C">
        <w:rPr>
          <w:rFonts w:asciiTheme="minorHAnsi" w:eastAsiaTheme="minorEastAsia" w:hAnsiTheme="minorHAnsi" w:cstheme="minorBidi"/>
          <w:color w:val="FF0000"/>
          <w:sz w:val="20"/>
          <w:szCs w:val="20"/>
        </w:rPr>
        <w:t>Vol</w:t>
      </w:r>
      <w:r w:rsidR="00971A0C">
        <w:rPr>
          <w:rFonts w:asciiTheme="minorHAnsi" w:eastAsiaTheme="minorEastAsia" w:hAnsiTheme="minorHAnsi" w:cstheme="minorBidi"/>
          <w:color w:val="FF0000"/>
          <w:sz w:val="20"/>
          <w:szCs w:val="20"/>
        </w:rPr>
        <w:t>.</w:t>
      </w:r>
      <w:r w:rsidR="00971A0C" w:rsidRPr="00971A0C">
        <w:rPr>
          <w:rFonts w:asciiTheme="minorHAnsi" w:eastAsiaTheme="minorEastAsia" w:hAnsiTheme="minorHAnsi" w:cstheme="minorBidi"/>
          <w:color w:val="FF0000"/>
          <w:sz w:val="20"/>
          <w:szCs w:val="20"/>
        </w:rPr>
        <w:t xml:space="preserve"> 3</w:t>
      </w:r>
      <w:r w:rsidR="00971A0C">
        <w:rPr>
          <w:rFonts w:asciiTheme="minorHAnsi" w:eastAsiaTheme="minorEastAsia" w:hAnsiTheme="minorHAnsi" w:cstheme="minorBidi"/>
          <w:color w:val="FF0000"/>
          <w:sz w:val="20"/>
          <w:szCs w:val="20"/>
        </w:rPr>
        <w:t xml:space="preserve">. no. </w:t>
      </w:r>
      <w:r w:rsidR="00971A0C" w:rsidRPr="00971A0C">
        <w:rPr>
          <w:rFonts w:asciiTheme="minorHAnsi" w:eastAsiaTheme="minorEastAsia" w:hAnsiTheme="minorHAnsi" w:cstheme="minorBidi"/>
          <w:color w:val="FF0000"/>
          <w:sz w:val="20"/>
          <w:szCs w:val="20"/>
        </w:rPr>
        <w:t xml:space="preserve"> 4, </w:t>
      </w:r>
      <w:r w:rsidR="00971A0C">
        <w:rPr>
          <w:rFonts w:asciiTheme="minorHAnsi" w:eastAsiaTheme="minorEastAsia" w:hAnsiTheme="minorHAnsi" w:cstheme="minorBidi"/>
          <w:color w:val="FF0000"/>
          <w:sz w:val="20"/>
          <w:szCs w:val="20"/>
        </w:rPr>
        <w:t>March 2017, pp.</w:t>
      </w:r>
      <w:r w:rsidR="00971A0C" w:rsidRPr="00971A0C">
        <w:rPr>
          <w:rFonts w:asciiTheme="minorHAnsi" w:eastAsiaTheme="minorEastAsia" w:hAnsiTheme="minorHAnsi" w:cstheme="minorBidi"/>
          <w:color w:val="FF0000"/>
          <w:sz w:val="20"/>
          <w:szCs w:val="20"/>
        </w:rPr>
        <w:t xml:space="preserve"> 200-218</w:t>
      </w:r>
      <w:r w:rsidR="00971A0C">
        <w:rPr>
          <w:rFonts w:asciiTheme="minorHAnsi" w:eastAsiaTheme="minorEastAsia" w:hAnsiTheme="minorHAnsi" w:cstheme="minorBidi"/>
          <w:color w:val="FF0000"/>
          <w:sz w:val="20"/>
          <w:szCs w:val="20"/>
        </w:rPr>
        <w:t xml:space="preserve">. </w:t>
      </w:r>
      <w:r w:rsidR="00FC5630">
        <w:rPr>
          <w:rFonts w:asciiTheme="minorHAnsi" w:eastAsiaTheme="minorEastAsia" w:hAnsiTheme="minorHAnsi" w:cstheme="minorBidi"/>
          <w:color w:val="FF0000"/>
          <w:sz w:val="20"/>
          <w:szCs w:val="20"/>
        </w:rPr>
        <w:t>Available at</w:t>
      </w:r>
      <w:r w:rsidRPr="00F32679">
        <w:rPr>
          <w:rFonts w:asciiTheme="minorHAnsi" w:eastAsiaTheme="minorEastAsia" w:hAnsiTheme="minorHAnsi" w:cstheme="minorBidi"/>
          <w:color w:val="FF0000"/>
          <w:sz w:val="20"/>
          <w:szCs w:val="20"/>
        </w:rPr>
        <w:t xml:space="preserve"> </w:t>
      </w:r>
      <w:hyperlink r:id="rId19" w:history="1">
        <w:r w:rsidRPr="00F32679">
          <w:rPr>
            <w:rStyle w:val="Hyperlink"/>
            <w:rFonts w:asciiTheme="minorHAnsi" w:eastAsiaTheme="minorEastAsia" w:hAnsiTheme="minorHAnsi" w:cstheme="minorBidi"/>
            <w:color w:val="FF0000"/>
            <w:sz w:val="20"/>
            <w:szCs w:val="20"/>
          </w:rPr>
          <w:t>https://doi.org/10.2147/PPA.S124658</w:t>
        </w:r>
      </w:hyperlink>
      <w:r w:rsidR="00FC5630">
        <w:rPr>
          <w:rFonts w:asciiTheme="minorHAnsi" w:eastAsiaTheme="minorEastAsia" w:hAnsiTheme="minorHAnsi" w:cstheme="minorBidi"/>
          <w:color w:val="FF0000"/>
          <w:sz w:val="20"/>
          <w:szCs w:val="20"/>
        </w:rPr>
        <w:t>. Accessed July 1, 2020.</w:t>
      </w:r>
    </w:p>
    <w:p w14:paraId="0CABCFDD" w14:textId="43D443CE" w:rsidR="00833325" w:rsidRDefault="00833325" w:rsidP="00DB3627">
      <w:pPr>
        <w:autoSpaceDE w:val="0"/>
        <w:autoSpaceDN w:val="0"/>
        <w:adjustRightInd w:val="0"/>
        <w:spacing w:after="0" w:line="240" w:lineRule="auto"/>
        <w:rPr>
          <w:rFonts w:cstheme="minorHAnsi"/>
          <w:bCs/>
        </w:rPr>
      </w:pPr>
    </w:p>
    <w:p w14:paraId="40E53C5D" w14:textId="77777777" w:rsidR="00D606CC" w:rsidRPr="004A7070" w:rsidRDefault="00D606CC" w:rsidP="00D606CC">
      <w:pPr>
        <w:pStyle w:val="BodyText"/>
        <w:spacing w:before="60"/>
        <w:ind w:left="0"/>
        <w:rPr>
          <w:rFonts w:ascii="Calibri" w:hAnsi="Calibri"/>
          <w:i/>
          <w:iCs/>
          <w:color w:val="0000FF"/>
          <w:sz w:val="22"/>
          <w:szCs w:val="22"/>
        </w:rPr>
      </w:pPr>
      <w:r w:rsidRPr="004A7070">
        <w:rPr>
          <w:rFonts w:ascii="Calibri" w:hAnsi="Calibri"/>
          <w:i/>
          <w:iCs/>
          <w:color w:val="0000FF"/>
          <w:sz w:val="22"/>
          <w:szCs w:val="22"/>
        </w:rPr>
        <w:t xml:space="preserve">Critical </w:t>
      </w:r>
      <w:r>
        <w:rPr>
          <w:rFonts w:ascii="Calibri" w:hAnsi="Calibri"/>
          <w:i/>
          <w:iCs/>
          <w:color w:val="0000FF"/>
          <w:sz w:val="22"/>
          <w:szCs w:val="22"/>
        </w:rPr>
        <w:t>d</w:t>
      </w:r>
      <w:r w:rsidRPr="004A7070">
        <w:rPr>
          <w:rFonts w:ascii="Calibri" w:hAnsi="Calibri"/>
          <w:i/>
          <w:iCs/>
          <w:color w:val="0000FF"/>
          <w:sz w:val="22"/>
          <w:szCs w:val="22"/>
        </w:rPr>
        <w:t>ata elements</w:t>
      </w:r>
    </w:p>
    <w:p w14:paraId="3549A091" w14:textId="77777777" w:rsidR="00D606CC" w:rsidRPr="00F84DA3" w:rsidRDefault="00D606CC" w:rsidP="00D606CC">
      <w:pPr>
        <w:pStyle w:val="BodyText"/>
        <w:spacing w:before="0" w:after="120"/>
        <w:ind w:left="0"/>
        <w:rPr>
          <w:rFonts w:ascii="Calibri" w:hAnsi="Calibri"/>
          <w:color w:val="0000FF"/>
          <w:sz w:val="22"/>
          <w:szCs w:val="22"/>
        </w:rPr>
      </w:pPr>
      <w:r w:rsidRPr="00DE4FE8">
        <w:rPr>
          <w:rFonts w:ascii="Calibri" w:hAnsi="Calibri"/>
          <w:color w:val="0000FF"/>
          <w:sz w:val="22"/>
          <w:szCs w:val="22"/>
        </w:rPr>
        <w:t xml:space="preserve">Two psychiatrists reviewed 150 </w:t>
      </w:r>
      <w:r>
        <w:rPr>
          <w:rFonts w:ascii="Calibri" w:hAnsi="Calibri"/>
          <w:color w:val="0000FF"/>
          <w:sz w:val="22"/>
          <w:szCs w:val="22"/>
        </w:rPr>
        <w:t>patients’ medical records</w:t>
      </w:r>
      <w:r w:rsidRPr="00DE4FE8">
        <w:rPr>
          <w:rFonts w:ascii="Calibri" w:hAnsi="Calibri"/>
          <w:color w:val="0000FF"/>
          <w:sz w:val="22"/>
          <w:szCs w:val="22"/>
        </w:rPr>
        <w:t xml:space="preserve"> to ensure that the claims data are accurate in identifying several key data elements for calculating the measure. First, the clinicians recorded their assessment of the patient’s principal discharge diagnosis based on information in the medical record. These findings were compared to the principal </w:t>
      </w:r>
      <w:r w:rsidRPr="00F84DA3">
        <w:rPr>
          <w:rFonts w:ascii="Calibri" w:hAnsi="Calibri"/>
          <w:color w:val="0000FF"/>
          <w:sz w:val="22"/>
          <w:szCs w:val="22"/>
        </w:rPr>
        <w:t>diagnoses in the claims. We evaluated the positive predictive value using the clinical assessment from the medical record as the “gold standard” because this shows how often a diagnosis in the claims agrees with the diagnosis from the medical record. A high positive predictive value indicates a high probability that a claim for a certain condition (e.g., schizophrenia) correctly predicts the principal discharge diagnosis in the medical record.</w:t>
      </w:r>
    </w:p>
    <w:p w14:paraId="64A199EA" w14:textId="77777777" w:rsidR="00D606CC" w:rsidRPr="00F84DA3" w:rsidRDefault="00D606CC" w:rsidP="00D606CC">
      <w:pPr>
        <w:pStyle w:val="BodyText"/>
        <w:spacing w:before="0" w:after="120"/>
        <w:ind w:left="0"/>
        <w:rPr>
          <w:rFonts w:ascii="Calibri" w:hAnsi="Calibri"/>
          <w:color w:val="0000FF"/>
          <w:sz w:val="22"/>
          <w:szCs w:val="22"/>
        </w:rPr>
      </w:pPr>
      <w:r w:rsidRPr="00F84DA3">
        <w:rPr>
          <w:rFonts w:ascii="Calibri" w:hAnsi="Calibri"/>
          <w:color w:val="0000FF"/>
          <w:sz w:val="22"/>
          <w:szCs w:val="22"/>
        </w:rPr>
        <w:t>Next, at the seven test sites, abstractors were asked to indicate whether a prescription was provided at discharge. When an evidence-based prescription was not provided, they were asked to provide the rationale from the medical record to determine if additional exclusion criteria should be applied to the measure. The information on whether at least one prescription for an evidence-based medication was provided at discharge was compared to the numerator based on claims data. We evaluated the positive predictive value using the prescription at discharge as the “gold standard”. The positive predictive value indicates that most patients who filled an evidence-based prescription during the follow-up period also received an evidence-based prescription from the IPF at discharge.</w:t>
      </w:r>
    </w:p>
    <w:p w14:paraId="269A8B8A" w14:textId="77777777" w:rsidR="00D606CC" w:rsidRPr="00F84DA3" w:rsidRDefault="00D606CC" w:rsidP="00D606CC">
      <w:pPr>
        <w:pStyle w:val="BodyText"/>
        <w:spacing w:before="0" w:after="120"/>
        <w:ind w:left="0"/>
        <w:rPr>
          <w:rFonts w:ascii="Calibri" w:hAnsi="Calibri"/>
          <w:color w:val="0000FF"/>
          <w:sz w:val="22"/>
          <w:szCs w:val="22"/>
        </w:rPr>
      </w:pPr>
      <w:r w:rsidRPr="00F84DA3">
        <w:rPr>
          <w:rFonts w:ascii="Calibri" w:hAnsi="Calibri"/>
          <w:color w:val="0000FF"/>
          <w:sz w:val="22"/>
          <w:szCs w:val="22"/>
        </w:rPr>
        <w:t xml:space="preserve">Finally, abstractors from the seven test sites were asked to record whether there was an indication in the medical record that medications had been dispensed to the patient free at discharge, as those medications would not appear in the claims data. </w:t>
      </w:r>
    </w:p>
    <w:p w14:paraId="11E7E555" w14:textId="77777777" w:rsidR="00D606CC" w:rsidRPr="00DE4FE8" w:rsidRDefault="00D606CC" w:rsidP="00D606CC">
      <w:pPr>
        <w:pStyle w:val="BodyText"/>
        <w:spacing w:before="60" w:after="120"/>
        <w:ind w:left="0"/>
        <w:rPr>
          <w:rFonts w:ascii="Calibri" w:hAnsi="Calibri"/>
          <w:color w:val="0000FF"/>
          <w:sz w:val="22"/>
          <w:szCs w:val="22"/>
        </w:rPr>
      </w:pPr>
      <w:r w:rsidRPr="00F84DA3">
        <w:rPr>
          <w:rFonts w:ascii="Calibri" w:hAnsi="Calibri"/>
          <w:color w:val="0000FF"/>
          <w:sz w:val="22"/>
          <w:szCs w:val="22"/>
        </w:rPr>
        <w:t>To ensure that the abstraction results were reliable, 10% of the cases wer</w:t>
      </w:r>
      <w:r w:rsidRPr="00DE4FE8">
        <w:rPr>
          <w:rFonts w:ascii="Calibri" w:hAnsi="Calibri"/>
          <w:color w:val="0000FF"/>
          <w:sz w:val="22"/>
          <w:szCs w:val="22"/>
        </w:rPr>
        <w:t>e reviewed by both clinicians, and their results were compared to assess agreement.</w:t>
      </w:r>
    </w:p>
    <w:p w14:paraId="0855AA33" w14:textId="77777777" w:rsidR="00D606CC" w:rsidRPr="00DE4FE8" w:rsidRDefault="00D606CC" w:rsidP="00D606CC">
      <w:pPr>
        <w:pStyle w:val="BodyText"/>
        <w:spacing w:before="60"/>
        <w:ind w:left="0"/>
        <w:rPr>
          <w:rFonts w:ascii="Calibri" w:hAnsi="Calibri"/>
          <w:i/>
          <w:iCs/>
          <w:color w:val="0000FF"/>
          <w:sz w:val="22"/>
          <w:szCs w:val="22"/>
        </w:rPr>
      </w:pPr>
      <w:r w:rsidRPr="00DE4FE8">
        <w:rPr>
          <w:rFonts w:ascii="Calibri" w:hAnsi="Calibri"/>
          <w:i/>
          <w:iCs/>
          <w:color w:val="0000FF"/>
          <w:sz w:val="22"/>
          <w:szCs w:val="22"/>
        </w:rPr>
        <w:t>Performance measure score</w:t>
      </w:r>
    </w:p>
    <w:p w14:paraId="596F2278" w14:textId="77777777" w:rsidR="00D606CC" w:rsidRPr="00192CFE" w:rsidRDefault="00D606CC" w:rsidP="00D606CC">
      <w:pPr>
        <w:pStyle w:val="BodyText"/>
        <w:spacing w:before="0" w:after="120"/>
        <w:ind w:left="0"/>
        <w:rPr>
          <w:rFonts w:ascii="Calibri" w:hAnsi="Calibri"/>
          <w:color w:val="0000FF"/>
          <w:sz w:val="22"/>
          <w:szCs w:val="22"/>
        </w:rPr>
      </w:pPr>
      <w:r w:rsidRPr="00192CFE">
        <w:rPr>
          <w:rFonts w:ascii="Calibri" w:hAnsi="Calibri"/>
          <w:color w:val="0000FF"/>
          <w:sz w:val="22"/>
          <w:szCs w:val="22"/>
        </w:rPr>
        <w:t>Measure scores were compared to three related measures:</w:t>
      </w:r>
    </w:p>
    <w:p w14:paraId="178A3B6D" w14:textId="77777777" w:rsidR="00D606CC" w:rsidRPr="00192CFE" w:rsidRDefault="00D606CC" w:rsidP="00D606CC">
      <w:pPr>
        <w:pStyle w:val="ListParagraph"/>
        <w:widowControl w:val="0"/>
        <w:numPr>
          <w:ilvl w:val="0"/>
          <w:numId w:val="36"/>
        </w:numPr>
        <w:shd w:val="clear" w:color="auto" w:fill="FFFFFF" w:themeFill="background1"/>
        <w:spacing w:before="60" w:after="120" w:line="240" w:lineRule="auto"/>
        <w:ind w:left="360" w:firstLine="0"/>
        <w:rPr>
          <w:rFonts w:ascii="Calibri" w:eastAsia="Calibri,Times New Roman" w:hAnsi="Calibri" w:cs="Calibri,Times New Roman"/>
          <w:color w:val="0000FF"/>
        </w:rPr>
      </w:pPr>
      <w:r w:rsidRPr="00192CFE">
        <w:rPr>
          <w:rFonts w:ascii="Calibri" w:eastAsia="Calibri,Times New Roman" w:hAnsi="Calibri" w:cs="Calibri,Times New Roman"/>
          <w:color w:val="0000FF"/>
        </w:rPr>
        <w:t>Follow-Up After Hospitalization (7-Day)</w:t>
      </w:r>
    </w:p>
    <w:p w14:paraId="2D16724E" w14:textId="77777777" w:rsidR="00D606CC" w:rsidRPr="00192CFE" w:rsidRDefault="00D606CC" w:rsidP="00D606CC">
      <w:pPr>
        <w:pStyle w:val="ListParagraph"/>
        <w:widowControl w:val="0"/>
        <w:numPr>
          <w:ilvl w:val="0"/>
          <w:numId w:val="36"/>
        </w:numPr>
        <w:shd w:val="clear" w:color="auto" w:fill="FFFFFF" w:themeFill="background1"/>
        <w:spacing w:before="60" w:after="120" w:line="240" w:lineRule="auto"/>
        <w:ind w:left="360" w:firstLine="0"/>
        <w:rPr>
          <w:rFonts w:ascii="Calibri" w:eastAsia="Calibri,Times New Roman" w:hAnsi="Calibri" w:cs="Calibri,Times New Roman"/>
          <w:color w:val="0000FF"/>
        </w:rPr>
      </w:pPr>
      <w:r w:rsidRPr="00192CFE">
        <w:rPr>
          <w:rFonts w:ascii="Calibri" w:eastAsia="Calibri,Times New Roman" w:hAnsi="Calibri" w:cs="Calibri,Times New Roman"/>
          <w:color w:val="0000FF"/>
        </w:rPr>
        <w:t>Follow-Up After Hospitalization (30-Day)</w:t>
      </w:r>
    </w:p>
    <w:p w14:paraId="512BEC88" w14:textId="77777777" w:rsidR="00D606CC" w:rsidRPr="00192CFE" w:rsidRDefault="00D606CC" w:rsidP="00D606CC">
      <w:pPr>
        <w:pStyle w:val="ListParagraph"/>
        <w:widowControl w:val="0"/>
        <w:numPr>
          <w:ilvl w:val="0"/>
          <w:numId w:val="36"/>
        </w:numPr>
        <w:shd w:val="clear" w:color="auto" w:fill="FFFFFF" w:themeFill="background1"/>
        <w:spacing w:before="60" w:after="120" w:line="240" w:lineRule="auto"/>
        <w:ind w:left="360" w:firstLine="0"/>
        <w:rPr>
          <w:rFonts w:ascii="Calibri" w:eastAsia="Calibri,Times New Roman" w:hAnsi="Calibri" w:cs="Calibri,Times New Roman"/>
          <w:color w:val="0000FF"/>
        </w:rPr>
      </w:pPr>
      <w:r w:rsidRPr="00192CFE">
        <w:rPr>
          <w:rFonts w:ascii="Calibri" w:eastAsia="Calibri,Times New Roman" w:hAnsi="Calibri" w:cs="Calibri,Times New Roman"/>
          <w:color w:val="0000FF"/>
        </w:rPr>
        <w:t>IPF All-Cause Unplanned Readmission Measure</w:t>
      </w:r>
    </w:p>
    <w:p w14:paraId="1D1E0137" w14:textId="77777777" w:rsidR="00D606CC" w:rsidRPr="00F84DA3" w:rsidRDefault="00D606CC" w:rsidP="00D606CC">
      <w:pPr>
        <w:pStyle w:val="BodyText"/>
        <w:spacing w:before="60" w:after="120"/>
        <w:ind w:left="0"/>
        <w:rPr>
          <w:rFonts w:ascii="Calibri" w:eastAsia="Calibri" w:hAnsi="Calibri" w:cs="Calibri"/>
          <w:color w:val="0000FF"/>
          <w:sz w:val="22"/>
          <w:szCs w:val="22"/>
        </w:rPr>
      </w:pPr>
      <w:r w:rsidRPr="00192CFE">
        <w:rPr>
          <w:rFonts w:ascii="Calibri" w:eastAsia="Calibri" w:hAnsi="Calibri" w:cs="Calibri"/>
          <w:color w:val="0000FF"/>
          <w:sz w:val="22"/>
          <w:szCs w:val="22"/>
        </w:rPr>
        <w:t xml:space="preserve">We tested the measure distributions for normality at each unit of analysis, selected the appropriate statistical test for the distribution, and assessed the significance of the </w:t>
      </w:r>
      <w:r w:rsidRPr="00F84DA3">
        <w:rPr>
          <w:rFonts w:ascii="Calibri" w:eastAsia="Calibri" w:hAnsi="Calibri" w:cs="Calibri"/>
          <w:color w:val="0000FF"/>
          <w:sz w:val="22"/>
          <w:szCs w:val="22"/>
        </w:rPr>
        <w:t>correlation coefficient. We would expect the scores for the 7- and 30-day Follow-Up After Hospitalization measure to be positively correlated with the medication continuation scores because these are care coordination measures and higher scores indicate higher quality. We would expect the medication continuation scores to be negatively correlated with the all-cause unplanned readmission measure scores, because readmissions may indicate a lack of care coordination and higher scores on the readmission measure indicate lower quality.</w:t>
      </w:r>
    </w:p>
    <w:p w14:paraId="23214C5C" w14:textId="77777777" w:rsidR="00D606CC" w:rsidRPr="00192CFE" w:rsidRDefault="00D606CC" w:rsidP="00D606CC">
      <w:pPr>
        <w:pStyle w:val="BodyText"/>
        <w:spacing w:before="60" w:after="120"/>
        <w:ind w:left="0"/>
        <w:rPr>
          <w:rFonts w:ascii="Calibri" w:eastAsia="Calibri" w:hAnsi="Calibri" w:cs="Calibri"/>
          <w:color w:val="0000FF"/>
          <w:sz w:val="22"/>
          <w:szCs w:val="22"/>
        </w:rPr>
      </w:pPr>
      <w:r w:rsidRPr="00F84DA3">
        <w:rPr>
          <w:rFonts w:ascii="Calibri" w:eastAsia="Calibri" w:hAnsi="Calibri" w:cs="Calibri"/>
          <w:color w:val="0000FF"/>
          <w:sz w:val="22"/>
          <w:szCs w:val="22"/>
        </w:rPr>
        <w:t>Face validity of the measure score was assessed by the IPF Technical Expert Panel (TEP). Specifically, the TEP members were asked whether they agreed, disagreed, or were unable to rate the</w:t>
      </w:r>
      <w:r w:rsidRPr="00192CFE">
        <w:rPr>
          <w:rFonts w:ascii="Calibri" w:eastAsia="Calibri" w:hAnsi="Calibri" w:cs="Calibri"/>
          <w:color w:val="0000FF"/>
          <w:sz w:val="22"/>
          <w:szCs w:val="22"/>
        </w:rPr>
        <w:t xml:space="preserve"> following statement: </w:t>
      </w:r>
    </w:p>
    <w:p w14:paraId="4F7B33CC" w14:textId="77777777" w:rsidR="00D606CC" w:rsidRPr="00192CFE" w:rsidRDefault="00D606CC" w:rsidP="00D606CC">
      <w:pPr>
        <w:pStyle w:val="Quote"/>
        <w:spacing w:before="60" w:after="120"/>
        <w:ind w:left="720" w:right="720"/>
        <w:jc w:val="left"/>
        <w:rPr>
          <w:rFonts w:ascii="Calibri" w:hAnsi="Calibri"/>
          <w:color w:val="0000FF"/>
        </w:rPr>
      </w:pPr>
      <w:r w:rsidRPr="00192CFE">
        <w:rPr>
          <w:rFonts w:ascii="Calibri" w:hAnsi="Calibri"/>
          <w:color w:val="0000FF"/>
        </w:rPr>
        <w:lastRenderedPageBreak/>
        <w:t xml:space="preserve">The performance rating from the continuation of medication measure, as specified, represents an accurate reflection of facility-level rates of evidence-based medication continuation for MDD, schizophrenia, or bipolar disorder following discharge from an IPF. </w:t>
      </w:r>
    </w:p>
    <w:p w14:paraId="413A00FD" w14:textId="77777777" w:rsidR="00D606CC" w:rsidRDefault="00D606CC" w:rsidP="00DB3627">
      <w:pPr>
        <w:autoSpaceDE w:val="0"/>
        <w:autoSpaceDN w:val="0"/>
        <w:adjustRightInd w:val="0"/>
        <w:spacing w:after="0" w:line="240" w:lineRule="auto"/>
        <w:rPr>
          <w:rFonts w:cstheme="minorHAnsi"/>
          <w:bCs/>
        </w:rPr>
      </w:pPr>
    </w:p>
    <w:p w14:paraId="7128C32B" w14:textId="77777777" w:rsidR="00D606CC" w:rsidRPr="00A25024" w:rsidRDefault="00D606CC" w:rsidP="00DB3627">
      <w:pPr>
        <w:autoSpaceDE w:val="0"/>
        <w:autoSpaceDN w:val="0"/>
        <w:adjustRightInd w:val="0"/>
        <w:spacing w:after="0" w:line="240" w:lineRule="auto"/>
        <w:rPr>
          <w:rFonts w:cstheme="minorHAnsi"/>
          <w:bCs/>
        </w:rPr>
      </w:pPr>
    </w:p>
    <w:p w14:paraId="3BD35D98" w14:textId="77777777" w:rsidR="006637C2" w:rsidRDefault="009C7513" w:rsidP="00092566">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29EDC2D4" w14:textId="77777777" w:rsidR="006637C2" w:rsidRDefault="006637C2" w:rsidP="00092566">
      <w:pPr>
        <w:autoSpaceDE w:val="0"/>
        <w:autoSpaceDN w:val="0"/>
        <w:adjustRightInd w:val="0"/>
        <w:spacing w:after="0" w:line="240" w:lineRule="auto"/>
        <w:rPr>
          <w:rFonts w:cstheme="minorHAnsi"/>
          <w:bCs/>
        </w:rPr>
      </w:pPr>
    </w:p>
    <w:p w14:paraId="215803E0" w14:textId="45B8EDD4" w:rsidR="006637C2" w:rsidRPr="00F32679" w:rsidRDefault="006637C2" w:rsidP="006637C2">
      <w:pPr>
        <w:spacing w:after="160" w:line="259" w:lineRule="auto"/>
        <w:rPr>
          <w:rStyle w:val="Emphasis"/>
          <w:rFonts w:eastAsiaTheme="minorHAnsi" w:cstheme="minorHAnsi"/>
          <w:bCs/>
          <w:i w:val="0"/>
          <w:color w:val="FF0000"/>
        </w:rPr>
      </w:pPr>
      <w:r w:rsidRPr="00F32679">
        <w:rPr>
          <w:rStyle w:val="Emphasis"/>
          <w:rFonts w:eastAsiaTheme="minorHAnsi" w:cstheme="minorHAnsi"/>
          <w:i w:val="0"/>
          <w:color w:val="FF0000"/>
        </w:rPr>
        <w:t xml:space="preserve">As shown in </w:t>
      </w:r>
      <w:r w:rsidR="00961F5B">
        <w:rPr>
          <w:rStyle w:val="Emphasis"/>
          <w:rFonts w:eastAsiaTheme="minorHAnsi" w:cstheme="minorHAnsi"/>
          <w:i w:val="0"/>
          <w:color w:val="FF0000"/>
        </w:rPr>
        <w:t>T</w:t>
      </w:r>
      <w:r w:rsidR="00961F5B" w:rsidRPr="00F32679">
        <w:rPr>
          <w:rStyle w:val="Emphasis"/>
          <w:rFonts w:eastAsiaTheme="minorHAnsi" w:cstheme="minorHAnsi"/>
          <w:i w:val="0"/>
          <w:color w:val="FF0000"/>
        </w:rPr>
        <w:t xml:space="preserve">able </w:t>
      </w:r>
      <w:r w:rsidR="00570234" w:rsidRPr="00F32679">
        <w:rPr>
          <w:rStyle w:val="Emphasis"/>
          <w:rFonts w:eastAsiaTheme="minorHAnsi" w:cstheme="minorHAnsi"/>
          <w:i w:val="0"/>
          <w:color w:val="FF0000"/>
        </w:rPr>
        <w:t>2</w:t>
      </w:r>
      <w:r w:rsidR="00F32679">
        <w:rPr>
          <w:rStyle w:val="Emphasis"/>
          <w:rFonts w:eastAsiaTheme="minorHAnsi" w:cstheme="minorHAnsi"/>
          <w:i w:val="0"/>
          <w:color w:val="FF0000"/>
        </w:rPr>
        <w:t>b1.3</w:t>
      </w:r>
      <w:r w:rsidRPr="00F32679">
        <w:rPr>
          <w:rStyle w:val="Emphasis"/>
          <w:rFonts w:eastAsiaTheme="minorHAnsi" w:cstheme="minorHAnsi"/>
          <w:i w:val="0"/>
          <w:color w:val="FF0000"/>
        </w:rPr>
        <w:t>, we found multiple instances of known</w:t>
      </w:r>
      <w:r w:rsidR="00F3741C" w:rsidRPr="00F32679">
        <w:rPr>
          <w:rStyle w:val="Emphasis"/>
          <w:rFonts w:eastAsiaTheme="minorHAnsi" w:cstheme="minorHAnsi"/>
          <w:i w:val="0"/>
          <w:color w:val="FF0000"/>
        </w:rPr>
        <w:t>-</w:t>
      </w:r>
      <w:r w:rsidRPr="00F32679">
        <w:rPr>
          <w:rStyle w:val="Emphasis"/>
          <w:rFonts w:eastAsiaTheme="minorHAnsi" w:cstheme="minorHAnsi"/>
          <w:i w:val="0"/>
          <w:color w:val="FF0000"/>
        </w:rPr>
        <w:t xml:space="preserve">group validity for the </w:t>
      </w:r>
      <w:r w:rsidR="00F3741C" w:rsidRPr="00F32679">
        <w:rPr>
          <w:rStyle w:val="Emphasis"/>
          <w:rFonts w:eastAsiaTheme="minorHAnsi" w:cstheme="minorHAnsi"/>
          <w:i w:val="0"/>
          <w:color w:val="FF0000"/>
        </w:rPr>
        <w:t>Medication Continuation</w:t>
      </w:r>
      <w:r w:rsidRPr="00F32679">
        <w:rPr>
          <w:rStyle w:val="Emphasis"/>
          <w:rFonts w:eastAsiaTheme="minorHAnsi" w:cstheme="minorHAnsi"/>
          <w:i w:val="0"/>
          <w:color w:val="FF0000"/>
        </w:rPr>
        <w:t xml:space="preserve"> measure. </w:t>
      </w:r>
    </w:p>
    <w:p w14:paraId="48997F71" w14:textId="093B9809" w:rsidR="006637C2" w:rsidRPr="00F32679" w:rsidRDefault="006637C2" w:rsidP="006637C2">
      <w:pPr>
        <w:spacing w:after="160" w:line="259" w:lineRule="auto"/>
        <w:rPr>
          <w:rStyle w:val="Emphasis"/>
          <w:rFonts w:eastAsiaTheme="minorHAnsi" w:cstheme="minorHAnsi"/>
          <w:b/>
          <w:i w:val="0"/>
          <w:color w:val="FF0000"/>
        </w:rPr>
      </w:pPr>
      <w:r w:rsidRPr="00F32679">
        <w:rPr>
          <w:rStyle w:val="Emphasis"/>
          <w:rFonts w:eastAsiaTheme="minorHAnsi" w:cstheme="minorHAnsi"/>
          <w:b/>
          <w:i w:val="0"/>
          <w:color w:val="FF0000"/>
        </w:rPr>
        <w:t xml:space="preserve">Table </w:t>
      </w:r>
      <w:r w:rsidR="00F32679" w:rsidRPr="00F32679">
        <w:rPr>
          <w:rStyle w:val="Emphasis"/>
          <w:rFonts w:eastAsiaTheme="minorHAnsi" w:cstheme="minorHAnsi"/>
          <w:b/>
          <w:i w:val="0"/>
          <w:color w:val="FF0000"/>
        </w:rPr>
        <w:t>2b1.3</w:t>
      </w:r>
      <w:r w:rsidRPr="00F32679">
        <w:rPr>
          <w:rStyle w:val="Emphasis"/>
          <w:rFonts w:eastAsiaTheme="minorHAnsi" w:cstheme="minorHAnsi"/>
          <w:b/>
          <w:i w:val="0"/>
          <w:color w:val="FF0000"/>
        </w:rPr>
        <w:t xml:space="preserve">. Differences in the </w:t>
      </w:r>
      <w:r w:rsidR="00F3741C" w:rsidRPr="00F32679">
        <w:rPr>
          <w:rStyle w:val="Emphasis"/>
          <w:rFonts w:eastAsiaTheme="minorHAnsi" w:cstheme="minorHAnsi"/>
          <w:b/>
          <w:i w:val="0"/>
          <w:color w:val="FF0000"/>
        </w:rPr>
        <w:t>Medication Continuation</w:t>
      </w:r>
      <w:r w:rsidRPr="00F32679">
        <w:rPr>
          <w:rStyle w:val="Emphasis"/>
          <w:rFonts w:eastAsiaTheme="minorHAnsi" w:cstheme="minorHAnsi"/>
          <w:b/>
          <w:i w:val="0"/>
          <w:color w:val="FF0000"/>
        </w:rPr>
        <w:t xml:space="preserve"> ra</w:t>
      </w:r>
      <w:r w:rsidR="00F3741C" w:rsidRPr="00F32679">
        <w:rPr>
          <w:rStyle w:val="Emphasis"/>
          <w:rFonts w:eastAsiaTheme="minorHAnsi" w:cstheme="minorHAnsi"/>
          <w:b/>
          <w:i w:val="0"/>
          <w:color w:val="FF0000"/>
        </w:rPr>
        <w:t>t</w:t>
      </w:r>
      <w:r w:rsidRPr="00F32679">
        <w:rPr>
          <w:rStyle w:val="Emphasis"/>
          <w:rFonts w:eastAsiaTheme="minorHAnsi" w:cstheme="minorHAnsi"/>
          <w:b/>
          <w:i w:val="0"/>
          <w:color w:val="FF0000"/>
        </w:rPr>
        <w:t>es by patient group</w:t>
      </w:r>
    </w:p>
    <w:tbl>
      <w:tblPr>
        <w:tblW w:w="9270" w:type="dxa"/>
        <w:tblLook w:val="04A0" w:firstRow="1" w:lastRow="0" w:firstColumn="1" w:lastColumn="0" w:noHBand="0" w:noVBand="1"/>
      </w:tblPr>
      <w:tblGrid>
        <w:gridCol w:w="911"/>
        <w:gridCol w:w="3240"/>
        <w:gridCol w:w="979"/>
        <w:gridCol w:w="1360"/>
        <w:gridCol w:w="1219"/>
        <w:gridCol w:w="1561"/>
      </w:tblGrid>
      <w:tr w:rsidR="00F3741C" w:rsidRPr="003C231E" w14:paraId="04573D66" w14:textId="77777777" w:rsidTr="00A5275C">
        <w:trPr>
          <w:trHeight w:val="720"/>
        </w:trPr>
        <w:tc>
          <w:tcPr>
            <w:tcW w:w="911" w:type="dxa"/>
            <w:vMerge w:val="restart"/>
            <w:tcBorders>
              <w:top w:val="nil"/>
              <w:left w:val="nil"/>
              <w:bottom w:val="nil"/>
              <w:right w:val="nil"/>
            </w:tcBorders>
            <w:shd w:val="clear" w:color="000000" w:fill="767171"/>
            <w:vAlign w:val="center"/>
            <w:hideMark/>
          </w:tcPr>
          <w:p w14:paraId="12B297A2" w14:textId="77777777" w:rsidR="00F3741C" w:rsidRPr="003C231E" w:rsidRDefault="00F3741C" w:rsidP="00A5275C">
            <w:pPr>
              <w:spacing w:after="0" w:line="240" w:lineRule="auto"/>
              <w:jc w:val="center"/>
              <w:rPr>
                <w:rFonts w:ascii="Calibri" w:eastAsia="Times New Roman" w:hAnsi="Calibri" w:cs="Calibri"/>
                <w:b/>
                <w:bCs/>
                <w:color w:val="FFFFFF"/>
                <w:sz w:val="18"/>
                <w:szCs w:val="18"/>
              </w:rPr>
            </w:pPr>
            <w:r w:rsidRPr="003C231E">
              <w:rPr>
                <w:rFonts w:ascii="Calibri" w:eastAsia="Times New Roman" w:hAnsi="Calibri" w:cs="Calibri"/>
                <w:b/>
                <w:bCs/>
                <w:color w:val="FFFFFF"/>
                <w:sz w:val="18"/>
                <w:szCs w:val="18"/>
              </w:rPr>
              <w:t>Grouping variable</w:t>
            </w:r>
          </w:p>
        </w:tc>
        <w:tc>
          <w:tcPr>
            <w:tcW w:w="3240" w:type="dxa"/>
            <w:vMerge w:val="restart"/>
            <w:tcBorders>
              <w:top w:val="nil"/>
              <w:left w:val="nil"/>
              <w:bottom w:val="nil"/>
              <w:right w:val="nil"/>
            </w:tcBorders>
            <w:shd w:val="clear" w:color="000000" w:fill="767171"/>
            <w:vAlign w:val="center"/>
            <w:hideMark/>
          </w:tcPr>
          <w:p w14:paraId="686FE9B5" w14:textId="77777777" w:rsidR="00F3741C" w:rsidRPr="003C231E" w:rsidRDefault="00F3741C" w:rsidP="00A5275C">
            <w:pPr>
              <w:spacing w:after="0" w:line="240" w:lineRule="auto"/>
              <w:jc w:val="center"/>
              <w:rPr>
                <w:rFonts w:ascii="Calibri" w:eastAsia="Times New Roman" w:hAnsi="Calibri" w:cs="Calibri"/>
                <w:b/>
                <w:bCs/>
                <w:color w:val="FFFFFF"/>
                <w:sz w:val="18"/>
                <w:szCs w:val="18"/>
              </w:rPr>
            </w:pPr>
            <w:r w:rsidRPr="003C231E">
              <w:rPr>
                <w:rFonts w:ascii="Calibri" w:eastAsia="Times New Roman" w:hAnsi="Calibri" w:cs="Calibri"/>
                <w:b/>
                <w:bCs/>
                <w:color w:val="FFFFFF"/>
                <w:sz w:val="18"/>
                <w:szCs w:val="18"/>
              </w:rPr>
              <w:t>Patient subgroups</w:t>
            </w:r>
          </w:p>
        </w:tc>
        <w:tc>
          <w:tcPr>
            <w:tcW w:w="2339" w:type="dxa"/>
            <w:gridSpan w:val="2"/>
            <w:tcBorders>
              <w:top w:val="nil"/>
              <w:left w:val="nil"/>
              <w:bottom w:val="single" w:sz="4" w:space="0" w:color="FFFFFF"/>
              <w:right w:val="nil"/>
            </w:tcBorders>
            <w:shd w:val="clear" w:color="000000" w:fill="767171"/>
            <w:vAlign w:val="center"/>
            <w:hideMark/>
          </w:tcPr>
          <w:p w14:paraId="2865A603" w14:textId="77777777" w:rsidR="00F3741C" w:rsidRPr="003C231E" w:rsidRDefault="00F3741C" w:rsidP="00A5275C">
            <w:pPr>
              <w:spacing w:after="0" w:line="240" w:lineRule="auto"/>
              <w:jc w:val="center"/>
              <w:rPr>
                <w:rFonts w:ascii="Calibri" w:eastAsia="Times New Roman" w:hAnsi="Calibri" w:cs="Calibri"/>
                <w:b/>
                <w:bCs/>
                <w:color w:val="FFFFFF"/>
                <w:sz w:val="18"/>
                <w:szCs w:val="18"/>
              </w:rPr>
            </w:pPr>
            <w:r w:rsidRPr="003C231E">
              <w:rPr>
                <w:rFonts w:ascii="Calibri" w:eastAsia="Times New Roman" w:hAnsi="Calibri" w:cs="Calibri"/>
                <w:b/>
                <w:bCs/>
                <w:color w:val="FFFFFF"/>
                <w:sz w:val="18"/>
                <w:szCs w:val="18"/>
              </w:rPr>
              <w:t>Medication continuation measure rates (%)</w:t>
            </w:r>
          </w:p>
        </w:tc>
        <w:tc>
          <w:tcPr>
            <w:tcW w:w="2780" w:type="dxa"/>
            <w:gridSpan w:val="2"/>
            <w:tcBorders>
              <w:top w:val="nil"/>
              <w:left w:val="nil"/>
              <w:bottom w:val="single" w:sz="4" w:space="0" w:color="FFFFFF"/>
              <w:right w:val="nil"/>
            </w:tcBorders>
            <w:shd w:val="clear" w:color="000000" w:fill="767171"/>
            <w:vAlign w:val="center"/>
            <w:hideMark/>
          </w:tcPr>
          <w:p w14:paraId="5E9E9216" w14:textId="77777777" w:rsidR="00F3741C" w:rsidRPr="003C231E" w:rsidRDefault="00F3741C" w:rsidP="00A5275C">
            <w:pPr>
              <w:spacing w:after="0" w:line="240" w:lineRule="auto"/>
              <w:jc w:val="center"/>
              <w:rPr>
                <w:rFonts w:ascii="Calibri" w:eastAsia="Times New Roman" w:hAnsi="Calibri" w:cs="Calibri"/>
                <w:b/>
                <w:bCs/>
                <w:color w:val="FFFFFF"/>
                <w:sz w:val="18"/>
                <w:szCs w:val="18"/>
              </w:rPr>
            </w:pPr>
            <w:r w:rsidRPr="003C231E">
              <w:rPr>
                <w:rFonts w:ascii="Calibri" w:eastAsia="Times New Roman" w:hAnsi="Calibri" w:cs="Calibri"/>
                <w:b/>
                <w:bCs/>
                <w:color w:val="FFFFFF"/>
                <w:sz w:val="18"/>
                <w:szCs w:val="18"/>
              </w:rPr>
              <w:t>Effect size (Cohen's d) for differences in means between patient groups</w:t>
            </w:r>
          </w:p>
        </w:tc>
      </w:tr>
      <w:tr w:rsidR="00F3741C" w:rsidRPr="003C231E" w14:paraId="39BB682A" w14:textId="77777777" w:rsidTr="00A5275C">
        <w:trPr>
          <w:trHeight w:val="472"/>
        </w:trPr>
        <w:tc>
          <w:tcPr>
            <w:tcW w:w="911" w:type="dxa"/>
            <w:vMerge/>
            <w:tcBorders>
              <w:top w:val="nil"/>
              <w:left w:val="nil"/>
              <w:bottom w:val="nil"/>
              <w:right w:val="nil"/>
            </w:tcBorders>
            <w:vAlign w:val="center"/>
            <w:hideMark/>
          </w:tcPr>
          <w:p w14:paraId="21DB18A5" w14:textId="77777777" w:rsidR="00F3741C" w:rsidRPr="003C231E" w:rsidRDefault="00F3741C" w:rsidP="00A5275C">
            <w:pPr>
              <w:spacing w:after="0" w:line="240" w:lineRule="auto"/>
              <w:rPr>
                <w:rFonts w:ascii="Calibri" w:eastAsia="Times New Roman" w:hAnsi="Calibri" w:cs="Calibri"/>
                <w:b/>
                <w:bCs/>
                <w:color w:val="FFFFFF"/>
                <w:sz w:val="18"/>
                <w:szCs w:val="18"/>
              </w:rPr>
            </w:pPr>
          </w:p>
        </w:tc>
        <w:tc>
          <w:tcPr>
            <w:tcW w:w="3240" w:type="dxa"/>
            <w:vMerge/>
            <w:tcBorders>
              <w:top w:val="nil"/>
              <w:left w:val="nil"/>
              <w:right w:val="nil"/>
            </w:tcBorders>
            <w:vAlign w:val="center"/>
            <w:hideMark/>
          </w:tcPr>
          <w:p w14:paraId="6D4D3A52" w14:textId="77777777" w:rsidR="00F3741C" w:rsidRPr="003C231E" w:rsidRDefault="00F3741C" w:rsidP="00A5275C">
            <w:pPr>
              <w:spacing w:after="0" w:line="240" w:lineRule="auto"/>
              <w:rPr>
                <w:rFonts w:ascii="Calibri" w:eastAsia="Times New Roman" w:hAnsi="Calibri" w:cs="Calibri"/>
                <w:b/>
                <w:bCs/>
                <w:color w:val="FFFFFF"/>
                <w:sz w:val="18"/>
                <w:szCs w:val="18"/>
              </w:rPr>
            </w:pPr>
          </w:p>
        </w:tc>
        <w:tc>
          <w:tcPr>
            <w:tcW w:w="979" w:type="dxa"/>
            <w:tcBorders>
              <w:top w:val="nil"/>
              <w:left w:val="nil"/>
              <w:right w:val="nil"/>
            </w:tcBorders>
            <w:shd w:val="clear" w:color="000000" w:fill="767171"/>
            <w:vAlign w:val="center"/>
            <w:hideMark/>
          </w:tcPr>
          <w:p w14:paraId="46C34776" w14:textId="77777777" w:rsidR="00F3741C" w:rsidRPr="003C231E" w:rsidRDefault="00F3741C" w:rsidP="00A5275C">
            <w:pPr>
              <w:spacing w:after="0" w:line="240" w:lineRule="auto"/>
              <w:jc w:val="center"/>
              <w:rPr>
                <w:rFonts w:ascii="Calibri" w:eastAsia="Times New Roman" w:hAnsi="Calibri" w:cs="Calibri"/>
                <w:b/>
                <w:bCs/>
                <w:color w:val="FFFFFF"/>
                <w:sz w:val="18"/>
                <w:szCs w:val="18"/>
              </w:rPr>
            </w:pPr>
            <w:r w:rsidRPr="003C231E">
              <w:rPr>
                <w:rFonts w:ascii="Calibri" w:eastAsia="Times New Roman" w:hAnsi="Calibri" w:cs="Calibri"/>
                <w:b/>
                <w:bCs/>
                <w:color w:val="FFFFFF"/>
                <w:sz w:val="18"/>
                <w:szCs w:val="18"/>
              </w:rPr>
              <w:t>All facilities</w:t>
            </w:r>
          </w:p>
        </w:tc>
        <w:tc>
          <w:tcPr>
            <w:tcW w:w="1360" w:type="dxa"/>
            <w:tcBorders>
              <w:top w:val="nil"/>
              <w:left w:val="nil"/>
              <w:right w:val="nil"/>
            </w:tcBorders>
            <w:shd w:val="clear" w:color="000000" w:fill="767171"/>
            <w:vAlign w:val="center"/>
            <w:hideMark/>
          </w:tcPr>
          <w:p w14:paraId="4C995474" w14:textId="77777777" w:rsidR="00F3741C" w:rsidRPr="003C231E" w:rsidRDefault="00F3741C" w:rsidP="00A5275C">
            <w:pPr>
              <w:spacing w:after="0" w:line="240" w:lineRule="auto"/>
              <w:jc w:val="center"/>
              <w:rPr>
                <w:rFonts w:ascii="Calibri" w:eastAsia="Times New Roman" w:hAnsi="Calibri" w:cs="Calibri"/>
                <w:b/>
                <w:bCs/>
                <w:color w:val="FFFFFF"/>
                <w:sz w:val="18"/>
                <w:szCs w:val="18"/>
              </w:rPr>
            </w:pPr>
            <w:r w:rsidRPr="003C231E">
              <w:rPr>
                <w:rFonts w:ascii="Calibri" w:eastAsia="Times New Roman" w:hAnsi="Calibri" w:cs="Calibri"/>
                <w:b/>
                <w:bCs/>
                <w:color w:val="FFFFFF"/>
                <w:sz w:val="18"/>
                <w:szCs w:val="18"/>
              </w:rPr>
              <w:t>Facilities with ≥ 75 discharges</w:t>
            </w:r>
          </w:p>
        </w:tc>
        <w:tc>
          <w:tcPr>
            <w:tcW w:w="1219" w:type="dxa"/>
            <w:tcBorders>
              <w:top w:val="nil"/>
              <w:left w:val="nil"/>
              <w:right w:val="nil"/>
            </w:tcBorders>
            <w:shd w:val="clear" w:color="000000" w:fill="767171"/>
            <w:vAlign w:val="center"/>
            <w:hideMark/>
          </w:tcPr>
          <w:p w14:paraId="3149D722" w14:textId="77777777" w:rsidR="00F3741C" w:rsidRPr="003C231E" w:rsidRDefault="00F3741C" w:rsidP="00A5275C">
            <w:pPr>
              <w:spacing w:after="0" w:line="240" w:lineRule="auto"/>
              <w:jc w:val="center"/>
              <w:rPr>
                <w:rFonts w:ascii="Calibri" w:eastAsia="Times New Roman" w:hAnsi="Calibri" w:cs="Calibri"/>
                <w:b/>
                <w:bCs/>
                <w:color w:val="FFFFFF"/>
                <w:sz w:val="18"/>
                <w:szCs w:val="18"/>
              </w:rPr>
            </w:pPr>
            <w:r w:rsidRPr="003C231E">
              <w:rPr>
                <w:rFonts w:ascii="Calibri" w:eastAsia="Times New Roman" w:hAnsi="Calibri" w:cs="Calibri"/>
                <w:b/>
                <w:bCs/>
                <w:color w:val="FFFFFF"/>
                <w:sz w:val="18"/>
                <w:szCs w:val="18"/>
              </w:rPr>
              <w:t>All facilities</w:t>
            </w:r>
          </w:p>
        </w:tc>
        <w:tc>
          <w:tcPr>
            <w:tcW w:w="1561" w:type="dxa"/>
            <w:tcBorders>
              <w:top w:val="nil"/>
              <w:left w:val="nil"/>
              <w:right w:val="nil"/>
            </w:tcBorders>
            <w:shd w:val="clear" w:color="000000" w:fill="767171"/>
            <w:vAlign w:val="center"/>
            <w:hideMark/>
          </w:tcPr>
          <w:p w14:paraId="78CF09E4" w14:textId="77777777" w:rsidR="00F3741C" w:rsidRPr="003C231E" w:rsidRDefault="00F3741C" w:rsidP="00A5275C">
            <w:pPr>
              <w:spacing w:after="0" w:line="240" w:lineRule="auto"/>
              <w:jc w:val="center"/>
              <w:rPr>
                <w:rFonts w:ascii="Calibri" w:eastAsia="Times New Roman" w:hAnsi="Calibri" w:cs="Calibri"/>
                <w:b/>
                <w:bCs/>
                <w:color w:val="FFFFFF"/>
                <w:sz w:val="18"/>
                <w:szCs w:val="18"/>
              </w:rPr>
            </w:pPr>
            <w:r w:rsidRPr="003C231E">
              <w:rPr>
                <w:rFonts w:ascii="Calibri" w:eastAsia="Times New Roman" w:hAnsi="Calibri" w:cs="Calibri"/>
                <w:b/>
                <w:bCs/>
                <w:color w:val="FFFFFF"/>
                <w:sz w:val="18"/>
                <w:szCs w:val="18"/>
              </w:rPr>
              <w:t>Facilities with ≥ 75 discharges</w:t>
            </w:r>
          </w:p>
        </w:tc>
      </w:tr>
      <w:tr w:rsidR="00F3741C" w:rsidRPr="003C231E" w14:paraId="669E6998" w14:textId="77777777" w:rsidTr="00A5275C">
        <w:trPr>
          <w:trHeight w:val="292"/>
        </w:trPr>
        <w:tc>
          <w:tcPr>
            <w:tcW w:w="911" w:type="dxa"/>
            <w:vMerge w:val="restart"/>
            <w:tcBorders>
              <w:top w:val="nil"/>
              <w:left w:val="nil"/>
              <w:bottom w:val="nil"/>
              <w:right w:val="nil"/>
            </w:tcBorders>
            <w:shd w:val="clear" w:color="auto" w:fill="auto"/>
            <w:noWrap/>
            <w:vAlign w:val="center"/>
            <w:hideMark/>
          </w:tcPr>
          <w:p w14:paraId="6597E24E" w14:textId="77777777" w:rsidR="00F3741C" w:rsidRPr="007A047F" w:rsidRDefault="00F3741C" w:rsidP="00A5275C">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Sex</w:t>
            </w:r>
          </w:p>
        </w:tc>
        <w:tc>
          <w:tcPr>
            <w:tcW w:w="3240" w:type="dxa"/>
            <w:tcBorders>
              <w:top w:val="nil"/>
              <w:left w:val="nil"/>
              <w:bottom w:val="nil"/>
              <w:right w:val="nil"/>
            </w:tcBorders>
            <w:shd w:val="clear" w:color="auto" w:fill="auto"/>
            <w:noWrap/>
            <w:vAlign w:val="center"/>
            <w:hideMark/>
          </w:tcPr>
          <w:p w14:paraId="0ED1BC61" w14:textId="77777777" w:rsidR="00F3741C" w:rsidRPr="007A047F" w:rsidRDefault="00F3741C" w:rsidP="00A5275C">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Male patients (hypothesized lower rate)</w:t>
            </w:r>
          </w:p>
        </w:tc>
        <w:tc>
          <w:tcPr>
            <w:tcW w:w="979" w:type="dxa"/>
            <w:tcBorders>
              <w:top w:val="nil"/>
              <w:left w:val="nil"/>
              <w:bottom w:val="nil"/>
              <w:right w:val="nil"/>
            </w:tcBorders>
            <w:shd w:val="clear" w:color="auto" w:fill="auto"/>
            <w:vAlign w:val="center"/>
            <w:hideMark/>
          </w:tcPr>
          <w:p w14:paraId="1F349A40"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72.1%</w:t>
            </w:r>
          </w:p>
        </w:tc>
        <w:tc>
          <w:tcPr>
            <w:tcW w:w="1360" w:type="dxa"/>
            <w:tcBorders>
              <w:top w:val="nil"/>
              <w:left w:val="nil"/>
              <w:bottom w:val="nil"/>
              <w:right w:val="nil"/>
            </w:tcBorders>
            <w:shd w:val="clear" w:color="auto" w:fill="auto"/>
            <w:vAlign w:val="center"/>
            <w:hideMark/>
          </w:tcPr>
          <w:p w14:paraId="400E47E4"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72.2%</w:t>
            </w:r>
          </w:p>
        </w:tc>
        <w:tc>
          <w:tcPr>
            <w:tcW w:w="1219" w:type="dxa"/>
            <w:vMerge w:val="restart"/>
            <w:tcBorders>
              <w:top w:val="nil"/>
              <w:left w:val="nil"/>
              <w:bottom w:val="nil"/>
              <w:right w:val="nil"/>
            </w:tcBorders>
            <w:shd w:val="clear" w:color="auto" w:fill="auto"/>
            <w:vAlign w:val="center"/>
            <w:hideMark/>
          </w:tcPr>
          <w:p w14:paraId="7EE8C9F8"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0.39</w:t>
            </w:r>
          </w:p>
        </w:tc>
        <w:tc>
          <w:tcPr>
            <w:tcW w:w="1561" w:type="dxa"/>
            <w:vMerge w:val="restart"/>
            <w:tcBorders>
              <w:top w:val="nil"/>
              <w:left w:val="nil"/>
              <w:bottom w:val="nil"/>
              <w:right w:val="nil"/>
            </w:tcBorders>
            <w:shd w:val="clear" w:color="auto" w:fill="auto"/>
            <w:vAlign w:val="center"/>
            <w:hideMark/>
          </w:tcPr>
          <w:p w14:paraId="43992E9F"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0.64</w:t>
            </w:r>
          </w:p>
        </w:tc>
      </w:tr>
      <w:tr w:rsidR="00F3741C" w:rsidRPr="003C231E" w14:paraId="7FD752C6" w14:textId="77777777" w:rsidTr="00A5275C">
        <w:trPr>
          <w:trHeight w:val="292"/>
        </w:trPr>
        <w:tc>
          <w:tcPr>
            <w:tcW w:w="911" w:type="dxa"/>
            <w:vMerge/>
            <w:tcBorders>
              <w:top w:val="nil"/>
              <w:left w:val="nil"/>
              <w:bottom w:val="nil"/>
              <w:right w:val="nil"/>
            </w:tcBorders>
            <w:vAlign w:val="center"/>
            <w:hideMark/>
          </w:tcPr>
          <w:p w14:paraId="6645D245" w14:textId="77777777" w:rsidR="00F3741C" w:rsidRPr="007A047F" w:rsidRDefault="00F3741C" w:rsidP="00A5275C">
            <w:pPr>
              <w:spacing w:after="0" w:line="240" w:lineRule="auto"/>
              <w:rPr>
                <w:rFonts w:ascii="Calibri" w:eastAsia="Times New Roman" w:hAnsi="Calibri" w:cs="Calibri"/>
                <w:sz w:val="18"/>
                <w:szCs w:val="18"/>
              </w:rPr>
            </w:pPr>
          </w:p>
        </w:tc>
        <w:tc>
          <w:tcPr>
            <w:tcW w:w="3240" w:type="dxa"/>
            <w:tcBorders>
              <w:top w:val="nil"/>
              <w:left w:val="nil"/>
              <w:bottom w:val="single" w:sz="4" w:space="0" w:color="auto"/>
              <w:right w:val="nil"/>
            </w:tcBorders>
            <w:shd w:val="clear" w:color="auto" w:fill="auto"/>
            <w:noWrap/>
            <w:vAlign w:val="center"/>
            <w:hideMark/>
          </w:tcPr>
          <w:p w14:paraId="1FA08A0B" w14:textId="77777777" w:rsidR="00F3741C" w:rsidRPr="007A047F" w:rsidRDefault="00F3741C" w:rsidP="00A5275C">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Female patients</w:t>
            </w:r>
          </w:p>
        </w:tc>
        <w:tc>
          <w:tcPr>
            <w:tcW w:w="979" w:type="dxa"/>
            <w:tcBorders>
              <w:top w:val="nil"/>
              <w:left w:val="nil"/>
              <w:bottom w:val="single" w:sz="4" w:space="0" w:color="auto"/>
              <w:right w:val="nil"/>
            </w:tcBorders>
            <w:shd w:val="clear" w:color="auto" w:fill="auto"/>
            <w:vAlign w:val="center"/>
            <w:hideMark/>
          </w:tcPr>
          <w:p w14:paraId="6CDC8DD4"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77.9%</w:t>
            </w:r>
          </w:p>
        </w:tc>
        <w:tc>
          <w:tcPr>
            <w:tcW w:w="1360" w:type="dxa"/>
            <w:tcBorders>
              <w:top w:val="nil"/>
              <w:left w:val="nil"/>
              <w:bottom w:val="single" w:sz="4" w:space="0" w:color="auto"/>
              <w:right w:val="nil"/>
            </w:tcBorders>
            <w:shd w:val="clear" w:color="auto" w:fill="auto"/>
            <w:vAlign w:val="center"/>
            <w:hideMark/>
          </w:tcPr>
          <w:p w14:paraId="6439E2F1"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78.0%</w:t>
            </w:r>
          </w:p>
        </w:tc>
        <w:tc>
          <w:tcPr>
            <w:tcW w:w="1219" w:type="dxa"/>
            <w:vMerge/>
            <w:tcBorders>
              <w:top w:val="nil"/>
              <w:left w:val="nil"/>
              <w:bottom w:val="single" w:sz="4" w:space="0" w:color="auto"/>
              <w:right w:val="nil"/>
            </w:tcBorders>
            <w:vAlign w:val="center"/>
            <w:hideMark/>
          </w:tcPr>
          <w:p w14:paraId="1BC42B2B" w14:textId="77777777" w:rsidR="00F3741C" w:rsidRPr="007A047F" w:rsidRDefault="00F3741C" w:rsidP="00A5275C">
            <w:pPr>
              <w:spacing w:after="0" w:line="240" w:lineRule="auto"/>
              <w:rPr>
                <w:rFonts w:ascii="Calibri" w:eastAsia="Times New Roman" w:hAnsi="Calibri" w:cs="Calibri"/>
                <w:sz w:val="18"/>
                <w:szCs w:val="18"/>
              </w:rPr>
            </w:pPr>
          </w:p>
        </w:tc>
        <w:tc>
          <w:tcPr>
            <w:tcW w:w="1561" w:type="dxa"/>
            <w:vMerge/>
            <w:tcBorders>
              <w:top w:val="nil"/>
              <w:left w:val="nil"/>
              <w:bottom w:val="single" w:sz="4" w:space="0" w:color="auto"/>
              <w:right w:val="nil"/>
            </w:tcBorders>
            <w:vAlign w:val="center"/>
            <w:hideMark/>
          </w:tcPr>
          <w:p w14:paraId="4FB8CE83" w14:textId="77777777" w:rsidR="00F3741C" w:rsidRPr="007A047F" w:rsidRDefault="00F3741C" w:rsidP="00A5275C">
            <w:pPr>
              <w:spacing w:after="0" w:line="240" w:lineRule="auto"/>
              <w:rPr>
                <w:rFonts w:ascii="Calibri" w:eastAsia="Times New Roman" w:hAnsi="Calibri" w:cs="Calibri"/>
                <w:sz w:val="18"/>
                <w:szCs w:val="18"/>
              </w:rPr>
            </w:pPr>
          </w:p>
        </w:tc>
      </w:tr>
      <w:tr w:rsidR="00F3741C" w:rsidRPr="003C231E" w14:paraId="5959244B" w14:textId="77777777" w:rsidTr="00A5275C">
        <w:trPr>
          <w:trHeight w:val="292"/>
        </w:trPr>
        <w:tc>
          <w:tcPr>
            <w:tcW w:w="911" w:type="dxa"/>
            <w:vMerge w:val="restart"/>
            <w:tcBorders>
              <w:top w:val="nil"/>
              <w:left w:val="nil"/>
              <w:bottom w:val="nil"/>
              <w:right w:val="nil"/>
            </w:tcBorders>
            <w:shd w:val="clear" w:color="auto" w:fill="auto"/>
            <w:noWrap/>
            <w:vAlign w:val="center"/>
            <w:hideMark/>
          </w:tcPr>
          <w:p w14:paraId="028F784F" w14:textId="77777777" w:rsidR="00F3741C" w:rsidRPr="007A047F" w:rsidRDefault="00F3741C" w:rsidP="00A5275C">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SUD diagnosis</w:t>
            </w:r>
          </w:p>
        </w:tc>
        <w:tc>
          <w:tcPr>
            <w:tcW w:w="3240" w:type="dxa"/>
            <w:tcBorders>
              <w:top w:val="single" w:sz="4" w:space="0" w:color="auto"/>
              <w:left w:val="nil"/>
              <w:bottom w:val="nil"/>
              <w:right w:val="nil"/>
            </w:tcBorders>
            <w:shd w:val="clear" w:color="auto" w:fill="auto"/>
            <w:noWrap/>
            <w:vAlign w:val="center"/>
            <w:hideMark/>
          </w:tcPr>
          <w:p w14:paraId="55072446" w14:textId="77777777" w:rsidR="00F3741C" w:rsidRPr="007A047F" w:rsidRDefault="00F3741C" w:rsidP="00A5275C">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SUD (hypothesized lower rate)</w:t>
            </w:r>
          </w:p>
        </w:tc>
        <w:tc>
          <w:tcPr>
            <w:tcW w:w="979" w:type="dxa"/>
            <w:tcBorders>
              <w:top w:val="single" w:sz="4" w:space="0" w:color="auto"/>
              <w:left w:val="nil"/>
              <w:bottom w:val="nil"/>
              <w:right w:val="nil"/>
            </w:tcBorders>
            <w:shd w:val="clear" w:color="auto" w:fill="auto"/>
            <w:vAlign w:val="center"/>
            <w:hideMark/>
          </w:tcPr>
          <w:p w14:paraId="0E076667"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70.4%</w:t>
            </w:r>
          </w:p>
        </w:tc>
        <w:tc>
          <w:tcPr>
            <w:tcW w:w="1360" w:type="dxa"/>
            <w:tcBorders>
              <w:top w:val="single" w:sz="4" w:space="0" w:color="auto"/>
              <w:left w:val="nil"/>
              <w:bottom w:val="nil"/>
              <w:right w:val="nil"/>
            </w:tcBorders>
            <w:shd w:val="clear" w:color="auto" w:fill="auto"/>
            <w:vAlign w:val="center"/>
            <w:hideMark/>
          </w:tcPr>
          <w:p w14:paraId="4CF04726"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69.7%</w:t>
            </w:r>
          </w:p>
        </w:tc>
        <w:tc>
          <w:tcPr>
            <w:tcW w:w="1219" w:type="dxa"/>
            <w:vMerge w:val="restart"/>
            <w:tcBorders>
              <w:top w:val="single" w:sz="4" w:space="0" w:color="auto"/>
              <w:left w:val="nil"/>
              <w:bottom w:val="nil"/>
              <w:right w:val="nil"/>
            </w:tcBorders>
            <w:shd w:val="clear" w:color="auto" w:fill="auto"/>
            <w:vAlign w:val="center"/>
            <w:hideMark/>
          </w:tcPr>
          <w:p w14:paraId="38E64C74"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0.41</w:t>
            </w:r>
          </w:p>
        </w:tc>
        <w:tc>
          <w:tcPr>
            <w:tcW w:w="1561" w:type="dxa"/>
            <w:vMerge w:val="restart"/>
            <w:tcBorders>
              <w:top w:val="single" w:sz="4" w:space="0" w:color="auto"/>
              <w:left w:val="nil"/>
              <w:bottom w:val="nil"/>
              <w:right w:val="nil"/>
            </w:tcBorders>
            <w:shd w:val="clear" w:color="auto" w:fill="auto"/>
            <w:vAlign w:val="center"/>
            <w:hideMark/>
          </w:tcPr>
          <w:p w14:paraId="760FDB33"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0.74</w:t>
            </w:r>
          </w:p>
        </w:tc>
      </w:tr>
      <w:tr w:rsidR="00F3741C" w:rsidRPr="003C231E" w14:paraId="76BC9A0F" w14:textId="77777777" w:rsidTr="00A5275C">
        <w:trPr>
          <w:trHeight w:val="292"/>
        </w:trPr>
        <w:tc>
          <w:tcPr>
            <w:tcW w:w="911" w:type="dxa"/>
            <w:vMerge/>
            <w:tcBorders>
              <w:top w:val="nil"/>
              <w:left w:val="nil"/>
              <w:bottom w:val="nil"/>
              <w:right w:val="nil"/>
            </w:tcBorders>
            <w:vAlign w:val="center"/>
            <w:hideMark/>
          </w:tcPr>
          <w:p w14:paraId="4BD23952" w14:textId="77777777" w:rsidR="00F3741C" w:rsidRPr="007A047F" w:rsidRDefault="00F3741C" w:rsidP="00A5275C">
            <w:pPr>
              <w:spacing w:after="0" w:line="240" w:lineRule="auto"/>
              <w:rPr>
                <w:rFonts w:ascii="Calibri" w:eastAsia="Times New Roman" w:hAnsi="Calibri" w:cs="Calibri"/>
                <w:sz w:val="18"/>
                <w:szCs w:val="18"/>
              </w:rPr>
            </w:pPr>
          </w:p>
        </w:tc>
        <w:tc>
          <w:tcPr>
            <w:tcW w:w="3240" w:type="dxa"/>
            <w:tcBorders>
              <w:top w:val="nil"/>
              <w:left w:val="nil"/>
              <w:bottom w:val="single" w:sz="4" w:space="0" w:color="auto"/>
              <w:right w:val="nil"/>
            </w:tcBorders>
            <w:shd w:val="clear" w:color="auto" w:fill="auto"/>
            <w:noWrap/>
            <w:vAlign w:val="center"/>
            <w:hideMark/>
          </w:tcPr>
          <w:p w14:paraId="5AEDE417" w14:textId="77777777" w:rsidR="00F3741C" w:rsidRPr="007A047F" w:rsidRDefault="00F3741C" w:rsidP="00A5275C">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No SUD</w:t>
            </w:r>
          </w:p>
        </w:tc>
        <w:tc>
          <w:tcPr>
            <w:tcW w:w="979" w:type="dxa"/>
            <w:tcBorders>
              <w:top w:val="nil"/>
              <w:left w:val="nil"/>
              <w:bottom w:val="single" w:sz="4" w:space="0" w:color="auto"/>
              <w:right w:val="nil"/>
            </w:tcBorders>
            <w:shd w:val="clear" w:color="auto" w:fill="auto"/>
            <w:vAlign w:val="center"/>
            <w:hideMark/>
          </w:tcPr>
          <w:p w14:paraId="7354365F"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76.9%</w:t>
            </w:r>
          </w:p>
        </w:tc>
        <w:tc>
          <w:tcPr>
            <w:tcW w:w="1360" w:type="dxa"/>
            <w:tcBorders>
              <w:top w:val="nil"/>
              <w:left w:val="nil"/>
              <w:bottom w:val="single" w:sz="4" w:space="0" w:color="auto"/>
              <w:right w:val="nil"/>
            </w:tcBorders>
            <w:shd w:val="clear" w:color="auto" w:fill="auto"/>
            <w:vAlign w:val="center"/>
            <w:hideMark/>
          </w:tcPr>
          <w:p w14:paraId="00B6C98F"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77.4%</w:t>
            </w:r>
          </w:p>
        </w:tc>
        <w:tc>
          <w:tcPr>
            <w:tcW w:w="1219" w:type="dxa"/>
            <w:vMerge/>
            <w:tcBorders>
              <w:top w:val="nil"/>
              <w:left w:val="nil"/>
              <w:bottom w:val="single" w:sz="4" w:space="0" w:color="auto"/>
              <w:right w:val="nil"/>
            </w:tcBorders>
            <w:vAlign w:val="center"/>
            <w:hideMark/>
          </w:tcPr>
          <w:p w14:paraId="7F5F2DEA" w14:textId="77777777" w:rsidR="00F3741C" w:rsidRPr="007A047F" w:rsidRDefault="00F3741C" w:rsidP="00A5275C">
            <w:pPr>
              <w:spacing w:after="0" w:line="240" w:lineRule="auto"/>
              <w:rPr>
                <w:rFonts w:ascii="Calibri" w:eastAsia="Times New Roman" w:hAnsi="Calibri" w:cs="Calibri"/>
                <w:sz w:val="18"/>
                <w:szCs w:val="18"/>
              </w:rPr>
            </w:pPr>
          </w:p>
        </w:tc>
        <w:tc>
          <w:tcPr>
            <w:tcW w:w="1561" w:type="dxa"/>
            <w:vMerge/>
            <w:tcBorders>
              <w:top w:val="nil"/>
              <w:left w:val="nil"/>
              <w:bottom w:val="single" w:sz="4" w:space="0" w:color="auto"/>
              <w:right w:val="nil"/>
            </w:tcBorders>
            <w:vAlign w:val="center"/>
            <w:hideMark/>
          </w:tcPr>
          <w:p w14:paraId="01716858" w14:textId="77777777" w:rsidR="00F3741C" w:rsidRPr="007A047F" w:rsidRDefault="00F3741C" w:rsidP="00A5275C">
            <w:pPr>
              <w:spacing w:after="0" w:line="240" w:lineRule="auto"/>
              <w:rPr>
                <w:rFonts w:ascii="Calibri" w:eastAsia="Times New Roman" w:hAnsi="Calibri" w:cs="Calibri"/>
                <w:sz w:val="18"/>
                <w:szCs w:val="18"/>
              </w:rPr>
            </w:pPr>
          </w:p>
        </w:tc>
      </w:tr>
      <w:tr w:rsidR="009B4AC5" w:rsidRPr="003C231E" w14:paraId="52A1F530" w14:textId="77777777" w:rsidTr="00A5275C">
        <w:trPr>
          <w:trHeight w:val="292"/>
        </w:trPr>
        <w:tc>
          <w:tcPr>
            <w:tcW w:w="911" w:type="dxa"/>
            <w:vMerge w:val="restart"/>
            <w:tcBorders>
              <w:top w:val="nil"/>
              <w:left w:val="nil"/>
              <w:bottom w:val="nil"/>
              <w:right w:val="nil"/>
            </w:tcBorders>
            <w:shd w:val="clear" w:color="auto" w:fill="auto"/>
            <w:noWrap/>
            <w:vAlign w:val="center"/>
            <w:hideMark/>
          </w:tcPr>
          <w:p w14:paraId="3C6F2417" w14:textId="77777777" w:rsidR="009B4AC5" w:rsidRPr="007A047F" w:rsidRDefault="009B4AC5" w:rsidP="009B4AC5">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Dual status</w:t>
            </w:r>
          </w:p>
        </w:tc>
        <w:tc>
          <w:tcPr>
            <w:tcW w:w="3240" w:type="dxa"/>
            <w:tcBorders>
              <w:top w:val="single" w:sz="4" w:space="0" w:color="auto"/>
              <w:left w:val="nil"/>
              <w:bottom w:val="nil"/>
              <w:right w:val="nil"/>
            </w:tcBorders>
            <w:shd w:val="clear" w:color="auto" w:fill="auto"/>
            <w:noWrap/>
            <w:vAlign w:val="center"/>
            <w:hideMark/>
          </w:tcPr>
          <w:p w14:paraId="0EC8684A" w14:textId="77777777" w:rsidR="009B4AC5" w:rsidRPr="007A047F" w:rsidRDefault="009B4AC5" w:rsidP="009B4AC5">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Dual (hypothesized lower rate)</w:t>
            </w:r>
          </w:p>
        </w:tc>
        <w:tc>
          <w:tcPr>
            <w:tcW w:w="979" w:type="dxa"/>
            <w:tcBorders>
              <w:top w:val="single" w:sz="4" w:space="0" w:color="auto"/>
              <w:left w:val="nil"/>
              <w:bottom w:val="nil"/>
              <w:right w:val="nil"/>
            </w:tcBorders>
            <w:shd w:val="clear" w:color="auto" w:fill="auto"/>
            <w:vAlign w:val="center"/>
            <w:hideMark/>
          </w:tcPr>
          <w:p w14:paraId="3955A1DF" w14:textId="7B0D15F7" w:rsidR="009B4AC5" w:rsidRPr="007A047F" w:rsidRDefault="009B4AC5" w:rsidP="009B4AC5">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77.4%</w:t>
            </w:r>
          </w:p>
        </w:tc>
        <w:tc>
          <w:tcPr>
            <w:tcW w:w="1360" w:type="dxa"/>
            <w:tcBorders>
              <w:top w:val="single" w:sz="4" w:space="0" w:color="auto"/>
              <w:left w:val="nil"/>
              <w:bottom w:val="nil"/>
              <w:right w:val="nil"/>
            </w:tcBorders>
            <w:shd w:val="clear" w:color="auto" w:fill="auto"/>
            <w:vAlign w:val="center"/>
            <w:hideMark/>
          </w:tcPr>
          <w:p w14:paraId="252FAA53" w14:textId="570A93CC" w:rsidR="009B4AC5" w:rsidRPr="007A047F" w:rsidRDefault="009B4AC5" w:rsidP="009B4AC5">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77.6%</w:t>
            </w:r>
          </w:p>
        </w:tc>
        <w:tc>
          <w:tcPr>
            <w:tcW w:w="1219" w:type="dxa"/>
            <w:vMerge w:val="restart"/>
            <w:tcBorders>
              <w:top w:val="single" w:sz="4" w:space="0" w:color="auto"/>
              <w:left w:val="nil"/>
              <w:bottom w:val="nil"/>
              <w:right w:val="nil"/>
            </w:tcBorders>
            <w:shd w:val="clear" w:color="auto" w:fill="auto"/>
            <w:vAlign w:val="center"/>
            <w:hideMark/>
          </w:tcPr>
          <w:p w14:paraId="30A6027A" w14:textId="490427BB" w:rsidR="009B4AC5" w:rsidRPr="007A047F" w:rsidRDefault="009B4AC5" w:rsidP="009B4AC5">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0.51</w:t>
            </w:r>
          </w:p>
        </w:tc>
        <w:tc>
          <w:tcPr>
            <w:tcW w:w="1561" w:type="dxa"/>
            <w:vMerge w:val="restart"/>
            <w:tcBorders>
              <w:top w:val="single" w:sz="4" w:space="0" w:color="auto"/>
              <w:left w:val="nil"/>
              <w:bottom w:val="nil"/>
              <w:right w:val="nil"/>
            </w:tcBorders>
            <w:shd w:val="clear" w:color="auto" w:fill="auto"/>
            <w:vAlign w:val="center"/>
            <w:hideMark/>
          </w:tcPr>
          <w:p w14:paraId="6BB9D15E" w14:textId="6A1593FF" w:rsidR="009B4AC5" w:rsidRPr="007A047F" w:rsidRDefault="009B4AC5" w:rsidP="009B4AC5">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0.85</w:t>
            </w:r>
          </w:p>
        </w:tc>
      </w:tr>
      <w:tr w:rsidR="009B4AC5" w:rsidRPr="003C231E" w14:paraId="42DCEF80" w14:textId="77777777" w:rsidTr="00A5275C">
        <w:trPr>
          <w:trHeight w:val="292"/>
        </w:trPr>
        <w:tc>
          <w:tcPr>
            <w:tcW w:w="911" w:type="dxa"/>
            <w:vMerge/>
            <w:tcBorders>
              <w:top w:val="nil"/>
              <w:left w:val="nil"/>
              <w:bottom w:val="nil"/>
              <w:right w:val="nil"/>
            </w:tcBorders>
            <w:vAlign w:val="center"/>
            <w:hideMark/>
          </w:tcPr>
          <w:p w14:paraId="2A481DF6" w14:textId="77777777" w:rsidR="009B4AC5" w:rsidRPr="007A047F" w:rsidRDefault="009B4AC5" w:rsidP="009B4AC5">
            <w:pPr>
              <w:spacing w:after="0" w:line="240" w:lineRule="auto"/>
              <w:rPr>
                <w:rFonts w:ascii="Calibri" w:eastAsia="Times New Roman" w:hAnsi="Calibri" w:cs="Calibri"/>
                <w:sz w:val="18"/>
                <w:szCs w:val="18"/>
              </w:rPr>
            </w:pPr>
          </w:p>
        </w:tc>
        <w:tc>
          <w:tcPr>
            <w:tcW w:w="3240" w:type="dxa"/>
            <w:tcBorders>
              <w:top w:val="nil"/>
              <w:left w:val="nil"/>
              <w:bottom w:val="single" w:sz="4" w:space="0" w:color="auto"/>
              <w:right w:val="nil"/>
            </w:tcBorders>
            <w:shd w:val="clear" w:color="auto" w:fill="auto"/>
            <w:noWrap/>
            <w:vAlign w:val="center"/>
            <w:hideMark/>
          </w:tcPr>
          <w:p w14:paraId="2BB232F2" w14:textId="77777777" w:rsidR="009B4AC5" w:rsidRPr="007A047F" w:rsidRDefault="009B4AC5" w:rsidP="009B4AC5">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Non-dual</w:t>
            </w:r>
          </w:p>
        </w:tc>
        <w:tc>
          <w:tcPr>
            <w:tcW w:w="979" w:type="dxa"/>
            <w:tcBorders>
              <w:top w:val="nil"/>
              <w:left w:val="nil"/>
              <w:bottom w:val="single" w:sz="4" w:space="0" w:color="auto"/>
              <w:right w:val="nil"/>
            </w:tcBorders>
            <w:shd w:val="clear" w:color="auto" w:fill="auto"/>
            <w:vAlign w:val="center"/>
            <w:hideMark/>
          </w:tcPr>
          <w:p w14:paraId="6E5939D0" w14:textId="413FC855" w:rsidR="009B4AC5" w:rsidRPr="007A047F" w:rsidRDefault="009B4AC5" w:rsidP="009B4AC5">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69.8%</w:t>
            </w:r>
          </w:p>
        </w:tc>
        <w:tc>
          <w:tcPr>
            <w:tcW w:w="1360" w:type="dxa"/>
            <w:tcBorders>
              <w:top w:val="nil"/>
              <w:left w:val="nil"/>
              <w:bottom w:val="single" w:sz="4" w:space="0" w:color="auto"/>
              <w:right w:val="nil"/>
            </w:tcBorders>
            <w:shd w:val="clear" w:color="auto" w:fill="auto"/>
            <w:vAlign w:val="center"/>
            <w:hideMark/>
          </w:tcPr>
          <w:p w14:paraId="700BE0D6" w14:textId="4BAFF0C8" w:rsidR="009B4AC5" w:rsidRPr="007A047F" w:rsidRDefault="009B4AC5" w:rsidP="009B4AC5">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69.1%</w:t>
            </w:r>
          </w:p>
        </w:tc>
        <w:tc>
          <w:tcPr>
            <w:tcW w:w="1219" w:type="dxa"/>
            <w:vMerge/>
            <w:tcBorders>
              <w:top w:val="nil"/>
              <w:left w:val="nil"/>
              <w:bottom w:val="single" w:sz="4" w:space="0" w:color="auto"/>
              <w:right w:val="nil"/>
            </w:tcBorders>
            <w:vAlign w:val="center"/>
            <w:hideMark/>
          </w:tcPr>
          <w:p w14:paraId="12BD70C0" w14:textId="77777777" w:rsidR="009B4AC5" w:rsidRPr="007A047F" w:rsidRDefault="009B4AC5" w:rsidP="009B4AC5">
            <w:pPr>
              <w:spacing w:after="0" w:line="240" w:lineRule="auto"/>
              <w:rPr>
                <w:rFonts w:ascii="Calibri" w:eastAsia="Times New Roman" w:hAnsi="Calibri" w:cs="Calibri"/>
                <w:sz w:val="18"/>
                <w:szCs w:val="18"/>
              </w:rPr>
            </w:pPr>
          </w:p>
        </w:tc>
        <w:tc>
          <w:tcPr>
            <w:tcW w:w="1561" w:type="dxa"/>
            <w:vMerge/>
            <w:tcBorders>
              <w:top w:val="nil"/>
              <w:left w:val="nil"/>
              <w:bottom w:val="single" w:sz="4" w:space="0" w:color="auto"/>
              <w:right w:val="nil"/>
            </w:tcBorders>
            <w:vAlign w:val="center"/>
            <w:hideMark/>
          </w:tcPr>
          <w:p w14:paraId="089B24BC" w14:textId="77777777" w:rsidR="009B4AC5" w:rsidRPr="007A047F" w:rsidRDefault="009B4AC5" w:rsidP="009B4AC5">
            <w:pPr>
              <w:spacing w:after="0" w:line="240" w:lineRule="auto"/>
              <w:rPr>
                <w:rFonts w:ascii="Calibri" w:eastAsia="Times New Roman" w:hAnsi="Calibri" w:cs="Calibri"/>
                <w:sz w:val="18"/>
                <w:szCs w:val="18"/>
              </w:rPr>
            </w:pPr>
          </w:p>
        </w:tc>
      </w:tr>
      <w:tr w:rsidR="00D21729" w:rsidRPr="003C231E" w14:paraId="67CCC607" w14:textId="77777777" w:rsidTr="00A5275C">
        <w:trPr>
          <w:trHeight w:val="292"/>
        </w:trPr>
        <w:tc>
          <w:tcPr>
            <w:tcW w:w="911" w:type="dxa"/>
            <w:vMerge w:val="restart"/>
            <w:tcBorders>
              <w:top w:val="nil"/>
              <w:left w:val="nil"/>
              <w:bottom w:val="nil"/>
              <w:right w:val="nil"/>
            </w:tcBorders>
            <w:shd w:val="clear" w:color="auto" w:fill="auto"/>
            <w:noWrap/>
            <w:vAlign w:val="center"/>
            <w:hideMark/>
          </w:tcPr>
          <w:p w14:paraId="30DCEBF9" w14:textId="77777777" w:rsidR="00D21729" w:rsidRPr="007A047F" w:rsidRDefault="00D21729" w:rsidP="00D21729">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Race</w:t>
            </w:r>
          </w:p>
        </w:tc>
        <w:tc>
          <w:tcPr>
            <w:tcW w:w="3240" w:type="dxa"/>
            <w:tcBorders>
              <w:top w:val="single" w:sz="4" w:space="0" w:color="auto"/>
              <w:left w:val="nil"/>
              <w:bottom w:val="nil"/>
              <w:right w:val="nil"/>
            </w:tcBorders>
            <w:shd w:val="clear" w:color="auto" w:fill="auto"/>
            <w:noWrap/>
            <w:vAlign w:val="center"/>
            <w:hideMark/>
          </w:tcPr>
          <w:p w14:paraId="26558D92" w14:textId="77777777" w:rsidR="00D21729" w:rsidRPr="00A9022E" w:rsidRDefault="00D21729" w:rsidP="00D21729">
            <w:pPr>
              <w:spacing w:after="0" w:line="240" w:lineRule="auto"/>
              <w:rPr>
                <w:rFonts w:ascii="Calibri" w:eastAsia="Times New Roman" w:hAnsi="Calibri" w:cs="Calibri"/>
                <w:sz w:val="18"/>
                <w:szCs w:val="18"/>
              </w:rPr>
            </w:pPr>
            <w:r w:rsidRPr="00A9022E">
              <w:rPr>
                <w:rFonts w:ascii="Calibri" w:eastAsia="Times New Roman" w:hAnsi="Calibri" w:cs="Calibri"/>
                <w:sz w:val="18"/>
                <w:szCs w:val="18"/>
              </w:rPr>
              <w:t>Non-White (hypothesized lower rate)</w:t>
            </w:r>
          </w:p>
        </w:tc>
        <w:tc>
          <w:tcPr>
            <w:tcW w:w="979" w:type="dxa"/>
            <w:tcBorders>
              <w:top w:val="single" w:sz="4" w:space="0" w:color="auto"/>
              <w:left w:val="nil"/>
              <w:bottom w:val="nil"/>
              <w:right w:val="nil"/>
            </w:tcBorders>
            <w:shd w:val="clear" w:color="auto" w:fill="auto"/>
            <w:vAlign w:val="center"/>
            <w:hideMark/>
          </w:tcPr>
          <w:p w14:paraId="3B24D2E9" w14:textId="6D4B9763" w:rsidR="00D21729" w:rsidRPr="00A9022E" w:rsidRDefault="00D21729" w:rsidP="00D21729">
            <w:pPr>
              <w:spacing w:after="0" w:line="240" w:lineRule="auto"/>
              <w:jc w:val="center"/>
              <w:rPr>
                <w:rFonts w:ascii="Calibri" w:eastAsia="Times New Roman" w:hAnsi="Calibri" w:cs="Calibri"/>
                <w:sz w:val="18"/>
                <w:szCs w:val="18"/>
              </w:rPr>
            </w:pPr>
            <w:r w:rsidRPr="00A9022E">
              <w:rPr>
                <w:rFonts w:ascii="Calibri" w:eastAsia="Times New Roman" w:hAnsi="Calibri" w:cs="Calibri"/>
                <w:sz w:val="18"/>
                <w:szCs w:val="18"/>
              </w:rPr>
              <w:t>71.1%</w:t>
            </w:r>
          </w:p>
        </w:tc>
        <w:tc>
          <w:tcPr>
            <w:tcW w:w="1360" w:type="dxa"/>
            <w:tcBorders>
              <w:top w:val="single" w:sz="4" w:space="0" w:color="auto"/>
              <w:left w:val="nil"/>
              <w:bottom w:val="nil"/>
              <w:right w:val="nil"/>
            </w:tcBorders>
            <w:shd w:val="clear" w:color="auto" w:fill="auto"/>
            <w:vAlign w:val="center"/>
            <w:hideMark/>
          </w:tcPr>
          <w:p w14:paraId="0EBC0951" w14:textId="5B672BC9" w:rsidR="00D21729" w:rsidRPr="00A9022E" w:rsidRDefault="00D21729" w:rsidP="00D21729">
            <w:pPr>
              <w:spacing w:after="0" w:line="240" w:lineRule="auto"/>
              <w:jc w:val="center"/>
              <w:rPr>
                <w:rFonts w:ascii="Calibri" w:eastAsia="Times New Roman" w:hAnsi="Calibri" w:cs="Calibri"/>
                <w:sz w:val="18"/>
                <w:szCs w:val="18"/>
              </w:rPr>
            </w:pPr>
            <w:r w:rsidRPr="00A9022E">
              <w:rPr>
                <w:rFonts w:ascii="Calibri" w:eastAsia="Times New Roman" w:hAnsi="Calibri" w:cs="Calibri"/>
                <w:sz w:val="18"/>
                <w:szCs w:val="18"/>
              </w:rPr>
              <w:t xml:space="preserve">71.2% </w:t>
            </w:r>
          </w:p>
        </w:tc>
        <w:tc>
          <w:tcPr>
            <w:tcW w:w="1219" w:type="dxa"/>
            <w:vMerge w:val="restart"/>
            <w:tcBorders>
              <w:top w:val="single" w:sz="4" w:space="0" w:color="auto"/>
              <w:left w:val="nil"/>
              <w:bottom w:val="nil"/>
              <w:right w:val="nil"/>
            </w:tcBorders>
            <w:shd w:val="clear" w:color="auto" w:fill="auto"/>
            <w:vAlign w:val="center"/>
            <w:hideMark/>
          </w:tcPr>
          <w:p w14:paraId="5EBE25A4" w14:textId="77777777" w:rsidR="00D21729" w:rsidRPr="00A9022E" w:rsidRDefault="00D21729" w:rsidP="00D21729">
            <w:pPr>
              <w:spacing w:after="0" w:line="240" w:lineRule="auto"/>
              <w:jc w:val="center"/>
              <w:rPr>
                <w:rFonts w:ascii="Calibri" w:eastAsia="Times New Roman" w:hAnsi="Calibri" w:cs="Calibri"/>
                <w:sz w:val="18"/>
                <w:szCs w:val="18"/>
              </w:rPr>
            </w:pPr>
            <w:r w:rsidRPr="00A9022E">
              <w:rPr>
                <w:rFonts w:ascii="Calibri" w:eastAsia="Times New Roman" w:hAnsi="Calibri" w:cs="Calibri"/>
                <w:sz w:val="18"/>
                <w:szCs w:val="18"/>
              </w:rPr>
              <w:t>0.31</w:t>
            </w:r>
          </w:p>
        </w:tc>
        <w:tc>
          <w:tcPr>
            <w:tcW w:w="1561" w:type="dxa"/>
            <w:vMerge w:val="restart"/>
            <w:tcBorders>
              <w:top w:val="single" w:sz="4" w:space="0" w:color="auto"/>
              <w:left w:val="nil"/>
              <w:bottom w:val="nil"/>
              <w:right w:val="nil"/>
            </w:tcBorders>
            <w:shd w:val="clear" w:color="auto" w:fill="auto"/>
            <w:vAlign w:val="center"/>
            <w:hideMark/>
          </w:tcPr>
          <w:p w14:paraId="3FB6EDC7" w14:textId="77777777" w:rsidR="00D21729" w:rsidRPr="007A047F" w:rsidRDefault="00D21729" w:rsidP="00D21729">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0.46</w:t>
            </w:r>
          </w:p>
        </w:tc>
      </w:tr>
      <w:tr w:rsidR="00D21729" w:rsidRPr="003C231E" w14:paraId="1653B204" w14:textId="77777777" w:rsidTr="00A5275C">
        <w:trPr>
          <w:trHeight w:val="292"/>
        </w:trPr>
        <w:tc>
          <w:tcPr>
            <w:tcW w:w="911" w:type="dxa"/>
            <w:vMerge/>
            <w:tcBorders>
              <w:top w:val="nil"/>
              <w:left w:val="nil"/>
              <w:bottom w:val="nil"/>
              <w:right w:val="nil"/>
            </w:tcBorders>
            <w:vAlign w:val="center"/>
            <w:hideMark/>
          </w:tcPr>
          <w:p w14:paraId="35D5F979" w14:textId="77777777" w:rsidR="00D21729" w:rsidRPr="003C231E" w:rsidRDefault="00D21729" w:rsidP="00D21729">
            <w:pPr>
              <w:spacing w:after="0" w:line="240" w:lineRule="auto"/>
              <w:rPr>
                <w:rFonts w:ascii="Calibri" w:eastAsia="Times New Roman" w:hAnsi="Calibri" w:cs="Calibri"/>
                <w:color w:val="000000"/>
                <w:sz w:val="18"/>
                <w:szCs w:val="18"/>
              </w:rPr>
            </w:pPr>
          </w:p>
        </w:tc>
        <w:tc>
          <w:tcPr>
            <w:tcW w:w="3240" w:type="dxa"/>
            <w:tcBorders>
              <w:top w:val="nil"/>
              <w:left w:val="nil"/>
              <w:bottom w:val="nil"/>
              <w:right w:val="nil"/>
            </w:tcBorders>
            <w:shd w:val="clear" w:color="auto" w:fill="auto"/>
            <w:noWrap/>
            <w:vAlign w:val="center"/>
            <w:hideMark/>
          </w:tcPr>
          <w:p w14:paraId="6CD06541" w14:textId="77777777" w:rsidR="00D21729" w:rsidRPr="00A9022E" w:rsidRDefault="00D21729" w:rsidP="00D21729">
            <w:pPr>
              <w:spacing w:after="0" w:line="240" w:lineRule="auto"/>
              <w:rPr>
                <w:rFonts w:ascii="Calibri" w:eastAsia="Times New Roman" w:hAnsi="Calibri" w:cs="Calibri"/>
                <w:sz w:val="18"/>
                <w:szCs w:val="18"/>
              </w:rPr>
            </w:pPr>
            <w:r w:rsidRPr="00A9022E">
              <w:rPr>
                <w:rFonts w:ascii="Calibri" w:eastAsia="Times New Roman" w:hAnsi="Calibri" w:cs="Calibri"/>
                <w:sz w:val="18"/>
                <w:szCs w:val="18"/>
              </w:rPr>
              <w:t>White</w:t>
            </w:r>
          </w:p>
        </w:tc>
        <w:tc>
          <w:tcPr>
            <w:tcW w:w="979" w:type="dxa"/>
            <w:tcBorders>
              <w:top w:val="nil"/>
              <w:left w:val="nil"/>
              <w:bottom w:val="nil"/>
              <w:right w:val="nil"/>
            </w:tcBorders>
            <w:shd w:val="clear" w:color="auto" w:fill="auto"/>
            <w:vAlign w:val="center"/>
            <w:hideMark/>
          </w:tcPr>
          <w:p w14:paraId="11C967B3" w14:textId="5E064858" w:rsidR="00D21729" w:rsidRPr="00A9022E" w:rsidRDefault="00D21729" w:rsidP="00D21729">
            <w:pPr>
              <w:spacing w:after="0" w:line="240" w:lineRule="auto"/>
              <w:jc w:val="center"/>
              <w:rPr>
                <w:rFonts w:ascii="Calibri" w:eastAsia="Times New Roman" w:hAnsi="Calibri" w:cs="Calibri"/>
                <w:sz w:val="18"/>
                <w:szCs w:val="18"/>
              </w:rPr>
            </w:pPr>
            <w:r w:rsidRPr="00A9022E">
              <w:rPr>
                <w:rFonts w:ascii="Calibri" w:eastAsia="Times New Roman" w:hAnsi="Calibri" w:cs="Calibri"/>
                <w:sz w:val="18"/>
                <w:szCs w:val="18"/>
              </w:rPr>
              <w:t>76.2%</w:t>
            </w:r>
          </w:p>
        </w:tc>
        <w:tc>
          <w:tcPr>
            <w:tcW w:w="1360" w:type="dxa"/>
            <w:tcBorders>
              <w:top w:val="nil"/>
              <w:left w:val="nil"/>
              <w:bottom w:val="nil"/>
              <w:right w:val="nil"/>
            </w:tcBorders>
            <w:shd w:val="clear" w:color="auto" w:fill="auto"/>
            <w:vAlign w:val="center"/>
            <w:hideMark/>
          </w:tcPr>
          <w:p w14:paraId="769C05E1" w14:textId="7FA5FD03" w:rsidR="00D21729" w:rsidRPr="00A9022E" w:rsidRDefault="00D21729" w:rsidP="00D21729">
            <w:pPr>
              <w:spacing w:after="0" w:line="240" w:lineRule="auto"/>
              <w:jc w:val="center"/>
              <w:rPr>
                <w:rFonts w:ascii="Calibri" w:eastAsia="Times New Roman" w:hAnsi="Calibri" w:cs="Calibri"/>
                <w:sz w:val="18"/>
                <w:szCs w:val="18"/>
              </w:rPr>
            </w:pPr>
            <w:r w:rsidRPr="00A9022E">
              <w:rPr>
                <w:rFonts w:ascii="Calibri" w:eastAsia="Times New Roman" w:hAnsi="Calibri" w:cs="Calibri"/>
                <w:sz w:val="18"/>
                <w:szCs w:val="18"/>
              </w:rPr>
              <w:t>76.3%</w:t>
            </w:r>
          </w:p>
        </w:tc>
        <w:tc>
          <w:tcPr>
            <w:tcW w:w="1219" w:type="dxa"/>
            <w:vMerge/>
            <w:tcBorders>
              <w:top w:val="nil"/>
              <w:left w:val="nil"/>
              <w:bottom w:val="nil"/>
              <w:right w:val="nil"/>
            </w:tcBorders>
            <w:vAlign w:val="center"/>
            <w:hideMark/>
          </w:tcPr>
          <w:p w14:paraId="5A9A905B" w14:textId="77777777" w:rsidR="00D21729" w:rsidRPr="00A9022E" w:rsidRDefault="00D21729" w:rsidP="00D21729">
            <w:pPr>
              <w:spacing w:after="0" w:line="240" w:lineRule="auto"/>
              <w:rPr>
                <w:rFonts w:ascii="Calibri" w:eastAsia="Times New Roman" w:hAnsi="Calibri" w:cs="Calibri"/>
                <w:sz w:val="18"/>
                <w:szCs w:val="18"/>
              </w:rPr>
            </w:pPr>
          </w:p>
        </w:tc>
        <w:tc>
          <w:tcPr>
            <w:tcW w:w="1561" w:type="dxa"/>
            <w:vMerge/>
            <w:tcBorders>
              <w:top w:val="nil"/>
              <w:left w:val="nil"/>
              <w:bottom w:val="nil"/>
              <w:right w:val="nil"/>
            </w:tcBorders>
            <w:vAlign w:val="center"/>
            <w:hideMark/>
          </w:tcPr>
          <w:p w14:paraId="76A0EA91" w14:textId="77777777" w:rsidR="00D21729" w:rsidRPr="003C231E" w:rsidRDefault="00D21729" w:rsidP="00D21729">
            <w:pPr>
              <w:spacing w:after="0" w:line="240" w:lineRule="auto"/>
              <w:rPr>
                <w:rFonts w:ascii="Calibri" w:eastAsia="Times New Roman" w:hAnsi="Calibri" w:cs="Calibri"/>
                <w:color w:val="000000"/>
                <w:sz w:val="18"/>
                <w:szCs w:val="18"/>
              </w:rPr>
            </w:pPr>
          </w:p>
        </w:tc>
      </w:tr>
      <w:tr w:rsidR="00F3741C" w:rsidRPr="003C231E" w14:paraId="14DAD69D" w14:textId="77777777" w:rsidTr="00A5275C">
        <w:trPr>
          <w:trHeight w:val="643"/>
        </w:trPr>
        <w:tc>
          <w:tcPr>
            <w:tcW w:w="911" w:type="dxa"/>
            <w:vMerge w:val="restart"/>
            <w:tcBorders>
              <w:top w:val="nil"/>
              <w:left w:val="single" w:sz="4" w:space="0" w:color="auto"/>
              <w:bottom w:val="nil"/>
              <w:right w:val="nil"/>
            </w:tcBorders>
            <w:shd w:val="clear" w:color="000000" w:fill="767171"/>
            <w:vAlign w:val="center"/>
            <w:hideMark/>
          </w:tcPr>
          <w:p w14:paraId="23E10850" w14:textId="77777777" w:rsidR="00F3741C" w:rsidRPr="003C231E" w:rsidRDefault="00F3741C" w:rsidP="00A5275C">
            <w:pPr>
              <w:spacing w:after="0" w:line="240" w:lineRule="auto"/>
              <w:jc w:val="center"/>
              <w:rPr>
                <w:rFonts w:ascii="Calibri" w:eastAsia="Times New Roman" w:hAnsi="Calibri" w:cs="Calibri"/>
                <w:b/>
                <w:bCs/>
                <w:color w:val="FFFFFF"/>
                <w:sz w:val="18"/>
                <w:szCs w:val="18"/>
              </w:rPr>
            </w:pPr>
            <w:r w:rsidRPr="003C231E">
              <w:rPr>
                <w:rFonts w:ascii="Calibri" w:eastAsia="Times New Roman" w:hAnsi="Calibri" w:cs="Calibri"/>
                <w:b/>
                <w:bCs/>
                <w:color w:val="FFFFFF"/>
                <w:sz w:val="18"/>
                <w:szCs w:val="18"/>
              </w:rPr>
              <w:t>Grouping variable</w:t>
            </w:r>
          </w:p>
        </w:tc>
        <w:tc>
          <w:tcPr>
            <w:tcW w:w="3240" w:type="dxa"/>
            <w:vMerge w:val="restart"/>
            <w:tcBorders>
              <w:top w:val="nil"/>
              <w:left w:val="nil"/>
              <w:bottom w:val="nil"/>
              <w:right w:val="nil"/>
            </w:tcBorders>
            <w:shd w:val="clear" w:color="000000" w:fill="767171"/>
            <w:vAlign w:val="center"/>
            <w:hideMark/>
          </w:tcPr>
          <w:p w14:paraId="0B08BC22" w14:textId="77777777" w:rsidR="00F3741C" w:rsidRPr="003C231E" w:rsidRDefault="00F3741C" w:rsidP="00A5275C">
            <w:pPr>
              <w:spacing w:after="0" w:line="240" w:lineRule="auto"/>
              <w:jc w:val="center"/>
              <w:rPr>
                <w:rFonts w:ascii="Calibri" w:eastAsia="Times New Roman" w:hAnsi="Calibri" w:cs="Calibri"/>
                <w:b/>
                <w:bCs/>
                <w:color w:val="FFFFFF"/>
                <w:sz w:val="18"/>
                <w:szCs w:val="18"/>
              </w:rPr>
            </w:pPr>
            <w:r w:rsidRPr="003C231E">
              <w:rPr>
                <w:rFonts w:ascii="Calibri" w:eastAsia="Times New Roman" w:hAnsi="Calibri" w:cs="Calibri"/>
                <w:b/>
                <w:bCs/>
                <w:color w:val="FFFFFF"/>
                <w:sz w:val="18"/>
                <w:szCs w:val="18"/>
              </w:rPr>
              <w:t>Patient subgroups</w:t>
            </w:r>
          </w:p>
        </w:tc>
        <w:tc>
          <w:tcPr>
            <w:tcW w:w="2339" w:type="dxa"/>
            <w:gridSpan w:val="2"/>
            <w:tcBorders>
              <w:top w:val="nil"/>
              <w:left w:val="nil"/>
              <w:bottom w:val="single" w:sz="4" w:space="0" w:color="FFFFFF"/>
              <w:right w:val="nil"/>
            </w:tcBorders>
            <w:shd w:val="clear" w:color="000000" w:fill="767171"/>
            <w:vAlign w:val="center"/>
            <w:hideMark/>
          </w:tcPr>
          <w:p w14:paraId="69261A5F" w14:textId="77777777" w:rsidR="00F3741C" w:rsidRPr="003C231E" w:rsidRDefault="00F3741C" w:rsidP="00A5275C">
            <w:pPr>
              <w:spacing w:after="0" w:line="240" w:lineRule="auto"/>
              <w:jc w:val="center"/>
              <w:rPr>
                <w:rFonts w:ascii="Calibri" w:eastAsia="Times New Roman" w:hAnsi="Calibri" w:cs="Calibri"/>
                <w:b/>
                <w:bCs/>
                <w:color w:val="FFFFFF"/>
                <w:sz w:val="18"/>
                <w:szCs w:val="18"/>
              </w:rPr>
            </w:pPr>
            <w:r w:rsidRPr="003C231E">
              <w:rPr>
                <w:rFonts w:ascii="Calibri" w:eastAsia="Times New Roman" w:hAnsi="Calibri" w:cs="Calibri"/>
                <w:b/>
                <w:bCs/>
                <w:color w:val="FFFFFF"/>
                <w:sz w:val="18"/>
                <w:szCs w:val="18"/>
              </w:rPr>
              <w:t>Medication continuation measure rates (%)</w:t>
            </w:r>
          </w:p>
        </w:tc>
        <w:tc>
          <w:tcPr>
            <w:tcW w:w="2780" w:type="dxa"/>
            <w:gridSpan w:val="2"/>
            <w:tcBorders>
              <w:top w:val="nil"/>
              <w:left w:val="nil"/>
              <w:bottom w:val="single" w:sz="4" w:space="0" w:color="FFFFFF"/>
              <w:right w:val="single" w:sz="4" w:space="0" w:color="000000"/>
            </w:tcBorders>
            <w:shd w:val="clear" w:color="000000" w:fill="767171"/>
            <w:vAlign w:val="center"/>
            <w:hideMark/>
          </w:tcPr>
          <w:p w14:paraId="75CEAD4A" w14:textId="77777777" w:rsidR="00F3741C" w:rsidRPr="003C231E" w:rsidRDefault="00F3741C" w:rsidP="00A5275C">
            <w:pPr>
              <w:spacing w:after="0" w:line="240" w:lineRule="auto"/>
              <w:jc w:val="center"/>
              <w:rPr>
                <w:rFonts w:ascii="Calibri" w:eastAsia="Times New Roman" w:hAnsi="Calibri" w:cs="Calibri"/>
                <w:b/>
                <w:bCs/>
                <w:color w:val="FFFFFF"/>
                <w:sz w:val="18"/>
                <w:szCs w:val="18"/>
              </w:rPr>
            </w:pPr>
            <w:r w:rsidRPr="003C231E">
              <w:rPr>
                <w:rFonts w:ascii="Calibri" w:eastAsia="Times New Roman" w:hAnsi="Calibri" w:cs="Calibri"/>
                <w:b/>
                <w:bCs/>
                <w:color w:val="FFFFFF"/>
                <w:sz w:val="18"/>
                <w:szCs w:val="18"/>
              </w:rPr>
              <w:t>Effect size (Eta</w:t>
            </w:r>
            <w:r w:rsidRPr="003C231E">
              <w:rPr>
                <w:rFonts w:ascii="Calibri" w:eastAsia="Times New Roman" w:hAnsi="Calibri" w:cs="Calibri"/>
                <w:b/>
                <w:bCs/>
                <w:color w:val="FFFFFF"/>
                <w:sz w:val="18"/>
                <w:szCs w:val="18"/>
                <w:vertAlign w:val="superscript"/>
              </w:rPr>
              <w:t>2</w:t>
            </w:r>
            <w:r w:rsidRPr="003C231E">
              <w:rPr>
                <w:rFonts w:ascii="Calibri" w:eastAsia="Times New Roman" w:hAnsi="Calibri" w:cs="Calibri"/>
                <w:b/>
                <w:bCs/>
                <w:color w:val="FFFFFF"/>
                <w:sz w:val="18"/>
                <w:szCs w:val="18"/>
              </w:rPr>
              <w:t>) for differences in means between patient groups</w:t>
            </w:r>
          </w:p>
        </w:tc>
      </w:tr>
      <w:tr w:rsidR="00F3741C" w:rsidRPr="003C231E" w14:paraId="7E8C0FB6" w14:textId="77777777" w:rsidTr="00A5275C">
        <w:trPr>
          <w:trHeight w:val="472"/>
        </w:trPr>
        <w:tc>
          <w:tcPr>
            <w:tcW w:w="911" w:type="dxa"/>
            <w:vMerge/>
            <w:tcBorders>
              <w:top w:val="nil"/>
              <w:left w:val="single" w:sz="4" w:space="0" w:color="auto"/>
              <w:bottom w:val="nil"/>
              <w:right w:val="nil"/>
            </w:tcBorders>
            <w:vAlign w:val="center"/>
            <w:hideMark/>
          </w:tcPr>
          <w:p w14:paraId="2A67F9B6" w14:textId="77777777" w:rsidR="00F3741C" w:rsidRPr="003C231E" w:rsidRDefault="00F3741C" w:rsidP="00A5275C">
            <w:pPr>
              <w:spacing w:after="0" w:line="240" w:lineRule="auto"/>
              <w:rPr>
                <w:rFonts w:ascii="Calibri" w:eastAsia="Times New Roman" w:hAnsi="Calibri" w:cs="Calibri"/>
                <w:b/>
                <w:bCs/>
                <w:color w:val="FFFFFF"/>
                <w:sz w:val="18"/>
                <w:szCs w:val="18"/>
              </w:rPr>
            </w:pPr>
          </w:p>
        </w:tc>
        <w:tc>
          <w:tcPr>
            <w:tcW w:w="3240" w:type="dxa"/>
            <w:vMerge/>
            <w:tcBorders>
              <w:top w:val="nil"/>
              <w:left w:val="nil"/>
              <w:right w:val="nil"/>
            </w:tcBorders>
            <w:vAlign w:val="center"/>
            <w:hideMark/>
          </w:tcPr>
          <w:p w14:paraId="71E38931" w14:textId="77777777" w:rsidR="00F3741C" w:rsidRPr="003C231E" w:rsidRDefault="00F3741C" w:rsidP="00A5275C">
            <w:pPr>
              <w:spacing w:after="0" w:line="240" w:lineRule="auto"/>
              <w:rPr>
                <w:rFonts w:ascii="Calibri" w:eastAsia="Times New Roman" w:hAnsi="Calibri" w:cs="Calibri"/>
                <w:b/>
                <w:bCs/>
                <w:color w:val="FFFFFF"/>
                <w:sz w:val="18"/>
                <w:szCs w:val="18"/>
              </w:rPr>
            </w:pPr>
          </w:p>
        </w:tc>
        <w:tc>
          <w:tcPr>
            <w:tcW w:w="979" w:type="dxa"/>
            <w:tcBorders>
              <w:top w:val="nil"/>
              <w:left w:val="nil"/>
              <w:right w:val="nil"/>
            </w:tcBorders>
            <w:shd w:val="clear" w:color="000000" w:fill="767171"/>
            <w:vAlign w:val="center"/>
            <w:hideMark/>
          </w:tcPr>
          <w:p w14:paraId="411300FB" w14:textId="77777777" w:rsidR="00F3741C" w:rsidRPr="003C231E" w:rsidRDefault="00F3741C" w:rsidP="00A5275C">
            <w:pPr>
              <w:spacing w:after="0" w:line="240" w:lineRule="auto"/>
              <w:jc w:val="center"/>
              <w:rPr>
                <w:rFonts w:ascii="Calibri" w:eastAsia="Times New Roman" w:hAnsi="Calibri" w:cs="Calibri"/>
                <w:b/>
                <w:bCs/>
                <w:color w:val="FFFFFF"/>
                <w:sz w:val="18"/>
                <w:szCs w:val="18"/>
              </w:rPr>
            </w:pPr>
            <w:r w:rsidRPr="003C231E">
              <w:rPr>
                <w:rFonts w:ascii="Calibri" w:eastAsia="Times New Roman" w:hAnsi="Calibri" w:cs="Calibri"/>
                <w:b/>
                <w:bCs/>
                <w:color w:val="FFFFFF"/>
                <w:sz w:val="18"/>
                <w:szCs w:val="18"/>
              </w:rPr>
              <w:t>All facilities</w:t>
            </w:r>
          </w:p>
        </w:tc>
        <w:tc>
          <w:tcPr>
            <w:tcW w:w="1360" w:type="dxa"/>
            <w:tcBorders>
              <w:top w:val="nil"/>
              <w:left w:val="nil"/>
              <w:right w:val="nil"/>
            </w:tcBorders>
            <w:shd w:val="clear" w:color="000000" w:fill="767171"/>
            <w:vAlign w:val="center"/>
            <w:hideMark/>
          </w:tcPr>
          <w:p w14:paraId="1119717B" w14:textId="77777777" w:rsidR="00F3741C" w:rsidRPr="003C231E" w:rsidRDefault="00F3741C" w:rsidP="00A5275C">
            <w:pPr>
              <w:spacing w:after="0" w:line="240" w:lineRule="auto"/>
              <w:jc w:val="center"/>
              <w:rPr>
                <w:rFonts w:ascii="Calibri" w:eastAsia="Times New Roman" w:hAnsi="Calibri" w:cs="Calibri"/>
                <w:b/>
                <w:bCs/>
                <w:color w:val="FFFFFF"/>
                <w:sz w:val="18"/>
                <w:szCs w:val="18"/>
              </w:rPr>
            </w:pPr>
            <w:r w:rsidRPr="003C231E">
              <w:rPr>
                <w:rFonts w:ascii="Calibri" w:eastAsia="Times New Roman" w:hAnsi="Calibri" w:cs="Calibri"/>
                <w:b/>
                <w:bCs/>
                <w:color w:val="FFFFFF"/>
                <w:sz w:val="18"/>
                <w:szCs w:val="18"/>
              </w:rPr>
              <w:t>Facilities with ≥ 75 discharges</w:t>
            </w:r>
          </w:p>
        </w:tc>
        <w:tc>
          <w:tcPr>
            <w:tcW w:w="1219" w:type="dxa"/>
            <w:tcBorders>
              <w:top w:val="nil"/>
              <w:left w:val="nil"/>
              <w:right w:val="nil"/>
            </w:tcBorders>
            <w:shd w:val="clear" w:color="000000" w:fill="767171"/>
            <w:vAlign w:val="center"/>
            <w:hideMark/>
          </w:tcPr>
          <w:p w14:paraId="18233C6D" w14:textId="77777777" w:rsidR="00F3741C" w:rsidRPr="003C231E" w:rsidRDefault="00F3741C" w:rsidP="00A5275C">
            <w:pPr>
              <w:spacing w:after="0" w:line="240" w:lineRule="auto"/>
              <w:jc w:val="center"/>
              <w:rPr>
                <w:rFonts w:ascii="Calibri" w:eastAsia="Times New Roman" w:hAnsi="Calibri" w:cs="Calibri"/>
                <w:b/>
                <w:bCs/>
                <w:color w:val="FFFFFF"/>
                <w:sz w:val="18"/>
                <w:szCs w:val="18"/>
              </w:rPr>
            </w:pPr>
            <w:r w:rsidRPr="003C231E">
              <w:rPr>
                <w:rFonts w:ascii="Calibri" w:eastAsia="Times New Roman" w:hAnsi="Calibri" w:cs="Calibri"/>
                <w:b/>
                <w:bCs/>
                <w:color w:val="FFFFFF"/>
                <w:sz w:val="18"/>
                <w:szCs w:val="18"/>
              </w:rPr>
              <w:t>All facilities</w:t>
            </w:r>
          </w:p>
        </w:tc>
        <w:tc>
          <w:tcPr>
            <w:tcW w:w="1561" w:type="dxa"/>
            <w:tcBorders>
              <w:top w:val="nil"/>
              <w:left w:val="nil"/>
              <w:right w:val="single" w:sz="4" w:space="0" w:color="auto"/>
            </w:tcBorders>
            <w:shd w:val="clear" w:color="000000" w:fill="767171"/>
            <w:vAlign w:val="center"/>
            <w:hideMark/>
          </w:tcPr>
          <w:p w14:paraId="1AD1D2AE" w14:textId="77777777" w:rsidR="00F3741C" w:rsidRPr="003C231E" w:rsidRDefault="00F3741C" w:rsidP="00A5275C">
            <w:pPr>
              <w:spacing w:after="0" w:line="240" w:lineRule="auto"/>
              <w:jc w:val="center"/>
              <w:rPr>
                <w:rFonts w:ascii="Calibri" w:eastAsia="Times New Roman" w:hAnsi="Calibri" w:cs="Calibri"/>
                <w:b/>
                <w:bCs/>
                <w:color w:val="FFFFFF"/>
                <w:sz w:val="18"/>
                <w:szCs w:val="18"/>
              </w:rPr>
            </w:pPr>
            <w:r w:rsidRPr="003C231E">
              <w:rPr>
                <w:rFonts w:ascii="Calibri" w:eastAsia="Times New Roman" w:hAnsi="Calibri" w:cs="Calibri"/>
                <w:b/>
                <w:bCs/>
                <w:color w:val="FFFFFF"/>
                <w:sz w:val="18"/>
                <w:szCs w:val="18"/>
              </w:rPr>
              <w:t>Facilities with ≥ 75 discharges</w:t>
            </w:r>
          </w:p>
        </w:tc>
      </w:tr>
      <w:tr w:rsidR="00F3741C" w:rsidRPr="007A047F" w14:paraId="752E56BF" w14:textId="77777777" w:rsidTr="00A5275C">
        <w:trPr>
          <w:trHeight w:val="292"/>
        </w:trPr>
        <w:tc>
          <w:tcPr>
            <w:tcW w:w="911" w:type="dxa"/>
            <w:vMerge w:val="restart"/>
            <w:tcBorders>
              <w:top w:val="nil"/>
              <w:left w:val="nil"/>
              <w:bottom w:val="nil"/>
              <w:right w:val="nil"/>
            </w:tcBorders>
            <w:shd w:val="clear" w:color="auto" w:fill="auto"/>
            <w:vAlign w:val="center"/>
            <w:hideMark/>
          </w:tcPr>
          <w:p w14:paraId="5E43A34A" w14:textId="77777777" w:rsidR="00F3741C" w:rsidRPr="007A047F" w:rsidRDefault="00F3741C" w:rsidP="00A5275C">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Diagnosis</w:t>
            </w:r>
          </w:p>
        </w:tc>
        <w:tc>
          <w:tcPr>
            <w:tcW w:w="3240" w:type="dxa"/>
            <w:tcBorders>
              <w:top w:val="nil"/>
              <w:left w:val="nil"/>
              <w:bottom w:val="nil"/>
              <w:right w:val="nil"/>
            </w:tcBorders>
            <w:shd w:val="clear" w:color="auto" w:fill="auto"/>
            <w:vAlign w:val="center"/>
            <w:hideMark/>
          </w:tcPr>
          <w:p w14:paraId="63DC368E" w14:textId="77777777" w:rsidR="00F3741C" w:rsidRPr="007A047F" w:rsidRDefault="00F3741C" w:rsidP="00A5275C">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Schizophrenia (hypothesized lower rate)</w:t>
            </w:r>
          </w:p>
        </w:tc>
        <w:tc>
          <w:tcPr>
            <w:tcW w:w="979" w:type="dxa"/>
            <w:tcBorders>
              <w:top w:val="nil"/>
              <w:left w:val="nil"/>
              <w:bottom w:val="nil"/>
              <w:right w:val="nil"/>
            </w:tcBorders>
            <w:shd w:val="clear" w:color="auto" w:fill="auto"/>
            <w:vAlign w:val="center"/>
            <w:hideMark/>
          </w:tcPr>
          <w:p w14:paraId="1225DC47"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75.5%</w:t>
            </w:r>
          </w:p>
        </w:tc>
        <w:tc>
          <w:tcPr>
            <w:tcW w:w="1360" w:type="dxa"/>
            <w:tcBorders>
              <w:top w:val="nil"/>
              <w:left w:val="nil"/>
              <w:bottom w:val="nil"/>
              <w:right w:val="nil"/>
            </w:tcBorders>
            <w:shd w:val="clear" w:color="auto" w:fill="auto"/>
            <w:vAlign w:val="center"/>
            <w:hideMark/>
          </w:tcPr>
          <w:p w14:paraId="5180387A"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76.1%</w:t>
            </w:r>
          </w:p>
        </w:tc>
        <w:tc>
          <w:tcPr>
            <w:tcW w:w="1219" w:type="dxa"/>
            <w:vMerge w:val="restart"/>
            <w:tcBorders>
              <w:top w:val="nil"/>
              <w:left w:val="nil"/>
              <w:bottom w:val="nil"/>
              <w:right w:val="nil"/>
            </w:tcBorders>
            <w:shd w:val="clear" w:color="auto" w:fill="auto"/>
            <w:vAlign w:val="center"/>
            <w:hideMark/>
          </w:tcPr>
          <w:p w14:paraId="3F03925D"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0.001</w:t>
            </w:r>
          </w:p>
        </w:tc>
        <w:tc>
          <w:tcPr>
            <w:tcW w:w="1561" w:type="dxa"/>
            <w:vMerge w:val="restart"/>
            <w:tcBorders>
              <w:top w:val="nil"/>
              <w:left w:val="nil"/>
              <w:bottom w:val="nil"/>
              <w:right w:val="nil"/>
            </w:tcBorders>
            <w:shd w:val="clear" w:color="auto" w:fill="auto"/>
            <w:vAlign w:val="center"/>
            <w:hideMark/>
          </w:tcPr>
          <w:p w14:paraId="0712BECC"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0.013</w:t>
            </w:r>
          </w:p>
        </w:tc>
      </w:tr>
      <w:tr w:rsidR="00F3741C" w:rsidRPr="007A047F" w14:paraId="0995AA2A" w14:textId="77777777" w:rsidTr="00A5275C">
        <w:trPr>
          <w:trHeight w:val="292"/>
        </w:trPr>
        <w:tc>
          <w:tcPr>
            <w:tcW w:w="911" w:type="dxa"/>
            <w:vMerge/>
            <w:tcBorders>
              <w:top w:val="nil"/>
              <w:left w:val="nil"/>
              <w:bottom w:val="nil"/>
              <w:right w:val="nil"/>
            </w:tcBorders>
            <w:vAlign w:val="center"/>
            <w:hideMark/>
          </w:tcPr>
          <w:p w14:paraId="0DC2D7E6" w14:textId="77777777" w:rsidR="00F3741C" w:rsidRPr="007A047F" w:rsidRDefault="00F3741C" w:rsidP="00A5275C">
            <w:pPr>
              <w:spacing w:after="0" w:line="240" w:lineRule="auto"/>
              <w:rPr>
                <w:rFonts w:ascii="Calibri" w:eastAsia="Times New Roman" w:hAnsi="Calibri" w:cs="Calibri"/>
                <w:sz w:val="18"/>
                <w:szCs w:val="18"/>
              </w:rPr>
            </w:pPr>
          </w:p>
        </w:tc>
        <w:tc>
          <w:tcPr>
            <w:tcW w:w="3240" w:type="dxa"/>
            <w:tcBorders>
              <w:top w:val="nil"/>
              <w:left w:val="nil"/>
              <w:bottom w:val="nil"/>
              <w:right w:val="nil"/>
            </w:tcBorders>
            <w:shd w:val="clear" w:color="auto" w:fill="auto"/>
            <w:vAlign w:val="center"/>
            <w:hideMark/>
          </w:tcPr>
          <w:p w14:paraId="06E1456F" w14:textId="77777777" w:rsidR="00F3741C" w:rsidRPr="007A047F" w:rsidRDefault="00F3741C" w:rsidP="00A5275C">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MDD</w:t>
            </w:r>
          </w:p>
        </w:tc>
        <w:tc>
          <w:tcPr>
            <w:tcW w:w="979" w:type="dxa"/>
            <w:tcBorders>
              <w:top w:val="nil"/>
              <w:left w:val="nil"/>
              <w:bottom w:val="nil"/>
              <w:right w:val="nil"/>
            </w:tcBorders>
            <w:shd w:val="clear" w:color="auto" w:fill="auto"/>
            <w:vAlign w:val="center"/>
            <w:hideMark/>
          </w:tcPr>
          <w:p w14:paraId="0B31739E"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74.2%</w:t>
            </w:r>
          </w:p>
        </w:tc>
        <w:tc>
          <w:tcPr>
            <w:tcW w:w="1360" w:type="dxa"/>
            <w:tcBorders>
              <w:top w:val="nil"/>
              <w:left w:val="nil"/>
              <w:bottom w:val="nil"/>
              <w:right w:val="nil"/>
            </w:tcBorders>
            <w:shd w:val="clear" w:color="auto" w:fill="auto"/>
            <w:vAlign w:val="center"/>
            <w:hideMark/>
          </w:tcPr>
          <w:p w14:paraId="032D2209"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73.2%</w:t>
            </w:r>
          </w:p>
        </w:tc>
        <w:tc>
          <w:tcPr>
            <w:tcW w:w="1219" w:type="dxa"/>
            <w:vMerge/>
            <w:tcBorders>
              <w:top w:val="nil"/>
              <w:left w:val="nil"/>
              <w:bottom w:val="nil"/>
              <w:right w:val="nil"/>
            </w:tcBorders>
            <w:vAlign w:val="center"/>
            <w:hideMark/>
          </w:tcPr>
          <w:p w14:paraId="757F5822" w14:textId="77777777" w:rsidR="00F3741C" w:rsidRPr="007A047F" w:rsidRDefault="00F3741C" w:rsidP="00A5275C">
            <w:pPr>
              <w:spacing w:after="0" w:line="240" w:lineRule="auto"/>
              <w:rPr>
                <w:rFonts w:ascii="Calibri" w:eastAsia="Times New Roman" w:hAnsi="Calibri" w:cs="Calibri"/>
                <w:sz w:val="18"/>
                <w:szCs w:val="18"/>
              </w:rPr>
            </w:pPr>
          </w:p>
        </w:tc>
        <w:tc>
          <w:tcPr>
            <w:tcW w:w="1561" w:type="dxa"/>
            <w:vMerge/>
            <w:tcBorders>
              <w:top w:val="nil"/>
              <w:left w:val="nil"/>
              <w:bottom w:val="nil"/>
              <w:right w:val="nil"/>
            </w:tcBorders>
            <w:vAlign w:val="center"/>
            <w:hideMark/>
          </w:tcPr>
          <w:p w14:paraId="3164F848" w14:textId="77777777" w:rsidR="00F3741C" w:rsidRPr="007A047F" w:rsidRDefault="00F3741C" w:rsidP="00A5275C">
            <w:pPr>
              <w:spacing w:after="0" w:line="240" w:lineRule="auto"/>
              <w:rPr>
                <w:rFonts w:ascii="Calibri" w:eastAsia="Times New Roman" w:hAnsi="Calibri" w:cs="Calibri"/>
                <w:sz w:val="18"/>
                <w:szCs w:val="18"/>
              </w:rPr>
            </w:pPr>
          </w:p>
        </w:tc>
      </w:tr>
      <w:tr w:rsidR="00F3741C" w:rsidRPr="007A047F" w14:paraId="662986A0" w14:textId="77777777" w:rsidTr="00A5275C">
        <w:trPr>
          <w:trHeight w:val="292"/>
        </w:trPr>
        <w:tc>
          <w:tcPr>
            <w:tcW w:w="911" w:type="dxa"/>
            <w:vMerge/>
            <w:tcBorders>
              <w:top w:val="nil"/>
              <w:left w:val="nil"/>
              <w:bottom w:val="nil"/>
              <w:right w:val="nil"/>
            </w:tcBorders>
            <w:vAlign w:val="center"/>
            <w:hideMark/>
          </w:tcPr>
          <w:p w14:paraId="4DADD616" w14:textId="77777777" w:rsidR="00F3741C" w:rsidRPr="007A047F" w:rsidRDefault="00F3741C" w:rsidP="00A5275C">
            <w:pPr>
              <w:spacing w:after="0" w:line="240" w:lineRule="auto"/>
              <w:rPr>
                <w:rFonts w:ascii="Calibri" w:eastAsia="Times New Roman" w:hAnsi="Calibri" w:cs="Calibri"/>
                <w:sz w:val="18"/>
                <w:szCs w:val="18"/>
              </w:rPr>
            </w:pPr>
          </w:p>
        </w:tc>
        <w:tc>
          <w:tcPr>
            <w:tcW w:w="3240" w:type="dxa"/>
            <w:tcBorders>
              <w:top w:val="nil"/>
              <w:left w:val="nil"/>
              <w:bottom w:val="single" w:sz="4" w:space="0" w:color="auto"/>
              <w:right w:val="nil"/>
            </w:tcBorders>
            <w:shd w:val="clear" w:color="auto" w:fill="auto"/>
            <w:vAlign w:val="center"/>
            <w:hideMark/>
          </w:tcPr>
          <w:p w14:paraId="20FAF91D" w14:textId="77777777" w:rsidR="00F3741C" w:rsidRPr="007A047F" w:rsidRDefault="00F3741C" w:rsidP="00A5275C">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Bipolar disorder</w:t>
            </w:r>
          </w:p>
        </w:tc>
        <w:tc>
          <w:tcPr>
            <w:tcW w:w="979" w:type="dxa"/>
            <w:tcBorders>
              <w:top w:val="nil"/>
              <w:left w:val="nil"/>
              <w:bottom w:val="single" w:sz="4" w:space="0" w:color="auto"/>
              <w:right w:val="nil"/>
            </w:tcBorders>
            <w:shd w:val="clear" w:color="auto" w:fill="auto"/>
            <w:vAlign w:val="center"/>
            <w:hideMark/>
          </w:tcPr>
          <w:p w14:paraId="57338F52"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75.3%</w:t>
            </w:r>
          </w:p>
        </w:tc>
        <w:tc>
          <w:tcPr>
            <w:tcW w:w="1360" w:type="dxa"/>
            <w:tcBorders>
              <w:top w:val="nil"/>
              <w:left w:val="nil"/>
              <w:bottom w:val="single" w:sz="4" w:space="0" w:color="auto"/>
              <w:right w:val="nil"/>
            </w:tcBorders>
            <w:shd w:val="clear" w:color="auto" w:fill="auto"/>
            <w:vAlign w:val="center"/>
            <w:hideMark/>
          </w:tcPr>
          <w:p w14:paraId="700E290F"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75.2%</w:t>
            </w:r>
          </w:p>
        </w:tc>
        <w:tc>
          <w:tcPr>
            <w:tcW w:w="1219" w:type="dxa"/>
            <w:vMerge/>
            <w:tcBorders>
              <w:top w:val="nil"/>
              <w:left w:val="nil"/>
              <w:bottom w:val="single" w:sz="4" w:space="0" w:color="auto"/>
              <w:right w:val="nil"/>
            </w:tcBorders>
            <w:vAlign w:val="center"/>
            <w:hideMark/>
          </w:tcPr>
          <w:p w14:paraId="6A4A1058" w14:textId="77777777" w:rsidR="00F3741C" w:rsidRPr="007A047F" w:rsidRDefault="00F3741C" w:rsidP="00A5275C">
            <w:pPr>
              <w:spacing w:after="0" w:line="240" w:lineRule="auto"/>
              <w:rPr>
                <w:rFonts w:ascii="Calibri" w:eastAsia="Times New Roman" w:hAnsi="Calibri" w:cs="Calibri"/>
                <w:sz w:val="18"/>
                <w:szCs w:val="18"/>
              </w:rPr>
            </w:pPr>
          </w:p>
        </w:tc>
        <w:tc>
          <w:tcPr>
            <w:tcW w:w="1561" w:type="dxa"/>
            <w:vMerge/>
            <w:tcBorders>
              <w:top w:val="nil"/>
              <w:left w:val="nil"/>
              <w:bottom w:val="single" w:sz="4" w:space="0" w:color="auto"/>
              <w:right w:val="nil"/>
            </w:tcBorders>
            <w:vAlign w:val="center"/>
            <w:hideMark/>
          </w:tcPr>
          <w:p w14:paraId="3661EF63" w14:textId="77777777" w:rsidR="00F3741C" w:rsidRPr="007A047F" w:rsidRDefault="00F3741C" w:rsidP="00A5275C">
            <w:pPr>
              <w:spacing w:after="0" w:line="240" w:lineRule="auto"/>
              <w:rPr>
                <w:rFonts w:ascii="Calibri" w:eastAsia="Times New Roman" w:hAnsi="Calibri" w:cs="Calibri"/>
                <w:sz w:val="18"/>
                <w:szCs w:val="18"/>
              </w:rPr>
            </w:pPr>
          </w:p>
        </w:tc>
      </w:tr>
      <w:tr w:rsidR="00F3741C" w:rsidRPr="007A047F" w14:paraId="63D4ED61" w14:textId="77777777" w:rsidTr="00A5275C">
        <w:trPr>
          <w:trHeight w:val="292"/>
        </w:trPr>
        <w:tc>
          <w:tcPr>
            <w:tcW w:w="911" w:type="dxa"/>
            <w:vMerge w:val="restart"/>
            <w:tcBorders>
              <w:top w:val="nil"/>
              <w:left w:val="nil"/>
              <w:bottom w:val="single" w:sz="4" w:space="0" w:color="000000"/>
              <w:right w:val="nil"/>
            </w:tcBorders>
            <w:shd w:val="clear" w:color="auto" w:fill="auto"/>
            <w:vAlign w:val="center"/>
            <w:hideMark/>
          </w:tcPr>
          <w:p w14:paraId="621E83E9" w14:textId="77777777" w:rsidR="00F3741C" w:rsidRPr="007A047F" w:rsidRDefault="00F3741C" w:rsidP="00A5275C">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Age</w:t>
            </w:r>
          </w:p>
        </w:tc>
        <w:tc>
          <w:tcPr>
            <w:tcW w:w="3240" w:type="dxa"/>
            <w:tcBorders>
              <w:top w:val="single" w:sz="4" w:space="0" w:color="auto"/>
              <w:left w:val="nil"/>
              <w:bottom w:val="nil"/>
              <w:right w:val="nil"/>
            </w:tcBorders>
            <w:shd w:val="clear" w:color="auto" w:fill="auto"/>
            <w:vAlign w:val="center"/>
            <w:hideMark/>
          </w:tcPr>
          <w:p w14:paraId="47B76F0A" w14:textId="77777777" w:rsidR="00F3741C" w:rsidRPr="007A047F" w:rsidRDefault="00F3741C" w:rsidP="00A5275C">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18-39 (hypothesized lower rate)</w:t>
            </w:r>
          </w:p>
        </w:tc>
        <w:tc>
          <w:tcPr>
            <w:tcW w:w="979" w:type="dxa"/>
            <w:tcBorders>
              <w:top w:val="single" w:sz="4" w:space="0" w:color="auto"/>
              <w:left w:val="nil"/>
              <w:bottom w:val="nil"/>
              <w:right w:val="nil"/>
            </w:tcBorders>
            <w:shd w:val="clear" w:color="auto" w:fill="auto"/>
            <w:vAlign w:val="center"/>
            <w:hideMark/>
          </w:tcPr>
          <w:p w14:paraId="632BB3F6"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74.0%</w:t>
            </w:r>
          </w:p>
        </w:tc>
        <w:tc>
          <w:tcPr>
            <w:tcW w:w="1360" w:type="dxa"/>
            <w:tcBorders>
              <w:top w:val="single" w:sz="4" w:space="0" w:color="auto"/>
              <w:left w:val="nil"/>
              <w:bottom w:val="nil"/>
              <w:right w:val="nil"/>
            </w:tcBorders>
            <w:shd w:val="clear" w:color="auto" w:fill="auto"/>
            <w:vAlign w:val="center"/>
            <w:hideMark/>
          </w:tcPr>
          <w:p w14:paraId="1EA3E2B3"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74.7%</w:t>
            </w:r>
          </w:p>
        </w:tc>
        <w:tc>
          <w:tcPr>
            <w:tcW w:w="1219" w:type="dxa"/>
            <w:vMerge w:val="restart"/>
            <w:tcBorders>
              <w:top w:val="single" w:sz="4" w:space="0" w:color="auto"/>
              <w:left w:val="nil"/>
              <w:bottom w:val="single" w:sz="4" w:space="0" w:color="000000"/>
              <w:right w:val="nil"/>
            </w:tcBorders>
            <w:shd w:val="clear" w:color="auto" w:fill="auto"/>
            <w:vAlign w:val="center"/>
            <w:hideMark/>
          </w:tcPr>
          <w:p w14:paraId="103CA9F3"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0.004</w:t>
            </w:r>
          </w:p>
        </w:tc>
        <w:tc>
          <w:tcPr>
            <w:tcW w:w="1561" w:type="dxa"/>
            <w:vMerge w:val="restart"/>
            <w:tcBorders>
              <w:top w:val="single" w:sz="4" w:space="0" w:color="auto"/>
              <w:left w:val="nil"/>
              <w:bottom w:val="single" w:sz="4" w:space="0" w:color="000000"/>
              <w:right w:val="nil"/>
            </w:tcBorders>
            <w:shd w:val="clear" w:color="auto" w:fill="auto"/>
            <w:vAlign w:val="center"/>
            <w:hideMark/>
          </w:tcPr>
          <w:p w14:paraId="0250763F"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0.0001</w:t>
            </w:r>
          </w:p>
        </w:tc>
      </w:tr>
      <w:tr w:rsidR="00F3741C" w:rsidRPr="007A047F" w14:paraId="166D7C0C" w14:textId="77777777" w:rsidTr="00A5275C">
        <w:trPr>
          <w:trHeight w:val="292"/>
        </w:trPr>
        <w:tc>
          <w:tcPr>
            <w:tcW w:w="911" w:type="dxa"/>
            <w:vMerge/>
            <w:tcBorders>
              <w:top w:val="nil"/>
              <w:left w:val="nil"/>
              <w:bottom w:val="single" w:sz="4" w:space="0" w:color="000000"/>
              <w:right w:val="nil"/>
            </w:tcBorders>
            <w:vAlign w:val="center"/>
            <w:hideMark/>
          </w:tcPr>
          <w:p w14:paraId="7AA39FAB" w14:textId="77777777" w:rsidR="00F3741C" w:rsidRPr="007A047F" w:rsidRDefault="00F3741C" w:rsidP="00A5275C">
            <w:pPr>
              <w:spacing w:after="0" w:line="240" w:lineRule="auto"/>
              <w:rPr>
                <w:rFonts w:ascii="Calibri" w:eastAsia="Times New Roman" w:hAnsi="Calibri" w:cs="Calibri"/>
                <w:sz w:val="18"/>
                <w:szCs w:val="18"/>
              </w:rPr>
            </w:pPr>
          </w:p>
        </w:tc>
        <w:tc>
          <w:tcPr>
            <w:tcW w:w="3240" w:type="dxa"/>
            <w:tcBorders>
              <w:top w:val="nil"/>
              <w:left w:val="nil"/>
              <w:bottom w:val="nil"/>
              <w:right w:val="nil"/>
            </w:tcBorders>
            <w:shd w:val="clear" w:color="auto" w:fill="auto"/>
            <w:vAlign w:val="center"/>
            <w:hideMark/>
          </w:tcPr>
          <w:p w14:paraId="72315682" w14:textId="77777777" w:rsidR="00F3741C" w:rsidRPr="007A047F" w:rsidRDefault="00F3741C" w:rsidP="00A5275C">
            <w:pPr>
              <w:spacing w:after="0" w:line="240" w:lineRule="auto"/>
              <w:rPr>
                <w:rFonts w:ascii="Calibri" w:eastAsia="Times New Roman" w:hAnsi="Calibri" w:cs="Calibri"/>
                <w:sz w:val="18"/>
                <w:szCs w:val="18"/>
              </w:rPr>
            </w:pPr>
            <w:r w:rsidRPr="007A047F">
              <w:rPr>
                <w:rFonts w:ascii="Calibri" w:eastAsia="Times New Roman" w:hAnsi="Calibri" w:cs="Calibri"/>
                <w:sz w:val="18"/>
                <w:szCs w:val="18"/>
              </w:rPr>
              <w:t>40-59</w:t>
            </w:r>
          </w:p>
        </w:tc>
        <w:tc>
          <w:tcPr>
            <w:tcW w:w="979" w:type="dxa"/>
            <w:tcBorders>
              <w:top w:val="nil"/>
              <w:left w:val="nil"/>
              <w:bottom w:val="nil"/>
              <w:right w:val="nil"/>
            </w:tcBorders>
            <w:shd w:val="clear" w:color="auto" w:fill="auto"/>
            <w:vAlign w:val="center"/>
            <w:hideMark/>
          </w:tcPr>
          <w:p w14:paraId="69D0AEF0"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74.1%</w:t>
            </w:r>
          </w:p>
        </w:tc>
        <w:tc>
          <w:tcPr>
            <w:tcW w:w="1360" w:type="dxa"/>
            <w:tcBorders>
              <w:top w:val="nil"/>
              <w:left w:val="nil"/>
              <w:bottom w:val="nil"/>
              <w:right w:val="nil"/>
            </w:tcBorders>
            <w:shd w:val="clear" w:color="auto" w:fill="auto"/>
            <w:vAlign w:val="center"/>
            <w:hideMark/>
          </w:tcPr>
          <w:p w14:paraId="05D414D1" w14:textId="77777777" w:rsidR="00F3741C" w:rsidRPr="007A047F" w:rsidRDefault="00F3741C" w:rsidP="00A5275C">
            <w:pPr>
              <w:spacing w:after="0" w:line="240" w:lineRule="auto"/>
              <w:jc w:val="center"/>
              <w:rPr>
                <w:rFonts w:ascii="Calibri" w:eastAsia="Times New Roman" w:hAnsi="Calibri" w:cs="Calibri"/>
                <w:sz w:val="18"/>
                <w:szCs w:val="18"/>
              </w:rPr>
            </w:pPr>
            <w:r w:rsidRPr="007A047F">
              <w:rPr>
                <w:rFonts w:ascii="Calibri" w:eastAsia="Times New Roman" w:hAnsi="Calibri" w:cs="Calibri"/>
                <w:sz w:val="18"/>
                <w:szCs w:val="18"/>
              </w:rPr>
              <w:t>74.8%</w:t>
            </w:r>
          </w:p>
        </w:tc>
        <w:tc>
          <w:tcPr>
            <w:tcW w:w="1219" w:type="dxa"/>
            <w:vMerge/>
            <w:tcBorders>
              <w:top w:val="nil"/>
              <w:left w:val="nil"/>
              <w:bottom w:val="single" w:sz="4" w:space="0" w:color="000000"/>
              <w:right w:val="nil"/>
            </w:tcBorders>
            <w:vAlign w:val="center"/>
            <w:hideMark/>
          </w:tcPr>
          <w:p w14:paraId="342F516B" w14:textId="77777777" w:rsidR="00F3741C" w:rsidRPr="007A047F" w:rsidRDefault="00F3741C" w:rsidP="00A5275C">
            <w:pPr>
              <w:spacing w:after="0" w:line="240" w:lineRule="auto"/>
              <w:rPr>
                <w:rFonts w:ascii="Calibri" w:eastAsia="Times New Roman" w:hAnsi="Calibri" w:cs="Calibri"/>
                <w:sz w:val="18"/>
                <w:szCs w:val="18"/>
              </w:rPr>
            </w:pPr>
          </w:p>
        </w:tc>
        <w:tc>
          <w:tcPr>
            <w:tcW w:w="1561" w:type="dxa"/>
            <w:vMerge/>
            <w:tcBorders>
              <w:top w:val="nil"/>
              <w:left w:val="nil"/>
              <w:bottom w:val="single" w:sz="4" w:space="0" w:color="000000"/>
              <w:right w:val="nil"/>
            </w:tcBorders>
            <w:vAlign w:val="center"/>
            <w:hideMark/>
          </w:tcPr>
          <w:p w14:paraId="16535841" w14:textId="77777777" w:rsidR="00F3741C" w:rsidRPr="007A047F" w:rsidRDefault="00F3741C" w:rsidP="00A5275C">
            <w:pPr>
              <w:spacing w:after="0" w:line="240" w:lineRule="auto"/>
              <w:rPr>
                <w:rFonts w:ascii="Calibri" w:eastAsia="Times New Roman" w:hAnsi="Calibri" w:cs="Calibri"/>
                <w:sz w:val="18"/>
                <w:szCs w:val="18"/>
              </w:rPr>
            </w:pPr>
          </w:p>
        </w:tc>
      </w:tr>
      <w:tr w:rsidR="00F3741C" w:rsidRPr="00D21729" w14:paraId="179951E7" w14:textId="77777777" w:rsidTr="00A5275C">
        <w:trPr>
          <w:trHeight w:val="292"/>
        </w:trPr>
        <w:tc>
          <w:tcPr>
            <w:tcW w:w="911" w:type="dxa"/>
            <w:vMerge/>
            <w:tcBorders>
              <w:top w:val="nil"/>
              <w:left w:val="nil"/>
              <w:bottom w:val="single" w:sz="4" w:space="0" w:color="000000"/>
              <w:right w:val="nil"/>
            </w:tcBorders>
            <w:vAlign w:val="center"/>
            <w:hideMark/>
          </w:tcPr>
          <w:p w14:paraId="013CA850" w14:textId="77777777" w:rsidR="00F3741C" w:rsidRPr="00D21729" w:rsidRDefault="00F3741C" w:rsidP="00A5275C">
            <w:pPr>
              <w:spacing w:after="0" w:line="240" w:lineRule="auto"/>
              <w:rPr>
                <w:rFonts w:ascii="Calibri" w:eastAsia="Times New Roman" w:hAnsi="Calibri" w:cs="Calibri"/>
                <w:color w:val="FF0000"/>
                <w:sz w:val="18"/>
                <w:szCs w:val="18"/>
              </w:rPr>
            </w:pPr>
          </w:p>
        </w:tc>
        <w:tc>
          <w:tcPr>
            <w:tcW w:w="3240" w:type="dxa"/>
            <w:tcBorders>
              <w:top w:val="nil"/>
              <w:left w:val="nil"/>
              <w:bottom w:val="single" w:sz="4" w:space="0" w:color="auto"/>
              <w:right w:val="nil"/>
            </w:tcBorders>
            <w:shd w:val="clear" w:color="auto" w:fill="auto"/>
            <w:vAlign w:val="center"/>
            <w:hideMark/>
          </w:tcPr>
          <w:p w14:paraId="0F11B146" w14:textId="77777777" w:rsidR="00F3741C" w:rsidRPr="00A9022E" w:rsidRDefault="00F3741C" w:rsidP="00A5275C">
            <w:pPr>
              <w:spacing w:after="0" w:line="240" w:lineRule="auto"/>
              <w:rPr>
                <w:rFonts w:ascii="Calibri" w:eastAsia="Times New Roman" w:hAnsi="Calibri" w:cs="Calibri"/>
                <w:sz w:val="18"/>
                <w:szCs w:val="18"/>
              </w:rPr>
            </w:pPr>
            <w:r w:rsidRPr="00A9022E">
              <w:rPr>
                <w:rFonts w:ascii="Calibri" w:eastAsia="Times New Roman" w:hAnsi="Calibri" w:cs="Calibri"/>
                <w:sz w:val="18"/>
                <w:szCs w:val="18"/>
              </w:rPr>
              <w:t>≥60</w:t>
            </w:r>
          </w:p>
        </w:tc>
        <w:tc>
          <w:tcPr>
            <w:tcW w:w="979" w:type="dxa"/>
            <w:tcBorders>
              <w:top w:val="nil"/>
              <w:left w:val="nil"/>
              <w:bottom w:val="single" w:sz="4" w:space="0" w:color="auto"/>
              <w:right w:val="nil"/>
            </w:tcBorders>
            <w:shd w:val="clear" w:color="auto" w:fill="auto"/>
            <w:vAlign w:val="center"/>
            <w:hideMark/>
          </w:tcPr>
          <w:p w14:paraId="34CA845A" w14:textId="77777777" w:rsidR="00F3741C" w:rsidRPr="00A9022E" w:rsidRDefault="00F3741C" w:rsidP="00A5275C">
            <w:pPr>
              <w:spacing w:after="0" w:line="240" w:lineRule="auto"/>
              <w:jc w:val="center"/>
              <w:rPr>
                <w:rFonts w:ascii="Calibri" w:eastAsia="Times New Roman" w:hAnsi="Calibri" w:cs="Calibri"/>
                <w:sz w:val="18"/>
                <w:szCs w:val="18"/>
              </w:rPr>
            </w:pPr>
            <w:r w:rsidRPr="00A9022E">
              <w:rPr>
                <w:rFonts w:ascii="Calibri" w:eastAsia="Times New Roman" w:hAnsi="Calibri" w:cs="Calibri"/>
                <w:sz w:val="18"/>
                <w:szCs w:val="18"/>
              </w:rPr>
              <w:t>75.4%</w:t>
            </w:r>
          </w:p>
        </w:tc>
        <w:tc>
          <w:tcPr>
            <w:tcW w:w="1360" w:type="dxa"/>
            <w:tcBorders>
              <w:top w:val="nil"/>
              <w:left w:val="nil"/>
              <w:bottom w:val="single" w:sz="4" w:space="0" w:color="auto"/>
              <w:right w:val="nil"/>
            </w:tcBorders>
            <w:shd w:val="clear" w:color="auto" w:fill="auto"/>
            <w:vAlign w:val="center"/>
            <w:hideMark/>
          </w:tcPr>
          <w:p w14:paraId="58443F55" w14:textId="77777777" w:rsidR="00F3741C" w:rsidRPr="00A9022E" w:rsidRDefault="00F3741C" w:rsidP="00A5275C">
            <w:pPr>
              <w:spacing w:after="0" w:line="240" w:lineRule="auto"/>
              <w:jc w:val="center"/>
              <w:rPr>
                <w:rFonts w:ascii="Calibri" w:eastAsia="Times New Roman" w:hAnsi="Calibri" w:cs="Calibri"/>
                <w:sz w:val="18"/>
                <w:szCs w:val="18"/>
              </w:rPr>
            </w:pPr>
            <w:r w:rsidRPr="00A9022E">
              <w:rPr>
                <w:rFonts w:ascii="Calibri" w:eastAsia="Times New Roman" w:hAnsi="Calibri" w:cs="Calibri"/>
                <w:sz w:val="18"/>
                <w:szCs w:val="18"/>
              </w:rPr>
              <w:t>74.9%</w:t>
            </w:r>
          </w:p>
        </w:tc>
        <w:tc>
          <w:tcPr>
            <w:tcW w:w="1219" w:type="dxa"/>
            <w:vMerge/>
            <w:tcBorders>
              <w:top w:val="nil"/>
              <w:left w:val="nil"/>
              <w:bottom w:val="single" w:sz="4" w:space="0" w:color="000000"/>
              <w:right w:val="nil"/>
            </w:tcBorders>
            <w:vAlign w:val="center"/>
            <w:hideMark/>
          </w:tcPr>
          <w:p w14:paraId="4D3E7EC6" w14:textId="77777777" w:rsidR="00F3741C" w:rsidRPr="00D21729" w:rsidRDefault="00F3741C" w:rsidP="00A5275C">
            <w:pPr>
              <w:spacing w:after="0" w:line="240" w:lineRule="auto"/>
              <w:rPr>
                <w:rFonts w:ascii="Calibri" w:eastAsia="Times New Roman" w:hAnsi="Calibri" w:cs="Calibri"/>
                <w:color w:val="FF0000"/>
                <w:sz w:val="18"/>
                <w:szCs w:val="18"/>
              </w:rPr>
            </w:pPr>
          </w:p>
        </w:tc>
        <w:tc>
          <w:tcPr>
            <w:tcW w:w="1561" w:type="dxa"/>
            <w:vMerge/>
            <w:tcBorders>
              <w:top w:val="nil"/>
              <w:left w:val="nil"/>
              <w:bottom w:val="single" w:sz="4" w:space="0" w:color="000000"/>
              <w:right w:val="nil"/>
            </w:tcBorders>
            <w:vAlign w:val="center"/>
            <w:hideMark/>
          </w:tcPr>
          <w:p w14:paraId="719260D2" w14:textId="77777777" w:rsidR="00F3741C" w:rsidRPr="00D21729" w:rsidRDefault="00F3741C" w:rsidP="00A5275C">
            <w:pPr>
              <w:spacing w:after="0" w:line="240" w:lineRule="auto"/>
              <w:rPr>
                <w:rFonts w:ascii="Calibri" w:eastAsia="Times New Roman" w:hAnsi="Calibri" w:cs="Calibri"/>
                <w:color w:val="FF0000"/>
                <w:sz w:val="18"/>
                <w:szCs w:val="18"/>
              </w:rPr>
            </w:pPr>
          </w:p>
        </w:tc>
      </w:tr>
    </w:tbl>
    <w:p w14:paraId="27011070" w14:textId="3A2078BE" w:rsidR="00F3741C" w:rsidRPr="00F32679" w:rsidRDefault="00F3741C" w:rsidP="00F3741C">
      <w:pPr>
        <w:tabs>
          <w:tab w:val="left" w:pos="792"/>
        </w:tabs>
        <w:spacing w:before="60" w:after="0" w:line="240" w:lineRule="auto"/>
        <w:ind w:left="792" w:hanging="792"/>
        <w:rPr>
          <w:rFonts w:ascii="Calibri" w:eastAsia="Calibri" w:hAnsi="Calibri" w:cs="Calibri"/>
          <w:bCs/>
          <w:color w:val="FF0000"/>
          <w:sz w:val="18"/>
          <w:szCs w:val="18"/>
        </w:rPr>
      </w:pPr>
      <w:r w:rsidRPr="00F32679">
        <w:rPr>
          <w:rFonts w:ascii="Calibri" w:eastAsia="Calibri" w:hAnsi="Calibri" w:cs="Calibri"/>
          <w:color w:val="FF0000"/>
          <w:sz w:val="18"/>
          <w:szCs w:val="18"/>
        </w:rPr>
        <w:t>Source:</w:t>
      </w:r>
      <w:r w:rsidRPr="00F32679">
        <w:rPr>
          <w:rFonts w:ascii="Calibri" w:eastAsia="Calibri" w:hAnsi="Calibri" w:cs="Calibri"/>
          <w:color w:val="FF0000"/>
          <w:sz w:val="18"/>
          <w:szCs w:val="18"/>
        </w:rPr>
        <w:tab/>
        <w:t xml:space="preserve">Mathematica analysis of the Medicare </w:t>
      </w:r>
      <w:r w:rsidR="00961F5B">
        <w:rPr>
          <w:rFonts w:ascii="Calibri" w:eastAsia="Calibri" w:hAnsi="Calibri" w:cs="Calibri"/>
          <w:color w:val="FF0000"/>
          <w:sz w:val="18"/>
          <w:szCs w:val="18"/>
        </w:rPr>
        <w:t>f</w:t>
      </w:r>
      <w:r w:rsidR="00961F5B" w:rsidRPr="00F32679">
        <w:rPr>
          <w:rFonts w:ascii="Calibri" w:eastAsia="Calibri" w:hAnsi="Calibri" w:cs="Calibri"/>
          <w:color w:val="FF0000"/>
          <w:sz w:val="18"/>
          <w:szCs w:val="18"/>
        </w:rPr>
        <w:t>ee</w:t>
      </w:r>
      <w:r w:rsidR="00961F5B">
        <w:rPr>
          <w:rFonts w:ascii="Calibri" w:eastAsia="Calibri" w:hAnsi="Calibri" w:cs="Calibri"/>
          <w:color w:val="FF0000"/>
          <w:sz w:val="18"/>
          <w:szCs w:val="18"/>
        </w:rPr>
        <w:t>-</w:t>
      </w:r>
      <w:r w:rsidRPr="00F32679">
        <w:rPr>
          <w:rFonts w:ascii="Calibri" w:eastAsia="Calibri" w:hAnsi="Calibri" w:cs="Calibri"/>
          <w:color w:val="FF0000"/>
          <w:sz w:val="18"/>
          <w:szCs w:val="18"/>
        </w:rPr>
        <w:t>for</w:t>
      </w:r>
      <w:r w:rsidR="00961F5B">
        <w:rPr>
          <w:rFonts w:ascii="Calibri" w:eastAsia="Calibri" w:hAnsi="Calibri" w:cs="Calibri"/>
          <w:color w:val="FF0000"/>
          <w:sz w:val="18"/>
          <w:szCs w:val="18"/>
        </w:rPr>
        <w:t>-s</w:t>
      </w:r>
      <w:r w:rsidRPr="00F32679">
        <w:rPr>
          <w:rFonts w:ascii="Calibri" w:eastAsia="Calibri" w:hAnsi="Calibri" w:cs="Calibri"/>
          <w:color w:val="FF0000"/>
          <w:sz w:val="18"/>
          <w:szCs w:val="18"/>
        </w:rPr>
        <w:t>ervice (FFS) data for the July 1, 2017</w:t>
      </w:r>
      <w:r w:rsidR="00961F5B">
        <w:rPr>
          <w:rFonts w:ascii="Calibri" w:eastAsia="Calibri" w:hAnsi="Calibri" w:cs="Calibri"/>
          <w:color w:val="FF0000"/>
          <w:sz w:val="18"/>
          <w:szCs w:val="18"/>
        </w:rPr>
        <w:t>–</w:t>
      </w:r>
      <w:r w:rsidRPr="00F32679">
        <w:rPr>
          <w:rFonts w:ascii="Calibri" w:eastAsia="Calibri" w:hAnsi="Calibri" w:cs="Calibri"/>
          <w:color w:val="FF0000"/>
          <w:sz w:val="18"/>
          <w:szCs w:val="18"/>
        </w:rPr>
        <w:t xml:space="preserve"> June 30, 2019 performance period. Facilities with less than </w:t>
      </w:r>
      <w:r w:rsidR="00D21729">
        <w:rPr>
          <w:rFonts w:ascii="Calibri" w:eastAsia="Calibri" w:hAnsi="Calibri" w:cs="Calibri"/>
          <w:color w:val="FF0000"/>
          <w:sz w:val="18"/>
          <w:szCs w:val="18"/>
        </w:rPr>
        <w:t>75</w:t>
      </w:r>
      <w:r w:rsidRPr="00F32679">
        <w:rPr>
          <w:rFonts w:ascii="Calibri" w:eastAsia="Calibri" w:hAnsi="Calibri" w:cs="Calibri"/>
          <w:color w:val="FF0000"/>
          <w:sz w:val="18"/>
          <w:szCs w:val="18"/>
        </w:rPr>
        <w:t xml:space="preserve"> discharges were excluded from the analysis. </w:t>
      </w:r>
      <w:r w:rsidRPr="00F32679">
        <w:rPr>
          <w:rFonts w:ascii="Calibri" w:eastAsia="Times New Roman" w:hAnsi="Calibri" w:cs="Calibri"/>
          <w:color w:val="FF0000"/>
          <w:sz w:val="18"/>
          <w:szCs w:val="20"/>
        </w:rPr>
        <w:t>Results based on 1,680 inpatient psychiatric facilities with a total of 308,556 eligible discharges</w:t>
      </w:r>
      <w:r w:rsidR="0080077F">
        <w:rPr>
          <w:rFonts w:ascii="Calibri" w:eastAsia="Times New Roman" w:hAnsi="Calibri" w:cs="Calibri"/>
          <w:color w:val="FF0000"/>
          <w:sz w:val="18"/>
          <w:szCs w:val="18"/>
        </w:rPr>
        <w:t xml:space="preserve"> (full sample data), and 1,066 inpatient psychiatric facilities and 268,673 discharges (≥75 discharges).</w:t>
      </w:r>
    </w:p>
    <w:p w14:paraId="6EE04FC2" w14:textId="77777777" w:rsidR="00F3741C" w:rsidRPr="00F32679" w:rsidRDefault="00F3741C" w:rsidP="00F3741C">
      <w:pPr>
        <w:tabs>
          <w:tab w:val="left" w:pos="792"/>
        </w:tabs>
        <w:spacing w:after="160" w:line="259" w:lineRule="auto"/>
        <w:ind w:left="810" w:hanging="810"/>
        <w:rPr>
          <w:rFonts w:ascii="Calibri" w:eastAsia="Calibri" w:hAnsi="Calibri" w:cs="Calibri"/>
          <w:color w:val="FF0000"/>
          <w:sz w:val="18"/>
          <w:szCs w:val="18"/>
        </w:rPr>
      </w:pPr>
      <w:r w:rsidRPr="00F32679">
        <w:rPr>
          <w:rFonts w:ascii="Calibri" w:eastAsia="Calibri" w:hAnsi="Calibri" w:cs="Calibri"/>
          <w:color w:val="FF0000"/>
          <w:sz w:val="18"/>
          <w:szCs w:val="18"/>
        </w:rPr>
        <w:t xml:space="preserve">Notes: </w:t>
      </w:r>
      <w:r w:rsidRPr="00F32679">
        <w:rPr>
          <w:rFonts w:ascii="Calibri" w:eastAsia="Calibri" w:hAnsi="Calibri" w:cs="Calibri"/>
          <w:color w:val="FF0000"/>
          <w:sz w:val="18"/>
          <w:szCs w:val="18"/>
        </w:rPr>
        <w:tab/>
        <w:t xml:space="preserve">The differences in the measure rates by sex, SUD diagnosis, dual Medicare-Medicaid enrollment and race were significant at </w:t>
      </w:r>
      <w:r w:rsidRPr="00D21729">
        <w:rPr>
          <w:rFonts w:ascii="Calibri" w:eastAsia="Calibri" w:hAnsi="Calibri" w:cs="Calibri"/>
          <w:i/>
          <w:iCs/>
          <w:color w:val="FF0000"/>
          <w:sz w:val="18"/>
          <w:szCs w:val="18"/>
        </w:rPr>
        <w:t>p</w:t>
      </w:r>
      <w:r w:rsidRPr="00F32679">
        <w:rPr>
          <w:rFonts w:ascii="Calibri" w:eastAsia="Calibri" w:hAnsi="Calibri" w:cs="Calibri"/>
          <w:color w:val="FF0000"/>
          <w:sz w:val="18"/>
          <w:szCs w:val="18"/>
        </w:rPr>
        <w:t xml:space="preserve">≤0.01 for all hospitals and hospitals with ≥75 discharges. The differences in the measure rates by age groups were statistically significant at </w:t>
      </w:r>
      <w:r w:rsidRPr="00D21729">
        <w:rPr>
          <w:rFonts w:ascii="Calibri" w:eastAsia="Calibri" w:hAnsi="Calibri" w:cs="Calibri"/>
          <w:i/>
          <w:iCs/>
          <w:color w:val="FF0000"/>
          <w:sz w:val="18"/>
          <w:szCs w:val="18"/>
        </w:rPr>
        <w:t>p</w:t>
      </w:r>
      <w:r w:rsidRPr="00F32679">
        <w:rPr>
          <w:rFonts w:ascii="Calibri" w:eastAsia="Calibri" w:hAnsi="Calibri" w:cs="Calibri"/>
          <w:color w:val="FF0000"/>
          <w:sz w:val="18"/>
          <w:szCs w:val="18"/>
        </w:rPr>
        <w:t xml:space="preserve">≤0.05 for all hospitals but were not statistically significant for hospitals with ≥75 discharges. The differences in the measure rates by diagnosis code were statistically significant at </w:t>
      </w:r>
      <w:r w:rsidRPr="00D21729">
        <w:rPr>
          <w:rFonts w:ascii="Calibri" w:eastAsia="Calibri" w:hAnsi="Calibri" w:cs="Calibri"/>
          <w:i/>
          <w:iCs/>
          <w:color w:val="FF0000"/>
          <w:sz w:val="18"/>
          <w:szCs w:val="18"/>
        </w:rPr>
        <w:t>p</w:t>
      </w:r>
      <w:r w:rsidRPr="00F32679">
        <w:rPr>
          <w:rFonts w:ascii="Calibri" w:eastAsia="Calibri" w:hAnsi="Calibri" w:cs="Calibri"/>
          <w:color w:val="FF0000"/>
          <w:sz w:val="18"/>
          <w:szCs w:val="18"/>
        </w:rPr>
        <w:t xml:space="preserve">≤0.05 for all hospitals and </w:t>
      </w:r>
      <w:r w:rsidRPr="00D21729">
        <w:rPr>
          <w:rFonts w:ascii="Calibri" w:eastAsia="Calibri" w:hAnsi="Calibri" w:cs="Calibri"/>
          <w:i/>
          <w:iCs/>
          <w:color w:val="FF0000"/>
          <w:sz w:val="18"/>
          <w:szCs w:val="18"/>
        </w:rPr>
        <w:t>p</w:t>
      </w:r>
      <w:r w:rsidRPr="00F32679">
        <w:rPr>
          <w:rFonts w:ascii="Calibri" w:eastAsia="Calibri" w:hAnsi="Calibri" w:cs="Calibri"/>
          <w:color w:val="FF0000"/>
          <w:sz w:val="18"/>
          <w:szCs w:val="18"/>
        </w:rPr>
        <w:t xml:space="preserve">≤0.01 for hospitals with ≥75 discharges.    </w:t>
      </w:r>
    </w:p>
    <w:p w14:paraId="1BC8CDF5" w14:textId="447EF2CC" w:rsidR="006637C2" w:rsidRDefault="006637C2" w:rsidP="00F3741C">
      <w:pPr>
        <w:spacing w:after="160" w:line="259" w:lineRule="auto"/>
        <w:rPr>
          <w:rStyle w:val="Emphasis"/>
          <w:rFonts w:eastAsiaTheme="minorHAnsi" w:cstheme="minorHAnsi"/>
          <w:bCs/>
          <w:i w:val="0"/>
          <w:color w:val="0070C0"/>
          <w:sz w:val="18"/>
          <w:szCs w:val="18"/>
        </w:rPr>
      </w:pPr>
    </w:p>
    <w:p w14:paraId="0A606260" w14:textId="77777777" w:rsidR="00C203E6" w:rsidRPr="005D4433" w:rsidRDefault="00C203E6" w:rsidP="00C203E6">
      <w:pPr>
        <w:pStyle w:val="BodyText"/>
        <w:ind w:left="0"/>
        <w:rPr>
          <w:rFonts w:ascii="Calibri" w:hAnsi="Calibri"/>
          <w:i/>
          <w:iCs/>
          <w:color w:val="auto"/>
          <w:sz w:val="22"/>
          <w:szCs w:val="22"/>
        </w:rPr>
      </w:pPr>
      <w:bookmarkStart w:id="35" w:name="_Ref462000790"/>
      <w:bookmarkStart w:id="36" w:name="_Toc462065415"/>
      <w:bookmarkStart w:id="37" w:name="_Toc462148745"/>
      <w:bookmarkStart w:id="38" w:name="_Toc462222776"/>
      <w:bookmarkStart w:id="39" w:name="_Toc462225270"/>
      <w:bookmarkStart w:id="40" w:name="_Toc462226866"/>
      <w:bookmarkStart w:id="41" w:name="_Toc462232835"/>
      <w:bookmarkStart w:id="42" w:name="_Toc462232778"/>
      <w:bookmarkStart w:id="43" w:name="_Toc462247536"/>
      <w:r w:rsidRPr="00DE4FE8">
        <w:rPr>
          <w:rFonts w:ascii="Calibri" w:hAnsi="Calibri"/>
          <w:i/>
          <w:iCs/>
          <w:color w:val="0000FF"/>
          <w:sz w:val="22"/>
          <w:szCs w:val="22"/>
        </w:rPr>
        <w:t xml:space="preserve">Critical </w:t>
      </w:r>
      <w:r>
        <w:rPr>
          <w:rFonts w:ascii="Calibri" w:hAnsi="Calibri"/>
          <w:i/>
          <w:iCs/>
          <w:color w:val="0000FF"/>
          <w:sz w:val="22"/>
          <w:szCs w:val="22"/>
        </w:rPr>
        <w:t>d</w:t>
      </w:r>
      <w:r w:rsidRPr="00DE4FE8">
        <w:rPr>
          <w:rFonts w:ascii="Calibri" w:hAnsi="Calibri"/>
          <w:i/>
          <w:iCs/>
          <w:color w:val="0000FF"/>
          <w:sz w:val="22"/>
          <w:szCs w:val="22"/>
        </w:rPr>
        <w:t>ata elements</w:t>
      </w:r>
    </w:p>
    <w:p w14:paraId="150F7D5C" w14:textId="645D5A1C" w:rsidR="00D606CC" w:rsidRPr="00F777FD" w:rsidRDefault="00D606CC" w:rsidP="00BD4785">
      <w:pPr>
        <w:pStyle w:val="Caption"/>
      </w:pPr>
      <w:r w:rsidRPr="00F777FD">
        <w:lastRenderedPageBreak/>
        <w:t>The positive predictive value of the claims data was 97% (921/945) (Table 2b2.3-A). The positive predictive values were similar across all three conditions, with 98% (289/294) for MDD, 98% (328/335) for schizophrenia, and 96% (304/316) for bipolar disorder.</w:t>
      </w:r>
    </w:p>
    <w:bookmarkEnd w:id="35"/>
    <w:bookmarkEnd w:id="36"/>
    <w:bookmarkEnd w:id="37"/>
    <w:bookmarkEnd w:id="38"/>
    <w:bookmarkEnd w:id="39"/>
    <w:bookmarkEnd w:id="40"/>
    <w:bookmarkEnd w:id="41"/>
    <w:bookmarkEnd w:id="42"/>
    <w:bookmarkEnd w:id="43"/>
    <w:p w14:paraId="78423740" w14:textId="77777777" w:rsidR="00D21729" w:rsidRPr="009D766E" w:rsidRDefault="00D21729" w:rsidP="00BD4785">
      <w:pPr>
        <w:pStyle w:val="Caption"/>
      </w:pPr>
      <w:r w:rsidRPr="00B52AFF">
        <w:t xml:space="preserve">Table 2b2.3-A. Agreement </w:t>
      </w:r>
      <w:r>
        <w:t>B</w:t>
      </w:r>
      <w:r w:rsidRPr="00B52AFF">
        <w:t>etween Medical Record and Claims for Diagnoses</w:t>
      </w:r>
    </w:p>
    <w:tbl>
      <w:tblPr>
        <w:tblStyle w:val="TableGrid"/>
        <w:tblW w:w="4886" w:type="pct"/>
        <w:tblInd w:w="108" w:type="dxa"/>
        <w:tblLook w:val="04A0" w:firstRow="1" w:lastRow="0" w:firstColumn="1" w:lastColumn="0" w:noHBand="0" w:noVBand="1"/>
      </w:tblPr>
      <w:tblGrid>
        <w:gridCol w:w="2242"/>
        <w:gridCol w:w="307"/>
        <w:gridCol w:w="93"/>
        <w:gridCol w:w="1937"/>
        <w:gridCol w:w="15"/>
        <w:gridCol w:w="322"/>
        <w:gridCol w:w="1952"/>
        <w:gridCol w:w="53"/>
        <w:gridCol w:w="177"/>
        <w:gridCol w:w="2039"/>
      </w:tblGrid>
      <w:tr w:rsidR="00D606CC" w:rsidRPr="00E90BB1" w14:paraId="7E6CE83E" w14:textId="77777777" w:rsidTr="002E0CEC">
        <w:trPr>
          <w:trHeight w:val="490"/>
          <w:tblHeader/>
        </w:trPr>
        <w:tc>
          <w:tcPr>
            <w:tcW w:w="1395" w:type="pct"/>
            <w:gridSpan w:val="2"/>
            <w:tcBorders>
              <w:bottom w:val="single" w:sz="4" w:space="0" w:color="auto"/>
            </w:tcBorders>
            <w:shd w:val="clear" w:color="auto" w:fill="365F91" w:themeFill="accent1" w:themeFillShade="BF"/>
            <w:vAlign w:val="center"/>
          </w:tcPr>
          <w:p w14:paraId="1F8B6481" w14:textId="77777777" w:rsidR="00D606CC" w:rsidRPr="005D4433" w:rsidRDefault="00D606CC" w:rsidP="002E0CEC">
            <w:pPr>
              <w:jc w:val="center"/>
              <w:rPr>
                <w:rFonts w:ascii="Calibri" w:hAnsi="Calibri"/>
                <w:color w:val="FFFFFF" w:themeColor="background1"/>
                <w:sz w:val="20"/>
                <w:szCs w:val="20"/>
              </w:rPr>
            </w:pPr>
          </w:p>
        </w:tc>
        <w:tc>
          <w:tcPr>
            <w:tcW w:w="1119" w:type="pct"/>
            <w:gridSpan w:val="3"/>
            <w:tcBorders>
              <w:bottom w:val="single" w:sz="4" w:space="0" w:color="auto"/>
            </w:tcBorders>
            <w:shd w:val="clear" w:color="auto" w:fill="365F91" w:themeFill="accent1" w:themeFillShade="BF"/>
            <w:vAlign w:val="bottom"/>
          </w:tcPr>
          <w:p w14:paraId="419B5A17" w14:textId="77777777" w:rsidR="00D606CC" w:rsidRPr="005D4433" w:rsidRDefault="00D606CC" w:rsidP="002E0CEC">
            <w:pPr>
              <w:jc w:val="center"/>
              <w:rPr>
                <w:rFonts w:ascii="Calibri" w:hAnsi="Calibri"/>
                <w:b/>
                <w:color w:val="FFFFFF" w:themeColor="background1"/>
                <w:sz w:val="20"/>
                <w:szCs w:val="20"/>
              </w:rPr>
            </w:pPr>
            <w:r w:rsidRPr="005D4433">
              <w:rPr>
                <w:rFonts w:ascii="Calibri" w:hAnsi="Calibri"/>
                <w:b/>
                <w:color w:val="FFFFFF" w:themeColor="background1"/>
                <w:sz w:val="20"/>
                <w:szCs w:val="20"/>
              </w:rPr>
              <w:t>Diagnosis</w:t>
            </w:r>
          </w:p>
          <w:p w14:paraId="7FDC0B27" w14:textId="77777777" w:rsidR="00D606CC" w:rsidRPr="005D4433" w:rsidRDefault="00D606CC" w:rsidP="002E0CEC">
            <w:pPr>
              <w:jc w:val="center"/>
              <w:rPr>
                <w:rFonts w:ascii="Calibri" w:hAnsi="Calibri"/>
                <w:b/>
                <w:color w:val="FFFFFF" w:themeColor="background1"/>
                <w:sz w:val="20"/>
                <w:szCs w:val="20"/>
              </w:rPr>
            </w:pPr>
            <w:r w:rsidRPr="005D4433">
              <w:rPr>
                <w:rFonts w:ascii="Calibri" w:hAnsi="Calibri"/>
                <w:b/>
                <w:color w:val="FFFFFF" w:themeColor="background1"/>
                <w:sz w:val="20"/>
                <w:szCs w:val="20"/>
              </w:rPr>
              <w:t>In Medical Record</w:t>
            </w:r>
          </w:p>
        </w:tc>
        <w:tc>
          <w:tcPr>
            <w:tcW w:w="1244" w:type="pct"/>
            <w:gridSpan w:val="2"/>
            <w:tcBorders>
              <w:bottom w:val="single" w:sz="4" w:space="0" w:color="auto"/>
            </w:tcBorders>
            <w:shd w:val="clear" w:color="auto" w:fill="365F91" w:themeFill="accent1" w:themeFillShade="BF"/>
            <w:vAlign w:val="bottom"/>
          </w:tcPr>
          <w:p w14:paraId="37A4DF77" w14:textId="77777777" w:rsidR="00D606CC" w:rsidRPr="005D4433" w:rsidRDefault="00D606CC" w:rsidP="002E0CEC">
            <w:pPr>
              <w:jc w:val="center"/>
              <w:rPr>
                <w:rFonts w:ascii="Calibri" w:hAnsi="Calibri"/>
                <w:b/>
                <w:color w:val="FFFFFF" w:themeColor="background1"/>
                <w:sz w:val="20"/>
                <w:szCs w:val="20"/>
              </w:rPr>
            </w:pPr>
            <w:r w:rsidRPr="005D4433">
              <w:rPr>
                <w:rFonts w:ascii="Calibri" w:hAnsi="Calibri"/>
                <w:b/>
                <w:color w:val="FFFFFF" w:themeColor="background1"/>
                <w:sz w:val="20"/>
                <w:szCs w:val="20"/>
              </w:rPr>
              <w:t xml:space="preserve">Diagnosis </w:t>
            </w:r>
          </w:p>
          <w:p w14:paraId="4B1D9B4A" w14:textId="77777777" w:rsidR="00D606CC" w:rsidRPr="005D4433" w:rsidRDefault="00D606CC" w:rsidP="002E0CEC">
            <w:pPr>
              <w:jc w:val="center"/>
              <w:rPr>
                <w:rFonts w:ascii="Calibri" w:hAnsi="Calibri"/>
                <w:b/>
                <w:color w:val="FFFFFF" w:themeColor="background1"/>
                <w:sz w:val="20"/>
                <w:szCs w:val="20"/>
              </w:rPr>
            </w:pPr>
            <w:r w:rsidRPr="005D4433">
              <w:rPr>
                <w:rFonts w:ascii="Calibri" w:hAnsi="Calibri"/>
                <w:b/>
                <w:color w:val="FFFFFF" w:themeColor="background1"/>
                <w:sz w:val="20"/>
                <w:szCs w:val="20"/>
              </w:rPr>
              <w:t>Not in Medical Record</w:t>
            </w:r>
          </w:p>
        </w:tc>
        <w:tc>
          <w:tcPr>
            <w:tcW w:w="1242" w:type="pct"/>
            <w:gridSpan w:val="3"/>
            <w:tcBorders>
              <w:bottom w:val="single" w:sz="4" w:space="0" w:color="auto"/>
            </w:tcBorders>
            <w:shd w:val="clear" w:color="auto" w:fill="365F91" w:themeFill="accent1" w:themeFillShade="BF"/>
            <w:vAlign w:val="bottom"/>
          </w:tcPr>
          <w:p w14:paraId="49DB5587" w14:textId="77777777" w:rsidR="00D606CC" w:rsidRPr="005D4433" w:rsidRDefault="00D606CC" w:rsidP="002E0CEC">
            <w:pPr>
              <w:jc w:val="center"/>
              <w:rPr>
                <w:rFonts w:ascii="Calibri" w:hAnsi="Calibri"/>
                <w:b/>
                <w:color w:val="FFFFFF" w:themeColor="background1"/>
                <w:sz w:val="20"/>
                <w:szCs w:val="20"/>
              </w:rPr>
            </w:pPr>
            <w:r w:rsidRPr="005D4433">
              <w:rPr>
                <w:rFonts w:ascii="Calibri" w:hAnsi="Calibri"/>
                <w:b/>
                <w:color w:val="FFFFFF" w:themeColor="background1"/>
                <w:sz w:val="20"/>
                <w:szCs w:val="20"/>
              </w:rPr>
              <w:t>Total</w:t>
            </w:r>
          </w:p>
        </w:tc>
      </w:tr>
      <w:tr w:rsidR="00D606CC" w:rsidRPr="00E90BB1" w14:paraId="75B61542" w14:textId="77777777" w:rsidTr="002E0CEC">
        <w:trPr>
          <w:trHeight w:val="288"/>
        </w:trPr>
        <w:tc>
          <w:tcPr>
            <w:tcW w:w="1227" w:type="pct"/>
            <w:tcBorders>
              <w:top w:val="single" w:sz="4" w:space="0" w:color="auto"/>
              <w:left w:val="single" w:sz="4" w:space="0" w:color="auto"/>
              <w:bottom w:val="single" w:sz="4" w:space="0" w:color="auto"/>
              <w:right w:val="nil"/>
            </w:tcBorders>
            <w:vAlign w:val="bottom"/>
          </w:tcPr>
          <w:p w14:paraId="33168850" w14:textId="77777777" w:rsidR="00D606CC" w:rsidRPr="005D4433" w:rsidRDefault="00D606CC" w:rsidP="002E0CEC">
            <w:pPr>
              <w:rPr>
                <w:rFonts w:ascii="Calibri" w:hAnsi="Calibri"/>
                <w:b/>
                <w:bCs/>
                <w:color w:val="000000" w:themeColor="text1"/>
                <w:sz w:val="20"/>
                <w:szCs w:val="20"/>
              </w:rPr>
            </w:pPr>
            <w:r w:rsidRPr="005D4433">
              <w:rPr>
                <w:rFonts w:ascii="Calibri" w:hAnsi="Calibri"/>
                <w:b/>
                <w:bCs/>
                <w:color w:val="000000" w:themeColor="text1"/>
                <w:sz w:val="20"/>
                <w:szCs w:val="20"/>
              </w:rPr>
              <w:t>MDD</w:t>
            </w:r>
          </w:p>
        </w:tc>
        <w:tc>
          <w:tcPr>
            <w:tcW w:w="1279" w:type="pct"/>
            <w:gridSpan w:val="3"/>
            <w:tcBorders>
              <w:top w:val="single" w:sz="4" w:space="0" w:color="auto"/>
              <w:left w:val="nil"/>
              <w:bottom w:val="single" w:sz="4" w:space="0" w:color="auto"/>
              <w:right w:val="nil"/>
            </w:tcBorders>
            <w:vAlign w:val="center"/>
          </w:tcPr>
          <w:p w14:paraId="02782D39" w14:textId="77777777" w:rsidR="00D606CC" w:rsidRPr="005D4433" w:rsidRDefault="00D606CC" w:rsidP="002E0CEC">
            <w:pPr>
              <w:jc w:val="center"/>
              <w:rPr>
                <w:rFonts w:ascii="Calibri" w:hAnsi="Calibri"/>
                <w:color w:val="000000" w:themeColor="text1"/>
                <w:sz w:val="20"/>
                <w:szCs w:val="20"/>
              </w:rPr>
            </w:pPr>
          </w:p>
        </w:tc>
        <w:tc>
          <w:tcPr>
            <w:tcW w:w="1281" w:type="pct"/>
            <w:gridSpan w:val="4"/>
            <w:tcBorders>
              <w:top w:val="single" w:sz="4" w:space="0" w:color="auto"/>
              <w:left w:val="nil"/>
              <w:bottom w:val="single" w:sz="4" w:space="0" w:color="auto"/>
              <w:right w:val="nil"/>
            </w:tcBorders>
            <w:vAlign w:val="center"/>
          </w:tcPr>
          <w:p w14:paraId="576B941C" w14:textId="77777777" w:rsidR="00D606CC" w:rsidRPr="005D4433" w:rsidRDefault="00D606CC" w:rsidP="002E0CEC">
            <w:pPr>
              <w:jc w:val="center"/>
              <w:rPr>
                <w:rFonts w:ascii="Calibri" w:hAnsi="Calibri"/>
                <w:color w:val="000000" w:themeColor="text1"/>
                <w:sz w:val="20"/>
                <w:szCs w:val="20"/>
              </w:rPr>
            </w:pPr>
          </w:p>
        </w:tc>
        <w:tc>
          <w:tcPr>
            <w:tcW w:w="1213" w:type="pct"/>
            <w:gridSpan w:val="2"/>
            <w:tcBorders>
              <w:top w:val="single" w:sz="4" w:space="0" w:color="auto"/>
              <w:left w:val="nil"/>
              <w:bottom w:val="single" w:sz="4" w:space="0" w:color="auto"/>
              <w:right w:val="single" w:sz="4" w:space="0" w:color="auto"/>
            </w:tcBorders>
            <w:vAlign w:val="center"/>
          </w:tcPr>
          <w:p w14:paraId="551DDD0D" w14:textId="77777777" w:rsidR="00D606CC" w:rsidRPr="005D4433" w:rsidRDefault="00D606CC" w:rsidP="002E0CEC">
            <w:pPr>
              <w:jc w:val="center"/>
              <w:rPr>
                <w:rFonts w:ascii="Calibri" w:hAnsi="Calibri"/>
                <w:color w:val="000000" w:themeColor="text1"/>
                <w:sz w:val="20"/>
                <w:szCs w:val="20"/>
              </w:rPr>
            </w:pPr>
          </w:p>
        </w:tc>
      </w:tr>
      <w:tr w:rsidR="00D606CC" w:rsidRPr="00E90BB1" w14:paraId="2BA34019" w14:textId="77777777" w:rsidTr="002E0CEC">
        <w:trPr>
          <w:trHeight w:val="288"/>
        </w:trPr>
        <w:tc>
          <w:tcPr>
            <w:tcW w:w="1395" w:type="pct"/>
            <w:gridSpan w:val="2"/>
            <w:tcBorders>
              <w:top w:val="single" w:sz="4" w:space="0" w:color="auto"/>
            </w:tcBorders>
            <w:shd w:val="clear" w:color="auto" w:fill="auto"/>
            <w:vAlign w:val="bottom"/>
          </w:tcPr>
          <w:p w14:paraId="655A8780" w14:textId="77777777" w:rsidR="00D606CC" w:rsidRPr="005D4433" w:rsidRDefault="00D606CC" w:rsidP="002E0CEC">
            <w:pPr>
              <w:rPr>
                <w:rFonts w:ascii="Calibri" w:hAnsi="Calibri"/>
                <w:color w:val="000000" w:themeColor="text1"/>
                <w:sz w:val="20"/>
                <w:szCs w:val="20"/>
              </w:rPr>
            </w:pPr>
            <w:r w:rsidRPr="00E90BB1">
              <w:rPr>
                <w:color w:val="000000" w:themeColor="text1"/>
                <w:sz w:val="20"/>
                <w:szCs w:val="20"/>
              </w:rPr>
              <w:t xml:space="preserve">MDD in </w:t>
            </w:r>
            <w:r>
              <w:rPr>
                <w:color w:val="000000" w:themeColor="text1"/>
                <w:sz w:val="20"/>
                <w:szCs w:val="20"/>
              </w:rPr>
              <w:t>c</w:t>
            </w:r>
            <w:r w:rsidRPr="00E90BB1">
              <w:rPr>
                <w:color w:val="000000" w:themeColor="text1"/>
                <w:sz w:val="20"/>
                <w:szCs w:val="20"/>
              </w:rPr>
              <w:t>laims</w:t>
            </w:r>
          </w:p>
        </w:tc>
        <w:tc>
          <w:tcPr>
            <w:tcW w:w="1119" w:type="pct"/>
            <w:gridSpan w:val="3"/>
            <w:tcBorders>
              <w:top w:val="single" w:sz="4" w:space="0" w:color="auto"/>
            </w:tcBorders>
            <w:shd w:val="clear" w:color="auto" w:fill="auto"/>
            <w:vAlign w:val="bottom"/>
          </w:tcPr>
          <w:p w14:paraId="5D0D2386" w14:textId="77777777" w:rsidR="00D606CC" w:rsidRPr="005D4433" w:rsidRDefault="00D606CC" w:rsidP="002E0CEC">
            <w:pPr>
              <w:jc w:val="right"/>
              <w:rPr>
                <w:rFonts w:ascii="Calibri" w:hAnsi="Calibri"/>
                <w:color w:val="000000" w:themeColor="text1"/>
                <w:sz w:val="20"/>
                <w:szCs w:val="20"/>
              </w:rPr>
            </w:pPr>
            <w:r>
              <w:rPr>
                <w:color w:val="000000" w:themeColor="text1"/>
                <w:sz w:val="20"/>
                <w:szCs w:val="20"/>
              </w:rPr>
              <w:t>289</w:t>
            </w:r>
          </w:p>
        </w:tc>
        <w:tc>
          <w:tcPr>
            <w:tcW w:w="1244" w:type="pct"/>
            <w:gridSpan w:val="2"/>
            <w:tcBorders>
              <w:top w:val="single" w:sz="4" w:space="0" w:color="auto"/>
            </w:tcBorders>
            <w:shd w:val="clear" w:color="auto" w:fill="auto"/>
            <w:vAlign w:val="bottom"/>
          </w:tcPr>
          <w:p w14:paraId="5C18A657" w14:textId="77777777" w:rsidR="00D606CC" w:rsidRPr="005D4433" w:rsidRDefault="00D606CC" w:rsidP="002E0CEC">
            <w:pPr>
              <w:jc w:val="right"/>
              <w:rPr>
                <w:rFonts w:ascii="Calibri" w:hAnsi="Calibri"/>
                <w:color w:val="000000" w:themeColor="text1"/>
                <w:sz w:val="20"/>
                <w:szCs w:val="20"/>
              </w:rPr>
            </w:pPr>
            <w:r>
              <w:rPr>
                <w:color w:val="000000" w:themeColor="text1"/>
                <w:sz w:val="20"/>
                <w:szCs w:val="20"/>
              </w:rPr>
              <w:t>5</w:t>
            </w:r>
          </w:p>
        </w:tc>
        <w:tc>
          <w:tcPr>
            <w:tcW w:w="1242" w:type="pct"/>
            <w:gridSpan w:val="3"/>
            <w:tcBorders>
              <w:top w:val="single" w:sz="4" w:space="0" w:color="auto"/>
            </w:tcBorders>
            <w:shd w:val="clear" w:color="auto" w:fill="auto"/>
            <w:vAlign w:val="bottom"/>
          </w:tcPr>
          <w:p w14:paraId="38B24F91" w14:textId="77777777" w:rsidR="00D606CC" w:rsidRPr="005D4433" w:rsidRDefault="00D606CC" w:rsidP="002E0CEC">
            <w:pPr>
              <w:jc w:val="right"/>
              <w:rPr>
                <w:rFonts w:ascii="Calibri" w:hAnsi="Calibri"/>
                <w:color w:val="000000" w:themeColor="text1"/>
                <w:sz w:val="20"/>
                <w:szCs w:val="20"/>
              </w:rPr>
            </w:pPr>
            <w:r>
              <w:rPr>
                <w:color w:val="000000" w:themeColor="text1"/>
                <w:sz w:val="20"/>
                <w:szCs w:val="20"/>
              </w:rPr>
              <w:t>294</w:t>
            </w:r>
          </w:p>
        </w:tc>
      </w:tr>
      <w:tr w:rsidR="00D606CC" w:rsidRPr="00E90BB1" w14:paraId="4C391A57" w14:textId="77777777" w:rsidTr="002E0CEC">
        <w:trPr>
          <w:trHeight w:val="288"/>
        </w:trPr>
        <w:tc>
          <w:tcPr>
            <w:tcW w:w="1395" w:type="pct"/>
            <w:gridSpan w:val="2"/>
            <w:shd w:val="clear" w:color="auto" w:fill="auto"/>
            <w:vAlign w:val="bottom"/>
          </w:tcPr>
          <w:p w14:paraId="30DED16E" w14:textId="77777777" w:rsidR="00D606CC" w:rsidRPr="005D4433" w:rsidRDefault="00D606CC" w:rsidP="002E0CEC">
            <w:pPr>
              <w:rPr>
                <w:rFonts w:ascii="Calibri" w:hAnsi="Calibri"/>
                <w:color w:val="000000" w:themeColor="text1"/>
                <w:sz w:val="20"/>
                <w:szCs w:val="20"/>
              </w:rPr>
            </w:pPr>
            <w:r w:rsidRPr="00E90BB1">
              <w:rPr>
                <w:color w:val="000000" w:themeColor="text1"/>
                <w:sz w:val="20"/>
                <w:szCs w:val="20"/>
              </w:rPr>
              <w:t xml:space="preserve">No MDD in </w:t>
            </w:r>
            <w:r>
              <w:rPr>
                <w:color w:val="000000" w:themeColor="text1"/>
                <w:sz w:val="20"/>
                <w:szCs w:val="20"/>
              </w:rPr>
              <w:t>c</w:t>
            </w:r>
            <w:r w:rsidRPr="00E90BB1">
              <w:rPr>
                <w:color w:val="000000" w:themeColor="text1"/>
                <w:sz w:val="20"/>
                <w:szCs w:val="20"/>
              </w:rPr>
              <w:t>laims</w:t>
            </w:r>
          </w:p>
        </w:tc>
        <w:tc>
          <w:tcPr>
            <w:tcW w:w="1119" w:type="pct"/>
            <w:gridSpan w:val="3"/>
            <w:shd w:val="clear" w:color="auto" w:fill="auto"/>
            <w:vAlign w:val="bottom"/>
          </w:tcPr>
          <w:p w14:paraId="6F153456" w14:textId="77777777" w:rsidR="00D606CC" w:rsidRPr="005D4433" w:rsidRDefault="00D606CC" w:rsidP="002E0CEC">
            <w:pPr>
              <w:jc w:val="right"/>
              <w:rPr>
                <w:rFonts w:ascii="Calibri" w:hAnsi="Calibri"/>
                <w:color w:val="000000" w:themeColor="text1"/>
                <w:sz w:val="20"/>
                <w:szCs w:val="20"/>
              </w:rPr>
            </w:pPr>
            <w:r>
              <w:rPr>
                <w:color w:val="000000" w:themeColor="text1"/>
                <w:sz w:val="20"/>
                <w:szCs w:val="20"/>
              </w:rPr>
              <w:t>6</w:t>
            </w:r>
          </w:p>
        </w:tc>
        <w:tc>
          <w:tcPr>
            <w:tcW w:w="1244" w:type="pct"/>
            <w:gridSpan w:val="2"/>
            <w:shd w:val="clear" w:color="auto" w:fill="auto"/>
            <w:vAlign w:val="bottom"/>
          </w:tcPr>
          <w:p w14:paraId="1B85BD1B" w14:textId="77777777" w:rsidR="00D606CC" w:rsidRPr="005D4433" w:rsidRDefault="00D606CC" w:rsidP="002E0CEC">
            <w:pPr>
              <w:jc w:val="right"/>
              <w:rPr>
                <w:rFonts w:ascii="Calibri" w:hAnsi="Calibri"/>
                <w:color w:val="000000" w:themeColor="text1"/>
                <w:sz w:val="20"/>
                <w:szCs w:val="20"/>
              </w:rPr>
            </w:pPr>
            <w:r w:rsidRPr="00E90BB1">
              <w:rPr>
                <w:color w:val="000000" w:themeColor="text1"/>
                <w:sz w:val="20"/>
                <w:szCs w:val="20"/>
              </w:rPr>
              <w:t>0</w:t>
            </w:r>
          </w:p>
        </w:tc>
        <w:tc>
          <w:tcPr>
            <w:tcW w:w="1242" w:type="pct"/>
            <w:gridSpan w:val="3"/>
            <w:shd w:val="clear" w:color="auto" w:fill="auto"/>
            <w:vAlign w:val="bottom"/>
          </w:tcPr>
          <w:p w14:paraId="74B48401" w14:textId="77777777" w:rsidR="00D606CC" w:rsidRPr="005D4433" w:rsidRDefault="00D606CC" w:rsidP="002E0CEC">
            <w:pPr>
              <w:jc w:val="right"/>
              <w:rPr>
                <w:rFonts w:ascii="Calibri" w:hAnsi="Calibri"/>
                <w:color w:val="000000" w:themeColor="text1"/>
                <w:sz w:val="20"/>
                <w:szCs w:val="20"/>
              </w:rPr>
            </w:pPr>
            <w:r>
              <w:rPr>
                <w:color w:val="000000" w:themeColor="text1"/>
                <w:sz w:val="20"/>
                <w:szCs w:val="20"/>
              </w:rPr>
              <w:t>6</w:t>
            </w:r>
          </w:p>
        </w:tc>
      </w:tr>
      <w:tr w:rsidR="00D606CC" w:rsidRPr="00E90BB1" w14:paraId="64174086" w14:textId="77777777" w:rsidTr="002E0CEC">
        <w:trPr>
          <w:trHeight w:val="288"/>
        </w:trPr>
        <w:tc>
          <w:tcPr>
            <w:tcW w:w="1395" w:type="pct"/>
            <w:gridSpan w:val="2"/>
            <w:tcBorders>
              <w:bottom w:val="single" w:sz="4" w:space="0" w:color="auto"/>
            </w:tcBorders>
            <w:shd w:val="clear" w:color="auto" w:fill="auto"/>
            <w:vAlign w:val="bottom"/>
          </w:tcPr>
          <w:p w14:paraId="45B45EBC" w14:textId="77777777" w:rsidR="00D606CC" w:rsidRPr="005D4433" w:rsidRDefault="00D606CC" w:rsidP="002E0CEC">
            <w:pPr>
              <w:rPr>
                <w:rFonts w:ascii="Calibri" w:hAnsi="Calibri"/>
                <w:color w:val="000000" w:themeColor="text1"/>
                <w:sz w:val="20"/>
                <w:szCs w:val="20"/>
              </w:rPr>
            </w:pPr>
            <w:r w:rsidRPr="00E90BB1">
              <w:rPr>
                <w:color w:val="000000" w:themeColor="text1"/>
                <w:sz w:val="20"/>
                <w:szCs w:val="20"/>
              </w:rPr>
              <w:t>Total MDD</w:t>
            </w:r>
          </w:p>
        </w:tc>
        <w:tc>
          <w:tcPr>
            <w:tcW w:w="1119" w:type="pct"/>
            <w:gridSpan w:val="3"/>
            <w:tcBorders>
              <w:bottom w:val="single" w:sz="4" w:space="0" w:color="auto"/>
            </w:tcBorders>
            <w:shd w:val="clear" w:color="auto" w:fill="auto"/>
            <w:vAlign w:val="bottom"/>
          </w:tcPr>
          <w:p w14:paraId="33A3380D" w14:textId="77777777" w:rsidR="00D606CC" w:rsidRPr="005D4433" w:rsidRDefault="00D606CC" w:rsidP="002E0CEC">
            <w:pPr>
              <w:jc w:val="right"/>
              <w:rPr>
                <w:rFonts w:ascii="Calibri" w:hAnsi="Calibri"/>
                <w:color w:val="000000" w:themeColor="text1"/>
                <w:sz w:val="20"/>
                <w:szCs w:val="20"/>
              </w:rPr>
            </w:pPr>
            <w:r>
              <w:rPr>
                <w:color w:val="000000" w:themeColor="text1"/>
                <w:sz w:val="20"/>
                <w:szCs w:val="20"/>
              </w:rPr>
              <w:t>295</w:t>
            </w:r>
          </w:p>
        </w:tc>
        <w:tc>
          <w:tcPr>
            <w:tcW w:w="1244" w:type="pct"/>
            <w:gridSpan w:val="2"/>
            <w:tcBorders>
              <w:bottom w:val="single" w:sz="4" w:space="0" w:color="auto"/>
            </w:tcBorders>
            <w:shd w:val="clear" w:color="auto" w:fill="auto"/>
            <w:vAlign w:val="bottom"/>
          </w:tcPr>
          <w:p w14:paraId="17AA17D4" w14:textId="77777777" w:rsidR="00D606CC" w:rsidRPr="005D4433" w:rsidRDefault="00D606CC" w:rsidP="002E0CEC">
            <w:pPr>
              <w:jc w:val="right"/>
              <w:rPr>
                <w:rFonts w:ascii="Calibri" w:hAnsi="Calibri"/>
                <w:color w:val="000000" w:themeColor="text1"/>
                <w:sz w:val="20"/>
                <w:szCs w:val="20"/>
              </w:rPr>
            </w:pPr>
            <w:r>
              <w:rPr>
                <w:color w:val="000000" w:themeColor="text1"/>
                <w:sz w:val="20"/>
                <w:szCs w:val="20"/>
              </w:rPr>
              <w:t>5</w:t>
            </w:r>
          </w:p>
        </w:tc>
        <w:tc>
          <w:tcPr>
            <w:tcW w:w="1242" w:type="pct"/>
            <w:gridSpan w:val="3"/>
            <w:tcBorders>
              <w:bottom w:val="single" w:sz="4" w:space="0" w:color="auto"/>
            </w:tcBorders>
            <w:shd w:val="clear" w:color="auto" w:fill="auto"/>
            <w:vAlign w:val="bottom"/>
          </w:tcPr>
          <w:p w14:paraId="7360CFF8" w14:textId="77777777" w:rsidR="00D606CC" w:rsidRPr="005D4433" w:rsidRDefault="00D606CC" w:rsidP="002E0CEC">
            <w:pPr>
              <w:jc w:val="right"/>
              <w:rPr>
                <w:rFonts w:ascii="Calibri" w:hAnsi="Calibri"/>
                <w:color w:val="000000" w:themeColor="text1"/>
                <w:sz w:val="20"/>
                <w:szCs w:val="20"/>
              </w:rPr>
            </w:pPr>
            <w:r>
              <w:rPr>
                <w:color w:val="000000" w:themeColor="text1"/>
                <w:sz w:val="20"/>
                <w:szCs w:val="20"/>
              </w:rPr>
              <w:t>300</w:t>
            </w:r>
          </w:p>
        </w:tc>
      </w:tr>
      <w:tr w:rsidR="00D606CC" w:rsidRPr="00E90BB1" w14:paraId="2EF27398" w14:textId="77777777" w:rsidTr="002E0CEC">
        <w:trPr>
          <w:trHeight w:val="288"/>
        </w:trPr>
        <w:tc>
          <w:tcPr>
            <w:tcW w:w="1446" w:type="pct"/>
            <w:gridSpan w:val="3"/>
            <w:tcBorders>
              <w:top w:val="single" w:sz="4" w:space="0" w:color="auto"/>
              <w:left w:val="single" w:sz="4" w:space="0" w:color="auto"/>
              <w:bottom w:val="single" w:sz="4" w:space="0" w:color="auto"/>
              <w:right w:val="nil"/>
            </w:tcBorders>
            <w:vAlign w:val="center"/>
          </w:tcPr>
          <w:p w14:paraId="6B133004" w14:textId="77777777" w:rsidR="00D606CC" w:rsidRPr="005D4433" w:rsidRDefault="00D606CC" w:rsidP="002E0CEC">
            <w:pPr>
              <w:rPr>
                <w:rFonts w:ascii="Calibri" w:hAnsi="Calibri"/>
                <w:b/>
                <w:bCs/>
                <w:color w:val="000000" w:themeColor="text1"/>
                <w:sz w:val="20"/>
                <w:szCs w:val="20"/>
              </w:rPr>
            </w:pPr>
            <w:r w:rsidRPr="00E90BB1">
              <w:rPr>
                <w:b/>
                <w:color w:val="000000" w:themeColor="text1"/>
                <w:sz w:val="20"/>
                <w:szCs w:val="20"/>
              </w:rPr>
              <w:t>Schizophrenia</w:t>
            </w:r>
          </w:p>
        </w:tc>
        <w:tc>
          <w:tcPr>
            <w:tcW w:w="1244" w:type="pct"/>
            <w:gridSpan w:val="3"/>
            <w:tcBorders>
              <w:top w:val="single" w:sz="4" w:space="0" w:color="auto"/>
              <w:left w:val="nil"/>
              <w:bottom w:val="single" w:sz="4" w:space="0" w:color="auto"/>
              <w:right w:val="nil"/>
            </w:tcBorders>
            <w:vAlign w:val="center"/>
          </w:tcPr>
          <w:p w14:paraId="5A25F367" w14:textId="77777777" w:rsidR="00D606CC" w:rsidRPr="005D4433" w:rsidRDefault="00D606CC" w:rsidP="002E0CEC">
            <w:pPr>
              <w:jc w:val="center"/>
              <w:rPr>
                <w:rFonts w:ascii="Calibri" w:hAnsi="Calibri"/>
                <w:color w:val="000000" w:themeColor="text1"/>
                <w:sz w:val="20"/>
                <w:szCs w:val="20"/>
              </w:rPr>
            </w:pPr>
          </w:p>
        </w:tc>
        <w:tc>
          <w:tcPr>
            <w:tcW w:w="1194" w:type="pct"/>
            <w:gridSpan w:val="3"/>
            <w:tcBorders>
              <w:top w:val="single" w:sz="4" w:space="0" w:color="auto"/>
              <w:left w:val="nil"/>
              <w:bottom w:val="single" w:sz="4" w:space="0" w:color="auto"/>
              <w:right w:val="nil"/>
            </w:tcBorders>
            <w:vAlign w:val="center"/>
          </w:tcPr>
          <w:p w14:paraId="7CF78A42" w14:textId="77777777" w:rsidR="00D606CC" w:rsidRPr="005D4433" w:rsidRDefault="00D606CC" w:rsidP="002E0CEC">
            <w:pPr>
              <w:jc w:val="center"/>
              <w:rPr>
                <w:rFonts w:ascii="Calibri" w:hAnsi="Calibri"/>
                <w:color w:val="000000" w:themeColor="text1"/>
                <w:sz w:val="20"/>
                <w:szCs w:val="20"/>
              </w:rPr>
            </w:pPr>
          </w:p>
        </w:tc>
        <w:tc>
          <w:tcPr>
            <w:tcW w:w="1116" w:type="pct"/>
            <w:tcBorders>
              <w:top w:val="single" w:sz="4" w:space="0" w:color="auto"/>
              <w:left w:val="nil"/>
              <w:bottom w:val="single" w:sz="4" w:space="0" w:color="auto"/>
              <w:right w:val="single" w:sz="4" w:space="0" w:color="auto"/>
            </w:tcBorders>
            <w:vAlign w:val="center"/>
          </w:tcPr>
          <w:p w14:paraId="3F800FFF" w14:textId="77777777" w:rsidR="00D606CC" w:rsidRPr="005D4433" w:rsidRDefault="00D606CC" w:rsidP="002E0CEC">
            <w:pPr>
              <w:jc w:val="center"/>
              <w:rPr>
                <w:rFonts w:ascii="Calibri" w:hAnsi="Calibri"/>
                <w:color w:val="000000" w:themeColor="text1"/>
                <w:sz w:val="20"/>
                <w:szCs w:val="20"/>
              </w:rPr>
            </w:pPr>
          </w:p>
        </w:tc>
      </w:tr>
      <w:tr w:rsidR="00D606CC" w:rsidRPr="00E90BB1" w14:paraId="4EA9DCC9" w14:textId="77777777" w:rsidTr="002E0CEC">
        <w:trPr>
          <w:trHeight w:val="288"/>
        </w:trPr>
        <w:tc>
          <w:tcPr>
            <w:tcW w:w="1395" w:type="pct"/>
            <w:gridSpan w:val="2"/>
            <w:tcBorders>
              <w:top w:val="single" w:sz="4" w:space="0" w:color="auto"/>
            </w:tcBorders>
            <w:shd w:val="clear" w:color="auto" w:fill="auto"/>
            <w:vAlign w:val="center"/>
          </w:tcPr>
          <w:p w14:paraId="26494C69" w14:textId="77777777" w:rsidR="00D606CC" w:rsidRPr="005D4433" w:rsidRDefault="00D606CC" w:rsidP="002E0CEC">
            <w:pPr>
              <w:rPr>
                <w:rFonts w:ascii="Calibri" w:hAnsi="Calibri"/>
                <w:color w:val="000000" w:themeColor="text1"/>
                <w:sz w:val="20"/>
                <w:szCs w:val="20"/>
              </w:rPr>
            </w:pPr>
            <w:r w:rsidRPr="00E90BB1">
              <w:rPr>
                <w:color w:val="000000" w:themeColor="text1"/>
                <w:sz w:val="20"/>
                <w:szCs w:val="20"/>
              </w:rPr>
              <w:t xml:space="preserve">Schizophrenia in </w:t>
            </w:r>
            <w:r>
              <w:rPr>
                <w:color w:val="000000" w:themeColor="text1"/>
                <w:sz w:val="20"/>
                <w:szCs w:val="20"/>
              </w:rPr>
              <w:t>c</w:t>
            </w:r>
            <w:r w:rsidRPr="00E90BB1">
              <w:rPr>
                <w:color w:val="000000" w:themeColor="text1"/>
                <w:sz w:val="20"/>
                <w:szCs w:val="20"/>
              </w:rPr>
              <w:t>laims</w:t>
            </w:r>
          </w:p>
        </w:tc>
        <w:tc>
          <w:tcPr>
            <w:tcW w:w="1119" w:type="pct"/>
            <w:gridSpan w:val="3"/>
            <w:tcBorders>
              <w:top w:val="single" w:sz="4" w:space="0" w:color="auto"/>
            </w:tcBorders>
            <w:shd w:val="clear" w:color="auto" w:fill="auto"/>
            <w:vAlign w:val="bottom"/>
          </w:tcPr>
          <w:p w14:paraId="650528D7" w14:textId="77777777" w:rsidR="00D606CC" w:rsidRPr="005D4433" w:rsidRDefault="00D606CC" w:rsidP="002E0CEC">
            <w:pPr>
              <w:jc w:val="right"/>
              <w:rPr>
                <w:rFonts w:ascii="Calibri" w:hAnsi="Calibri"/>
                <w:color w:val="000000" w:themeColor="text1"/>
                <w:sz w:val="20"/>
                <w:szCs w:val="20"/>
              </w:rPr>
            </w:pPr>
            <w:r>
              <w:rPr>
                <w:sz w:val="20"/>
                <w:szCs w:val="20"/>
              </w:rPr>
              <w:t>328</w:t>
            </w:r>
          </w:p>
        </w:tc>
        <w:tc>
          <w:tcPr>
            <w:tcW w:w="1244" w:type="pct"/>
            <w:gridSpan w:val="2"/>
            <w:tcBorders>
              <w:top w:val="single" w:sz="4" w:space="0" w:color="auto"/>
            </w:tcBorders>
            <w:shd w:val="clear" w:color="auto" w:fill="auto"/>
            <w:vAlign w:val="bottom"/>
          </w:tcPr>
          <w:p w14:paraId="11FCB200" w14:textId="77777777" w:rsidR="00D606CC" w:rsidRPr="005D4433" w:rsidRDefault="00D606CC" w:rsidP="002E0CEC">
            <w:pPr>
              <w:jc w:val="right"/>
              <w:rPr>
                <w:rFonts w:ascii="Calibri" w:hAnsi="Calibri"/>
                <w:color w:val="000000" w:themeColor="text1"/>
                <w:sz w:val="20"/>
                <w:szCs w:val="20"/>
              </w:rPr>
            </w:pPr>
            <w:r>
              <w:rPr>
                <w:sz w:val="20"/>
                <w:szCs w:val="20"/>
              </w:rPr>
              <w:t>7</w:t>
            </w:r>
          </w:p>
        </w:tc>
        <w:tc>
          <w:tcPr>
            <w:tcW w:w="1242" w:type="pct"/>
            <w:gridSpan w:val="3"/>
            <w:tcBorders>
              <w:top w:val="single" w:sz="4" w:space="0" w:color="auto"/>
            </w:tcBorders>
            <w:shd w:val="clear" w:color="auto" w:fill="auto"/>
            <w:vAlign w:val="bottom"/>
          </w:tcPr>
          <w:p w14:paraId="26456113" w14:textId="77777777" w:rsidR="00D606CC" w:rsidRPr="005D4433" w:rsidRDefault="00D606CC" w:rsidP="002E0CEC">
            <w:pPr>
              <w:jc w:val="right"/>
              <w:rPr>
                <w:rFonts w:ascii="Calibri" w:hAnsi="Calibri"/>
                <w:color w:val="000000" w:themeColor="text1"/>
                <w:sz w:val="20"/>
                <w:szCs w:val="20"/>
              </w:rPr>
            </w:pPr>
            <w:r>
              <w:rPr>
                <w:sz w:val="20"/>
                <w:szCs w:val="20"/>
              </w:rPr>
              <w:t>335</w:t>
            </w:r>
          </w:p>
        </w:tc>
      </w:tr>
      <w:tr w:rsidR="00D606CC" w:rsidRPr="00E90BB1" w14:paraId="20D25093" w14:textId="77777777" w:rsidTr="002E0CEC">
        <w:trPr>
          <w:trHeight w:val="288"/>
        </w:trPr>
        <w:tc>
          <w:tcPr>
            <w:tcW w:w="1395" w:type="pct"/>
            <w:gridSpan w:val="2"/>
            <w:shd w:val="clear" w:color="auto" w:fill="auto"/>
            <w:vAlign w:val="center"/>
          </w:tcPr>
          <w:p w14:paraId="6587DE6A" w14:textId="77777777" w:rsidR="00D606CC" w:rsidRPr="005D4433" w:rsidRDefault="00D606CC" w:rsidP="002E0CEC">
            <w:pPr>
              <w:rPr>
                <w:rFonts w:ascii="Calibri" w:hAnsi="Calibri"/>
                <w:color w:val="000000" w:themeColor="text1"/>
                <w:sz w:val="20"/>
                <w:szCs w:val="20"/>
              </w:rPr>
            </w:pPr>
            <w:r w:rsidRPr="00E90BB1">
              <w:rPr>
                <w:color w:val="000000" w:themeColor="text1"/>
                <w:sz w:val="20"/>
                <w:szCs w:val="20"/>
              </w:rPr>
              <w:t xml:space="preserve">No </w:t>
            </w:r>
            <w:r>
              <w:rPr>
                <w:color w:val="000000" w:themeColor="text1"/>
                <w:sz w:val="20"/>
                <w:szCs w:val="20"/>
              </w:rPr>
              <w:t>s</w:t>
            </w:r>
            <w:r w:rsidRPr="00E90BB1">
              <w:rPr>
                <w:color w:val="000000" w:themeColor="text1"/>
                <w:sz w:val="20"/>
                <w:szCs w:val="20"/>
              </w:rPr>
              <w:t xml:space="preserve">chizophrenia in </w:t>
            </w:r>
            <w:r>
              <w:rPr>
                <w:color w:val="000000" w:themeColor="text1"/>
                <w:sz w:val="20"/>
                <w:szCs w:val="20"/>
              </w:rPr>
              <w:t>c</w:t>
            </w:r>
            <w:r w:rsidRPr="00E90BB1">
              <w:rPr>
                <w:color w:val="000000" w:themeColor="text1"/>
                <w:sz w:val="20"/>
                <w:szCs w:val="20"/>
              </w:rPr>
              <w:t>laims</w:t>
            </w:r>
          </w:p>
        </w:tc>
        <w:tc>
          <w:tcPr>
            <w:tcW w:w="1119" w:type="pct"/>
            <w:gridSpan w:val="3"/>
            <w:shd w:val="clear" w:color="auto" w:fill="auto"/>
            <w:vAlign w:val="bottom"/>
          </w:tcPr>
          <w:p w14:paraId="286C68B8" w14:textId="77777777" w:rsidR="00D606CC" w:rsidRPr="005D4433" w:rsidRDefault="00D606CC" w:rsidP="002E0CEC">
            <w:pPr>
              <w:jc w:val="right"/>
              <w:rPr>
                <w:rFonts w:ascii="Calibri" w:hAnsi="Calibri"/>
                <w:color w:val="000000" w:themeColor="text1"/>
                <w:sz w:val="20"/>
                <w:szCs w:val="20"/>
              </w:rPr>
            </w:pPr>
            <w:r>
              <w:rPr>
                <w:sz w:val="20"/>
                <w:szCs w:val="20"/>
              </w:rPr>
              <w:t>9</w:t>
            </w:r>
          </w:p>
        </w:tc>
        <w:tc>
          <w:tcPr>
            <w:tcW w:w="1244" w:type="pct"/>
            <w:gridSpan w:val="2"/>
            <w:shd w:val="clear" w:color="auto" w:fill="auto"/>
            <w:vAlign w:val="bottom"/>
          </w:tcPr>
          <w:p w14:paraId="61FA1702" w14:textId="77777777" w:rsidR="00D606CC" w:rsidRPr="005D4433" w:rsidRDefault="00D606CC" w:rsidP="002E0CEC">
            <w:pPr>
              <w:jc w:val="right"/>
              <w:rPr>
                <w:rFonts w:ascii="Calibri" w:hAnsi="Calibri"/>
                <w:color w:val="000000" w:themeColor="text1"/>
                <w:sz w:val="20"/>
                <w:szCs w:val="20"/>
              </w:rPr>
            </w:pPr>
            <w:r w:rsidRPr="00E90BB1">
              <w:rPr>
                <w:sz w:val="20"/>
                <w:szCs w:val="20"/>
              </w:rPr>
              <w:t>0</w:t>
            </w:r>
          </w:p>
        </w:tc>
        <w:tc>
          <w:tcPr>
            <w:tcW w:w="1242" w:type="pct"/>
            <w:gridSpan w:val="3"/>
            <w:shd w:val="clear" w:color="auto" w:fill="auto"/>
            <w:vAlign w:val="bottom"/>
          </w:tcPr>
          <w:p w14:paraId="5251A275" w14:textId="77777777" w:rsidR="00D606CC" w:rsidRPr="005D4433" w:rsidRDefault="00D606CC" w:rsidP="002E0CEC">
            <w:pPr>
              <w:jc w:val="right"/>
              <w:rPr>
                <w:rFonts w:ascii="Calibri" w:hAnsi="Calibri"/>
                <w:color w:val="000000" w:themeColor="text1"/>
                <w:sz w:val="20"/>
                <w:szCs w:val="20"/>
              </w:rPr>
            </w:pPr>
            <w:r>
              <w:rPr>
                <w:sz w:val="20"/>
                <w:szCs w:val="20"/>
              </w:rPr>
              <w:t>9</w:t>
            </w:r>
          </w:p>
        </w:tc>
      </w:tr>
      <w:tr w:rsidR="00D606CC" w:rsidRPr="00E90BB1" w14:paraId="5BF90336" w14:textId="77777777" w:rsidTr="002E0CEC">
        <w:trPr>
          <w:trHeight w:val="288"/>
        </w:trPr>
        <w:tc>
          <w:tcPr>
            <w:tcW w:w="1395" w:type="pct"/>
            <w:gridSpan w:val="2"/>
            <w:tcBorders>
              <w:bottom w:val="single" w:sz="4" w:space="0" w:color="auto"/>
            </w:tcBorders>
            <w:shd w:val="clear" w:color="auto" w:fill="auto"/>
            <w:vAlign w:val="center"/>
          </w:tcPr>
          <w:p w14:paraId="3F69EAB9" w14:textId="77777777" w:rsidR="00D606CC" w:rsidRPr="005D4433" w:rsidRDefault="00D606CC" w:rsidP="002E0CEC">
            <w:pPr>
              <w:rPr>
                <w:rFonts w:ascii="Calibri" w:hAnsi="Calibri"/>
                <w:color w:val="000000" w:themeColor="text1"/>
                <w:sz w:val="20"/>
                <w:szCs w:val="20"/>
              </w:rPr>
            </w:pPr>
            <w:r w:rsidRPr="00E90BB1">
              <w:rPr>
                <w:color w:val="000000" w:themeColor="text1"/>
                <w:sz w:val="20"/>
                <w:szCs w:val="20"/>
              </w:rPr>
              <w:t xml:space="preserve">Total </w:t>
            </w:r>
            <w:r>
              <w:rPr>
                <w:color w:val="000000" w:themeColor="text1"/>
                <w:sz w:val="20"/>
                <w:szCs w:val="20"/>
              </w:rPr>
              <w:t>s</w:t>
            </w:r>
            <w:r w:rsidRPr="00E90BB1">
              <w:rPr>
                <w:color w:val="000000" w:themeColor="text1"/>
                <w:sz w:val="20"/>
                <w:szCs w:val="20"/>
              </w:rPr>
              <w:t>chizophrenia</w:t>
            </w:r>
          </w:p>
        </w:tc>
        <w:tc>
          <w:tcPr>
            <w:tcW w:w="1119" w:type="pct"/>
            <w:gridSpan w:val="3"/>
            <w:tcBorders>
              <w:bottom w:val="single" w:sz="4" w:space="0" w:color="auto"/>
            </w:tcBorders>
            <w:shd w:val="clear" w:color="auto" w:fill="auto"/>
            <w:vAlign w:val="bottom"/>
          </w:tcPr>
          <w:p w14:paraId="5D5E9472" w14:textId="77777777" w:rsidR="00D606CC" w:rsidRPr="005D4433" w:rsidRDefault="00D606CC" w:rsidP="002E0CEC">
            <w:pPr>
              <w:jc w:val="right"/>
              <w:rPr>
                <w:rFonts w:ascii="Calibri" w:hAnsi="Calibri"/>
                <w:color w:val="000000" w:themeColor="text1"/>
                <w:sz w:val="20"/>
                <w:szCs w:val="20"/>
              </w:rPr>
            </w:pPr>
            <w:r>
              <w:rPr>
                <w:sz w:val="20"/>
                <w:szCs w:val="20"/>
              </w:rPr>
              <w:t>329</w:t>
            </w:r>
          </w:p>
        </w:tc>
        <w:tc>
          <w:tcPr>
            <w:tcW w:w="1244" w:type="pct"/>
            <w:gridSpan w:val="2"/>
            <w:tcBorders>
              <w:bottom w:val="single" w:sz="4" w:space="0" w:color="auto"/>
            </w:tcBorders>
            <w:shd w:val="clear" w:color="auto" w:fill="auto"/>
            <w:vAlign w:val="bottom"/>
          </w:tcPr>
          <w:p w14:paraId="1071C012" w14:textId="77777777" w:rsidR="00D606CC" w:rsidRPr="005D4433" w:rsidRDefault="00D606CC" w:rsidP="002E0CEC">
            <w:pPr>
              <w:jc w:val="right"/>
              <w:rPr>
                <w:rFonts w:ascii="Calibri" w:hAnsi="Calibri"/>
                <w:color w:val="000000" w:themeColor="text1"/>
                <w:sz w:val="20"/>
                <w:szCs w:val="20"/>
              </w:rPr>
            </w:pPr>
            <w:r>
              <w:rPr>
                <w:sz w:val="20"/>
                <w:szCs w:val="20"/>
              </w:rPr>
              <w:t>7</w:t>
            </w:r>
          </w:p>
        </w:tc>
        <w:tc>
          <w:tcPr>
            <w:tcW w:w="1242" w:type="pct"/>
            <w:gridSpan w:val="3"/>
            <w:tcBorders>
              <w:bottom w:val="single" w:sz="4" w:space="0" w:color="auto"/>
            </w:tcBorders>
            <w:shd w:val="clear" w:color="auto" w:fill="auto"/>
            <w:vAlign w:val="bottom"/>
          </w:tcPr>
          <w:p w14:paraId="76E2202B" w14:textId="77777777" w:rsidR="00D606CC" w:rsidRPr="005D4433" w:rsidRDefault="00D606CC" w:rsidP="002E0CEC">
            <w:pPr>
              <w:jc w:val="right"/>
              <w:rPr>
                <w:rFonts w:ascii="Calibri" w:hAnsi="Calibri"/>
                <w:color w:val="000000" w:themeColor="text1"/>
                <w:sz w:val="20"/>
                <w:szCs w:val="20"/>
              </w:rPr>
            </w:pPr>
            <w:r>
              <w:rPr>
                <w:sz w:val="20"/>
                <w:szCs w:val="20"/>
              </w:rPr>
              <w:t>344</w:t>
            </w:r>
          </w:p>
        </w:tc>
      </w:tr>
      <w:tr w:rsidR="00D606CC" w:rsidRPr="00E90BB1" w14:paraId="531A465E" w14:textId="77777777" w:rsidTr="002E0CEC">
        <w:trPr>
          <w:trHeight w:val="288"/>
        </w:trPr>
        <w:tc>
          <w:tcPr>
            <w:tcW w:w="1227" w:type="pct"/>
            <w:tcBorders>
              <w:top w:val="single" w:sz="4" w:space="0" w:color="auto"/>
              <w:left w:val="single" w:sz="4" w:space="0" w:color="auto"/>
              <w:bottom w:val="single" w:sz="4" w:space="0" w:color="auto"/>
              <w:right w:val="nil"/>
            </w:tcBorders>
            <w:vAlign w:val="center"/>
          </w:tcPr>
          <w:p w14:paraId="7AFD168A" w14:textId="77777777" w:rsidR="00D606CC" w:rsidRPr="005D4433" w:rsidRDefault="00D606CC" w:rsidP="002E0CEC">
            <w:pPr>
              <w:rPr>
                <w:rFonts w:ascii="Calibri" w:hAnsi="Calibri"/>
                <w:b/>
                <w:bCs/>
                <w:color w:val="000000" w:themeColor="text1"/>
                <w:sz w:val="20"/>
                <w:szCs w:val="20"/>
              </w:rPr>
            </w:pPr>
            <w:r w:rsidRPr="00E90BB1">
              <w:rPr>
                <w:b/>
                <w:color w:val="000000" w:themeColor="text1"/>
                <w:sz w:val="20"/>
                <w:szCs w:val="20"/>
              </w:rPr>
              <w:t>Bipolar Disorder</w:t>
            </w:r>
          </w:p>
        </w:tc>
        <w:tc>
          <w:tcPr>
            <w:tcW w:w="1279" w:type="pct"/>
            <w:gridSpan w:val="3"/>
            <w:tcBorders>
              <w:top w:val="single" w:sz="4" w:space="0" w:color="auto"/>
              <w:left w:val="nil"/>
              <w:bottom w:val="single" w:sz="4" w:space="0" w:color="auto"/>
              <w:right w:val="nil"/>
            </w:tcBorders>
            <w:vAlign w:val="bottom"/>
          </w:tcPr>
          <w:p w14:paraId="5A56A9DC" w14:textId="77777777" w:rsidR="00D606CC" w:rsidRPr="005D4433" w:rsidRDefault="00D606CC" w:rsidP="002E0CEC">
            <w:pPr>
              <w:jc w:val="center"/>
              <w:rPr>
                <w:rFonts w:ascii="Calibri" w:hAnsi="Calibri"/>
                <w:sz w:val="20"/>
                <w:szCs w:val="20"/>
              </w:rPr>
            </w:pPr>
          </w:p>
        </w:tc>
        <w:tc>
          <w:tcPr>
            <w:tcW w:w="1281" w:type="pct"/>
            <w:gridSpan w:val="4"/>
            <w:tcBorders>
              <w:top w:val="single" w:sz="4" w:space="0" w:color="auto"/>
              <w:left w:val="nil"/>
              <w:bottom w:val="single" w:sz="4" w:space="0" w:color="auto"/>
              <w:right w:val="nil"/>
            </w:tcBorders>
            <w:vAlign w:val="bottom"/>
          </w:tcPr>
          <w:p w14:paraId="49BF5555" w14:textId="77777777" w:rsidR="00D606CC" w:rsidRPr="005D4433" w:rsidRDefault="00D606CC" w:rsidP="002E0CEC">
            <w:pPr>
              <w:jc w:val="center"/>
              <w:rPr>
                <w:rFonts w:ascii="Calibri" w:hAnsi="Calibri"/>
                <w:sz w:val="20"/>
                <w:szCs w:val="20"/>
              </w:rPr>
            </w:pPr>
          </w:p>
        </w:tc>
        <w:tc>
          <w:tcPr>
            <w:tcW w:w="1213" w:type="pct"/>
            <w:gridSpan w:val="2"/>
            <w:tcBorders>
              <w:top w:val="single" w:sz="4" w:space="0" w:color="auto"/>
              <w:left w:val="nil"/>
              <w:bottom w:val="single" w:sz="4" w:space="0" w:color="auto"/>
              <w:right w:val="single" w:sz="4" w:space="0" w:color="auto"/>
            </w:tcBorders>
            <w:vAlign w:val="bottom"/>
          </w:tcPr>
          <w:p w14:paraId="4C3973BF" w14:textId="77777777" w:rsidR="00D606CC" w:rsidRPr="005D4433" w:rsidRDefault="00D606CC" w:rsidP="002E0CEC">
            <w:pPr>
              <w:jc w:val="center"/>
              <w:rPr>
                <w:rFonts w:ascii="Calibri" w:hAnsi="Calibri"/>
                <w:sz w:val="20"/>
                <w:szCs w:val="20"/>
              </w:rPr>
            </w:pPr>
          </w:p>
        </w:tc>
      </w:tr>
      <w:tr w:rsidR="00D606CC" w:rsidRPr="00E90BB1" w14:paraId="26017108" w14:textId="77777777" w:rsidTr="002E0CEC">
        <w:trPr>
          <w:trHeight w:val="288"/>
        </w:trPr>
        <w:tc>
          <w:tcPr>
            <w:tcW w:w="1395" w:type="pct"/>
            <w:gridSpan w:val="2"/>
            <w:tcBorders>
              <w:top w:val="single" w:sz="4" w:space="0" w:color="auto"/>
            </w:tcBorders>
            <w:shd w:val="clear" w:color="auto" w:fill="auto"/>
            <w:vAlign w:val="center"/>
          </w:tcPr>
          <w:p w14:paraId="320A7823" w14:textId="77777777" w:rsidR="00D606CC" w:rsidRPr="005D4433" w:rsidRDefault="00D606CC" w:rsidP="002E0CEC">
            <w:pPr>
              <w:rPr>
                <w:rFonts w:ascii="Calibri" w:hAnsi="Calibri"/>
                <w:color w:val="000000" w:themeColor="text1"/>
                <w:sz w:val="20"/>
                <w:szCs w:val="20"/>
              </w:rPr>
            </w:pPr>
            <w:r w:rsidRPr="00E90BB1">
              <w:rPr>
                <w:color w:val="000000" w:themeColor="text1"/>
                <w:sz w:val="20"/>
                <w:szCs w:val="20"/>
              </w:rPr>
              <w:t xml:space="preserve">Bipolar </w:t>
            </w:r>
            <w:r>
              <w:rPr>
                <w:color w:val="000000" w:themeColor="text1"/>
                <w:sz w:val="20"/>
                <w:szCs w:val="20"/>
              </w:rPr>
              <w:t>d</w:t>
            </w:r>
            <w:r w:rsidRPr="00E90BB1">
              <w:rPr>
                <w:color w:val="000000" w:themeColor="text1"/>
                <w:sz w:val="20"/>
                <w:szCs w:val="20"/>
              </w:rPr>
              <w:t xml:space="preserve">isorder in </w:t>
            </w:r>
            <w:r>
              <w:rPr>
                <w:color w:val="000000" w:themeColor="text1"/>
                <w:sz w:val="20"/>
                <w:szCs w:val="20"/>
              </w:rPr>
              <w:t>c</w:t>
            </w:r>
            <w:r w:rsidRPr="00E90BB1">
              <w:rPr>
                <w:color w:val="000000" w:themeColor="text1"/>
                <w:sz w:val="20"/>
                <w:szCs w:val="20"/>
              </w:rPr>
              <w:t>laims</w:t>
            </w:r>
          </w:p>
        </w:tc>
        <w:tc>
          <w:tcPr>
            <w:tcW w:w="1119" w:type="pct"/>
            <w:gridSpan w:val="3"/>
            <w:tcBorders>
              <w:top w:val="single" w:sz="4" w:space="0" w:color="auto"/>
            </w:tcBorders>
            <w:shd w:val="clear" w:color="auto" w:fill="auto"/>
            <w:vAlign w:val="bottom"/>
          </w:tcPr>
          <w:p w14:paraId="56AFB772" w14:textId="77777777" w:rsidR="00D606CC" w:rsidRPr="005D4433" w:rsidRDefault="00D606CC" w:rsidP="002E0CEC">
            <w:pPr>
              <w:jc w:val="right"/>
              <w:rPr>
                <w:rFonts w:ascii="Calibri" w:hAnsi="Calibri"/>
                <w:sz w:val="20"/>
                <w:szCs w:val="20"/>
              </w:rPr>
            </w:pPr>
            <w:r>
              <w:rPr>
                <w:sz w:val="20"/>
                <w:szCs w:val="20"/>
              </w:rPr>
              <w:t>304</w:t>
            </w:r>
          </w:p>
        </w:tc>
        <w:tc>
          <w:tcPr>
            <w:tcW w:w="1244" w:type="pct"/>
            <w:gridSpan w:val="2"/>
            <w:tcBorders>
              <w:top w:val="single" w:sz="4" w:space="0" w:color="auto"/>
            </w:tcBorders>
            <w:shd w:val="clear" w:color="auto" w:fill="auto"/>
            <w:vAlign w:val="bottom"/>
          </w:tcPr>
          <w:p w14:paraId="2E1D7D5C" w14:textId="77777777" w:rsidR="00D606CC" w:rsidRPr="005D4433" w:rsidRDefault="00D606CC" w:rsidP="002E0CEC">
            <w:pPr>
              <w:jc w:val="right"/>
              <w:rPr>
                <w:rFonts w:ascii="Calibri" w:hAnsi="Calibri"/>
                <w:sz w:val="20"/>
                <w:szCs w:val="20"/>
              </w:rPr>
            </w:pPr>
            <w:r>
              <w:rPr>
                <w:sz w:val="20"/>
                <w:szCs w:val="20"/>
              </w:rPr>
              <w:t>12</w:t>
            </w:r>
          </w:p>
        </w:tc>
        <w:tc>
          <w:tcPr>
            <w:tcW w:w="1242" w:type="pct"/>
            <w:gridSpan w:val="3"/>
            <w:tcBorders>
              <w:top w:val="single" w:sz="4" w:space="0" w:color="auto"/>
            </w:tcBorders>
            <w:shd w:val="clear" w:color="auto" w:fill="auto"/>
            <w:vAlign w:val="bottom"/>
          </w:tcPr>
          <w:p w14:paraId="3C5F104F" w14:textId="77777777" w:rsidR="00D606CC" w:rsidRPr="005D4433" w:rsidRDefault="00D606CC" w:rsidP="002E0CEC">
            <w:pPr>
              <w:jc w:val="right"/>
              <w:rPr>
                <w:rFonts w:ascii="Calibri" w:hAnsi="Calibri"/>
                <w:sz w:val="20"/>
                <w:szCs w:val="20"/>
              </w:rPr>
            </w:pPr>
            <w:r>
              <w:rPr>
                <w:sz w:val="20"/>
                <w:szCs w:val="20"/>
              </w:rPr>
              <w:t>316</w:t>
            </w:r>
          </w:p>
        </w:tc>
      </w:tr>
      <w:tr w:rsidR="00D606CC" w:rsidRPr="00E90BB1" w14:paraId="04413322" w14:textId="77777777" w:rsidTr="002E0CEC">
        <w:trPr>
          <w:trHeight w:val="288"/>
        </w:trPr>
        <w:tc>
          <w:tcPr>
            <w:tcW w:w="1395" w:type="pct"/>
            <w:gridSpan w:val="2"/>
            <w:shd w:val="clear" w:color="auto" w:fill="auto"/>
            <w:vAlign w:val="center"/>
          </w:tcPr>
          <w:p w14:paraId="2059FA94" w14:textId="77777777" w:rsidR="00D606CC" w:rsidRPr="005D4433" w:rsidRDefault="00D606CC" w:rsidP="002E0CEC">
            <w:pPr>
              <w:rPr>
                <w:rFonts w:ascii="Calibri" w:hAnsi="Calibri"/>
                <w:color w:val="000000" w:themeColor="text1"/>
                <w:sz w:val="20"/>
                <w:szCs w:val="20"/>
              </w:rPr>
            </w:pPr>
            <w:r w:rsidRPr="00E90BB1">
              <w:rPr>
                <w:color w:val="000000" w:themeColor="text1"/>
                <w:sz w:val="20"/>
                <w:szCs w:val="20"/>
              </w:rPr>
              <w:t xml:space="preserve">No </w:t>
            </w:r>
            <w:r>
              <w:rPr>
                <w:color w:val="000000" w:themeColor="text1"/>
                <w:sz w:val="20"/>
                <w:szCs w:val="20"/>
              </w:rPr>
              <w:t>b</w:t>
            </w:r>
            <w:r w:rsidRPr="00E90BB1">
              <w:rPr>
                <w:color w:val="000000" w:themeColor="text1"/>
                <w:sz w:val="20"/>
                <w:szCs w:val="20"/>
              </w:rPr>
              <w:t xml:space="preserve">ipolar </w:t>
            </w:r>
            <w:r>
              <w:rPr>
                <w:color w:val="000000" w:themeColor="text1"/>
                <w:sz w:val="20"/>
                <w:szCs w:val="20"/>
              </w:rPr>
              <w:t>d</w:t>
            </w:r>
            <w:r w:rsidRPr="00E90BB1">
              <w:rPr>
                <w:color w:val="000000" w:themeColor="text1"/>
                <w:sz w:val="20"/>
                <w:szCs w:val="20"/>
              </w:rPr>
              <w:t xml:space="preserve">isorder in </w:t>
            </w:r>
            <w:r>
              <w:rPr>
                <w:color w:val="000000" w:themeColor="text1"/>
                <w:sz w:val="20"/>
                <w:szCs w:val="20"/>
              </w:rPr>
              <w:t>c</w:t>
            </w:r>
            <w:r w:rsidRPr="00E90BB1">
              <w:rPr>
                <w:color w:val="000000" w:themeColor="text1"/>
                <w:sz w:val="20"/>
                <w:szCs w:val="20"/>
              </w:rPr>
              <w:t>laims</w:t>
            </w:r>
          </w:p>
        </w:tc>
        <w:tc>
          <w:tcPr>
            <w:tcW w:w="1119" w:type="pct"/>
            <w:gridSpan w:val="3"/>
            <w:shd w:val="clear" w:color="auto" w:fill="auto"/>
            <w:vAlign w:val="bottom"/>
          </w:tcPr>
          <w:p w14:paraId="36EEBBDC" w14:textId="77777777" w:rsidR="00D606CC" w:rsidRPr="005D4433" w:rsidRDefault="00D606CC" w:rsidP="002E0CEC">
            <w:pPr>
              <w:jc w:val="right"/>
              <w:rPr>
                <w:rFonts w:ascii="Calibri" w:hAnsi="Calibri"/>
                <w:sz w:val="20"/>
                <w:szCs w:val="20"/>
              </w:rPr>
            </w:pPr>
            <w:r>
              <w:rPr>
                <w:sz w:val="20"/>
                <w:szCs w:val="20"/>
              </w:rPr>
              <w:t>3</w:t>
            </w:r>
          </w:p>
        </w:tc>
        <w:tc>
          <w:tcPr>
            <w:tcW w:w="1244" w:type="pct"/>
            <w:gridSpan w:val="2"/>
            <w:shd w:val="clear" w:color="auto" w:fill="auto"/>
            <w:vAlign w:val="bottom"/>
          </w:tcPr>
          <w:p w14:paraId="7FA9B452" w14:textId="77777777" w:rsidR="00D606CC" w:rsidRPr="005D4433" w:rsidRDefault="00D606CC" w:rsidP="002E0CEC">
            <w:pPr>
              <w:jc w:val="right"/>
              <w:rPr>
                <w:rFonts w:ascii="Calibri" w:hAnsi="Calibri"/>
                <w:sz w:val="20"/>
                <w:szCs w:val="20"/>
              </w:rPr>
            </w:pPr>
            <w:r w:rsidRPr="00E90BB1">
              <w:rPr>
                <w:sz w:val="20"/>
                <w:szCs w:val="20"/>
              </w:rPr>
              <w:t>0</w:t>
            </w:r>
          </w:p>
        </w:tc>
        <w:tc>
          <w:tcPr>
            <w:tcW w:w="1242" w:type="pct"/>
            <w:gridSpan w:val="3"/>
            <w:shd w:val="clear" w:color="auto" w:fill="auto"/>
            <w:vAlign w:val="bottom"/>
          </w:tcPr>
          <w:p w14:paraId="2C779FFB" w14:textId="77777777" w:rsidR="00D606CC" w:rsidRPr="005D4433" w:rsidRDefault="00D606CC" w:rsidP="002E0CEC">
            <w:pPr>
              <w:jc w:val="right"/>
              <w:rPr>
                <w:rFonts w:ascii="Calibri" w:hAnsi="Calibri"/>
                <w:sz w:val="20"/>
                <w:szCs w:val="20"/>
              </w:rPr>
            </w:pPr>
            <w:r>
              <w:rPr>
                <w:sz w:val="20"/>
                <w:szCs w:val="20"/>
              </w:rPr>
              <w:t>3</w:t>
            </w:r>
          </w:p>
        </w:tc>
      </w:tr>
      <w:tr w:rsidR="00D606CC" w:rsidRPr="00E90BB1" w14:paraId="25AF092B" w14:textId="77777777" w:rsidTr="002E0CEC">
        <w:trPr>
          <w:trHeight w:val="288"/>
        </w:trPr>
        <w:tc>
          <w:tcPr>
            <w:tcW w:w="1395" w:type="pct"/>
            <w:gridSpan w:val="2"/>
            <w:shd w:val="clear" w:color="auto" w:fill="auto"/>
            <w:vAlign w:val="center"/>
          </w:tcPr>
          <w:p w14:paraId="545355C0" w14:textId="77777777" w:rsidR="00D606CC" w:rsidRPr="005D4433" w:rsidRDefault="00D606CC" w:rsidP="002E0CEC">
            <w:pPr>
              <w:rPr>
                <w:rFonts w:ascii="Calibri" w:hAnsi="Calibri"/>
                <w:color w:val="000000" w:themeColor="text1"/>
                <w:sz w:val="20"/>
                <w:szCs w:val="20"/>
              </w:rPr>
            </w:pPr>
            <w:r w:rsidRPr="00E90BB1">
              <w:rPr>
                <w:color w:val="000000" w:themeColor="text1"/>
                <w:sz w:val="20"/>
                <w:szCs w:val="20"/>
              </w:rPr>
              <w:t xml:space="preserve">Total </w:t>
            </w:r>
            <w:r>
              <w:rPr>
                <w:color w:val="000000" w:themeColor="text1"/>
                <w:sz w:val="20"/>
                <w:szCs w:val="20"/>
              </w:rPr>
              <w:t>b</w:t>
            </w:r>
            <w:r w:rsidRPr="00E90BB1">
              <w:rPr>
                <w:color w:val="000000" w:themeColor="text1"/>
                <w:sz w:val="20"/>
                <w:szCs w:val="20"/>
              </w:rPr>
              <w:t xml:space="preserve">ipolar </w:t>
            </w:r>
            <w:r>
              <w:rPr>
                <w:color w:val="000000" w:themeColor="text1"/>
                <w:sz w:val="20"/>
                <w:szCs w:val="20"/>
              </w:rPr>
              <w:t>d</w:t>
            </w:r>
            <w:r w:rsidRPr="00E90BB1">
              <w:rPr>
                <w:color w:val="000000" w:themeColor="text1"/>
                <w:sz w:val="20"/>
                <w:szCs w:val="20"/>
              </w:rPr>
              <w:t>isorder</w:t>
            </w:r>
          </w:p>
        </w:tc>
        <w:tc>
          <w:tcPr>
            <w:tcW w:w="1119" w:type="pct"/>
            <w:gridSpan w:val="3"/>
            <w:shd w:val="clear" w:color="auto" w:fill="auto"/>
            <w:vAlign w:val="bottom"/>
          </w:tcPr>
          <w:p w14:paraId="1C0D7BA5" w14:textId="77777777" w:rsidR="00D606CC" w:rsidRPr="005D4433" w:rsidRDefault="00D606CC" w:rsidP="002E0CEC">
            <w:pPr>
              <w:jc w:val="right"/>
              <w:rPr>
                <w:rFonts w:ascii="Calibri" w:hAnsi="Calibri"/>
                <w:sz w:val="20"/>
                <w:szCs w:val="20"/>
              </w:rPr>
            </w:pPr>
            <w:r>
              <w:rPr>
                <w:sz w:val="20"/>
                <w:szCs w:val="20"/>
              </w:rPr>
              <w:t>307</w:t>
            </w:r>
          </w:p>
        </w:tc>
        <w:tc>
          <w:tcPr>
            <w:tcW w:w="1244" w:type="pct"/>
            <w:gridSpan w:val="2"/>
            <w:shd w:val="clear" w:color="auto" w:fill="auto"/>
            <w:vAlign w:val="bottom"/>
          </w:tcPr>
          <w:p w14:paraId="4C4D3B10" w14:textId="77777777" w:rsidR="00D606CC" w:rsidRPr="005D4433" w:rsidRDefault="00D606CC" w:rsidP="002E0CEC">
            <w:pPr>
              <w:jc w:val="right"/>
              <w:rPr>
                <w:rFonts w:ascii="Calibri" w:hAnsi="Calibri"/>
                <w:sz w:val="20"/>
                <w:szCs w:val="20"/>
              </w:rPr>
            </w:pPr>
            <w:r w:rsidRPr="00E90BB1">
              <w:rPr>
                <w:sz w:val="20"/>
                <w:szCs w:val="20"/>
              </w:rPr>
              <w:t>1</w:t>
            </w:r>
            <w:r>
              <w:rPr>
                <w:sz w:val="20"/>
                <w:szCs w:val="20"/>
              </w:rPr>
              <w:t>2</w:t>
            </w:r>
          </w:p>
        </w:tc>
        <w:tc>
          <w:tcPr>
            <w:tcW w:w="1242" w:type="pct"/>
            <w:gridSpan w:val="3"/>
            <w:shd w:val="clear" w:color="auto" w:fill="auto"/>
            <w:vAlign w:val="bottom"/>
          </w:tcPr>
          <w:p w14:paraId="49DFB1A6" w14:textId="77777777" w:rsidR="00D606CC" w:rsidRPr="005D4433" w:rsidRDefault="00D606CC" w:rsidP="002E0CEC">
            <w:pPr>
              <w:jc w:val="right"/>
              <w:rPr>
                <w:rFonts w:ascii="Calibri" w:hAnsi="Calibri"/>
                <w:sz w:val="20"/>
                <w:szCs w:val="20"/>
              </w:rPr>
            </w:pPr>
            <w:r>
              <w:rPr>
                <w:sz w:val="20"/>
                <w:szCs w:val="20"/>
              </w:rPr>
              <w:t>319</w:t>
            </w:r>
          </w:p>
        </w:tc>
      </w:tr>
      <w:tr w:rsidR="00D606CC" w:rsidRPr="00E90BB1" w14:paraId="2C93CCBC" w14:textId="77777777" w:rsidTr="002E0CEC">
        <w:trPr>
          <w:trHeight w:val="288"/>
        </w:trPr>
        <w:tc>
          <w:tcPr>
            <w:tcW w:w="1395" w:type="pct"/>
            <w:gridSpan w:val="2"/>
            <w:vAlign w:val="center"/>
          </w:tcPr>
          <w:p w14:paraId="46FF849F" w14:textId="77777777" w:rsidR="00D606CC" w:rsidRPr="00E90BB1" w:rsidRDefault="00D606CC" w:rsidP="002E0CEC">
            <w:pPr>
              <w:rPr>
                <w:b/>
                <w:bCs/>
                <w:color w:val="000000" w:themeColor="text1"/>
                <w:sz w:val="20"/>
                <w:szCs w:val="20"/>
              </w:rPr>
            </w:pPr>
            <w:r w:rsidRPr="00E90BB1">
              <w:rPr>
                <w:b/>
                <w:color w:val="000000" w:themeColor="text1"/>
                <w:sz w:val="20"/>
                <w:szCs w:val="20"/>
              </w:rPr>
              <w:t>Total Overall</w:t>
            </w:r>
          </w:p>
        </w:tc>
        <w:tc>
          <w:tcPr>
            <w:tcW w:w="1119" w:type="pct"/>
            <w:gridSpan w:val="3"/>
            <w:vAlign w:val="bottom"/>
          </w:tcPr>
          <w:p w14:paraId="538FA4F9" w14:textId="77777777" w:rsidR="00D606CC" w:rsidRPr="00E90BB1" w:rsidRDefault="00D606CC" w:rsidP="002E0CEC">
            <w:pPr>
              <w:jc w:val="right"/>
              <w:rPr>
                <w:sz w:val="20"/>
                <w:szCs w:val="20"/>
              </w:rPr>
            </w:pPr>
            <w:r>
              <w:rPr>
                <w:sz w:val="20"/>
                <w:szCs w:val="20"/>
              </w:rPr>
              <w:t>939</w:t>
            </w:r>
          </w:p>
        </w:tc>
        <w:tc>
          <w:tcPr>
            <w:tcW w:w="1244" w:type="pct"/>
            <w:gridSpan w:val="2"/>
            <w:vAlign w:val="bottom"/>
          </w:tcPr>
          <w:p w14:paraId="48B8BCCC" w14:textId="77777777" w:rsidR="00D606CC" w:rsidRPr="00E90BB1" w:rsidRDefault="00D606CC" w:rsidP="002E0CEC">
            <w:pPr>
              <w:jc w:val="right"/>
              <w:rPr>
                <w:sz w:val="20"/>
                <w:szCs w:val="20"/>
              </w:rPr>
            </w:pPr>
            <w:r>
              <w:rPr>
                <w:sz w:val="20"/>
                <w:szCs w:val="20"/>
              </w:rPr>
              <w:t>24</w:t>
            </w:r>
          </w:p>
        </w:tc>
        <w:tc>
          <w:tcPr>
            <w:tcW w:w="1242" w:type="pct"/>
            <w:gridSpan w:val="3"/>
            <w:vAlign w:val="bottom"/>
          </w:tcPr>
          <w:p w14:paraId="722FBDDD" w14:textId="77777777" w:rsidR="00D606CC" w:rsidRPr="00E90BB1" w:rsidRDefault="00D606CC" w:rsidP="002E0CEC">
            <w:pPr>
              <w:jc w:val="right"/>
              <w:rPr>
                <w:sz w:val="20"/>
                <w:szCs w:val="20"/>
              </w:rPr>
            </w:pPr>
            <w:r>
              <w:rPr>
                <w:sz w:val="20"/>
                <w:szCs w:val="20"/>
              </w:rPr>
              <w:t>963</w:t>
            </w:r>
          </w:p>
        </w:tc>
      </w:tr>
    </w:tbl>
    <w:p w14:paraId="3D220F1B" w14:textId="77777777" w:rsidR="00D606CC" w:rsidRPr="00573969" w:rsidRDefault="00D606CC" w:rsidP="00D606CC">
      <w:pPr>
        <w:spacing w:before="60" w:after="120" w:line="240" w:lineRule="auto"/>
        <w:rPr>
          <w:color w:val="0000FF"/>
        </w:rPr>
      </w:pPr>
      <w:r w:rsidRPr="00573969">
        <w:rPr>
          <w:color w:val="0000FF"/>
        </w:rPr>
        <w:t>During the medical record review at the 7 test sites, 92% (873/945) of cases were prescribed an evidence-based medication at discharge (Table 2b2.3-B). Among the patients who were not prescribed an evidence-based medication, the majority of reasons identified by the medical record abstractors indicated quality deficits. For example, 61% of the cases without an evidence-based medication at discharge had medications prescribed that were not indicated for the principal discharge diagnosis, 11% did not have any medications prescribed, and 5% were clearly the result of medical errors. No reason was identified by the abstractors for 9% of the cases, which could also indicate potential quality deficits. The remaining cases do not represent quality deficits but do indicate opportunities for improvement in cases where prescriptions could have been provided in addition to medications dispensed at discharge or could have been provided to patients who declined pharmacotherapy because the patient may decide differently and want to continue pharmacotherapy after leaving the IPF.</w:t>
      </w:r>
    </w:p>
    <w:p w14:paraId="55356635" w14:textId="4F38928C" w:rsidR="00D606CC" w:rsidRDefault="00D606CC" w:rsidP="00D606CC">
      <w:pPr>
        <w:spacing w:after="160" w:line="259" w:lineRule="auto"/>
        <w:rPr>
          <w:color w:val="0000FF"/>
        </w:rPr>
      </w:pPr>
      <w:r w:rsidRPr="00573969">
        <w:rPr>
          <w:color w:val="0000FF"/>
        </w:rPr>
        <w:t xml:space="preserve">When comparing numerator positive cases from the claims data to the medical record, the positive predictive value </w:t>
      </w:r>
      <w:r>
        <w:rPr>
          <w:color w:val="0000FF"/>
        </w:rPr>
        <w:t xml:space="preserve">was </w:t>
      </w:r>
      <w:r w:rsidRPr="00573969">
        <w:rPr>
          <w:color w:val="0000FF"/>
        </w:rPr>
        <w:t>96% (622/646) as calculated from Table 2b2.3-B.</w:t>
      </w:r>
    </w:p>
    <w:p w14:paraId="3E23C85A" w14:textId="77777777" w:rsidR="00D21729" w:rsidRPr="007F7944" w:rsidRDefault="00D21729" w:rsidP="00D21729">
      <w:pPr>
        <w:spacing w:before="120" w:after="0" w:line="240" w:lineRule="auto"/>
        <w:ind w:left="1260" w:hanging="1260"/>
        <w:contextualSpacing/>
        <w:rPr>
          <w:b/>
          <w:bCs/>
          <w:sz w:val="20"/>
          <w:szCs w:val="20"/>
        </w:rPr>
      </w:pPr>
      <w:bookmarkStart w:id="44" w:name="_Ref462251136"/>
      <w:r w:rsidRPr="007C558A">
        <w:rPr>
          <w:b/>
          <w:bCs/>
          <w:sz w:val="20"/>
          <w:szCs w:val="20"/>
        </w:rPr>
        <w:t>Table</w:t>
      </w:r>
      <w:bookmarkEnd w:id="44"/>
      <w:r w:rsidRPr="007C558A">
        <w:rPr>
          <w:b/>
          <w:bCs/>
          <w:sz w:val="20"/>
          <w:szCs w:val="20"/>
        </w:rPr>
        <w:t xml:space="preserve"> </w:t>
      </w:r>
      <w:r w:rsidRPr="007C558A">
        <w:rPr>
          <w:b/>
          <w:sz w:val="20"/>
        </w:rPr>
        <w:t>2b2.3-B</w:t>
      </w:r>
      <w:r w:rsidRPr="007C558A">
        <w:rPr>
          <w:b/>
          <w:bCs/>
          <w:sz w:val="20"/>
          <w:szCs w:val="20"/>
        </w:rPr>
        <w:t>. Comparison of Medications</w:t>
      </w:r>
      <w:r w:rsidRPr="0C206F83">
        <w:rPr>
          <w:b/>
          <w:bCs/>
          <w:sz w:val="20"/>
          <w:szCs w:val="20"/>
        </w:rPr>
        <w:t xml:space="preserve"> Prescribed at Discharge to Fills</w:t>
      </w:r>
      <w:r>
        <w:rPr>
          <w:b/>
          <w:bCs/>
          <w:sz w:val="20"/>
          <w:szCs w:val="20"/>
        </w:rPr>
        <w:t xml:space="preserve"> </w:t>
      </w:r>
      <w:r w:rsidRPr="0C206F83">
        <w:rPr>
          <w:b/>
          <w:bCs/>
          <w:sz w:val="20"/>
          <w:szCs w:val="20"/>
        </w:rPr>
        <w:t>During</w:t>
      </w:r>
      <w:r>
        <w:rPr>
          <w:b/>
          <w:bCs/>
          <w:sz w:val="20"/>
          <w:szCs w:val="20"/>
        </w:rPr>
        <w:t xml:space="preserve"> the Follow-Up Period in Claims </w:t>
      </w:r>
      <w:r w:rsidRPr="0C206F83">
        <w:rPr>
          <w:b/>
          <w:bCs/>
          <w:sz w:val="20"/>
          <w:szCs w:val="20"/>
        </w:rPr>
        <w:t>Data</w:t>
      </w:r>
    </w:p>
    <w:tbl>
      <w:tblPr>
        <w:tblStyle w:val="TableGrid"/>
        <w:tblW w:w="4887" w:type="pct"/>
        <w:tblInd w:w="108" w:type="dxa"/>
        <w:tblLook w:val="04A0" w:firstRow="1" w:lastRow="0" w:firstColumn="1" w:lastColumn="0" w:noHBand="0" w:noVBand="1"/>
      </w:tblPr>
      <w:tblGrid>
        <w:gridCol w:w="2284"/>
        <w:gridCol w:w="2285"/>
        <w:gridCol w:w="2285"/>
        <w:gridCol w:w="2285"/>
      </w:tblGrid>
      <w:tr w:rsidR="002C63F0" w:rsidRPr="00AD7644" w14:paraId="4933989A" w14:textId="77777777" w:rsidTr="002E0CEC">
        <w:trPr>
          <w:trHeight w:val="490"/>
        </w:trPr>
        <w:tc>
          <w:tcPr>
            <w:tcW w:w="1250" w:type="pct"/>
            <w:shd w:val="clear" w:color="auto" w:fill="365F91" w:themeFill="accent1" w:themeFillShade="BF"/>
            <w:vAlign w:val="center"/>
          </w:tcPr>
          <w:p w14:paraId="1F412080" w14:textId="77777777" w:rsidR="002C63F0" w:rsidRPr="00AD7644" w:rsidRDefault="002C63F0" w:rsidP="002E0CEC">
            <w:pPr>
              <w:jc w:val="center"/>
              <w:rPr>
                <w:sz w:val="20"/>
                <w:szCs w:val="20"/>
              </w:rPr>
            </w:pPr>
          </w:p>
        </w:tc>
        <w:tc>
          <w:tcPr>
            <w:tcW w:w="1250" w:type="pct"/>
            <w:shd w:val="clear" w:color="auto" w:fill="365F91" w:themeFill="accent1" w:themeFillShade="BF"/>
            <w:vAlign w:val="bottom"/>
          </w:tcPr>
          <w:p w14:paraId="20888AAB" w14:textId="77777777" w:rsidR="002C63F0" w:rsidRDefault="002C63F0" w:rsidP="002E0CEC">
            <w:pPr>
              <w:jc w:val="center"/>
              <w:rPr>
                <w:b/>
                <w:bCs/>
                <w:color w:val="FFFFFF" w:themeColor="background1"/>
                <w:sz w:val="20"/>
                <w:szCs w:val="20"/>
              </w:rPr>
            </w:pPr>
            <w:r w:rsidRPr="0C206F83">
              <w:rPr>
                <w:b/>
                <w:bCs/>
                <w:color w:val="FFFFFF" w:themeColor="background1"/>
                <w:sz w:val="20"/>
                <w:szCs w:val="20"/>
              </w:rPr>
              <w:t xml:space="preserve">Evidence-Based </w:t>
            </w:r>
          </w:p>
          <w:p w14:paraId="313C967E" w14:textId="77777777" w:rsidR="002C63F0" w:rsidRPr="00AD7644" w:rsidRDefault="002C63F0" w:rsidP="002E0CEC">
            <w:pPr>
              <w:jc w:val="center"/>
              <w:rPr>
                <w:b/>
                <w:bCs/>
                <w:color w:val="FFFFFF" w:themeColor="background1"/>
                <w:sz w:val="20"/>
                <w:szCs w:val="20"/>
              </w:rPr>
            </w:pPr>
            <w:r w:rsidRPr="0C206F83">
              <w:rPr>
                <w:b/>
                <w:bCs/>
                <w:color w:val="FFFFFF" w:themeColor="background1"/>
                <w:sz w:val="20"/>
                <w:szCs w:val="20"/>
              </w:rPr>
              <w:t>Prescription at Discharge</w:t>
            </w:r>
          </w:p>
        </w:tc>
        <w:tc>
          <w:tcPr>
            <w:tcW w:w="1250" w:type="pct"/>
            <w:shd w:val="clear" w:color="auto" w:fill="365F91" w:themeFill="accent1" w:themeFillShade="BF"/>
            <w:vAlign w:val="bottom"/>
          </w:tcPr>
          <w:p w14:paraId="7C66277A" w14:textId="77777777" w:rsidR="002C63F0" w:rsidRPr="00AD7644" w:rsidRDefault="002C63F0" w:rsidP="002E0CEC">
            <w:pPr>
              <w:jc w:val="center"/>
              <w:rPr>
                <w:b/>
                <w:bCs/>
                <w:color w:val="FFFFFF" w:themeColor="background1"/>
                <w:sz w:val="20"/>
                <w:szCs w:val="20"/>
              </w:rPr>
            </w:pPr>
            <w:r w:rsidRPr="0C206F83">
              <w:rPr>
                <w:b/>
                <w:bCs/>
                <w:color w:val="FFFFFF" w:themeColor="background1"/>
                <w:sz w:val="20"/>
                <w:szCs w:val="20"/>
              </w:rPr>
              <w:t>No Evidence-Based Prescription at Discharge</w:t>
            </w:r>
          </w:p>
        </w:tc>
        <w:tc>
          <w:tcPr>
            <w:tcW w:w="1250" w:type="pct"/>
            <w:shd w:val="clear" w:color="auto" w:fill="365F91" w:themeFill="accent1" w:themeFillShade="BF"/>
            <w:vAlign w:val="bottom"/>
          </w:tcPr>
          <w:p w14:paraId="76056D00" w14:textId="77777777" w:rsidR="002C63F0" w:rsidRPr="00AD7644" w:rsidRDefault="002C63F0" w:rsidP="002E0CEC">
            <w:pPr>
              <w:jc w:val="center"/>
              <w:rPr>
                <w:b/>
                <w:bCs/>
                <w:color w:val="FFFFFF" w:themeColor="background1"/>
                <w:sz w:val="20"/>
                <w:szCs w:val="20"/>
              </w:rPr>
            </w:pPr>
            <w:r w:rsidRPr="0C206F83">
              <w:rPr>
                <w:b/>
                <w:bCs/>
                <w:color w:val="FFFFFF" w:themeColor="background1"/>
                <w:sz w:val="20"/>
                <w:szCs w:val="20"/>
              </w:rPr>
              <w:t>Total</w:t>
            </w:r>
          </w:p>
        </w:tc>
      </w:tr>
      <w:tr w:rsidR="002C63F0" w:rsidRPr="00AD7644" w14:paraId="1F69BA44" w14:textId="77777777" w:rsidTr="002E0CEC">
        <w:trPr>
          <w:trHeight w:val="288"/>
        </w:trPr>
        <w:tc>
          <w:tcPr>
            <w:tcW w:w="1250" w:type="pct"/>
            <w:shd w:val="clear" w:color="auto" w:fill="auto"/>
            <w:vAlign w:val="center"/>
          </w:tcPr>
          <w:p w14:paraId="5B7232AC" w14:textId="77777777" w:rsidR="002C63F0" w:rsidRPr="00AD7644" w:rsidRDefault="002C63F0" w:rsidP="002E0CEC">
            <w:pPr>
              <w:rPr>
                <w:color w:val="000000" w:themeColor="text1"/>
                <w:sz w:val="20"/>
                <w:szCs w:val="20"/>
              </w:rPr>
            </w:pPr>
            <w:r w:rsidRPr="0C206F83">
              <w:rPr>
                <w:color w:val="000000" w:themeColor="text1"/>
                <w:sz w:val="20"/>
                <w:szCs w:val="20"/>
              </w:rPr>
              <w:t>Numerator Positive</w:t>
            </w:r>
          </w:p>
        </w:tc>
        <w:tc>
          <w:tcPr>
            <w:tcW w:w="1250" w:type="pct"/>
            <w:shd w:val="clear" w:color="auto" w:fill="auto"/>
            <w:vAlign w:val="center"/>
          </w:tcPr>
          <w:p w14:paraId="470ECB72" w14:textId="77777777" w:rsidR="002C63F0" w:rsidRPr="00AD7644" w:rsidRDefault="002C63F0" w:rsidP="002E0CEC">
            <w:pPr>
              <w:jc w:val="center"/>
              <w:rPr>
                <w:sz w:val="20"/>
                <w:szCs w:val="20"/>
              </w:rPr>
            </w:pPr>
            <w:r w:rsidRPr="0C206F83">
              <w:rPr>
                <w:sz w:val="20"/>
                <w:szCs w:val="20"/>
              </w:rPr>
              <w:t>622</w:t>
            </w:r>
          </w:p>
        </w:tc>
        <w:tc>
          <w:tcPr>
            <w:tcW w:w="1250" w:type="pct"/>
            <w:shd w:val="clear" w:color="auto" w:fill="auto"/>
            <w:vAlign w:val="center"/>
          </w:tcPr>
          <w:p w14:paraId="1D9FC1E3" w14:textId="77777777" w:rsidR="002C63F0" w:rsidRPr="00AD7644" w:rsidRDefault="002C63F0" w:rsidP="002E0CEC">
            <w:pPr>
              <w:jc w:val="center"/>
              <w:rPr>
                <w:sz w:val="20"/>
                <w:szCs w:val="20"/>
              </w:rPr>
            </w:pPr>
            <w:r w:rsidRPr="0C206F83">
              <w:rPr>
                <w:sz w:val="20"/>
                <w:szCs w:val="20"/>
              </w:rPr>
              <w:t>24</w:t>
            </w:r>
          </w:p>
        </w:tc>
        <w:tc>
          <w:tcPr>
            <w:tcW w:w="1250" w:type="pct"/>
            <w:shd w:val="clear" w:color="auto" w:fill="auto"/>
            <w:vAlign w:val="center"/>
          </w:tcPr>
          <w:p w14:paraId="14DDE368" w14:textId="77777777" w:rsidR="002C63F0" w:rsidRPr="00AD7644" w:rsidRDefault="002C63F0" w:rsidP="002E0CEC">
            <w:pPr>
              <w:jc w:val="center"/>
              <w:rPr>
                <w:sz w:val="20"/>
                <w:szCs w:val="20"/>
              </w:rPr>
            </w:pPr>
            <w:r w:rsidRPr="0C206F83">
              <w:rPr>
                <w:sz w:val="20"/>
                <w:szCs w:val="20"/>
              </w:rPr>
              <w:t>646</w:t>
            </w:r>
          </w:p>
        </w:tc>
      </w:tr>
      <w:tr w:rsidR="002C63F0" w:rsidRPr="00AD7644" w14:paraId="6A5A8197" w14:textId="77777777" w:rsidTr="002E0CEC">
        <w:trPr>
          <w:trHeight w:val="288"/>
        </w:trPr>
        <w:tc>
          <w:tcPr>
            <w:tcW w:w="1250" w:type="pct"/>
            <w:shd w:val="clear" w:color="auto" w:fill="auto"/>
            <w:vAlign w:val="center"/>
          </w:tcPr>
          <w:p w14:paraId="361B7FFF" w14:textId="77777777" w:rsidR="002C63F0" w:rsidRPr="00AD7644" w:rsidRDefault="002C63F0" w:rsidP="002E0CEC">
            <w:pPr>
              <w:rPr>
                <w:color w:val="000000" w:themeColor="text1"/>
                <w:sz w:val="20"/>
                <w:szCs w:val="20"/>
              </w:rPr>
            </w:pPr>
            <w:r w:rsidRPr="0C206F83">
              <w:rPr>
                <w:color w:val="000000" w:themeColor="text1"/>
                <w:sz w:val="20"/>
                <w:szCs w:val="20"/>
              </w:rPr>
              <w:t>Numerator Negative</w:t>
            </w:r>
          </w:p>
        </w:tc>
        <w:tc>
          <w:tcPr>
            <w:tcW w:w="1250" w:type="pct"/>
            <w:shd w:val="clear" w:color="auto" w:fill="auto"/>
            <w:vAlign w:val="center"/>
          </w:tcPr>
          <w:p w14:paraId="580A2371" w14:textId="77777777" w:rsidR="002C63F0" w:rsidRPr="00AD7644" w:rsidRDefault="002C63F0" w:rsidP="002E0CEC">
            <w:pPr>
              <w:jc w:val="center"/>
              <w:rPr>
                <w:sz w:val="20"/>
                <w:szCs w:val="20"/>
              </w:rPr>
            </w:pPr>
            <w:r w:rsidRPr="0C206F83">
              <w:rPr>
                <w:sz w:val="20"/>
                <w:szCs w:val="20"/>
              </w:rPr>
              <w:t>251</w:t>
            </w:r>
          </w:p>
        </w:tc>
        <w:tc>
          <w:tcPr>
            <w:tcW w:w="1250" w:type="pct"/>
            <w:shd w:val="clear" w:color="auto" w:fill="auto"/>
            <w:vAlign w:val="center"/>
          </w:tcPr>
          <w:p w14:paraId="17FE7CAC" w14:textId="77777777" w:rsidR="002C63F0" w:rsidRPr="00AD7644" w:rsidRDefault="002C63F0" w:rsidP="002E0CEC">
            <w:pPr>
              <w:jc w:val="center"/>
              <w:rPr>
                <w:sz w:val="20"/>
                <w:szCs w:val="20"/>
              </w:rPr>
            </w:pPr>
            <w:r w:rsidRPr="0C206F83">
              <w:rPr>
                <w:sz w:val="20"/>
                <w:szCs w:val="20"/>
              </w:rPr>
              <w:t>48</w:t>
            </w:r>
          </w:p>
        </w:tc>
        <w:tc>
          <w:tcPr>
            <w:tcW w:w="1250" w:type="pct"/>
            <w:shd w:val="clear" w:color="auto" w:fill="auto"/>
            <w:vAlign w:val="center"/>
          </w:tcPr>
          <w:p w14:paraId="19018510" w14:textId="77777777" w:rsidR="002C63F0" w:rsidRPr="00AD7644" w:rsidRDefault="002C63F0" w:rsidP="002E0CEC">
            <w:pPr>
              <w:jc w:val="center"/>
              <w:rPr>
                <w:sz w:val="20"/>
                <w:szCs w:val="20"/>
              </w:rPr>
            </w:pPr>
            <w:r w:rsidRPr="0C206F83">
              <w:rPr>
                <w:sz w:val="20"/>
                <w:szCs w:val="20"/>
              </w:rPr>
              <w:t>299</w:t>
            </w:r>
          </w:p>
        </w:tc>
      </w:tr>
      <w:tr w:rsidR="002C63F0" w:rsidRPr="00AD7644" w14:paraId="35A5FB6B" w14:textId="77777777" w:rsidTr="002E0CEC">
        <w:trPr>
          <w:trHeight w:val="288"/>
        </w:trPr>
        <w:tc>
          <w:tcPr>
            <w:tcW w:w="1250" w:type="pct"/>
            <w:shd w:val="clear" w:color="auto" w:fill="auto"/>
            <w:vAlign w:val="center"/>
          </w:tcPr>
          <w:p w14:paraId="2D2A6256" w14:textId="77777777" w:rsidR="002C63F0" w:rsidRPr="00AD7644" w:rsidRDefault="002C63F0" w:rsidP="002E0CEC">
            <w:pPr>
              <w:rPr>
                <w:color w:val="000000" w:themeColor="text1"/>
                <w:sz w:val="20"/>
                <w:szCs w:val="20"/>
              </w:rPr>
            </w:pPr>
            <w:r w:rsidRPr="0C206F83">
              <w:rPr>
                <w:color w:val="000000" w:themeColor="text1"/>
                <w:sz w:val="20"/>
                <w:szCs w:val="20"/>
              </w:rPr>
              <w:t>Total</w:t>
            </w:r>
          </w:p>
        </w:tc>
        <w:tc>
          <w:tcPr>
            <w:tcW w:w="1250" w:type="pct"/>
            <w:shd w:val="clear" w:color="auto" w:fill="auto"/>
            <w:vAlign w:val="center"/>
          </w:tcPr>
          <w:p w14:paraId="4E0B46F9" w14:textId="77777777" w:rsidR="002C63F0" w:rsidRPr="00AD7644" w:rsidRDefault="002C63F0" w:rsidP="002E0CEC">
            <w:pPr>
              <w:jc w:val="center"/>
              <w:rPr>
                <w:sz w:val="20"/>
                <w:szCs w:val="20"/>
              </w:rPr>
            </w:pPr>
            <w:r w:rsidRPr="0C206F83">
              <w:rPr>
                <w:sz w:val="20"/>
                <w:szCs w:val="20"/>
              </w:rPr>
              <w:t>873</w:t>
            </w:r>
          </w:p>
        </w:tc>
        <w:tc>
          <w:tcPr>
            <w:tcW w:w="1250" w:type="pct"/>
            <w:shd w:val="clear" w:color="auto" w:fill="auto"/>
            <w:vAlign w:val="center"/>
          </w:tcPr>
          <w:p w14:paraId="21AE8E1C" w14:textId="77777777" w:rsidR="002C63F0" w:rsidRPr="00AD7644" w:rsidRDefault="002C63F0" w:rsidP="002E0CEC">
            <w:pPr>
              <w:jc w:val="center"/>
              <w:rPr>
                <w:sz w:val="20"/>
                <w:szCs w:val="20"/>
              </w:rPr>
            </w:pPr>
            <w:r w:rsidRPr="0C206F83">
              <w:rPr>
                <w:sz w:val="20"/>
                <w:szCs w:val="20"/>
              </w:rPr>
              <w:t>72</w:t>
            </w:r>
          </w:p>
        </w:tc>
        <w:tc>
          <w:tcPr>
            <w:tcW w:w="1250" w:type="pct"/>
            <w:shd w:val="clear" w:color="auto" w:fill="auto"/>
            <w:vAlign w:val="center"/>
          </w:tcPr>
          <w:p w14:paraId="408E7EDF" w14:textId="77777777" w:rsidR="002C63F0" w:rsidRPr="00AD7644" w:rsidRDefault="002C63F0" w:rsidP="002E0CEC">
            <w:pPr>
              <w:jc w:val="center"/>
              <w:rPr>
                <w:sz w:val="20"/>
                <w:szCs w:val="20"/>
              </w:rPr>
            </w:pPr>
            <w:r w:rsidRPr="0C206F83">
              <w:rPr>
                <w:sz w:val="20"/>
                <w:szCs w:val="20"/>
              </w:rPr>
              <w:t>945</w:t>
            </w:r>
          </w:p>
        </w:tc>
      </w:tr>
    </w:tbl>
    <w:p w14:paraId="3BAAF982" w14:textId="77777777" w:rsidR="002C63F0" w:rsidRPr="00192CFE" w:rsidRDefault="002C63F0" w:rsidP="002C63F0">
      <w:pPr>
        <w:spacing w:before="120" w:after="120" w:line="240" w:lineRule="auto"/>
        <w:ind w:right="-72"/>
        <w:rPr>
          <w:rFonts w:ascii="Calibri" w:hAnsi="Calibri"/>
          <w:color w:val="0000FF"/>
        </w:rPr>
      </w:pPr>
      <w:r w:rsidRPr="00192CFE">
        <w:rPr>
          <w:rFonts w:ascii="Calibri" w:hAnsi="Calibri"/>
          <w:color w:val="0000FF"/>
        </w:rPr>
        <w:t xml:space="preserve">The medical record review found that there were few discharges where the facility provided medications to patients at discharge. Among those discharges, some of the medications provided were filled for the patient through an outpatient pharmacy and appeared in the claims data. </w:t>
      </w:r>
    </w:p>
    <w:p w14:paraId="2932CE90" w14:textId="77777777" w:rsidR="002C63F0" w:rsidRPr="00C8021D" w:rsidRDefault="002C63F0" w:rsidP="002C63F0">
      <w:pPr>
        <w:pStyle w:val="BodyText"/>
        <w:spacing w:before="60"/>
        <w:ind w:left="0"/>
        <w:rPr>
          <w:rFonts w:ascii="Calibri" w:hAnsi="Calibri"/>
          <w:i/>
          <w:iCs/>
          <w:color w:val="0000FF"/>
          <w:sz w:val="22"/>
          <w:szCs w:val="22"/>
        </w:rPr>
      </w:pPr>
      <w:r w:rsidRPr="00C8021D">
        <w:rPr>
          <w:rFonts w:ascii="Calibri" w:hAnsi="Calibri"/>
          <w:i/>
          <w:iCs/>
          <w:color w:val="0000FF"/>
          <w:sz w:val="22"/>
          <w:szCs w:val="22"/>
        </w:rPr>
        <w:t>Performance measure score</w:t>
      </w:r>
    </w:p>
    <w:p w14:paraId="1D2B3817" w14:textId="77777777" w:rsidR="002C63F0" w:rsidRDefault="002C63F0" w:rsidP="002C63F0">
      <w:pPr>
        <w:autoSpaceDE w:val="0"/>
        <w:autoSpaceDN w:val="0"/>
        <w:adjustRightInd w:val="0"/>
        <w:spacing w:after="120" w:line="240" w:lineRule="auto"/>
        <w:rPr>
          <w:rFonts w:ascii="Calibri" w:eastAsia="Times New Roman" w:hAnsi="Calibri" w:cs="Times New Roman"/>
          <w:color w:val="0000FF"/>
        </w:rPr>
      </w:pPr>
      <w:r w:rsidRPr="00C8021D">
        <w:rPr>
          <w:rFonts w:ascii="Calibri" w:eastAsia="Times New Roman" w:hAnsi="Calibri" w:cs="Times New Roman"/>
          <w:color w:val="0000FF"/>
        </w:rPr>
        <w:lastRenderedPageBreak/>
        <w:t xml:space="preserve">Results of the analysis for correlations of medication continuation scores with the three conceptually related Inpatient Psychiatric Facility Quality Reporting (IPFQR) measures are included in </w:t>
      </w:r>
      <w:r w:rsidRPr="00C8021D">
        <w:rPr>
          <w:rFonts w:ascii="Calibri" w:eastAsia="Times New Roman" w:hAnsi="Calibri"/>
          <w:color w:val="0000FF"/>
        </w:rPr>
        <w:t xml:space="preserve">Table </w:t>
      </w:r>
      <w:r w:rsidRPr="00C8021D">
        <w:rPr>
          <w:rFonts w:ascii="Calibri" w:eastAsia="Times New Roman" w:hAnsi="Calibri" w:cs="Times New Roman"/>
          <w:color w:val="0000FF"/>
        </w:rPr>
        <w:t xml:space="preserve">2b2.3-C. The medication continuation scores were moderately correlated with the scores for 7- and 30-day follow-up after hospitalization for mental illness scores as expected (ρ = 0.34 and 0.43). The medication continuation scores were negatively correlated with readmission scores as expected (ρ = -0.26). All correlations are statistically significant at p-value &lt; 0.0001. </w:t>
      </w:r>
    </w:p>
    <w:p w14:paraId="1E1392AA" w14:textId="77777777" w:rsidR="002C63F0" w:rsidRPr="00C8021D" w:rsidRDefault="002C63F0" w:rsidP="002C63F0">
      <w:pPr>
        <w:autoSpaceDE w:val="0"/>
        <w:autoSpaceDN w:val="0"/>
        <w:adjustRightInd w:val="0"/>
        <w:spacing w:after="120" w:line="240" w:lineRule="auto"/>
        <w:rPr>
          <w:rFonts w:ascii="Calibri" w:hAnsi="Calibri"/>
          <w:color w:val="0000FF"/>
          <w:sz w:val="21"/>
          <w:szCs w:val="21"/>
        </w:rPr>
      </w:pPr>
      <w:r w:rsidRPr="00C8021D">
        <w:rPr>
          <w:rFonts w:ascii="Calibri" w:eastAsia="Times New Roman" w:hAnsi="Calibri" w:cs="Times New Roman"/>
          <w:color w:val="0000FF"/>
        </w:rPr>
        <w:t xml:space="preserve">After reviewing these results and the proposed measure specifications, all of the 10 TEP members who were present for the face validity vote agreed that the measure score had face validity. </w:t>
      </w:r>
    </w:p>
    <w:p w14:paraId="6FEE4218" w14:textId="77777777" w:rsidR="002C63F0" w:rsidRPr="005E0E3B" w:rsidRDefault="002C63F0" w:rsidP="002C63F0">
      <w:pPr>
        <w:pStyle w:val="BodyText"/>
        <w:ind w:left="0"/>
        <w:rPr>
          <w:rFonts w:ascii="Calibri" w:eastAsia="Arial" w:hAnsi="Calibri" w:cs="Arial"/>
        </w:rPr>
      </w:pPr>
      <w:r w:rsidRPr="007C558A">
        <w:rPr>
          <w:rFonts w:ascii="Calibri" w:eastAsia="Arial" w:hAnsi="Calibri" w:cs="Arial"/>
          <w:b/>
          <w:bCs/>
          <w:sz w:val="20"/>
          <w:szCs w:val="20"/>
        </w:rPr>
        <w:t xml:space="preserve">Table </w:t>
      </w:r>
      <w:r w:rsidRPr="007C558A">
        <w:rPr>
          <w:rFonts w:ascii="Calibri" w:eastAsia="Arial" w:hAnsi="Calibri"/>
          <w:b/>
          <w:sz w:val="20"/>
        </w:rPr>
        <w:t>2b2.3-C</w:t>
      </w:r>
      <w:r w:rsidRPr="007C558A">
        <w:rPr>
          <w:rFonts w:ascii="Calibri" w:eastAsia="Arial" w:hAnsi="Calibri" w:cs="Arial"/>
          <w:b/>
          <w:bCs/>
          <w:sz w:val="20"/>
          <w:szCs w:val="20"/>
        </w:rPr>
        <w:t>. Performance</w:t>
      </w:r>
      <w:r w:rsidRPr="005E0E3B">
        <w:rPr>
          <w:rFonts w:ascii="Calibri" w:eastAsia="Arial" w:hAnsi="Calibri" w:cs="Arial"/>
          <w:b/>
          <w:bCs/>
          <w:sz w:val="20"/>
          <w:szCs w:val="20"/>
        </w:rPr>
        <w:t xml:space="preserve"> </w:t>
      </w:r>
      <w:r>
        <w:rPr>
          <w:rFonts w:ascii="Calibri" w:eastAsia="Arial" w:hAnsi="Calibri" w:cs="Arial"/>
          <w:b/>
          <w:bCs/>
          <w:sz w:val="20"/>
          <w:szCs w:val="20"/>
        </w:rPr>
        <w:t>M</w:t>
      </w:r>
      <w:r w:rsidRPr="005E0E3B">
        <w:rPr>
          <w:rFonts w:ascii="Calibri" w:eastAsia="Arial" w:hAnsi="Calibri" w:cs="Arial"/>
          <w:b/>
          <w:bCs/>
          <w:sz w:val="20"/>
          <w:szCs w:val="20"/>
        </w:rPr>
        <w:t xml:space="preserve">easure </w:t>
      </w:r>
      <w:r>
        <w:rPr>
          <w:rFonts w:ascii="Calibri" w:eastAsia="Arial" w:hAnsi="Calibri" w:cs="Arial"/>
          <w:b/>
          <w:bCs/>
          <w:sz w:val="20"/>
          <w:szCs w:val="20"/>
        </w:rPr>
        <w:t>S</w:t>
      </w:r>
      <w:r w:rsidRPr="005E0E3B">
        <w:rPr>
          <w:rFonts w:ascii="Calibri" w:eastAsia="Arial" w:hAnsi="Calibri" w:cs="Arial"/>
          <w:b/>
          <w:bCs/>
          <w:sz w:val="20"/>
          <w:szCs w:val="20"/>
        </w:rPr>
        <w:t xml:space="preserve">core </w:t>
      </w:r>
      <w:r>
        <w:rPr>
          <w:rFonts w:ascii="Calibri" w:eastAsia="Arial" w:hAnsi="Calibri" w:cs="Arial"/>
          <w:b/>
          <w:bCs/>
          <w:sz w:val="20"/>
          <w:szCs w:val="20"/>
        </w:rPr>
        <w:t>C</w:t>
      </w:r>
      <w:r w:rsidRPr="005E0E3B">
        <w:rPr>
          <w:rFonts w:ascii="Calibri" w:eastAsia="Arial" w:hAnsi="Calibri" w:cs="Arial"/>
          <w:b/>
          <w:bCs/>
          <w:sz w:val="20"/>
          <w:szCs w:val="20"/>
        </w:rPr>
        <w:t>orrelation</w:t>
      </w:r>
      <w:r w:rsidRPr="005E0E3B">
        <w:rPr>
          <w:rFonts w:ascii="Calibri" w:eastAsia="Arial" w:hAnsi="Calibri" w:cs="Arial"/>
          <w:b/>
          <w:bCs/>
        </w:rPr>
        <w:t xml:space="preserve"> </w:t>
      </w:r>
    </w:p>
    <w:tbl>
      <w:tblPr>
        <w:tblW w:w="9378" w:type="dxa"/>
        <w:tblInd w:w="90" w:type="dxa"/>
        <w:tblLayout w:type="fixed"/>
        <w:tblLook w:val="04A0" w:firstRow="1" w:lastRow="0" w:firstColumn="1" w:lastColumn="0" w:noHBand="0" w:noVBand="1"/>
      </w:tblPr>
      <w:tblGrid>
        <w:gridCol w:w="5508"/>
        <w:gridCol w:w="1935"/>
        <w:gridCol w:w="1935"/>
      </w:tblGrid>
      <w:tr w:rsidR="002C63F0" w:rsidRPr="0012174C" w14:paraId="2EE8F13A" w14:textId="77777777" w:rsidTr="002E0CEC">
        <w:trPr>
          <w:trHeight w:val="302"/>
        </w:trPr>
        <w:tc>
          <w:tcPr>
            <w:tcW w:w="5508"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bottom"/>
            <w:hideMark/>
          </w:tcPr>
          <w:p w14:paraId="226A97B8" w14:textId="77777777" w:rsidR="002C63F0" w:rsidRPr="005D4433" w:rsidRDefault="002C63F0" w:rsidP="002E0CEC">
            <w:pPr>
              <w:spacing w:after="0"/>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Measure</w:t>
            </w:r>
          </w:p>
        </w:tc>
        <w:tc>
          <w:tcPr>
            <w:tcW w:w="1935" w:type="dxa"/>
            <w:tcBorders>
              <w:top w:val="single" w:sz="4" w:space="0" w:color="auto"/>
              <w:left w:val="nil"/>
              <w:bottom w:val="single" w:sz="4" w:space="0" w:color="auto"/>
              <w:right w:val="single" w:sz="4" w:space="0" w:color="auto"/>
            </w:tcBorders>
            <w:shd w:val="clear" w:color="auto" w:fill="365F91" w:themeFill="accent1" w:themeFillShade="BF"/>
            <w:vAlign w:val="bottom"/>
          </w:tcPr>
          <w:p w14:paraId="6E4B3134" w14:textId="77777777" w:rsidR="002C63F0" w:rsidRPr="005D4433" w:rsidRDefault="002C63F0" w:rsidP="002E0CEC">
            <w:pPr>
              <w:spacing w:after="0"/>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IPFs</w:t>
            </w:r>
          </w:p>
        </w:tc>
        <w:tc>
          <w:tcPr>
            <w:tcW w:w="1935" w:type="dxa"/>
            <w:tcBorders>
              <w:top w:val="single" w:sz="4" w:space="0" w:color="auto"/>
              <w:left w:val="nil"/>
              <w:bottom w:val="single" w:sz="4" w:space="0" w:color="auto"/>
              <w:right w:val="single" w:sz="4" w:space="0" w:color="auto"/>
            </w:tcBorders>
            <w:shd w:val="clear" w:color="auto" w:fill="365F91" w:themeFill="accent1" w:themeFillShade="BF"/>
            <w:vAlign w:val="bottom"/>
          </w:tcPr>
          <w:p w14:paraId="55AB7D0B" w14:textId="77777777" w:rsidR="002C63F0" w:rsidRPr="005D4433" w:rsidRDefault="002C63F0" w:rsidP="002E0CEC">
            <w:pPr>
              <w:spacing w:after="0"/>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Correlation</w:t>
            </w:r>
          </w:p>
        </w:tc>
      </w:tr>
      <w:tr w:rsidR="002C63F0" w:rsidRPr="0012174C" w14:paraId="1E46B8BD" w14:textId="77777777" w:rsidTr="002E0CEC">
        <w:trPr>
          <w:trHeight w:val="288"/>
        </w:trPr>
        <w:tc>
          <w:tcPr>
            <w:tcW w:w="550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7B1CEE" w14:textId="77777777" w:rsidR="002C63F0" w:rsidRPr="005D4433" w:rsidRDefault="002C63F0" w:rsidP="002E0CEC">
            <w:pPr>
              <w:spacing w:after="0"/>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Follow-Up After Hospitalization 7-day (7/1/2014 – 6/30/2015)</w:t>
            </w:r>
          </w:p>
        </w:tc>
        <w:tc>
          <w:tcPr>
            <w:tcW w:w="1935" w:type="dxa"/>
            <w:tcBorders>
              <w:top w:val="single" w:sz="4" w:space="0" w:color="auto"/>
              <w:left w:val="nil"/>
              <w:bottom w:val="single" w:sz="4" w:space="0" w:color="auto"/>
              <w:right w:val="single" w:sz="4" w:space="0" w:color="auto"/>
            </w:tcBorders>
            <w:vAlign w:val="bottom"/>
          </w:tcPr>
          <w:p w14:paraId="4311AEA7" w14:textId="77777777" w:rsidR="002C63F0" w:rsidRPr="005D4433" w:rsidRDefault="002C63F0" w:rsidP="002E0CEC">
            <w:pPr>
              <w:spacing w:after="0"/>
              <w:jc w:val="right"/>
              <w:rPr>
                <w:rFonts w:ascii="Calibri" w:eastAsia="Calibri,Times New Roman" w:hAnsi="Calibri" w:cs="Calibri,Times New Roman"/>
                <w:color w:val="000000" w:themeColor="text1"/>
                <w:sz w:val="20"/>
                <w:szCs w:val="20"/>
              </w:rPr>
            </w:pPr>
            <w:r w:rsidRPr="005D4433">
              <w:rPr>
                <w:rFonts w:ascii="Calibri" w:eastAsia="Calibri" w:hAnsi="Calibri" w:cs="Calibri"/>
                <w:color w:val="000000" w:themeColor="text1"/>
                <w:sz w:val="20"/>
                <w:szCs w:val="20"/>
              </w:rPr>
              <w:t>1,145</w:t>
            </w:r>
          </w:p>
        </w:tc>
        <w:tc>
          <w:tcPr>
            <w:tcW w:w="1935" w:type="dxa"/>
            <w:tcBorders>
              <w:top w:val="single" w:sz="4" w:space="0" w:color="auto"/>
              <w:left w:val="nil"/>
              <w:bottom w:val="single" w:sz="4" w:space="0" w:color="auto"/>
              <w:right w:val="single" w:sz="4" w:space="0" w:color="auto"/>
            </w:tcBorders>
            <w:vAlign w:val="bottom"/>
          </w:tcPr>
          <w:p w14:paraId="18660E7E" w14:textId="77777777" w:rsidR="002C63F0" w:rsidRPr="005D4433" w:rsidRDefault="002C63F0" w:rsidP="002E0CEC">
            <w:pPr>
              <w:spacing w:after="0"/>
              <w:jc w:val="right"/>
              <w:rPr>
                <w:rFonts w:ascii="Calibri" w:hAnsi="Calibri"/>
                <w:color w:val="000000"/>
                <w:sz w:val="20"/>
                <w:szCs w:val="20"/>
              </w:rPr>
            </w:pPr>
            <w:r w:rsidRPr="005D4433">
              <w:rPr>
                <w:rFonts w:ascii="Calibri" w:hAnsi="Calibri"/>
                <w:color w:val="000000"/>
                <w:sz w:val="20"/>
                <w:szCs w:val="20"/>
              </w:rPr>
              <w:t>0.34312</w:t>
            </w:r>
          </w:p>
        </w:tc>
      </w:tr>
      <w:tr w:rsidR="002C63F0" w:rsidRPr="0012174C" w14:paraId="78044C5D" w14:textId="77777777" w:rsidTr="002E0CEC">
        <w:trPr>
          <w:trHeight w:val="288"/>
        </w:trPr>
        <w:tc>
          <w:tcPr>
            <w:tcW w:w="5508" w:type="dxa"/>
            <w:tcBorders>
              <w:top w:val="single" w:sz="4" w:space="0" w:color="auto"/>
              <w:left w:val="single" w:sz="4" w:space="0" w:color="auto"/>
              <w:bottom w:val="single" w:sz="4" w:space="0" w:color="auto"/>
              <w:right w:val="single" w:sz="4" w:space="0" w:color="auto"/>
            </w:tcBorders>
            <w:shd w:val="clear" w:color="auto" w:fill="auto"/>
            <w:vAlign w:val="bottom"/>
          </w:tcPr>
          <w:p w14:paraId="1A29F0A5" w14:textId="77777777" w:rsidR="002C63F0" w:rsidRPr="005D4433" w:rsidRDefault="002C63F0" w:rsidP="002E0CEC">
            <w:pPr>
              <w:spacing w:after="0"/>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Follow-Up After Hospitalization 30-day (7/1/2014 – 6/30/2015)</w:t>
            </w:r>
          </w:p>
        </w:tc>
        <w:tc>
          <w:tcPr>
            <w:tcW w:w="1935" w:type="dxa"/>
            <w:tcBorders>
              <w:top w:val="single" w:sz="4" w:space="0" w:color="auto"/>
              <w:left w:val="nil"/>
              <w:bottom w:val="single" w:sz="4" w:space="0" w:color="auto"/>
              <w:right w:val="single" w:sz="4" w:space="0" w:color="auto"/>
            </w:tcBorders>
            <w:vAlign w:val="bottom"/>
          </w:tcPr>
          <w:p w14:paraId="5601B671" w14:textId="77777777" w:rsidR="002C63F0" w:rsidRPr="005D4433" w:rsidRDefault="002C63F0" w:rsidP="002E0CEC">
            <w:pPr>
              <w:spacing w:after="0"/>
              <w:jc w:val="right"/>
              <w:rPr>
                <w:rFonts w:ascii="Calibri" w:eastAsia="Calibri,Times New Roman" w:hAnsi="Calibri" w:cs="Calibri,Times New Roman"/>
                <w:color w:val="000000" w:themeColor="text1"/>
                <w:sz w:val="20"/>
                <w:szCs w:val="20"/>
              </w:rPr>
            </w:pPr>
            <w:r w:rsidRPr="005D4433">
              <w:rPr>
                <w:rFonts w:ascii="Calibri" w:eastAsia="Calibri" w:hAnsi="Calibri" w:cs="Calibri"/>
                <w:color w:val="000000" w:themeColor="text1"/>
                <w:sz w:val="20"/>
                <w:szCs w:val="20"/>
              </w:rPr>
              <w:t>1,145</w:t>
            </w:r>
          </w:p>
        </w:tc>
        <w:tc>
          <w:tcPr>
            <w:tcW w:w="1935" w:type="dxa"/>
            <w:tcBorders>
              <w:top w:val="single" w:sz="4" w:space="0" w:color="auto"/>
              <w:left w:val="nil"/>
              <w:bottom w:val="single" w:sz="4" w:space="0" w:color="auto"/>
              <w:right w:val="single" w:sz="4" w:space="0" w:color="auto"/>
            </w:tcBorders>
            <w:vAlign w:val="bottom"/>
          </w:tcPr>
          <w:p w14:paraId="1AC0F85A" w14:textId="77777777" w:rsidR="002C63F0" w:rsidRPr="005D4433" w:rsidRDefault="002C63F0" w:rsidP="002E0CEC">
            <w:pPr>
              <w:spacing w:after="0"/>
              <w:jc w:val="right"/>
              <w:rPr>
                <w:rFonts w:ascii="Calibri" w:hAnsi="Calibri"/>
                <w:color w:val="000000"/>
                <w:sz w:val="20"/>
                <w:szCs w:val="20"/>
              </w:rPr>
            </w:pPr>
            <w:r w:rsidRPr="005D4433">
              <w:rPr>
                <w:rFonts w:ascii="Calibri" w:hAnsi="Calibri"/>
                <w:color w:val="000000"/>
                <w:sz w:val="20"/>
                <w:szCs w:val="20"/>
              </w:rPr>
              <w:t>0.43065</w:t>
            </w:r>
          </w:p>
        </w:tc>
      </w:tr>
      <w:tr w:rsidR="002C63F0" w:rsidRPr="0012174C" w14:paraId="6018DF10" w14:textId="77777777" w:rsidTr="002E0CEC">
        <w:trPr>
          <w:trHeight w:val="288"/>
        </w:trPr>
        <w:tc>
          <w:tcPr>
            <w:tcW w:w="5508" w:type="dxa"/>
            <w:tcBorders>
              <w:top w:val="nil"/>
              <w:left w:val="single" w:sz="4" w:space="0" w:color="auto"/>
              <w:bottom w:val="single" w:sz="4" w:space="0" w:color="auto"/>
              <w:right w:val="single" w:sz="4" w:space="0" w:color="auto"/>
            </w:tcBorders>
            <w:shd w:val="clear" w:color="auto" w:fill="auto"/>
            <w:vAlign w:val="bottom"/>
          </w:tcPr>
          <w:p w14:paraId="57F28A6A" w14:textId="77777777" w:rsidR="002C63F0" w:rsidRPr="005D4433" w:rsidRDefault="002C63F0" w:rsidP="002E0CEC">
            <w:pPr>
              <w:spacing w:after="0"/>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IPF All-Cause Unplanned Readmission Measure (Observed) (1/1/2013 – 12/31/2014)</w:t>
            </w:r>
          </w:p>
        </w:tc>
        <w:tc>
          <w:tcPr>
            <w:tcW w:w="1935" w:type="dxa"/>
            <w:tcBorders>
              <w:top w:val="nil"/>
              <w:left w:val="nil"/>
              <w:bottom w:val="single" w:sz="4" w:space="0" w:color="auto"/>
              <w:right w:val="single" w:sz="4" w:space="0" w:color="auto"/>
            </w:tcBorders>
            <w:vAlign w:val="bottom"/>
          </w:tcPr>
          <w:p w14:paraId="0EB4DD73" w14:textId="77777777" w:rsidR="002C63F0" w:rsidRPr="005D4433" w:rsidRDefault="002C63F0" w:rsidP="002E0CEC">
            <w:pPr>
              <w:spacing w:after="0"/>
              <w:jc w:val="right"/>
              <w:rPr>
                <w:rFonts w:ascii="Calibri" w:eastAsia="Calibri,Times New Roman" w:hAnsi="Calibri" w:cs="Calibri,Times New Roman"/>
                <w:color w:val="000000" w:themeColor="text1"/>
                <w:sz w:val="20"/>
                <w:szCs w:val="20"/>
              </w:rPr>
            </w:pPr>
            <w:r w:rsidRPr="005D4433">
              <w:rPr>
                <w:rFonts w:ascii="Calibri" w:eastAsia="Calibri" w:hAnsi="Calibri" w:cs="Calibri"/>
                <w:color w:val="000000" w:themeColor="text1"/>
                <w:sz w:val="20"/>
                <w:szCs w:val="20"/>
              </w:rPr>
              <w:t>1,184</w:t>
            </w:r>
          </w:p>
        </w:tc>
        <w:tc>
          <w:tcPr>
            <w:tcW w:w="1935" w:type="dxa"/>
            <w:tcBorders>
              <w:top w:val="nil"/>
              <w:left w:val="nil"/>
              <w:bottom w:val="single" w:sz="4" w:space="0" w:color="auto"/>
              <w:right w:val="single" w:sz="4" w:space="0" w:color="auto"/>
            </w:tcBorders>
            <w:vAlign w:val="bottom"/>
          </w:tcPr>
          <w:p w14:paraId="4BA04F8E" w14:textId="77777777" w:rsidR="002C63F0" w:rsidRPr="005D4433" w:rsidRDefault="002C63F0" w:rsidP="002E0CEC">
            <w:pPr>
              <w:spacing w:after="0"/>
              <w:jc w:val="right"/>
              <w:rPr>
                <w:rFonts w:ascii="Calibri" w:eastAsia="Calibri" w:hAnsi="Calibri" w:cs="Calibri"/>
                <w:color w:val="000000" w:themeColor="text1"/>
                <w:sz w:val="20"/>
                <w:szCs w:val="20"/>
              </w:rPr>
            </w:pPr>
            <w:r w:rsidRPr="005D4433">
              <w:rPr>
                <w:rFonts w:ascii="Calibri" w:eastAsia="Calibri" w:hAnsi="Calibri" w:cs="Calibri"/>
                <w:color w:val="000000" w:themeColor="text1"/>
                <w:sz w:val="20"/>
                <w:szCs w:val="20"/>
              </w:rPr>
              <w:t>-0.26059</w:t>
            </w:r>
          </w:p>
        </w:tc>
      </w:tr>
    </w:tbl>
    <w:p w14:paraId="485AE12C" w14:textId="77777777" w:rsidR="00D606CC" w:rsidRPr="00992F9F" w:rsidRDefault="00D606CC" w:rsidP="00D606CC">
      <w:pPr>
        <w:spacing w:after="160" w:line="259" w:lineRule="auto"/>
        <w:rPr>
          <w:rStyle w:val="Emphasis"/>
          <w:rFonts w:eastAsiaTheme="minorHAnsi" w:cstheme="minorHAnsi"/>
          <w:bCs/>
          <w:i w:val="0"/>
          <w:color w:val="0070C0"/>
          <w:sz w:val="18"/>
          <w:szCs w:val="18"/>
        </w:rPr>
      </w:pPr>
    </w:p>
    <w:p w14:paraId="417674B4" w14:textId="77777777" w:rsidR="006637C2"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47D4F77D" w14:textId="78480628" w:rsidR="006637C2" w:rsidRDefault="006637C2" w:rsidP="00DB3627">
      <w:pPr>
        <w:autoSpaceDE w:val="0"/>
        <w:autoSpaceDN w:val="0"/>
        <w:adjustRightInd w:val="0"/>
        <w:spacing w:after="0" w:line="240" w:lineRule="auto"/>
        <w:rPr>
          <w:rFonts w:cstheme="minorHAnsi"/>
          <w:bCs/>
        </w:rPr>
      </w:pPr>
    </w:p>
    <w:p w14:paraId="0264996B" w14:textId="77777777" w:rsidR="00D21729" w:rsidRPr="0001794E" w:rsidRDefault="00D21729" w:rsidP="00D21729">
      <w:pPr>
        <w:tabs>
          <w:tab w:val="left" w:pos="0"/>
        </w:tabs>
        <w:spacing w:after="160" w:line="259" w:lineRule="auto"/>
        <w:rPr>
          <w:rStyle w:val="Emphasis"/>
          <w:rFonts w:eastAsiaTheme="minorHAnsi" w:cstheme="minorHAnsi"/>
          <w:bCs/>
          <w:i w:val="0"/>
          <w:iCs w:val="0"/>
          <w:color w:val="FF0000"/>
        </w:rPr>
      </w:pPr>
      <w:r w:rsidRPr="00403A60">
        <w:rPr>
          <w:rStyle w:val="Emphasis"/>
          <w:rFonts w:eastAsiaTheme="minorHAnsi" w:cstheme="minorHAnsi"/>
          <w:bCs/>
          <w:i w:val="0"/>
          <w:iCs w:val="0"/>
          <w:color w:val="FF0000"/>
        </w:rPr>
        <w:t xml:space="preserve">The known group validity of the Medication Continuation measure was shown by comparing adherence rates to medication between </w:t>
      </w:r>
      <w:r>
        <w:rPr>
          <w:rStyle w:val="Emphasis"/>
          <w:rFonts w:eastAsiaTheme="minorHAnsi" w:cstheme="minorHAnsi"/>
          <w:bCs/>
          <w:i w:val="0"/>
          <w:iCs w:val="0"/>
          <w:color w:val="FF0000"/>
        </w:rPr>
        <w:t xml:space="preserve">groups of </w:t>
      </w:r>
      <w:r w:rsidRPr="00C14A53">
        <w:rPr>
          <w:rStyle w:val="Emphasis"/>
          <w:rFonts w:eastAsiaTheme="minorHAnsi" w:cstheme="minorHAnsi"/>
          <w:bCs/>
          <w:i w:val="0"/>
          <w:iCs w:val="0"/>
          <w:color w:val="FF0000"/>
        </w:rPr>
        <w:t>patients with a priori expected differences in adherence to psychotropic medication (i.e</w:t>
      </w:r>
      <w:r>
        <w:rPr>
          <w:rStyle w:val="Emphasis"/>
          <w:rFonts w:eastAsiaTheme="minorHAnsi" w:cstheme="minorHAnsi"/>
          <w:bCs/>
          <w:i w:val="0"/>
          <w:iCs w:val="0"/>
          <w:color w:val="FF0000"/>
        </w:rPr>
        <w:t>.</w:t>
      </w:r>
      <w:r w:rsidRPr="00C14A53">
        <w:rPr>
          <w:rStyle w:val="Emphasis"/>
          <w:rFonts w:eastAsiaTheme="minorHAnsi" w:cstheme="minorHAnsi"/>
          <w:bCs/>
          <w:i w:val="0"/>
          <w:iCs w:val="0"/>
          <w:color w:val="FF0000"/>
        </w:rPr>
        <w:t>, by age, sex, race, presence of comorbid SUD diagnosis, SES (dual status), and principal diagnosis. Consistent with</w:t>
      </w:r>
      <w:r w:rsidRPr="00403A60">
        <w:rPr>
          <w:rStyle w:val="Emphasis"/>
          <w:rFonts w:eastAsiaTheme="minorHAnsi" w:cstheme="minorHAnsi"/>
          <w:bCs/>
          <w:i w:val="0"/>
          <w:iCs w:val="0"/>
          <w:color w:val="FF0000"/>
        </w:rPr>
        <w:t xml:space="preserve"> our hypotheses, we observed lower Medication Continuation</w:t>
      </w:r>
      <w:r w:rsidRPr="00FA688B">
        <w:rPr>
          <w:rStyle w:val="Emphasis"/>
          <w:rFonts w:eastAsiaTheme="minorHAnsi" w:cstheme="minorHAnsi"/>
          <w:bCs/>
          <w:i w:val="0"/>
          <w:iCs w:val="0"/>
          <w:color w:val="FF0000"/>
        </w:rPr>
        <w:t xml:space="preserve"> measure rates (i.e. worse adherence to medication post-discharge) for patients with comorbid SUD, for non-white patients, for male patients, and for younger patients. Other studies reported similar patterns of differences in the adherence rates by these sub</w:t>
      </w:r>
      <w:r>
        <w:rPr>
          <w:rStyle w:val="Emphasis"/>
          <w:rFonts w:eastAsiaTheme="minorHAnsi" w:cstheme="minorHAnsi"/>
          <w:bCs/>
          <w:i w:val="0"/>
          <w:iCs w:val="0"/>
          <w:color w:val="FF0000"/>
        </w:rPr>
        <w:t>-</w:t>
      </w:r>
      <w:r w:rsidRPr="00FA688B">
        <w:rPr>
          <w:rStyle w:val="Emphasis"/>
          <w:rFonts w:eastAsiaTheme="minorHAnsi" w:cstheme="minorHAnsi"/>
          <w:bCs/>
          <w:i w:val="0"/>
          <w:iCs w:val="0"/>
          <w:color w:val="FF0000"/>
        </w:rPr>
        <w:t>groups of patients</w:t>
      </w:r>
      <w:r>
        <w:rPr>
          <w:rStyle w:val="Emphasis"/>
          <w:rFonts w:eastAsiaTheme="minorHAnsi" w:cstheme="minorHAnsi"/>
          <w:bCs/>
          <w:i w:val="0"/>
          <w:iCs w:val="0"/>
          <w:color w:val="FF0000"/>
        </w:rPr>
        <w:t>, which confirms the validity of the Medication Continuation measure in discriminating between these subgroups of patients</w:t>
      </w:r>
      <w:r w:rsidRPr="00FA688B">
        <w:rPr>
          <w:rStyle w:val="Emphasis"/>
          <w:rFonts w:eastAsiaTheme="minorHAnsi" w:cstheme="minorHAnsi"/>
          <w:bCs/>
          <w:i w:val="0"/>
          <w:iCs w:val="0"/>
          <w:color w:val="FF0000"/>
        </w:rPr>
        <w:t xml:space="preserve"> (see e.g.</w:t>
      </w:r>
      <w:r w:rsidRPr="00FA688B">
        <w:rPr>
          <w:rStyle w:val="Emphasis"/>
          <w:rFonts w:eastAsiaTheme="minorHAnsi" w:cstheme="minorHAnsi"/>
          <w:bCs/>
          <w:color w:val="FF0000"/>
        </w:rPr>
        <w:t xml:space="preserve"> Chakrabarti, 2017; Garcia et al., 2016; Higashi et al., 2013; Lacasta-Tintorer, 2011; Sajatovic et al., 2007; Velligan et al., 2017</w:t>
      </w:r>
      <w:r w:rsidRPr="00FA688B">
        <w:rPr>
          <w:rStyle w:val="Emphasis"/>
          <w:rFonts w:eastAsiaTheme="minorHAnsi" w:cstheme="minorHAnsi"/>
          <w:bCs/>
          <w:i w:val="0"/>
          <w:iCs w:val="0"/>
          <w:color w:val="FF0000"/>
        </w:rPr>
        <w:t>)</w:t>
      </w:r>
      <w:r>
        <w:rPr>
          <w:rStyle w:val="Emphasis"/>
          <w:rFonts w:eastAsiaTheme="minorHAnsi" w:cstheme="minorHAnsi"/>
          <w:bCs/>
          <w:i w:val="0"/>
          <w:iCs w:val="0"/>
          <w:color w:val="FF0000"/>
        </w:rPr>
        <w:t>. The Medication Continuation measure was also able to detect differences in medication adherence rates between patients 1) enrolled in Medicare only and those with both Medicare and Medicaid coverage and 2) with different principal diagnosis at discharge, although the pattern of differences in the rates was in the direction opposite from what we expected. Overall, o</w:t>
      </w:r>
      <w:r w:rsidRPr="0001794E">
        <w:rPr>
          <w:rStyle w:val="Emphasis"/>
          <w:rFonts w:eastAsiaTheme="minorHAnsi" w:cstheme="minorHAnsi"/>
          <w:bCs/>
          <w:i w:val="0"/>
          <w:iCs w:val="0"/>
          <w:color w:val="FF0000"/>
        </w:rPr>
        <w:t xml:space="preserve">bserved ability of the Medication Continuation measure to discriminate between the compared groups in respect to their adherence to prescribed medication supports its validity. </w:t>
      </w:r>
    </w:p>
    <w:p w14:paraId="31ED3024" w14:textId="5AB70781" w:rsidR="00D21729" w:rsidRPr="00F32679" w:rsidRDefault="00D21729" w:rsidP="00D21729">
      <w:pPr>
        <w:tabs>
          <w:tab w:val="left" w:pos="0"/>
        </w:tabs>
        <w:spacing w:after="160" w:line="259" w:lineRule="auto"/>
        <w:rPr>
          <w:rStyle w:val="Emphasis"/>
          <w:rFonts w:eastAsiaTheme="minorHAnsi" w:cstheme="minorHAnsi"/>
          <w:bCs/>
          <w:i w:val="0"/>
          <w:iCs w:val="0"/>
          <w:color w:val="FF0000"/>
        </w:rPr>
      </w:pPr>
      <w:r w:rsidRPr="00F32679">
        <w:rPr>
          <w:rStyle w:val="Emphasis"/>
          <w:rFonts w:eastAsiaTheme="minorHAnsi" w:cstheme="minorHAnsi"/>
          <w:bCs/>
          <w:i w:val="0"/>
          <w:iCs w:val="0"/>
          <w:color w:val="FF0000"/>
        </w:rPr>
        <w:t>Consistent with the literature, we observed substantially lower Medication Continuation measure rates (</w:t>
      </w:r>
      <w:r>
        <w:rPr>
          <w:rStyle w:val="Emphasis"/>
          <w:rFonts w:eastAsiaTheme="minorHAnsi" w:cstheme="minorHAnsi"/>
          <w:bCs/>
          <w:i w:val="0"/>
          <w:iCs w:val="0"/>
          <w:color w:val="FF0000"/>
        </w:rPr>
        <w:t>that is</w:t>
      </w:r>
      <w:r w:rsidR="00F14A92">
        <w:rPr>
          <w:rStyle w:val="Emphasis"/>
          <w:rFonts w:eastAsiaTheme="minorHAnsi" w:cstheme="minorHAnsi"/>
          <w:bCs/>
          <w:i w:val="0"/>
          <w:iCs w:val="0"/>
          <w:color w:val="FF0000"/>
        </w:rPr>
        <w:t xml:space="preserve">, </w:t>
      </w:r>
      <w:r w:rsidRPr="00F32679">
        <w:rPr>
          <w:rStyle w:val="Emphasis"/>
          <w:rFonts w:eastAsiaTheme="minorHAnsi" w:cstheme="minorHAnsi"/>
          <w:bCs/>
          <w:i w:val="0"/>
          <w:iCs w:val="0"/>
          <w:color w:val="FF0000"/>
        </w:rPr>
        <w:t>worse adherence to medication post-discharge) for patients with comorbid SUD, non-</w:t>
      </w:r>
      <w:r w:rsidR="00F14A92">
        <w:rPr>
          <w:rStyle w:val="Emphasis"/>
          <w:rFonts w:eastAsiaTheme="minorHAnsi" w:cstheme="minorHAnsi"/>
          <w:bCs/>
          <w:i w:val="0"/>
          <w:iCs w:val="0"/>
          <w:color w:val="FF0000"/>
        </w:rPr>
        <w:t>W</w:t>
      </w:r>
      <w:r w:rsidRPr="00F32679">
        <w:rPr>
          <w:rStyle w:val="Emphasis"/>
          <w:rFonts w:eastAsiaTheme="minorHAnsi" w:cstheme="minorHAnsi"/>
          <w:bCs/>
          <w:i w:val="0"/>
          <w:iCs w:val="0"/>
          <w:color w:val="FF0000"/>
        </w:rPr>
        <w:t xml:space="preserve">hite patients, male patients, and younger patients. </w:t>
      </w:r>
    </w:p>
    <w:p w14:paraId="248DAD16" w14:textId="77777777" w:rsidR="00FC0CD8" w:rsidRDefault="00FC0CD8" w:rsidP="002C63F0">
      <w:pPr>
        <w:pStyle w:val="BodyText"/>
        <w:spacing w:before="60" w:after="120"/>
        <w:ind w:left="0"/>
        <w:contextualSpacing/>
        <w:rPr>
          <w:i/>
          <w:iCs/>
          <w:color w:val="0000FF"/>
          <w:sz w:val="22"/>
          <w:szCs w:val="22"/>
        </w:rPr>
      </w:pPr>
    </w:p>
    <w:p w14:paraId="673F1992" w14:textId="68D3E88F" w:rsidR="002C63F0" w:rsidRPr="00BA3777" w:rsidRDefault="002C63F0" w:rsidP="002C63F0">
      <w:pPr>
        <w:pStyle w:val="BodyText"/>
        <w:spacing w:before="60" w:after="120"/>
        <w:ind w:left="0"/>
        <w:contextualSpacing/>
        <w:rPr>
          <w:i/>
          <w:iCs/>
          <w:color w:val="0000FF"/>
          <w:sz w:val="22"/>
          <w:szCs w:val="22"/>
        </w:rPr>
      </w:pPr>
      <w:r w:rsidRPr="00BA3777">
        <w:rPr>
          <w:i/>
          <w:iCs/>
          <w:color w:val="0000FF"/>
          <w:sz w:val="22"/>
          <w:szCs w:val="22"/>
        </w:rPr>
        <w:t>Critical data elements</w:t>
      </w:r>
    </w:p>
    <w:p w14:paraId="7AC4ED52" w14:textId="77777777" w:rsidR="002C63F0" w:rsidRDefault="002C63F0" w:rsidP="002C63F0">
      <w:pPr>
        <w:spacing w:before="120" w:after="120" w:line="240" w:lineRule="auto"/>
        <w:ind w:right="-72"/>
        <w:rPr>
          <w:rFonts w:ascii="Calibri" w:eastAsia="Calibri" w:hAnsi="Calibri" w:cs="Calibri"/>
          <w:color w:val="0000FF"/>
        </w:rPr>
      </w:pPr>
      <w:r w:rsidRPr="00BA3777">
        <w:rPr>
          <w:rFonts w:ascii="Calibri" w:eastAsia="Calibri" w:hAnsi="Calibri" w:cs="Calibri"/>
          <w:color w:val="0000FF"/>
        </w:rPr>
        <w:t xml:space="preserve">The medical record review in the </w:t>
      </w:r>
      <w:r>
        <w:rPr>
          <w:rFonts w:ascii="Calibri" w:eastAsia="Calibri" w:hAnsi="Calibri" w:cs="Calibri"/>
          <w:color w:val="0000FF"/>
        </w:rPr>
        <w:t>two initial test sites</w:t>
      </w:r>
      <w:r w:rsidRPr="00BA3777">
        <w:rPr>
          <w:rFonts w:ascii="Calibri" w:eastAsia="Calibri" w:hAnsi="Calibri" w:cs="Calibri"/>
          <w:color w:val="0000FF"/>
        </w:rPr>
        <w:t xml:space="preserve"> confirmed that the principal discharge diagnoses in the administrative claims data are a valid source for identifying the primary cause of admission to the IPF. </w:t>
      </w:r>
    </w:p>
    <w:p w14:paraId="6FD16995" w14:textId="77777777" w:rsidR="002C63F0" w:rsidRPr="00F84DA3" w:rsidRDefault="002C63F0" w:rsidP="002C63F0">
      <w:pPr>
        <w:spacing w:before="120" w:after="120" w:line="240" w:lineRule="auto"/>
        <w:ind w:right="-72"/>
        <w:rPr>
          <w:rFonts w:ascii="Calibri" w:eastAsia="Calibri" w:hAnsi="Calibri" w:cs="Calibri"/>
          <w:color w:val="0000FF"/>
        </w:rPr>
      </w:pPr>
      <w:r w:rsidRPr="00BA3777">
        <w:rPr>
          <w:rFonts w:ascii="Calibri" w:eastAsia="Calibri" w:hAnsi="Calibri" w:cs="Calibri"/>
          <w:color w:val="0000FF"/>
        </w:rPr>
        <w:t xml:space="preserve">The medical record review </w:t>
      </w:r>
      <w:r>
        <w:rPr>
          <w:rFonts w:ascii="Calibri" w:eastAsia="Calibri" w:hAnsi="Calibri" w:cs="Calibri"/>
          <w:color w:val="0000FF"/>
        </w:rPr>
        <w:t xml:space="preserve">from </w:t>
      </w:r>
      <w:r w:rsidRPr="00F84DA3">
        <w:rPr>
          <w:rFonts w:ascii="Calibri" w:eastAsia="Calibri" w:hAnsi="Calibri" w:cs="Calibri"/>
          <w:color w:val="0000FF"/>
        </w:rPr>
        <w:t xml:space="preserve">the additional 7 test sites confirmed </w:t>
      </w:r>
      <w:r w:rsidRPr="00F84DA3">
        <w:rPr>
          <w:color w:val="0000FF"/>
        </w:rPr>
        <w:t xml:space="preserve">that the construct of medication continuation is valid for assessing IPF quality because most patients who filled a prescription during the </w:t>
      </w:r>
      <w:r w:rsidRPr="00F84DA3">
        <w:rPr>
          <w:color w:val="0000FF"/>
        </w:rPr>
        <w:lastRenderedPageBreak/>
        <w:t>follow-up period received a prescription from the IPF at discharge. A quality deficit was identified for most patients who were not provided a prescription for an evidence-based medication at discharge so no additional exclusion criteria were applied to the measure as the result of this analysis.</w:t>
      </w:r>
      <w:r w:rsidRPr="00F84DA3">
        <w:rPr>
          <w:rFonts w:ascii="Calibri" w:eastAsia="Calibri" w:hAnsi="Calibri" w:cs="Calibri"/>
          <w:color w:val="0000FF"/>
        </w:rPr>
        <w:t xml:space="preserve"> </w:t>
      </w:r>
    </w:p>
    <w:p w14:paraId="4FCC70A4" w14:textId="77777777" w:rsidR="002C63F0" w:rsidRPr="00F84DA3" w:rsidRDefault="002C63F0" w:rsidP="002C63F0">
      <w:pPr>
        <w:spacing w:before="120" w:after="120" w:line="240" w:lineRule="auto"/>
        <w:ind w:right="-72"/>
        <w:rPr>
          <w:rFonts w:ascii="Calibri" w:hAnsi="Calibri"/>
          <w:color w:val="0000FF"/>
        </w:rPr>
      </w:pPr>
      <w:r w:rsidRPr="00F84DA3">
        <w:rPr>
          <w:rFonts w:ascii="Calibri" w:eastAsia="Calibri" w:hAnsi="Calibri" w:cs="Calibri"/>
          <w:color w:val="0000FF"/>
        </w:rPr>
        <w:t xml:space="preserve">Finally, the medical record review at the seven test sites confirmed that the claims data are valid for identifying all prescription fills in this patient population because medications provided at discharge were filled using the patient’s insurance, which would appear in the claims data. </w:t>
      </w:r>
      <w:r w:rsidRPr="00F84DA3">
        <w:rPr>
          <w:rFonts w:ascii="Calibri" w:hAnsi="Calibri"/>
          <w:color w:val="0000FF"/>
        </w:rPr>
        <w:t xml:space="preserve">We anticipate that free medications are provided to the patient population for this measure less frequently because all patients included in the measure denominator are enrolled in Medicare Part D. Low-income Medicare patients can receive assistance with co-pays, and patients who are dually enrolled in Medicaid (70% of this cohort) receive additional assistance covering the costs of medications that are not covered by Medicare. Notes from the medical record abstractors indicate that all of the medications provided at discharge were for 30-day supplies or less. Therefore, the patients who received medications at discharge on Day 0 would need to fill a prescription for an evidence-based medication before the end of the 30-day follow-up period to avoid gaps in treatment. Those fills would also appear in the claims data. </w:t>
      </w:r>
    </w:p>
    <w:p w14:paraId="710A12A0" w14:textId="77777777" w:rsidR="002C63F0" w:rsidRPr="002C63F0" w:rsidRDefault="002C63F0" w:rsidP="002C63F0">
      <w:pPr>
        <w:pStyle w:val="BodyText"/>
        <w:spacing w:before="60" w:after="120"/>
        <w:ind w:left="0"/>
        <w:contextualSpacing/>
        <w:rPr>
          <w:i/>
          <w:iCs/>
          <w:color w:val="0000FF"/>
          <w:sz w:val="22"/>
          <w:szCs w:val="22"/>
        </w:rPr>
      </w:pPr>
      <w:r w:rsidRPr="002C63F0">
        <w:rPr>
          <w:i/>
          <w:iCs/>
          <w:color w:val="0000FF"/>
          <w:sz w:val="22"/>
          <w:szCs w:val="22"/>
        </w:rPr>
        <w:t>Performance measure score</w:t>
      </w:r>
    </w:p>
    <w:p w14:paraId="38FBECD3" w14:textId="2A79762B" w:rsidR="002C63F0" w:rsidRPr="00F32679" w:rsidRDefault="002C63F0" w:rsidP="002C63F0">
      <w:pPr>
        <w:tabs>
          <w:tab w:val="left" w:pos="0"/>
        </w:tabs>
        <w:spacing w:after="160" w:line="259" w:lineRule="auto"/>
        <w:rPr>
          <w:rStyle w:val="Emphasis"/>
          <w:rFonts w:eastAsiaTheme="minorHAnsi" w:cstheme="minorHAnsi"/>
          <w:bCs/>
          <w:i w:val="0"/>
          <w:iCs w:val="0"/>
          <w:color w:val="FF0000"/>
        </w:rPr>
      </w:pPr>
      <w:r w:rsidRPr="00F84DA3">
        <w:rPr>
          <w:color w:val="0000FF"/>
        </w:rPr>
        <w:t>The moderate strength of the correlations, conceptually supported directionality</w:t>
      </w:r>
      <w:r w:rsidRPr="00C8021D">
        <w:rPr>
          <w:color w:val="0000FF"/>
        </w:rPr>
        <w:t>, and unanimous face validity assessment add further support that the measure is valid as specified.</w:t>
      </w:r>
    </w:p>
    <w:p w14:paraId="0CABCFE0" w14:textId="2097FEE5"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0CABCFE3" w14:textId="1366D0C1" w:rsidR="00001D73" w:rsidRDefault="00001D73" w:rsidP="00DB3627">
      <w:pPr>
        <w:autoSpaceDE w:val="0"/>
        <w:autoSpaceDN w:val="0"/>
        <w:adjustRightInd w:val="0"/>
        <w:spacing w:after="0" w:line="240" w:lineRule="auto"/>
        <w:rPr>
          <w:rFonts w:cstheme="minorHAnsi"/>
          <w:b/>
          <w:bCs/>
        </w:rPr>
      </w:pPr>
    </w:p>
    <w:p w14:paraId="3AADB181" w14:textId="77777777" w:rsidR="002217F9" w:rsidRPr="00F32679" w:rsidRDefault="002217F9" w:rsidP="002217F9">
      <w:pPr>
        <w:autoSpaceDE w:val="0"/>
        <w:autoSpaceDN w:val="0"/>
        <w:adjustRightInd w:val="0"/>
        <w:spacing w:after="0" w:line="240" w:lineRule="auto"/>
        <w:rPr>
          <w:rFonts w:cstheme="minorHAnsi"/>
          <w:bCs/>
          <w:color w:val="FF0000"/>
        </w:rPr>
      </w:pPr>
      <w:r w:rsidRPr="00F32679">
        <w:rPr>
          <w:rFonts w:cstheme="minorHAnsi"/>
          <w:bCs/>
          <w:color w:val="FF0000"/>
        </w:rPr>
        <w:t>The denominator for this measure excludes discharged patients who:</w:t>
      </w:r>
    </w:p>
    <w:p w14:paraId="347F7D0D" w14:textId="138E4781" w:rsidR="002217F9" w:rsidRPr="00F32679" w:rsidRDefault="002217F9" w:rsidP="002217F9">
      <w:pPr>
        <w:autoSpaceDE w:val="0"/>
        <w:autoSpaceDN w:val="0"/>
        <w:adjustRightInd w:val="0"/>
        <w:spacing w:after="0" w:line="240" w:lineRule="auto"/>
        <w:rPr>
          <w:rFonts w:cstheme="minorHAnsi"/>
          <w:bCs/>
          <w:color w:val="FF0000"/>
        </w:rPr>
      </w:pPr>
      <w:r w:rsidRPr="00F32679">
        <w:rPr>
          <w:rFonts w:cstheme="minorHAnsi"/>
          <w:bCs/>
          <w:color w:val="FF0000"/>
        </w:rPr>
        <w:t>•</w:t>
      </w:r>
      <w:r w:rsidRPr="00F32679">
        <w:rPr>
          <w:rFonts w:cstheme="minorHAnsi"/>
          <w:bCs/>
          <w:color w:val="FF0000"/>
        </w:rPr>
        <w:tab/>
        <w:t>Received electroconvulsive (ECT) therapy during the inpatient stay or follow-up period.</w:t>
      </w:r>
    </w:p>
    <w:p w14:paraId="19ED37BD" w14:textId="51047F54" w:rsidR="002217F9" w:rsidRPr="00F32679" w:rsidRDefault="002217F9" w:rsidP="002217F9">
      <w:pPr>
        <w:autoSpaceDE w:val="0"/>
        <w:autoSpaceDN w:val="0"/>
        <w:adjustRightInd w:val="0"/>
        <w:spacing w:after="0" w:line="240" w:lineRule="auto"/>
        <w:rPr>
          <w:rFonts w:cstheme="minorHAnsi"/>
          <w:bCs/>
          <w:color w:val="FF0000"/>
        </w:rPr>
      </w:pPr>
      <w:r w:rsidRPr="00F32679">
        <w:rPr>
          <w:rFonts w:cstheme="minorHAnsi"/>
          <w:bCs/>
          <w:color w:val="FF0000"/>
        </w:rPr>
        <w:t>•</w:t>
      </w:r>
      <w:r w:rsidRPr="00F32679">
        <w:rPr>
          <w:rFonts w:cstheme="minorHAnsi"/>
          <w:bCs/>
          <w:color w:val="FF0000"/>
        </w:rPr>
        <w:tab/>
        <w:t>Received transcranial magnetic stimulation (TMS) during the inpatient stay or follow-up period.</w:t>
      </w:r>
    </w:p>
    <w:p w14:paraId="3C80033C" w14:textId="5F500862" w:rsidR="002217F9" w:rsidRPr="00F32679" w:rsidRDefault="002217F9" w:rsidP="002217F9">
      <w:pPr>
        <w:autoSpaceDE w:val="0"/>
        <w:autoSpaceDN w:val="0"/>
        <w:adjustRightInd w:val="0"/>
        <w:spacing w:after="0" w:line="240" w:lineRule="auto"/>
        <w:rPr>
          <w:rFonts w:cstheme="minorHAnsi"/>
          <w:bCs/>
          <w:color w:val="FF0000"/>
        </w:rPr>
      </w:pPr>
      <w:r w:rsidRPr="00F32679">
        <w:rPr>
          <w:rFonts w:cstheme="minorHAnsi"/>
          <w:bCs/>
          <w:color w:val="FF0000"/>
        </w:rPr>
        <w:t>•</w:t>
      </w:r>
      <w:r w:rsidRPr="00F32679">
        <w:rPr>
          <w:rFonts w:cstheme="minorHAnsi"/>
          <w:bCs/>
          <w:color w:val="FF0000"/>
        </w:rPr>
        <w:tab/>
        <w:t>Were pregnant during the inpatient stay</w:t>
      </w:r>
      <w:r w:rsidR="00DD266A">
        <w:rPr>
          <w:rFonts w:cstheme="minorHAnsi"/>
          <w:bCs/>
          <w:color w:val="FF0000"/>
        </w:rPr>
        <w:t>.</w:t>
      </w:r>
      <w:r w:rsidRPr="00F32679">
        <w:rPr>
          <w:rFonts w:cstheme="minorHAnsi"/>
          <w:bCs/>
          <w:color w:val="FF0000"/>
        </w:rPr>
        <w:t xml:space="preserve"> </w:t>
      </w:r>
    </w:p>
    <w:p w14:paraId="1608E9C5" w14:textId="77777777" w:rsidR="002217F9" w:rsidRPr="00F32679" w:rsidRDefault="002217F9" w:rsidP="002217F9">
      <w:pPr>
        <w:autoSpaceDE w:val="0"/>
        <w:autoSpaceDN w:val="0"/>
        <w:adjustRightInd w:val="0"/>
        <w:spacing w:after="0" w:line="240" w:lineRule="auto"/>
        <w:rPr>
          <w:rFonts w:cstheme="minorHAnsi"/>
          <w:bCs/>
          <w:color w:val="FF0000"/>
        </w:rPr>
      </w:pPr>
      <w:r w:rsidRPr="00F32679">
        <w:rPr>
          <w:rFonts w:cstheme="minorHAnsi"/>
          <w:bCs/>
          <w:color w:val="FF0000"/>
        </w:rPr>
        <w:t>•</w:t>
      </w:r>
      <w:r w:rsidRPr="00F32679">
        <w:rPr>
          <w:rFonts w:cstheme="minorHAnsi"/>
          <w:bCs/>
          <w:color w:val="FF0000"/>
        </w:rPr>
        <w:tab/>
        <w:t>Had a secondary diagnosis of delirium.</w:t>
      </w:r>
    </w:p>
    <w:p w14:paraId="4FB812D9" w14:textId="2FD8DB0D" w:rsidR="0094741C" w:rsidRDefault="002217F9" w:rsidP="002217F9">
      <w:pPr>
        <w:autoSpaceDE w:val="0"/>
        <w:autoSpaceDN w:val="0"/>
        <w:adjustRightInd w:val="0"/>
        <w:spacing w:after="0" w:line="240" w:lineRule="auto"/>
        <w:rPr>
          <w:rFonts w:cstheme="minorHAnsi"/>
          <w:bCs/>
          <w:color w:val="FF0000"/>
        </w:rPr>
      </w:pPr>
      <w:r w:rsidRPr="00F32679">
        <w:rPr>
          <w:rFonts w:cstheme="minorHAnsi"/>
          <w:bCs/>
          <w:color w:val="FF0000"/>
        </w:rPr>
        <w:t>•</w:t>
      </w:r>
      <w:r w:rsidRPr="00F32679">
        <w:rPr>
          <w:rFonts w:cstheme="minorHAnsi"/>
          <w:bCs/>
          <w:color w:val="FF0000"/>
        </w:rPr>
        <w:tab/>
        <w:t>Had a principal diagnosis of schizophrenia with a secondary diagnosis of dementia.</w:t>
      </w:r>
    </w:p>
    <w:p w14:paraId="3678287D" w14:textId="3AB60160" w:rsidR="002C63F0" w:rsidRDefault="002C63F0" w:rsidP="002217F9">
      <w:pPr>
        <w:autoSpaceDE w:val="0"/>
        <w:autoSpaceDN w:val="0"/>
        <w:adjustRightInd w:val="0"/>
        <w:spacing w:after="0" w:line="240" w:lineRule="auto"/>
        <w:rPr>
          <w:rFonts w:cstheme="minorHAnsi"/>
          <w:bCs/>
          <w:color w:val="FF0000"/>
        </w:rPr>
      </w:pPr>
    </w:p>
    <w:p w14:paraId="434D2E1E" w14:textId="45DCD539" w:rsidR="0094741C"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p>
    <w:p w14:paraId="254C5A68" w14:textId="39540B20" w:rsidR="0094741C" w:rsidRDefault="0094741C" w:rsidP="00DB3627">
      <w:pPr>
        <w:autoSpaceDE w:val="0"/>
        <w:autoSpaceDN w:val="0"/>
        <w:adjustRightInd w:val="0"/>
        <w:spacing w:after="0" w:line="240" w:lineRule="auto"/>
        <w:rPr>
          <w:rFonts w:cstheme="minorHAnsi"/>
          <w:bCs/>
        </w:rPr>
      </w:pPr>
    </w:p>
    <w:p w14:paraId="12DE087B" w14:textId="0D63025A" w:rsidR="0094741C" w:rsidRDefault="0094741C" w:rsidP="0094741C">
      <w:pPr>
        <w:autoSpaceDE w:val="0"/>
        <w:autoSpaceDN w:val="0"/>
        <w:adjustRightInd w:val="0"/>
        <w:spacing w:after="0" w:line="240" w:lineRule="auto"/>
        <w:rPr>
          <w:rFonts w:cstheme="minorHAnsi"/>
          <w:bCs/>
          <w:color w:val="FF0000"/>
        </w:rPr>
      </w:pPr>
      <w:r w:rsidRPr="00F32679">
        <w:rPr>
          <w:rFonts w:cstheme="minorHAnsi"/>
          <w:bCs/>
          <w:color w:val="FF0000"/>
        </w:rPr>
        <w:t xml:space="preserve">To </w:t>
      </w:r>
      <w:r w:rsidR="009C28FA">
        <w:rPr>
          <w:rFonts w:cstheme="minorHAnsi"/>
          <w:bCs/>
          <w:color w:val="FF0000"/>
        </w:rPr>
        <w:t>assess</w:t>
      </w:r>
      <w:r w:rsidR="009C28FA" w:rsidRPr="00F32679">
        <w:rPr>
          <w:rFonts w:cstheme="minorHAnsi"/>
          <w:bCs/>
          <w:color w:val="FF0000"/>
        </w:rPr>
        <w:t xml:space="preserve"> </w:t>
      </w:r>
      <w:r w:rsidRPr="00F32679">
        <w:rPr>
          <w:rFonts w:cstheme="minorHAnsi"/>
          <w:bCs/>
          <w:color w:val="FF0000"/>
        </w:rPr>
        <w:t>the effect of these exclusions,</w:t>
      </w:r>
      <w:r w:rsidR="002217F9" w:rsidRPr="00F32679">
        <w:rPr>
          <w:rFonts w:cstheme="minorHAnsi"/>
          <w:bCs/>
          <w:color w:val="FF0000"/>
        </w:rPr>
        <w:t xml:space="preserve"> we examined</w:t>
      </w:r>
      <w:r w:rsidRPr="00F32679">
        <w:rPr>
          <w:rFonts w:cstheme="minorHAnsi"/>
          <w:bCs/>
          <w:color w:val="FF0000"/>
        </w:rPr>
        <w:t xml:space="preserve"> the number </w:t>
      </w:r>
      <w:r w:rsidR="002C63F0">
        <w:rPr>
          <w:rFonts w:cstheme="minorHAnsi"/>
          <w:bCs/>
          <w:color w:val="FF0000"/>
        </w:rPr>
        <w:t xml:space="preserve">of IPF discharges </w:t>
      </w:r>
      <w:r w:rsidRPr="00F32679">
        <w:rPr>
          <w:rFonts w:cstheme="minorHAnsi"/>
          <w:bCs/>
          <w:color w:val="FF0000"/>
        </w:rPr>
        <w:t>affected by</w:t>
      </w:r>
      <w:r w:rsidR="002217F9" w:rsidRPr="00F32679">
        <w:rPr>
          <w:rFonts w:cstheme="minorHAnsi"/>
          <w:bCs/>
          <w:color w:val="FF0000"/>
        </w:rPr>
        <w:t xml:space="preserve"> each</w:t>
      </w:r>
      <w:r w:rsidRPr="00F32679">
        <w:rPr>
          <w:rFonts w:cstheme="minorHAnsi"/>
          <w:bCs/>
          <w:color w:val="FF0000"/>
        </w:rPr>
        <w:t xml:space="preserve"> exclusion</w:t>
      </w:r>
      <w:r w:rsidR="002217F9" w:rsidRPr="00F32679">
        <w:rPr>
          <w:rFonts w:cstheme="minorHAnsi"/>
          <w:bCs/>
          <w:color w:val="FF0000"/>
        </w:rPr>
        <w:t xml:space="preserve"> </w:t>
      </w:r>
      <w:r w:rsidRPr="00F32679">
        <w:rPr>
          <w:rFonts w:cstheme="minorHAnsi"/>
          <w:bCs/>
          <w:color w:val="FF0000"/>
        </w:rPr>
        <w:t>and</w:t>
      </w:r>
      <w:r w:rsidR="002217F9" w:rsidRPr="00F32679">
        <w:rPr>
          <w:rFonts w:cstheme="minorHAnsi"/>
          <w:bCs/>
          <w:color w:val="FF0000"/>
        </w:rPr>
        <w:t xml:space="preserve"> calculated and compared</w:t>
      </w:r>
      <w:r w:rsidRPr="00F32679">
        <w:rPr>
          <w:rFonts w:cstheme="minorHAnsi"/>
          <w:bCs/>
          <w:color w:val="FF0000"/>
        </w:rPr>
        <w:t xml:space="preserve"> the measure rates with and without each exclusion.</w:t>
      </w:r>
    </w:p>
    <w:p w14:paraId="43F13DA3" w14:textId="18D6638B" w:rsidR="002C63F0" w:rsidRDefault="002C63F0" w:rsidP="0094741C">
      <w:pPr>
        <w:autoSpaceDE w:val="0"/>
        <w:autoSpaceDN w:val="0"/>
        <w:adjustRightInd w:val="0"/>
        <w:spacing w:after="0" w:line="240" w:lineRule="auto"/>
        <w:rPr>
          <w:rFonts w:cstheme="minorHAnsi"/>
          <w:bCs/>
          <w:color w:val="FF0000"/>
        </w:rPr>
      </w:pPr>
    </w:p>
    <w:p w14:paraId="176FCA21" w14:textId="77777777" w:rsidR="002C63F0" w:rsidRPr="00C8021D" w:rsidRDefault="002C63F0" w:rsidP="002C63F0">
      <w:pPr>
        <w:autoSpaceDE w:val="0"/>
        <w:autoSpaceDN w:val="0"/>
        <w:adjustRightInd w:val="0"/>
        <w:spacing w:before="60" w:after="120" w:line="240" w:lineRule="auto"/>
        <w:contextualSpacing/>
        <w:rPr>
          <w:color w:val="0000FF"/>
          <w:sz w:val="12"/>
          <w:szCs w:val="12"/>
        </w:rPr>
      </w:pPr>
      <w:r w:rsidRPr="00C8021D">
        <w:rPr>
          <w:color w:val="0000FF"/>
        </w:rPr>
        <w:t>All exclusion analyses were conducted using Medicare claims data from inpatient psychiatric stays at IPFs where the patients were discharged alive with Parts A, B, and D enrollment during the follow-up period.</w:t>
      </w:r>
    </w:p>
    <w:p w14:paraId="36AA0A2A" w14:textId="77777777" w:rsidR="002C63F0" w:rsidRPr="00C8021D" w:rsidRDefault="002C63F0" w:rsidP="002C63F0">
      <w:pPr>
        <w:pStyle w:val="Heading3"/>
        <w:keepNext w:val="0"/>
        <w:keepLines w:val="0"/>
        <w:widowControl w:val="0"/>
        <w:numPr>
          <w:ilvl w:val="0"/>
          <w:numId w:val="37"/>
        </w:numPr>
        <w:spacing w:before="60" w:line="240" w:lineRule="auto"/>
        <w:ind w:left="360" w:right="-72"/>
        <w:contextualSpacing/>
        <w:rPr>
          <w:rFonts w:asciiTheme="minorHAnsi" w:eastAsiaTheme="minorEastAsia" w:hAnsiTheme="minorHAnsi" w:cstheme="minorBidi"/>
          <w:b/>
          <w:bCs/>
          <w:color w:val="0000FF"/>
          <w:sz w:val="22"/>
          <w:szCs w:val="22"/>
        </w:rPr>
      </w:pPr>
      <w:r w:rsidRPr="00C8021D">
        <w:rPr>
          <w:rFonts w:asciiTheme="minorHAnsi" w:eastAsiaTheme="minorEastAsia" w:hAnsiTheme="minorHAnsi" w:cstheme="minorBidi"/>
          <w:b/>
          <w:color w:val="0000FF"/>
          <w:sz w:val="22"/>
          <w:szCs w:val="22"/>
        </w:rPr>
        <w:t>Electroconvulsive therapy (ECT)</w:t>
      </w:r>
    </w:p>
    <w:p w14:paraId="3454AD3F" w14:textId="77777777" w:rsidR="002C63F0" w:rsidRPr="00C8021D" w:rsidRDefault="002C63F0" w:rsidP="002C63F0">
      <w:pPr>
        <w:spacing w:after="120" w:line="240" w:lineRule="auto"/>
        <w:ind w:left="360"/>
        <w:contextualSpacing/>
        <w:rPr>
          <w:b/>
          <w:bCs/>
          <w:color w:val="0000FF"/>
        </w:rPr>
      </w:pPr>
      <w:r w:rsidRPr="00C8021D">
        <w:rPr>
          <w:color w:val="0000FF"/>
        </w:rPr>
        <w:t xml:space="preserve">We compared the medication continuation rates of patients with ECT during the admission or follow-up period to those of patients without ECT during the admission or follow-up period. We also conducted a medical record review to evaluate whether evidence-based medications were prescribed at discharge to patients who received ECT or a recommendation for ECT. </w:t>
      </w:r>
    </w:p>
    <w:p w14:paraId="2F87285F" w14:textId="77777777" w:rsidR="002C63F0" w:rsidRPr="00C8021D" w:rsidRDefault="002C63F0" w:rsidP="002C63F0">
      <w:pPr>
        <w:pStyle w:val="BodyText"/>
        <w:numPr>
          <w:ilvl w:val="0"/>
          <w:numId w:val="37"/>
        </w:numPr>
        <w:spacing w:before="60" w:after="120"/>
        <w:ind w:left="360"/>
        <w:contextualSpacing/>
        <w:rPr>
          <w:b/>
          <w:color w:val="0000FF"/>
          <w:sz w:val="22"/>
          <w:szCs w:val="22"/>
        </w:rPr>
      </w:pPr>
      <w:r w:rsidRPr="00C8021D">
        <w:rPr>
          <w:b/>
          <w:color w:val="0000FF"/>
          <w:sz w:val="22"/>
          <w:szCs w:val="22"/>
        </w:rPr>
        <w:t>Transcranial magnetic stimulation (TMS)</w:t>
      </w:r>
    </w:p>
    <w:p w14:paraId="6F24A039" w14:textId="77777777" w:rsidR="002C63F0" w:rsidRPr="00C8021D" w:rsidRDefault="002C63F0" w:rsidP="002C63F0">
      <w:pPr>
        <w:pStyle w:val="BodyText"/>
        <w:spacing w:before="60" w:after="120"/>
        <w:ind w:left="360"/>
        <w:rPr>
          <w:b/>
          <w:bCs/>
          <w:color w:val="0000FF"/>
          <w:sz w:val="22"/>
          <w:szCs w:val="22"/>
        </w:rPr>
      </w:pPr>
      <w:r w:rsidRPr="00C8021D">
        <w:rPr>
          <w:color w:val="0000FF"/>
          <w:sz w:val="22"/>
          <w:szCs w:val="22"/>
        </w:rPr>
        <w:t xml:space="preserve">We compared the medication continuation rates for patients with TMS during the admission or </w:t>
      </w:r>
      <w:r w:rsidRPr="00C8021D">
        <w:rPr>
          <w:color w:val="0000FF"/>
          <w:sz w:val="22"/>
          <w:szCs w:val="22"/>
        </w:rPr>
        <w:lastRenderedPageBreak/>
        <w:t xml:space="preserve">follow-up period to those of patients without TMS during the admission or follow-up period. </w:t>
      </w:r>
    </w:p>
    <w:p w14:paraId="6B239122" w14:textId="77777777" w:rsidR="002C63F0" w:rsidRPr="00C8021D" w:rsidRDefault="002C63F0" w:rsidP="002C63F0">
      <w:pPr>
        <w:pStyle w:val="BodyText"/>
        <w:numPr>
          <w:ilvl w:val="0"/>
          <w:numId w:val="37"/>
        </w:numPr>
        <w:spacing w:before="60" w:after="120"/>
        <w:ind w:left="360"/>
        <w:contextualSpacing/>
        <w:rPr>
          <w:b/>
          <w:color w:val="0000FF"/>
          <w:sz w:val="22"/>
          <w:szCs w:val="22"/>
        </w:rPr>
      </w:pPr>
      <w:r w:rsidRPr="00C8021D">
        <w:rPr>
          <w:b/>
          <w:color w:val="0000FF"/>
          <w:sz w:val="22"/>
          <w:szCs w:val="22"/>
        </w:rPr>
        <w:t>Pregnancy</w:t>
      </w:r>
    </w:p>
    <w:p w14:paraId="4E83AAE1" w14:textId="77777777" w:rsidR="002C63F0" w:rsidRPr="00C8021D" w:rsidRDefault="002C63F0" w:rsidP="002C63F0">
      <w:pPr>
        <w:pStyle w:val="BodyText"/>
        <w:spacing w:before="60" w:after="120"/>
        <w:ind w:left="360"/>
        <w:rPr>
          <w:b/>
          <w:bCs/>
          <w:color w:val="0000FF"/>
          <w:sz w:val="22"/>
          <w:szCs w:val="22"/>
        </w:rPr>
      </w:pPr>
      <w:r w:rsidRPr="00C8021D">
        <w:rPr>
          <w:color w:val="0000FF"/>
          <w:sz w:val="22"/>
          <w:szCs w:val="22"/>
        </w:rPr>
        <w:t xml:space="preserve">We compared the medication continuation rates for patients who were pregnant during the admission to those of patients who were not pregnant during the admission. </w:t>
      </w:r>
    </w:p>
    <w:p w14:paraId="2C3F5860" w14:textId="77777777" w:rsidR="002C63F0" w:rsidRPr="00C8021D" w:rsidRDefault="002C63F0" w:rsidP="002C63F0">
      <w:pPr>
        <w:pStyle w:val="BodyText"/>
        <w:numPr>
          <w:ilvl w:val="0"/>
          <w:numId w:val="37"/>
        </w:numPr>
        <w:spacing w:before="60" w:after="120"/>
        <w:ind w:left="360"/>
        <w:contextualSpacing/>
        <w:rPr>
          <w:b/>
          <w:color w:val="0000FF"/>
          <w:sz w:val="22"/>
          <w:szCs w:val="22"/>
        </w:rPr>
      </w:pPr>
      <w:r w:rsidRPr="00C8021D">
        <w:rPr>
          <w:b/>
          <w:color w:val="0000FF"/>
          <w:sz w:val="22"/>
          <w:szCs w:val="22"/>
        </w:rPr>
        <w:t>Secondary diagnosis of delirium</w:t>
      </w:r>
    </w:p>
    <w:p w14:paraId="152E1E2A" w14:textId="77777777" w:rsidR="002C63F0" w:rsidRPr="00C8021D" w:rsidRDefault="002C63F0" w:rsidP="002C63F0">
      <w:pPr>
        <w:pStyle w:val="BodyText"/>
        <w:spacing w:before="60" w:after="120"/>
        <w:ind w:left="360"/>
        <w:rPr>
          <w:b/>
          <w:bCs/>
          <w:color w:val="0000FF"/>
          <w:sz w:val="22"/>
          <w:szCs w:val="22"/>
        </w:rPr>
      </w:pPr>
      <w:r w:rsidRPr="00C8021D">
        <w:rPr>
          <w:color w:val="0000FF"/>
          <w:sz w:val="22"/>
          <w:szCs w:val="22"/>
        </w:rPr>
        <w:t xml:space="preserve">We compared the medication continuation rates for patients with delirium during the admission to those of patients without delirium during the admission. </w:t>
      </w:r>
    </w:p>
    <w:p w14:paraId="2547E915" w14:textId="77777777" w:rsidR="002C63F0" w:rsidRPr="00C8021D" w:rsidRDefault="002C63F0" w:rsidP="002C63F0">
      <w:pPr>
        <w:pStyle w:val="BodyText"/>
        <w:keepNext/>
        <w:numPr>
          <w:ilvl w:val="0"/>
          <w:numId w:val="37"/>
        </w:numPr>
        <w:spacing w:before="60" w:after="120"/>
        <w:ind w:left="360"/>
        <w:contextualSpacing/>
        <w:rPr>
          <w:b/>
          <w:color w:val="0000FF"/>
          <w:sz w:val="22"/>
          <w:szCs w:val="22"/>
        </w:rPr>
      </w:pPr>
      <w:r w:rsidRPr="00C8021D">
        <w:rPr>
          <w:b/>
          <w:color w:val="0000FF"/>
          <w:sz w:val="22"/>
          <w:szCs w:val="22"/>
        </w:rPr>
        <w:t>Principal diagnosis of schizophrenia with secondary diagnosis of dementia</w:t>
      </w:r>
    </w:p>
    <w:p w14:paraId="52C58A78" w14:textId="77777777" w:rsidR="002C63F0" w:rsidRPr="00C8021D" w:rsidRDefault="002C63F0" w:rsidP="002C63F0">
      <w:pPr>
        <w:pStyle w:val="BodyText"/>
        <w:keepNext/>
        <w:spacing w:before="60" w:after="120"/>
        <w:ind w:left="360"/>
        <w:contextualSpacing/>
        <w:rPr>
          <w:b/>
          <w:bCs/>
          <w:color w:val="0000FF"/>
          <w:sz w:val="22"/>
          <w:szCs w:val="22"/>
        </w:rPr>
      </w:pPr>
      <w:r w:rsidRPr="00C8021D">
        <w:rPr>
          <w:color w:val="0000FF"/>
          <w:sz w:val="22"/>
          <w:szCs w:val="22"/>
        </w:rPr>
        <w:t>Antipsychotics may be contraindicated for patients with dementia. Antipsychotics are included in the numerator for schizophrenia and bipolar disorder. However, alternative pharmacotherapies are available for bipolar disorder that meet the numerator criteria, so we only compared the medication continuation rates for patients with a principal diagnosis of schizophrenia and a secondary diagnosis of dementia to those of patients with no dementia.</w:t>
      </w:r>
    </w:p>
    <w:p w14:paraId="0CABCFE4" w14:textId="1EA79840" w:rsidR="00833325" w:rsidRPr="009D3882" w:rsidRDefault="00833325" w:rsidP="00DB3627">
      <w:pPr>
        <w:autoSpaceDE w:val="0"/>
        <w:autoSpaceDN w:val="0"/>
        <w:adjustRightInd w:val="0"/>
        <w:spacing w:after="0" w:line="240" w:lineRule="auto"/>
        <w:rPr>
          <w:rFonts w:cstheme="minorHAnsi"/>
          <w:bCs/>
          <w:sz w:val="12"/>
        </w:rPr>
      </w:pPr>
      <w:r w:rsidRPr="00A25024">
        <w:rPr>
          <w:rFonts w:cstheme="minorHAnsi"/>
          <w:bCs/>
        </w:rPr>
        <w:t xml:space="preserve"> </w:t>
      </w:r>
    </w:p>
    <w:p w14:paraId="0CABCFE5" w14:textId="77777777" w:rsidR="00833325" w:rsidRPr="00A25024" w:rsidRDefault="00833325" w:rsidP="00DB3627">
      <w:pPr>
        <w:autoSpaceDE w:val="0"/>
        <w:autoSpaceDN w:val="0"/>
        <w:adjustRightInd w:val="0"/>
        <w:spacing w:after="0" w:line="240" w:lineRule="auto"/>
        <w:rPr>
          <w:rFonts w:cstheme="minorHAnsi"/>
          <w:bCs/>
        </w:rPr>
      </w:pPr>
    </w:p>
    <w:p w14:paraId="22B6FE31" w14:textId="785359A4" w:rsidR="00DB6D8A" w:rsidRDefault="00092566" w:rsidP="00092566">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14:paraId="30A2E20A" w14:textId="475F9213" w:rsidR="00CD50C4" w:rsidRDefault="00CD50C4" w:rsidP="00092566">
      <w:pPr>
        <w:autoSpaceDE w:val="0"/>
        <w:autoSpaceDN w:val="0"/>
        <w:adjustRightInd w:val="0"/>
        <w:spacing w:after="0" w:line="240" w:lineRule="auto"/>
        <w:rPr>
          <w:rFonts w:cstheme="minorHAnsi"/>
          <w:bCs/>
        </w:rPr>
      </w:pPr>
    </w:p>
    <w:p w14:paraId="4CB7D419" w14:textId="16348CAD" w:rsidR="00F32679" w:rsidRPr="00F32679" w:rsidRDefault="00F32679" w:rsidP="00F32679">
      <w:pPr>
        <w:autoSpaceDE w:val="0"/>
        <w:autoSpaceDN w:val="0"/>
        <w:adjustRightInd w:val="0"/>
        <w:spacing w:after="0" w:line="240" w:lineRule="auto"/>
        <w:rPr>
          <w:rFonts w:cstheme="minorHAnsi"/>
          <w:bCs/>
          <w:color w:val="FF0000"/>
        </w:rPr>
      </w:pPr>
      <w:r w:rsidRPr="00F32679">
        <w:rPr>
          <w:rFonts w:cstheme="minorHAnsi"/>
          <w:bCs/>
          <w:color w:val="FF0000"/>
        </w:rPr>
        <w:t>Table</w:t>
      </w:r>
      <w:r>
        <w:rPr>
          <w:rFonts w:cstheme="minorHAnsi"/>
          <w:bCs/>
          <w:color w:val="FF0000"/>
        </w:rPr>
        <w:t>s</w:t>
      </w:r>
      <w:r w:rsidRPr="00F32679">
        <w:rPr>
          <w:rFonts w:cstheme="minorHAnsi"/>
          <w:bCs/>
          <w:color w:val="FF0000"/>
        </w:rPr>
        <w:t xml:space="preserve"> </w:t>
      </w:r>
      <w:r>
        <w:rPr>
          <w:rFonts w:cstheme="minorHAnsi"/>
          <w:bCs/>
          <w:color w:val="FF0000"/>
        </w:rPr>
        <w:t>2b2.2A–2b2.2</w:t>
      </w:r>
      <w:r w:rsidR="0060461E">
        <w:rPr>
          <w:rFonts w:cstheme="minorHAnsi"/>
          <w:bCs/>
          <w:color w:val="FF0000"/>
        </w:rPr>
        <w:t>E</w:t>
      </w:r>
      <w:r w:rsidRPr="00F32679">
        <w:rPr>
          <w:rFonts w:cstheme="minorHAnsi"/>
          <w:bCs/>
          <w:color w:val="FF0000"/>
        </w:rPr>
        <w:t xml:space="preserve"> summarize the </w:t>
      </w:r>
      <w:r w:rsidR="002C63F0">
        <w:rPr>
          <w:rFonts w:cstheme="minorHAnsi"/>
          <w:bCs/>
          <w:color w:val="FF0000"/>
        </w:rPr>
        <w:t>IPF discharges</w:t>
      </w:r>
      <w:r w:rsidRPr="00F32679">
        <w:rPr>
          <w:rFonts w:cstheme="minorHAnsi"/>
          <w:bCs/>
          <w:color w:val="FF0000"/>
        </w:rPr>
        <w:t xml:space="preserve"> </w:t>
      </w:r>
      <w:r w:rsidR="009C28FA">
        <w:rPr>
          <w:rFonts w:cstheme="minorHAnsi"/>
          <w:bCs/>
          <w:color w:val="FF0000"/>
        </w:rPr>
        <w:t>omitted</w:t>
      </w:r>
      <w:r w:rsidR="009C28FA" w:rsidRPr="00F32679">
        <w:rPr>
          <w:rFonts w:cstheme="minorHAnsi"/>
          <w:bCs/>
          <w:color w:val="FF0000"/>
        </w:rPr>
        <w:t xml:space="preserve"> </w:t>
      </w:r>
      <w:r w:rsidRPr="00F32679">
        <w:rPr>
          <w:rFonts w:cstheme="minorHAnsi"/>
          <w:bCs/>
          <w:color w:val="FF0000"/>
        </w:rPr>
        <w:t xml:space="preserve"> by exclusion type.</w:t>
      </w:r>
      <w:r w:rsidR="00B1562E" w:rsidRPr="00B1562E">
        <w:rPr>
          <w:rFonts w:cstheme="minorHAnsi"/>
          <w:bCs/>
          <w:color w:val="FF0000"/>
        </w:rPr>
        <w:t xml:space="preserve">  </w:t>
      </w:r>
    </w:p>
    <w:p w14:paraId="3873B181" w14:textId="7BC0A28C" w:rsidR="00F32679" w:rsidRDefault="00F32679" w:rsidP="00092566">
      <w:pPr>
        <w:autoSpaceDE w:val="0"/>
        <w:autoSpaceDN w:val="0"/>
        <w:adjustRightInd w:val="0"/>
        <w:spacing w:after="0" w:line="240" w:lineRule="auto"/>
        <w:rPr>
          <w:rFonts w:cstheme="minorHAnsi"/>
          <w:bCs/>
        </w:rPr>
      </w:pPr>
    </w:p>
    <w:p w14:paraId="28CC915E" w14:textId="77777777" w:rsidR="00BD4785" w:rsidRPr="00BD4785" w:rsidRDefault="00BD4785" w:rsidP="00BD4785">
      <w:pPr>
        <w:pStyle w:val="Caption"/>
        <w:rPr>
          <w:color w:val="FF0000"/>
        </w:rPr>
      </w:pPr>
      <w:r w:rsidRPr="00BD4785">
        <w:rPr>
          <w:color w:val="FF0000"/>
        </w:rPr>
        <w:t xml:space="preserve">Table 2b2.2A. Frequency of exclusion for ECT </w:t>
      </w:r>
      <w:bookmarkStart w:id="45" w:name="_Hlk44075082"/>
      <w:r w:rsidRPr="00BD4785">
        <w:rPr>
          <w:color w:val="FF0000"/>
        </w:rPr>
        <w:t>and performance rates with and without exclusion</w:t>
      </w:r>
      <w:bookmarkEnd w:id="45"/>
    </w:p>
    <w:tbl>
      <w:tblPr>
        <w:tblW w:w="95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7"/>
        <w:gridCol w:w="1170"/>
        <w:gridCol w:w="720"/>
        <w:gridCol w:w="1170"/>
        <w:gridCol w:w="1170"/>
        <w:gridCol w:w="743"/>
        <w:gridCol w:w="1134"/>
        <w:gridCol w:w="1093"/>
        <w:gridCol w:w="720"/>
      </w:tblGrid>
      <w:tr w:rsidR="00F32679" w:rsidRPr="009C2A08" w14:paraId="52F44726" w14:textId="77777777" w:rsidTr="00071B85">
        <w:trPr>
          <w:trHeight w:val="490"/>
          <w:tblHeader/>
        </w:trPr>
        <w:tc>
          <w:tcPr>
            <w:tcW w:w="1597" w:type="dxa"/>
            <w:vMerge w:val="restart"/>
            <w:shd w:val="clear" w:color="auto" w:fill="365F91" w:themeFill="accent1" w:themeFillShade="BF"/>
            <w:vAlign w:val="bottom"/>
            <w:hideMark/>
          </w:tcPr>
          <w:p w14:paraId="3F85DD05" w14:textId="5BE049B4" w:rsidR="00F32679" w:rsidRPr="009C2A08" w:rsidRDefault="00F32679" w:rsidP="00F32679">
            <w:pPr>
              <w:spacing w:after="0"/>
              <w:rPr>
                <w:b/>
                <w:bCs/>
                <w:color w:val="FFFFFF" w:themeColor="background1"/>
                <w:sz w:val="20"/>
                <w:szCs w:val="20"/>
              </w:rPr>
            </w:pPr>
            <w:r w:rsidRPr="0C206F83">
              <w:rPr>
                <w:rFonts w:ascii="Calibri" w:eastAsia="Calibri" w:hAnsi="Calibri" w:cs="Calibri"/>
                <w:b/>
                <w:bCs/>
                <w:color w:val="FFFFFF" w:themeColor="background1"/>
                <w:sz w:val="20"/>
                <w:szCs w:val="20"/>
              </w:rPr>
              <w:t xml:space="preserve">Principal </w:t>
            </w:r>
            <w:r w:rsidR="00816566">
              <w:rPr>
                <w:rFonts w:ascii="Calibri" w:eastAsia="Calibri" w:hAnsi="Calibri" w:cs="Calibri"/>
                <w:b/>
                <w:bCs/>
                <w:color w:val="FFFFFF" w:themeColor="background1"/>
                <w:sz w:val="20"/>
                <w:szCs w:val="20"/>
              </w:rPr>
              <w:t>c</w:t>
            </w:r>
            <w:r w:rsidRPr="0C206F83">
              <w:rPr>
                <w:rFonts w:ascii="Calibri" w:eastAsia="Calibri" w:hAnsi="Calibri" w:cs="Calibri"/>
                <w:b/>
                <w:bCs/>
                <w:color w:val="FFFFFF" w:themeColor="background1"/>
                <w:sz w:val="20"/>
                <w:szCs w:val="20"/>
              </w:rPr>
              <w:t>ondition</w:t>
            </w:r>
          </w:p>
        </w:tc>
        <w:tc>
          <w:tcPr>
            <w:tcW w:w="1890" w:type="dxa"/>
            <w:gridSpan w:val="2"/>
            <w:shd w:val="clear" w:color="auto" w:fill="365F91" w:themeFill="accent1" w:themeFillShade="BF"/>
            <w:noWrap/>
            <w:vAlign w:val="bottom"/>
            <w:hideMark/>
          </w:tcPr>
          <w:p w14:paraId="0D7CEC79" w14:textId="06E41D97" w:rsidR="00F32679" w:rsidRPr="009C2A08"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xml:space="preserve">All </w:t>
            </w:r>
            <w:r w:rsidR="00816566">
              <w:rPr>
                <w:rFonts w:ascii="Calibri" w:eastAsia="Calibri" w:hAnsi="Calibri" w:cs="Calibri"/>
                <w:b/>
                <w:bCs/>
                <w:color w:val="FFFFFF" w:themeColor="background1"/>
                <w:sz w:val="20"/>
                <w:szCs w:val="20"/>
              </w:rPr>
              <w:t xml:space="preserve">IPF </w:t>
            </w:r>
            <w:r w:rsidR="002C63F0">
              <w:rPr>
                <w:rFonts w:ascii="Calibri" w:eastAsia="Calibri" w:hAnsi="Calibri" w:cs="Calibri"/>
                <w:b/>
                <w:bCs/>
                <w:color w:val="FFFFFF" w:themeColor="background1"/>
                <w:sz w:val="20"/>
                <w:szCs w:val="20"/>
              </w:rPr>
              <w:t>discharges</w:t>
            </w:r>
          </w:p>
        </w:tc>
        <w:tc>
          <w:tcPr>
            <w:tcW w:w="3083" w:type="dxa"/>
            <w:gridSpan w:val="3"/>
            <w:shd w:val="clear" w:color="auto" w:fill="365F91" w:themeFill="accent1" w:themeFillShade="BF"/>
            <w:noWrap/>
            <w:vAlign w:val="bottom"/>
            <w:hideMark/>
          </w:tcPr>
          <w:p w14:paraId="0C88A7C4" w14:textId="6873E31B" w:rsidR="00816566" w:rsidRPr="009C2A08" w:rsidRDefault="002C63F0" w:rsidP="00816566">
            <w:pPr>
              <w:spacing w:after="0"/>
              <w:jc w:val="center"/>
              <w:rPr>
                <w:b/>
                <w:bCs/>
                <w:color w:val="FFFFFF" w:themeColor="background1"/>
                <w:sz w:val="20"/>
                <w:szCs w:val="20"/>
              </w:rPr>
            </w:pPr>
            <w:r>
              <w:rPr>
                <w:rFonts w:ascii="Calibri" w:eastAsia="Calibri" w:hAnsi="Calibri" w:cs="Calibri"/>
                <w:b/>
                <w:bCs/>
                <w:color w:val="FFFFFF" w:themeColor="background1"/>
                <w:sz w:val="20"/>
                <w:szCs w:val="20"/>
              </w:rPr>
              <w:t>Discharges</w:t>
            </w:r>
            <w:r w:rsidR="009F162A">
              <w:rPr>
                <w:rFonts w:ascii="Calibri" w:eastAsia="Calibri" w:hAnsi="Calibri" w:cs="Calibri"/>
                <w:b/>
                <w:bCs/>
                <w:color w:val="FFFFFF" w:themeColor="background1"/>
                <w:sz w:val="20"/>
                <w:szCs w:val="20"/>
              </w:rPr>
              <w:t xml:space="preserve"> with </w:t>
            </w:r>
            <w:r w:rsidR="00F32679" w:rsidRPr="0C206F83">
              <w:rPr>
                <w:rFonts w:ascii="Calibri" w:eastAsia="Calibri" w:hAnsi="Calibri" w:cs="Calibri"/>
                <w:b/>
                <w:bCs/>
                <w:color w:val="FFFFFF" w:themeColor="background1"/>
                <w:sz w:val="20"/>
                <w:szCs w:val="20"/>
              </w:rPr>
              <w:t>ECT</w:t>
            </w:r>
          </w:p>
          <w:p w14:paraId="7198BA74" w14:textId="4678626B" w:rsidR="00F32679" w:rsidRPr="009C2A08" w:rsidRDefault="00F32679" w:rsidP="00F32679">
            <w:pPr>
              <w:spacing w:after="0"/>
              <w:jc w:val="center"/>
              <w:rPr>
                <w:b/>
                <w:bCs/>
                <w:color w:val="FFFFFF" w:themeColor="background1"/>
                <w:sz w:val="20"/>
                <w:szCs w:val="20"/>
              </w:rPr>
            </w:pPr>
          </w:p>
        </w:tc>
        <w:tc>
          <w:tcPr>
            <w:tcW w:w="2947" w:type="dxa"/>
            <w:gridSpan w:val="3"/>
            <w:shd w:val="clear" w:color="auto" w:fill="365F91" w:themeFill="accent1" w:themeFillShade="BF"/>
            <w:noWrap/>
            <w:vAlign w:val="bottom"/>
            <w:hideMark/>
          </w:tcPr>
          <w:p w14:paraId="2FC92745" w14:textId="1D48C7AD" w:rsidR="00F32679" w:rsidRPr="009C2A08" w:rsidRDefault="002C63F0" w:rsidP="00816566">
            <w:pPr>
              <w:spacing w:after="0"/>
              <w:jc w:val="center"/>
              <w:rPr>
                <w:b/>
                <w:bCs/>
                <w:color w:val="FFFFFF" w:themeColor="background1"/>
                <w:sz w:val="20"/>
                <w:szCs w:val="20"/>
              </w:rPr>
            </w:pPr>
            <w:r>
              <w:rPr>
                <w:rFonts w:ascii="Calibri" w:eastAsia="Calibri" w:hAnsi="Calibri" w:cs="Calibri"/>
                <w:b/>
                <w:bCs/>
                <w:color w:val="FFFFFF" w:themeColor="background1"/>
                <w:sz w:val="20"/>
                <w:szCs w:val="20"/>
              </w:rPr>
              <w:t>Discharges</w:t>
            </w:r>
            <w:r w:rsidR="009F162A">
              <w:rPr>
                <w:rFonts w:ascii="Calibri" w:eastAsia="Calibri" w:hAnsi="Calibri" w:cs="Calibri"/>
                <w:b/>
                <w:bCs/>
                <w:color w:val="FFFFFF" w:themeColor="background1"/>
                <w:sz w:val="20"/>
                <w:szCs w:val="20"/>
              </w:rPr>
              <w:t xml:space="preserve"> without</w:t>
            </w:r>
            <w:r w:rsidR="00F32679" w:rsidRPr="0C206F83">
              <w:rPr>
                <w:rFonts w:ascii="Calibri" w:eastAsia="Calibri" w:hAnsi="Calibri" w:cs="Calibri"/>
                <w:b/>
                <w:bCs/>
                <w:color w:val="FFFFFF" w:themeColor="background1"/>
                <w:sz w:val="20"/>
                <w:szCs w:val="20"/>
              </w:rPr>
              <w:t xml:space="preserve"> ECT</w:t>
            </w:r>
          </w:p>
        </w:tc>
      </w:tr>
      <w:tr w:rsidR="00F32679" w:rsidRPr="009C2A08" w14:paraId="23EDF3A7" w14:textId="77777777" w:rsidTr="00071B85">
        <w:trPr>
          <w:trHeight w:val="297"/>
          <w:tblHeader/>
        </w:trPr>
        <w:tc>
          <w:tcPr>
            <w:tcW w:w="1597" w:type="dxa"/>
            <w:vMerge/>
            <w:shd w:val="clear" w:color="auto" w:fill="365F91" w:themeFill="accent1" w:themeFillShade="BF"/>
            <w:hideMark/>
          </w:tcPr>
          <w:p w14:paraId="005A68C8" w14:textId="77777777" w:rsidR="00F32679" w:rsidRPr="009C2A08" w:rsidRDefault="00F32679" w:rsidP="00F32679">
            <w:pPr>
              <w:spacing w:after="0"/>
              <w:rPr>
                <w:b/>
                <w:color w:val="FFFFFF" w:themeColor="background1"/>
                <w:sz w:val="20"/>
                <w:szCs w:val="20"/>
              </w:rPr>
            </w:pPr>
          </w:p>
        </w:tc>
        <w:tc>
          <w:tcPr>
            <w:tcW w:w="1170" w:type="dxa"/>
            <w:shd w:val="clear" w:color="auto" w:fill="365F91" w:themeFill="accent1" w:themeFillShade="BF"/>
            <w:vAlign w:val="bottom"/>
            <w:hideMark/>
          </w:tcPr>
          <w:p w14:paraId="27726A51" w14:textId="77777777" w:rsidR="00F32679" w:rsidRPr="009C2A08"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720" w:type="dxa"/>
            <w:shd w:val="clear" w:color="auto" w:fill="365F91" w:themeFill="accent1" w:themeFillShade="BF"/>
            <w:vAlign w:val="bottom"/>
            <w:hideMark/>
          </w:tcPr>
          <w:p w14:paraId="6B657EF7" w14:textId="7015CCBC" w:rsidR="00F32679" w:rsidRPr="009C2A08" w:rsidRDefault="009F162A" w:rsidP="00F32679">
            <w:pPr>
              <w:spacing w:after="0"/>
              <w:jc w:val="center"/>
              <w:rPr>
                <w:b/>
                <w:bCs/>
                <w:color w:val="FFFFFF" w:themeColor="background1"/>
                <w:sz w:val="20"/>
                <w:szCs w:val="20"/>
              </w:rPr>
            </w:pPr>
            <w:r>
              <w:rPr>
                <w:rFonts w:ascii="Calibri" w:eastAsia="Calibri" w:hAnsi="Calibri" w:cs="Calibri"/>
                <w:b/>
                <w:bCs/>
                <w:color w:val="FFFFFF" w:themeColor="background1"/>
                <w:sz w:val="20"/>
                <w:szCs w:val="20"/>
              </w:rPr>
              <w:t>Perf rate</w:t>
            </w:r>
          </w:p>
        </w:tc>
        <w:tc>
          <w:tcPr>
            <w:tcW w:w="1170" w:type="dxa"/>
            <w:shd w:val="clear" w:color="auto" w:fill="365F91" w:themeFill="accent1" w:themeFillShade="BF"/>
            <w:vAlign w:val="bottom"/>
            <w:hideMark/>
          </w:tcPr>
          <w:p w14:paraId="2FC4B448" w14:textId="77777777" w:rsidR="00F32679" w:rsidRPr="009C2A08"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1170" w:type="dxa"/>
            <w:shd w:val="clear" w:color="auto" w:fill="365F91" w:themeFill="accent1" w:themeFillShade="BF"/>
            <w:vAlign w:val="bottom"/>
            <w:hideMark/>
          </w:tcPr>
          <w:p w14:paraId="2844ED06" w14:textId="1A78A4DD" w:rsidR="00F32679" w:rsidRPr="009C2A08"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xml:space="preserve">% </w:t>
            </w:r>
            <w:r w:rsidR="00CA0344">
              <w:rPr>
                <w:rFonts w:ascii="Calibri" w:eastAsia="Calibri" w:hAnsi="Calibri" w:cs="Calibri"/>
                <w:b/>
                <w:bCs/>
                <w:color w:val="FFFFFF" w:themeColor="background1"/>
                <w:sz w:val="20"/>
                <w:szCs w:val="20"/>
              </w:rPr>
              <w:t xml:space="preserve">all </w:t>
            </w:r>
            <w:r w:rsidR="002C63F0">
              <w:rPr>
                <w:rFonts w:ascii="Calibri" w:eastAsia="Calibri" w:hAnsi="Calibri" w:cs="Calibri"/>
                <w:b/>
                <w:bCs/>
                <w:color w:val="FFFFFF" w:themeColor="background1"/>
                <w:sz w:val="20"/>
                <w:szCs w:val="20"/>
              </w:rPr>
              <w:t>disch</w:t>
            </w:r>
            <w:r w:rsidR="00071B85">
              <w:rPr>
                <w:rFonts w:ascii="Calibri" w:eastAsia="Calibri" w:hAnsi="Calibri" w:cs="Calibri"/>
                <w:b/>
                <w:bCs/>
                <w:color w:val="FFFFFF" w:themeColor="background1"/>
                <w:sz w:val="20"/>
                <w:szCs w:val="20"/>
              </w:rPr>
              <w:t>arges</w:t>
            </w:r>
            <w:r w:rsidR="00DB6B2C">
              <w:rPr>
                <w:rFonts w:ascii="Calibri" w:eastAsia="Calibri" w:hAnsi="Calibri" w:cs="Calibri"/>
                <w:b/>
                <w:bCs/>
                <w:color w:val="FFFFFF" w:themeColor="background1"/>
                <w:sz w:val="20"/>
                <w:szCs w:val="20"/>
              </w:rPr>
              <w:t xml:space="preserve"> for condition</w:t>
            </w:r>
          </w:p>
        </w:tc>
        <w:tc>
          <w:tcPr>
            <w:tcW w:w="743" w:type="dxa"/>
            <w:shd w:val="clear" w:color="auto" w:fill="365F91" w:themeFill="accent1" w:themeFillShade="BF"/>
            <w:vAlign w:val="bottom"/>
            <w:hideMark/>
          </w:tcPr>
          <w:p w14:paraId="7745C1DD" w14:textId="0B936B11" w:rsidR="00F32679" w:rsidRPr="009C2A08" w:rsidRDefault="009F162A" w:rsidP="00F32679">
            <w:pPr>
              <w:spacing w:after="0"/>
              <w:jc w:val="center"/>
              <w:rPr>
                <w:b/>
                <w:bCs/>
                <w:color w:val="FFFFFF" w:themeColor="background1"/>
                <w:sz w:val="20"/>
                <w:szCs w:val="20"/>
              </w:rPr>
            </w:pPr>
            <w:r>
              <w:rPr>
                <w:b/>
                <w:bCs/>
                <w:color w:val="FFFFFF" w:themeColor="background1"/>
                <w:sz w:val="20"/>
                <w:szCs w:val="20"/>
              </w:rPr>
              <w:t>Perf rate</w:t>
            </w:r>
          </w:p>
        </w:tc>
        <w:tc>
          <w:tcPr>
            <w:tcW w:w="1134" w:type="dxa"/>
            <w:shd w:val="clear" w:color="auto" w:fill="365F91" w:themeFill="accent1" w:themeFillShade="BF"/>
            <w:vAlign w:val="bottom"/>
            <w:hideMark/>
          </w:tcPr>
          <w:p w14:paraId="4A2B2E73" w14:textId="77777777" w:rsidR="00F32679" w:rsidRPr="009C2A08"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1093" w:type="dxa"/>
            <w:shd w:val="clear" w:color="auto" w:fill="365F91" w:themeFill="accent1" w:themeFillShade="BF"/>
            <w:vAlign w:val="bottom"/>
            <w:hideMark/>
          </w:tcPr>
          <w:p w14:paraId="75A1D2A8" w14:textId="14C0DF0A" w:rsidR="00F32679" w:rsidRPr="009C2A08"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xml:space="preserve">% </w:t>
            </w:r>
            <w:r w:rsidR="00CA0344">
              <w:rPr>
                <w:rFonts w:ascii="Calibri" w:eastAsia="Calibri" w:hAnsi="Calibri" w:cs="Calibri"/>
                <w:b/>
                <w:bCs/>
                <w:color w:val="FFFFFF" w:themeColor="background1"/>
                <w:sz w:val="20"/>
                <w:szCs w:val="20"/>
              </w:rPr>
              <w:t xml:space="preserve">all </w:t>
            </w:r>
            <w:r w:rsidR="002C63F0">
              <w:rPr>
                <w:rFonts w:ascii="Calibri" w:eastAsia="Calibri" w:hAnsi="Calibri" w:cs="Calibri"/>
                <w:b/>
                <w:bCs/>
                <w:color w:val="FFFFFF" w:themeColor="background1"/>
                <w:sz w:val="20"/>
                <w:szCs w:val="20"/>
              </w:rPr>
              <w:t>disch</w:t>
            </w:r>
            <w:r w:rsidR="00071B85">
              <w:rPr>
                <w:rFonts w:ascii="Calibri" w:eastAsia="Calibri" w:hAnsi="Calibri" w:cs="Calibri"/>
                <w:b/>
                <w:bCs/>
                <w:color w:val="FFFFFF" w:themeColor="background1"/>
                <w:sz w:val="20"/>
                <w:szCs w:val="20"/>
              </w:rPr>
              <w:t>arges</w:t>
            </w:r>
            <w:r w:rsidR="00DB6B2C">
              <w:rPr>
                <w:rFonts w:ascii="Calibri" w:eastAsia="Calibri" w:hAnsi="Calibri" w:cs="Calibri"/>
                <w:b/>
                <w:bCs/>
                <w:color w:val="FFFFFF" w:themeColor="background1"/>
                <w:sz w:val="20"/>
                <w:szCs w:val="20"/>
              </w:rPr>
              <w:t xml:space="preserve"> for condition</w:t>
            </w:r>
          </w:p>
        </w:tc>
        <w:tc>
          <w:tcPr>
            <w:tcW w:w="720" w:type="dxa"/>
            <w:shd w:val="clear" w:color="auto" w:fill="365F91" w:themeFill="accent1" w:themeFillShade="BF"/>
            <w:vAlign w:val="bottom"/>
            <w:hideMark/>
          </w:tcPr>
          <w:p w14:paraId="5C1B71EA" w14:textId="18F13D7F" w:rsidR="00F32679" w:rsidRPr="009C2A08" w:rsidRDefault="009F162A" w:rsidP="00F32679">
            <w:pPr>
              <w:spacing w:after="0"/>
              <w:jc w:val="center"/>
              <w:rPr>
                <w:b/>
                <w:bCs/>
                <w:color w:val="FFFFFF" w:themeColor="background1"/>
                <w:sz w:val="20"/>
                <w:szCs w:val="20"/>
              </w:rPr>
            </w:pPr>
            <w:r>
              <w:rPr>
                <w:b/>
                <w:bCs/>
                <w:color w:val="FFFFFF" w:themeColor="background1"/>
                <w:sz w:val="20"/>
                <w:szCs w:val="20"/>
              </w:rPr>
              <w:t>Perf rate</w:t>
            </w:r>
          </w:p>
        </w:tc>
      </w:tr>
      <w:tr w:rsidR="00F32679" w:rsidRPr="009C2A08" w14:paraId="6C926E7D" w14:textId="77777777" w:rsidTr="00071B85">
        <w:trPr>
          <w:trHeight w:val="283"/>
        </w:trPr>
        <w:tc>
          <w:tcPr>
            <w:tcW w:w="1597" w:type="dxa"/>
            <w:shd w:val="clear" w:color="auto" w:fill="auto"/>
            <w:vAlign w:val="bottom"/>
            <w:hideMark/>
          </w:tcPr>
          <w:p w14:paraId="7AA918BE" w14:textId="77777777" w:rsidR="00F32679" w:rsidRPr="009C2A08" w:rsidRDefault="00F32679" w:rsidP="00F32679">
            <w:pPr>
              <w:spacing w:after="0"/>
              <w:rPr>
                <w:color w:val="000000" w:themeColor="text1"/>
                <w:sz w:val="20"/>
                <w:szCs w:val="20"/>
              </w:rPr>
            </w:pPr>
            <w:r w:rsidRPr="0C206F83">
              <w:rPr>
                <w:color w:val="000000" w:themeColor="text1"/>
                <w:sz w:val="20"/>
                <w:szCs w:val="20"/>
              </w:rPr>
              <w:t>MDD</w:t>
            </w:r>
          </w:p>
        </w:tc>
        <w:tc>
          <w:tcPr>
            <w:tcW w:w="1170" w:type="dxa"/>
            <w:shd w:val="clear" w:color="auto" w:fill="auto"/>
            <w:vAlign w:val="bottom"/>
            <w:hideMark/>
          </w:tcPr>
          <w:p w14:paraId="44273160" w14:textId="796888DC" w:rsidR="00F32679" w:rsidRPr="009C2A08" w:rsidRDefault="00A71D7D" w:rsidP="00F32679">
            <w:pPr>
              <w:spacing w:after="0"/>
              <w:jc w:val="right"/>
              <w:rPr>
                <w:color w:val="000000" w:themeColor="text1"/>
                <w:sz w:val="20"/>
                <w:szCs w:val="20"/>
              </w:rPr>
            </w:pPr>
            <w:r>
              <w:rPr>
                <w:color w:val="000000" w:themeColor="text1"/>
                <w:sz w:val="20"/>
                <w:szCs w:val="20"/>
              </w:rPr>
              <w:t>95,494</w:t>
            </w:r>
          </w:p>
        </w:tc>
        <w:tc>
          <w:tcPr>
            <w:tcW w:w="720" w:type="dxa"/>
            <w:shd w:val="clear" w:color="auto" w:fill="auto"/>
            <w:vAlign w:val="bottom"/>
          </w:tcPr>
          <w:p w14:paraId="2E9E0F8F" w14:textId="4B81A164" w:rsidR="00F32679" w:rsidRPr="009C2A08" w:rsidRDefault="009F162A" w:rsidP="00F32679">
            <w:pPr>
              <w:spacing w:after="0"/>
              <w:jc w:val="right"/>
              <w:rPr>
                <w:color w:val="000000"/>
                <w:sz w:val="20"/>
                <w:szCs w:val="20"/>
              </w:rPr>
            </w:pPr>
            <w:r>
              <w:rPr>
                <w:color w:val="000000"/>
                <w:sz w:val="20"/>
                <w:szCs w:val="20"/>
              </w:rPr>
              <w:t>7</w:t>
            </w:r>
            <w:r w:rsidR="00805E22">
              <w:rPr>
                <w:color w:val="000000"/>
                <w:sz w:val="20"/>
                <w:szCs w:val="20"/>
              </w:rPr>
              <w:t>3</w:t>
            </w:r>
            <w:r>
              <w:rPr>
                <w:color w:val="000000"/>
                <w:sz w:val="20"/>
                <w:szCs w:val="20"/>
              </w:rPr>
              <w:t>.8</w:t>
            </w:r>
          </w:p>
        </w:tc>
        <w:tc>
          <w:tcPr>
            <w:tcW w:w="1170" w:type="dxa"/>
            <w:shd w:val="clear" w:color="auto" w:fill="auto"/>
            <w:vAlign w:val="bottom"/>
          </w:tcPr>
          <w:p w14:paraId="00C7B912" w14:textId="40B712AE" w:rsidR="00F32679" w:rsidRPr="009C2A08" w:rsidRDefault="00CA0344" w:rsidP="00F32679">
            <w:pPr>
              <w:spacing w:after="0"/>
              <w:jc w:val="right"/>
              <w:rPr>
                <w:color w:val="000000" w:themeColor="text1"/>
                <w:sz w:val="20"/>
                <w:szCs w:val="20"/>
              </w:rPr>
            </w:pPr>
            <w:r>
              <w:rPr>
                <w:color w:val="000000" w:themeColor="text1"/>
                <w:sz w:val="20"/>
                <w:szCs w:val="20"/>
              </w:rPr>
              <w:t>4,525</w:t>
            </w:r>
          </w:p>
        </w:tc>
        <w:tc>
          <w:tcPr>
            <w:tcW w:w="1170" w:type="dxa"/>
            <w:shd w:val="clear" w:color="auto" w:fill="auto"/>
            <w:vAlign w:val="bottom"/>
          </w:tcPr>
          <w:p w14:paraId="09138C08" w14:textId="1EB20472" w:rsidR="00F32679" w:rsidRPr="009C2A08" w:rsidRDefault="00DB6B2C" w:rsidP="00F32679">
            <w:pPr>
              <w:spacing w:after="0"/>
              <w:jc w:val="right"/>
              <w:rPr>
                <w:color w:val="000000"/>
                <w:sz w:val="20"/>
                <w:szCs w:val="20"/>
              </w:rPr>
            </w:pPr>
            <w:r>
              <w:rPr>
                <w:color w:val="000000"/>
                <w:sz w:val="20"/>
                <w:szCs w:val="20"/>
              </w:rPr>
              <w:t>4.7</w:t>
            </w:r>
          </w:p>
        </w:tc>
        <w:tc>
          <w:tcPr>
            <w:tcW w:w="743" w:type="dxa"/>
            <w:shd w:val="clear" w:color="auto" w:fill="auto"/>
            <w:vAlign w:val="bottom"/>
          </w:tcPr>
          <w:p w14:paraId="4DEFD3FE" w14:textId="09F555FA" w:rsidR="00F32679" w:rsidRPr="009C2A08" w:rsidRDefault="00CA0344" w:rsidP="00F32679">
            <w:pPr>
              <w:spacing w:after="0"/>
              <w:jc w:val="right"/>
              <w:rPr>
                <w:color w:val="000000"/>
                <w:sz w:val="20"/>
                <w:szCs w:val="20"/>
              </w:rPr>
            </w:pPr>
            <w:r>
              <w:rPr>
                <w:color w:val="000000"/>
                <w:sz w:val="20"/>
                <w:szCs w:val="20"/>
              </w:rPr>
              <w:t>82.1</w:t>
            </w:r>
          </w:p>
        </w:tc>
        <w:tc>
          <w:tcPr>
            <w:tcW w:w="1134" w:type="dxa"/>
            <w:shd w:val="clear" w:color="auto" w:fill="auto"/>
            <w:vAlign w:val="bottom"/>
          </w:tcPr>
          <w:p w14:paraId="04A48863" w14:textId="5BDB096C" w:rsidR="00F32679" w:rsidRPr="009C2A08" w:rsidRDefault="00CA0344" w:rsidP="00F32679">
            <w:pPr>
              <w:spacing w:after="0"/>
              <w:jc w:val="right"/>
              <w:rPr>
                <w:color w:val="000000" w:themeColor="text1"/>
                <w:sz w:val="20"/>
                <w:szCs w:val="20"/>
              </w:rPr>
            </w:pPr>
            <w:r>
              <w:rPr>
                <w:color w:val="000000" w:themeColor="text1"/>
                <w:sz w:val="20"/>
                <w:szCs w:val="20"/>
              </w:rPr>
              <w:t>90,969</w:t>
            </w:r>
          </w:p>
        </w:tc>
        <w:tc>
          <w:tcPr>
            <w:tcW w:w="1093" w:type="dxa"/>
            <w:shd w:val="clear" w:color="auto" w:fill="auto"/>
            <w:vAlign w:val="bottom"/>
          </w:tcPr>
          <w:p w14:paraId="3710F650" w14:textId="71D582D8" w:rsidR="00F32679" w:rsidRPr="009C2A08" w:rsidRDefault="00F74549" w:rsidP="00F32679">
            <w:pPr>
              <w:spacing w:after="0"/>
              <w:jc w:val="right"/>
              <w:rPr>
                <w:color w:val="000000"/>
                <w:sz w:val="20"/>
                <w:szCs w:val="20"/>
              </w:rPr>
            </w:pPr>
            <w:r>
              <w:rPr>
                <w:color w:val="000000"/>
                <w:sz w:val="20"/>
                <w:szCs w:val="20"/>
              </w:rPr>
              <w:t>95.3</w:t>
            </w:r>
          </w:p>
        </w:tc>
        <w:tc>
          <w:tcPr>
            <w:tcW w:w="720" w:type="dxa"/>
            <w:shd w:val="clear" w:color="auto" w:fill="auto"/>
            <w:vAlign w:val="bottom"/>
          </w:tcPr>
          <w:p w14:paraId="20C62552" w14:textId="67058C8D" w:rsidR="00F32679" w:rsidRPr="009C2A08" w:rsidRDefault="00CA0344" w:rsidP="00F32679">
            <w:pPr>
              <w:spacing w:after="0"/>
              <w:jc w:val="right"/>
              <w:rPr>
                <w:color w:val="000000"/>
                <w:sz w:val="20"/>
                <w:szCs w:val="20"/>
              </w:rPr>
            </w:pPr>
            <w:r>
              <w:rPr>
                <w:color w:val="000000"/>
                <w:sz w:val="20"/>
                <w:szCs w:val="20"/>
              </w:rPr>
              <w:t>73.4</w:t>
            </w:r>
          </w:p>
        </w:tc>
      </w:tr>
      <w:tr w:rsidR="00F32679" w:rsidRPr="009C2A08" w14:paraId="58076C05" w14:textId="77777777" w:rsidTr="00071B85">
        <w:trPr>
          <w:cantSplit/>
          <w:trHeight w:val="283"/>
        </w:trPr>
        <w:tc>
          <w:tcPr>
            <w:tcW w:w="1597" w:type="dxa"/>
            <w:shd w:val="clear" w:color="auto" w:fill="auto"/>
            <w:vAlign w:val="bottom"/>
            <w:hideMark/>
          </w:tcPr>
          <w:p w14:paraId="48A597FD" w14:textId="77777777" w:rsidR="00F32679" w:rsidRPr="009C2A08" w:rsidRDefault="00F32679" w:rsidP="00F32679">
            <w:pPr>
              <w:spacing w:after="0"/>
              <w:rPr>
                <w:color w:val="000000" w:themeColor="text1"/>
                <w:sz w:val="20"/>
                <w:szCs w:val="20"/>
              </w:rPr>
            </w:pPr>
            <w:r w:rsidRPr="0C206F83">
              <w:rPr>
                <w:rFonts w:ascii="Calibri" w:eastAsia="Calibri" w:hAnsi="Calibri" w:cs="Calibri"/>
                <w:color w:val="000000" w:themeColor="text1"/>
                <w:sz w:val="20"/>
                <w:szCs w:val="20"/>
              </w:rPr>
              <w:t>Schizophrenia</w:t>
            </w:r>
          </w:p>
        </w:tc>
        <w:tc>
          <w:tcPr>
            <w:tcW w:w="1170" w:type="dxa"/>
            <w:shd w:val="clear" w:color="auto" w:fill="auto"/>
            <w:vAlign w:val="bottom"/>
            <w:hideMark/>
          </w:tcPr>
          <w:p w14:paraId="13C49204" w14:textId="7AAD5FFF" w:rsidR="00F32679" w:rsidRPr="009C2A08" w:rsidRDefault="00A71D7D" w:rsidP="00F32679">
            <w:pPr>
              <w:spacing w:after="0"/>
              <w:jc w:val="right"/>
              <w:rPr>
                <w:color w:val="000000" w:themeColor="text1"/>
                <w:sz w:val="20"/>
                <w:szCs w:val="20"/>
              </w:rPr>
            </w:pPr>
            <w:r>
              <w:rPr>
                <w:sz w:val="20"/>
                <w:szCs w:val="20"/>
              </w:rPr>
              <w:t>131,409</w:t>
            </w:r>
          </w:p>
        </w:tc>
        <w:tc>
          <w:tcPr>
            <w:tcW w:w="720" w:type="dxa"/>
            <w:shd w:val="clear" w:color="auto" w:fill="auto"/>
            <w:vAlign w:val="bottom"/>
          </w:tcPr>
          <w:p w14:paraId="77225367" w14:textId="58EB90FF" w:rsidR="00F32679" w:rsidRPr="009C2A08" w:rsidRDefault="009F162A" w:rsidP="00F32679">
            <w:pPr>
              <w:spacing w:after="0"/>
              <w:jc w:val="right"/>
              <w:rPr>
                <w:color w:val="000000"/>
                <w:sz w:val="20"/>
                <w:szCs w:val="20"/>
              </w:rPr>
            </w:pPr>
            <w:r>
              <w:rPr>
                <w:color w:val="000000"/>
                <w:sz w:val="20"/>
                <w:szCs w:val="20"/>
              </w:rPr>
              <w:t>74.6</w:t>
            </w:r>
          </w:p>
        </w:tc>
        <w:tc>
          <w:tcPr>
            <w:tcW w:w="1170" w:type="dxa"/>
            <w:shd w:val="clear" w:color="auto" w:fill="auto"/>
            <w:vAlign w:val="bottom"/>
          </w:tcPr>
          <w:p w14:paraId="7AE6A035" w14:textId="2F1E1BDF" w:rsidR="00F32679" w:rsidRPr="009C2A08" w:rsidRDefault="00317CDE" w:rsidP="00F32679">
            <w:pPr>
              <w:spacing w:after="0"/>
              <w:jc w:val="right"/>
              <w:rPr>
                <w:color w:val="000000" w:themeColor="text1"/>
                <w:sz w:val="20"/>
                <w:szCs w:val="20"/>
              </w:rPr>
            </w:pPr>
            <w:r>
              <w:rPr>
                <w:color w:val="000000" w:themeColor="text1"/>
                <w:sz w:val="20"/>
                <w:szCs w:val="20"/>
              </w:rPr>
              <w:t>1,826</w:t>
            </w:r>
          </w:p>
        </w:tc>
        <w:tc>
          <w:tcPr>
            <w:tcW w:w="1170" w:type="dxa"/>
            <w:shd w:val="clear" w:color="auto" w:fill="auto"/>
            <w:vAlign w:val="bottom"/>
          </w:tcPr>
          <w:p w14:paraId="7C9D12F4" w14:textId="42B88029" w:rsidR="00F32679" w:rsidRPr="009C2A08" w:rsidRDefault="00DB6B2C" w:rsidP="00F32679">
            <w:pPr>
              <w:spacing w:after="0"/>
              <w:jc w:val="right"/>
              <w:rPr>
                <w:color w:val="000000"/>
                <w:sz w:val="20"/>
                <w:szCs w:val="20"/>
              </w:rPr>
            </w:pPr>
            <w:r>
              <w:rPr>
                <w:color w:val="000000"/>
                <w:sz w:val="20"/>
                <w:szCs w:val="20"/>
              </w:rPr>
              <w:t>1.4</w:t>
            </w:r>
          </w:p>
        </w:tc>
        <w:tc>
          <w:tcPr>
            <w:tcW w:w="743" w:type="dxa"/>
            <w:shd w:val="clear" w:color="auto" w:fill="auto"/>
            <w:vAlign w:val="bottom"/>
          </w:tcPr>
          <w:p w14:paraId="30ED04AA" w14:textId="35E0BB06" w:rsidR="00F32679" w:rsidRPr="009C2A08" w:rsidRDefault="00317CDE" w:rsidP="00F32679">
            <w:pPr>
              <w:spacing w:after="0"/>
              <w:jc w:val="right"/>
              <w:rPr>
                <w:color w:val="000000"/>
                <w:sz w:val="20"/>
                <w:szCs w:val="20"/>
              </w:rPr>
            </w:pPr>
            <w:r>
              <w:rPr>
                <w:color w:val="000000"/>
                <w:sz w:val="20"/>
                <w:szCs w:val="20"/>
              </w:rPr>
              <w:t>82.1</w:t>
            </w:r>
          </w:p>
        </w:tc>
        <w:tc>
          <w:tcPr>
            <w:tcW w:w="1134" w:type="dxa"/>
            <w:shd w:val="clear" w:color="auto" w:fill="auto"/>
            <w:vAlign w:val="bottom"/>
          </w:tcPr>
          <w:p w14:paraId="0FD8C880" w14:textId="74DBAA17" w:rsidR="00F32679" w:rsidRPr="009C2A08" w:rsidRDefault="00F74549" w:rsidP="00F32679">
            <w:pPr>
              <w:spacing w:after="0"/>
              <w:jc w:val="right"/>
              <w:rPr>
                <w:color w:val="000000" w:themeColor="text1"/>
                <w:sz w:val="20"/>
                <w:szCs w:val="20"/>
              </w:rPr>
            </w:pPr>
            <w:r>
              <w:rPr>
                <w:color w:val="000000" w:themeColor="text1"/>
                <w:sz w:val="20"/>
                <w:szCs w:val="20"/>
              </w:rPr>
              <w:t>129,583</w:t>
            </w:r>
          </w:p>
        </w:tc>
        <w:tc>
          <w:tcPr>
            <w:tcW w:w="1093" w:type="dxa"/>
            <w:shd w:val="clear" w:color="auto" w:fill="auto"/>
            <w:vAlign w:val="bottom"/>
          </w:tcPr>
          <w:p w14:paraId="0A9088B5" w14:textId="153143A7" w:rsidR="00F32679" w:rsidRPr="009C2A08" w:rsidRDefault="00F74549" w:rsidP="00F32679">
            <w:pPr>
              <w:spacing w:after="0"/>
              <w:jc w:val="right"/>
              <w:rPr>
                <w:color w:val="000000"/>
                <w:sz w:val="20"/>
                <w:szCs w:val="20"/>
              </w:rPr>
            </w:pPr>
            <w:r>
              <w:rPr>
                <w:color w:val="000000"/>
                <w:sz w:val="20"/>
                <w:szCs w:val="20"/>
              </w:rPr>
              <w:t>98.6</w:t>
            </w:r>
          </w:p>
        </w:tc>
        <w:tc>
          <w:tcPr>
            <w:tcW w:w="720" w:type="dxa"/>
            <w:shd w:val="clear" w:color="auto" w:fill="auto"/>
            <w:vAlign w:val="bottom"/>
          </w:tcPr>
          <w:p w14:paraId="65D92FB0" w14:textId="7FF2FE77" w:rsidR="00F32679" w:rsidRPr="009C2A08" w:rsidRDefault="00F74549" w:rsidP="00F32679">
            <w:pPr>
              <w:spacing w:after="0"/>
              <w:jc w:val="right"/>
              <w:rPr>
                <w:color w:val="000000"/>
                <w:sz w:val="20"/>
                <w:szCs w:val="20"/>
              </w:rPr>
            </w:pPr>
            <w:r>
              <w:rPr>
                <w:color w:val="000000"/>
                <w:sz w:val="20"/>
                <w:szCs w:val="20"/>
              </w:rPr>
              <w:t>74.5</w:t>
            </w:r>
          </w:p>
        </w:tc>
      </w:tr>
      <w:tr w:rsidR="00F32679" w:rsidRPr="009C2A08" w14:paraId="174EA919" w14:textId="77777777" w:rsidTr="00071B85">
        <w:trPr>
          <w:trHeight w:val="283"/>
        </w:trPr>
        <w:tc>
          <w:tcPr>
            <w:tcW w:w="1597" w:type="dxa"/>
            <w:shd w:val="clear" w:color="auto" w:fill="auto"/>
            <w:vAlign w:val="bottom"/>
            <w:hideMark/>
          </w:tcPr>
          <w:p w14:paraId="2FC7EA0A" w14:textId="77777777" w:rsidR="00F32679" w:rsidRPr="009C2A08" w:rsidRDefault="00F32679" w:rsidP="00F32679">
            <w:pPr>
              <w:spacing w:after="0"/>
              <w:rPr>
                <w:color w:val="000000" w:themeColor="text1"/>
                <w:sz w:val="20"/>
                <w:szCs w:val="20"/>
              </w:rPr>
            </w:pPr>
            <w:r w:rsidRPr="0C206F83">
              <w:rPr>
                <w:rFonts w:ascii="Calibri" w:eastAsia="Calibri" w:hAnsi="Calibri" w:cs="Calibri"/>
                <w:color w:val="000000" w:themeColor="text1"/>
                <w:sz w:val="20"/>
                <w:szCs w:val="20"/>
              </w:rPr>
              <w:t>Bipolar disorder</w:t>
            </w:r>
          </w:p>
        </w:tc>
        <w:tc>
          <w:tcPr>
            <w:tcW w:w="1170" w:type="dxa"/>
            <w:shd w:val="clear" w:color="auto" w:fill="auto"/>
            <w:vAlign w:val="bottom"/>
            <w:hideMark/>
          </w:tcPr>
          <w:p w14:paraId="236A3C87" w14:textId="4D282A58" w:rsidR="00F32679" w:rsidRPr="009C2A08" w:rsidRDefault="00A71D7D" w:rsidP="00F32679">
            <w:pPr>
              <w:spacing w:after="0"/>
              <w:jc w:val="right"/>
              <w:rPr>
                <w:color w:val="000000" w:themeColor="text1"/>
                <w:sz w:val="20"/>
                <w:szCs w:val="20"/>
              </w:rPr>
            </w:pPr>
            <w:r>
              <w:rPr>
                <w:sz w:val="20"/>
                <w:szCs w:val="20"/>
              </w:rPr>
              <w:t>81,653</w:t>
            </w:r>
          </w:p>
        </w:tc>
        <w:tc>
          <w:tcPr>
            <w:tcW w:w="720" w:type="dxa"/>
            <w:shd w:val="clear" w:color="auto" w:fill="auto"/>
            <w:vAlign w:val="bottom"/>
          </w:tcPr>
          <w:p w14:paraId="3DA0D80A" w14:textId="54217B09" w:rsidR="00F32679" w:rsidRPr="009C2A08" w:rsidRDefault="009F162A" w:rsidP="00F32679">
            <w:pPr>
              <w:spacing w:after="0"/>
              <w:jc w:val="right"/>
              <w:rPr>
                <w:color w:val="000000"/>
                <w:sz w:val="20"/>
                <w:szCs w:val="20"/>
              </w:rPr>
            </w:pPr>
            <w:r>
              <w:rPr>
                <w:color w:val="000000"/>
                <w:sz w:val="20"/>
                <w:szCs w:val="20"/>
              </w:rPr>
              <w:t>74.5</w:t>
            </w:r>
          </w:p>
        </w:tc>
        <w:tc>
          <w:tcPr>
            <w:tcW w:w="1170" w:type="dxa"/>
            <w:shd w:val="clear" w:color="auto" w:fill="auto"/>
            <w:vAlign w:val="bottom"/>
          </w:tcPr>
          <w:p w14:paraId="5E8CDF08" w14:textId="5F22FB7E" w:rsidR="00F32679" w:rsidRPr="009C2A08" w:rsidRDefault="00317CDE" w:rsidP="00F32679">
            <w:pPr>
              <w:spacing w:after="0"/>
              <w:jc w:val="right"/>
              <w:rPr>
                <w:color w:val="000000" w:themeColor="text1"/>
                <w:sz w:val="20"/>
                <w:szCs w:val="20"/>
              </w:rPr>
            </w:pPr>
            <w:r>
              <w:rPr>
                <w:color w:val="000000" w:themeColor="text1"/>
                <w:sz w:val="20"/>
                <w:szCs w:val="20"/>
              </w:rPr>
              <w:t>2,480</w:t>
            </w:r>
          </w:p>
        </w:tc>
        <w:tc>
          <w:tcPr>
            <w:tcW w:w="1170" w:type="dxa"/>
            <w:shd w:val="clear" w:color="auto" w:fill="auto"/>
            <w:vAlign w:val="bottom"/>
          </w:tcPr>
          <w:p w14:paraId="5D552938" w14:textId="289E06C2" w:rsidR="00F32679" w:rsidRPr="009C2A08" w:rsidRDefault="00DB6B2C" w:rsidP="00F32679">
            <w:pPr>
              <w:spacing w:after="0"/>
              <w:jc w:val="right"/>
              <w:rPr>
                <w:color w:val="000000"/>
                <w:sz w:val="20"/>
                <w:szCs w:val="20"/>
              </w:rPr>
            </w:pPr>
            <w:r>
              <w:rPr>
                <w:color w:val="000000"/>
                <w:sz w:val="20"/>
                <w:szCs w:val="20"/>
              </w:rPr>
              <w:t>3.0</w:t>
            </w:r>
          </w:p>
        </w:tc>
        <w:tc>
          <w:tcPr>
            <w:tcW w:w="743" w:type="dxa"/>
            <w:shd w:val="clear" w:color="auto" w:fill="auto"/>
            <w:vAlign w:val="bottom"/>
          </w:tcPr>
          <w:p w14:paraId="271B3817" w14:textId="696DB262" w:rsidR="00F32679" w:rsidRPr="009C2A08" w:rsidRDefault="00317CDE" w:rsidP="00F32679">
            <w:pPr>
              <w:spacing w:after="0"/>
              <w:jc w:val="right"/>
              <w:rPr>
                <w:color w:val="000000"/>
                <w:sz w:val="20"/>
                <w:szCs w:val="20"/>
              </w:rPr>
            </w:pPr>
            <w:r>
              <w:rPr>
                <w:color w:val="000000"/>
                <w:sz w:val="20"/>
                <w:szCs w:val="20"/>
              </w:rPr>
              <w:t>77.3</w:t>
            </w:r>
          </w:p>
        </w:tc>
        <w:tc>
          <w:tcPr>
            <w:tcW w:w="1134" w:type="dxa"/>
            <w:shd w:val="clear" w:color="auto" w:fill="auto"/>
            <w:vAlign w:val="bottom"/>
          </w:tcPr>
          <w:p w14:paraId="5A438FAA" w14:textId="471E6A2A" w:rsidR="00F32679" w:rsidRPr="009C2A08" w:rsidRDefault="00F74549" w:rsidP="00F32679">
            <w:pPr>
              <w:spacing w:after="0"/>
              <w:jc w:val="right"/>
              <w:rPr>
                <w:color w:val="000000" w:themeColor="text1"/>
                <w:sz w:val="20"/>
                <w:szCs w:val="20"/>
              </w:rPr>
            </w:pPr>
            <w:r>
              <w:rPr>
                <w:color w:val="000000" w:themeColor="text1"/>
                <w:sz w:val="20"/>
                <w:szCs w:val="20"/>
              </w:rPr>
              <w:t>79,173</w:t>
            </w:r>
          </w:p>
        </w:tc>
        <w:tc>
          <w:tcPr>
            <w:tcW w:w="1093" w:type="dxa"/>
            <w:shd w:val="clear" w:color="auto" w:fill="auto"/>
            <w:vAlign w:val="bottom"/>
          </w:tcPr>
          <w:p w14:paraId="6CEB4745" w14:textId="248A5B5F" w:rsidR="00F32679" w:rsidRPr="009C2A08" w:rsidRDefault="00F74549" w:rsidP="00F32679">
            <w:pPr>
              <w:spacing w:after="0"/>
              <w:jc w:val="right"/>
              <w:rPr>
                <w:color w:val="000000"/>
                <w:sz w:val="20"/>
                <w:szCs w:val="20"/>
              </w:rPr>
            </w:pPr>
            <w:r>
              <w:rPr>
                <w:color w:val="000000"/>
                <w:sz w:val="20"/>
                <w:szCs w:val="20"/>
              </w:rPr>
              <w:t>97.0</w:t>
            </w:r>
          </w:p>
        </w:tc>
        <w:tc>
          <w:tcPr>
            <w:tcW w:w="720" w:type="dxa"/>
            <w:shd w:val="clear" w:color="auto" w:fill="auto"/>
            <w:vAlign w:val="bottom"/>
          </w:tcPr>
          <w:p w14:paraId="191A0C18" w14:textId="75AFEEBB" w:rsidR="00F32679" w:rsidRPr="009C2A08" w:rsidRDefault="00F74549" w:rsidP="00F32679">
            <w:pPr>
              <w:spacing w:after="0"/>
              <w:jc w:val="right"/>
              <w:rPr>
                <w:color w:val="000000"/>
                <w:sz w:val="20"/>
                <w:szCs w:val="20"/>
              </w:rPr>
            </w:pPr>
            <w:r>
              <w:rPr>
                <w:color w:val="000000"/>
                <w:sz w:val="20"/>
                <w:szCs w:val="20"/>
              </w:rPr>
              <w:t>74.4</w:t>
            </w:r>
          </w:p>
        </w:tc>
      </w:tr>
      <w:tr w:rsidR="00F32679" w:rsidRPr="009C2A08" w14:paraId="14E79829" w14:textId="77777777" w:rsidTr="00071B85">
        <w:trPr>
          <w:cantSplit/>
          <w:trHeight w:val="283"/>
        </w:trPr>
        <w:tc>
          <w:tcPr>
            <w:tcW w:w="1597" w:type="dxa"/>
            <w:shd w:val="clear" w:color="auto" w:fill="auto"/>
            <w:vAlign w:val="bottom"/>
            <w:hideMark/>
          </w:tcPr>
          <w:p w14:paraId="3FB9D649" w14:textId="77777777" w:rsidR="00F32679" w:rsidRPr="009C2A08" w:rsidRDefault="00F32679" w:rsidP="00F32679">
            <w:pPr>
              <w:spacing w:after="0"/>
              <w:rPr>
                <w:b/>
                <w:bCs/>
                <w:color w:val="000000" w:themeColor="text1"/>
                <w:sz w:val="20"/>
                <w:szCs w:val="20"/>
              </w:rPr>
            </w:pPr>
            <w:r w:rsidRPr="0C206F83">
              <w:rPr>
                <w:rFonts w:ascii="Calibri" w:eastAsia="Calibri" w:hAnsi="Calibri" w:cs="Calibri"/>
                <w:b/>
                <w:bCs/>
                <w:color w:val="000000" w:themeColor="text1"/>
                <w:sz w:val="20"/>
                <w:szCs w:val="20"/>
              </w:rPr>
              <w:t>Overall</w:t>
            </w:r>
          </w:p>
        </w:tc>
        <w:tc>
          <w:tcPr>
            <w:tcW w:w="1170" w:type="dxa"/>
            <w:shd w:val="clear" w:color="auto" w:fill="auto"/>
            <w:vAlign w:val="bottom"/>
            <w:hideMark/>
          </w:tcPr>
          <w:p w14:paraId="575E7CD2" w14:textId="1604FBD3" w:rsidR="00F32679" w:rsidRPr="009C2A08" w:rsidRDefault="00816566" w:rsidP="00F32679">
            <w:pPr>
              <w:spacing w:after="0"/>
              <w:jc w:val="right"/>
              <w:rPr>
                <w:color w:val="000000" w:themeColor="text1"/>
                <w:sz w:val="20"/>
                <w:szCs w:val="20"/>
              </w:rPr>
            </w:pPr>
            <w:r>
              <w:rPr>
                <w:color w:val="000000" w:themeColor="text1"/>
                <w:sz w:val="20"/>
                <w:szCs w:val="20"/>
              </w:rPr>
              <w:t>308,556</w:t>
            </w:r>
          </w:p>
        </w:tc>
        <w:tc>
          <w:tcPr>
            <w:tcW w:w="720" w:type="dxa"/>
            <w:shd w:val="clear" w:color="auto" w:fill="auto"/>
            <w:vAlign w:val="bottom"/>
          </w:tcPr>
          <w:p w14:paraId="5EE75702" w14:textId="47206C31" w:rsidR="00F32679" w:rsidRPr="009C2A08" w:rsidRDefault="009F162A" w:rsidP="00F32679">
            <w:pPr>
              <w:spacing w:after="0"/>
              <w:jc w:val="right"/>
              <w:rPr>
                <w:color w:val="000000"/>
                <w:sz w:val="20"/>
                <w:szCs w:val="20"/>
              </w:rPr>
            </w:pPr>
            <w:r>
              <w:rPr>
                <w:color w:val="000000"/>
                <w:sz w:val="20"/>
                <w:szCs w:val="20"/>
              </w:rPr>
              <w:t>74.3</w:t>
            </w:r>
          </w:p>
        </w:tc>
        <w:tc>
          <w:tcPr>
            <w:tcW w:w="1170" w:type="dxa"/>
            <w:shd w:val="clear" w:color="auto" w:fill="auto"/>
            <w:vAlign w:val="bottom"/>
          </w:tcPr>
          <w:p w14:paraId="6C01D5F2" w14:textId="65C2B1E9" w:rsidR="00F32679" w:rsidRPr="009C2A08" w:rsidRDefault="009F162A" w:rsidP="00F32679">
            <w:pPr>
              <w:spacing w:after="0"/>
              <w:jc w:val="right"/>
              <w:rPr>
                <w:color w:val="000000" w:themeColor="text1"/>
                <w:sz w:val="20"/>
                <w:szCs w:val="20"/>
              </w:rPr>
            </w:pPr>
            <w:r>
              <w:rPr>
                <w:color w:val="000000" w:themeColor="text1"/>
                <w:sz w:val="20"/>
                <w:szCs w:val="20"/>
              </w:rPr>
              <w:t>8,831</w:t>
            </w:r>
          </w:p>
        </w:tc>
        <w:tc>
          <w:tcPr>
            <w:tcW w:w="1170" w:type="dxa"/>
            <w:shd w:val="clear" w:color="auto" w:fill="auto"/>
            <w:vAlign w:val="bottom"/>
          </w:tcPr>
          <w:p w14:paraId="1D79862C" w14:textId="63EEB19B" w:rsidR="00F32679" w:rsidRPr="009C2A08" w:rsidRDefault="009F162A" w:rsidP="00F32679">
            <w:pPr>
              <w:spacing w:after="0"/>
              <w:jc w:val="right"/>
              <w:rPr>
                <w:color w:val="000000"/>
                <w:sz w:val="20"/>
                <w:szCs w:val="20"/>
              </w:rPr>
            </w:pPr>
            <w:r>
              <w:rPr>
                <w:color w:val="000000"/>
                <w:sz w:val="20"/>
                <w:szCs w:val="20"/>
              </w:rPr>
              <w:t>2.9</w:t>
            </w:r>
          </w:p>
        </w:tc>
        <w:tc>
          <w:tcPr>
            <w:tcW w:w="743" w:type="dxa"/>
            <w:shd w:val="clear" w:color="auto" w:fill="auto"/>
            <w:vAlign w:val="bottom"/>
          </w:tcPr>
          <w:p w14:paraId="5A1D1721" w14:textId="727214A4" w:rsidR="00F32679" w:rsidRPr="009C2A08" w:rsidRDefault="009F162A" w:rsidP="00F32679">
            <w:pPr>
              <w:spacing w:after="0"/>
              <w:jc w:val="right"/>
              <w:rPr>
                <w:color w:val="000000"/>
                <w:sz w:val="20"/>
                <w:szCs w:val="20"/>
              </w:rPr>
            </w:pPr>
            <w:r>
              <w:rPr>
                <w:color w:val="000000"/>
                <w:sz w:val="20"/>
                <w:szCs w:val="20"/>
              </w:rPr>
              <w:t>80.7</w:t>
            </w:r>
          </w:p>
        </w:tc>
        <w:tc>
          <w:tcPr>
            <w:tcW w:w="1134" w:type="dxa"/>
            <w:shd w:val="clear" w:color="auto" w:fill="auto"/>
            <w:vAlign w:val="bottom"/>
          </w:tcPr>
          <w:p w14:paraId="290D4254" w14:textId="07BCDBE0" w:rsidR="00F32679" w:rsidRPr="009C2A08" w:rsidRDefault="00CA0344" w:rsidP="00F32679">
            <w:pPr>
              <w:spacing w:after="0"/>
              <w:jc w:val="right"/>
              <w:rPr>
                <w:color w:val="000000" w:themeColor="text1"/>
                <w:sz w:val="20"/>
                <w:szCs w:val="20"/>
              </w:rPr>
            </w:pPr>
            <w:r>
              <w:rPr>
                <w:color w:val="000000" w:themeColor="text1"/>
                <w:sz w:val="20"/>
                <w:szCs w:val="20"/>
              </w:rPr>
              <w:t>299,725</w:t>
            </w:r>
          </w:p>
        </w:tc>
        <w:tc>
          <w:tcPr>
            <w:tcW w:w="1093" w:type="dxa"/>
            <w:shd w:val="clear" w:color="auto" w:fill="auto"/>
            <w:vAlign w:val="bottom"/>
          </w:tcPr>
          <w:p w14:paraId="7CB65539" w14:textId="54288080" w:rsidR="00F32679" w:rsidRPr="009C2A08" w:rsidRDefault="00CA0344" w:rsidP="00F32679">
            <w:pPr>
              <w:spacing w:after="0"/>
              <w:jc w:val="right"/>
              <w:rPr>
                <w:color w:val="000000"/>
                <w:sz w:val="20"/>
                <w:szCs w:val="20"/>
              </w:rPr>
            </w:pPr>
            <w:r>
              <w:rPr>
                <w:color w:val="000000"/>
                <w:sz w:val="20"/>
                <w:szCs w:val="20"/>
              </w:rPr>
              <w:t>97.1</w:t>
            </w:r>
          </w:p>
        </w:tc>
        <w:tc>
          <w:tcPr>
            <w:tcW w:w="720" w:type="dxa"/>
            <w:shd w:val="clear" w:color="auto" w:fill="auto"/>
            <w:vAlign w:val="bottom"/>
          </w:tcPr>
          <w:p w14:paraId="79F05B32" w14:textId="5BE32D80" w:rsidR="00F32679" w:rsidRPr="009C2A08" w:rsidRDefault="00CA0344" w:rsidP="00F32679">
            <w:pPr>
              <w:spacing w:after="0"/>
              <w:jc w:val="right"/>
              <w:rPr>
                <w:color w:val="000000"/>
                <w:sz w:val="20"/>
                <w:szCs w:val="20"/>
              </w:rPr>
            </w:pPr>
            <w:r>
              <w:rPr>
                <w:color w:val="000000"/>
                <w:sz w:val="20"/>
                <w:szCs w:val="20"/>
              </w:rPr>
              <w:t>74.1</w:t>
            </w:r>
          </w:p>
        </w:tc>
      </w:tr>
    </w:tbl>
    <w:p w14:paraId="13C50E46" w14:textId="4193FF29" w:rsidR="00F32679" w:rsidRDefault="00BD4785" w:rsidP="00BD4785">
      <w:pPr>
        <w:pStyle w:val="BodyText"/>
        <w:ind w:left="90"/>
        <w:rPr>
          <w:rFonts w:ascii="Calibri" w:eastAsia="Calibri" w:hAnsi="Calibri" w:cs="Calibri"/>
          <w:color w:val="FF0000"/>
          <w:sz w:val="18"/>
          <w:szCs w:val="18"/>
        </w:rPr>
      </w:pPr>
      <w:r w:rsidRPr="00F32679">
        <w:rPr>
          <w:rFonts w:ascii="Calibri" w:eastAsia="Calibri" w:hAnsi="Calibri" w:cs="Calibri"/>
          <w:color w:val="FF0000"/>
          <w:sz w:val="18"/>
          <w:szCs w:val="18"/>
        </w:rPr>
        <w:t>Source:</w:t>
      </w:r>
      <w:r w:rsidRPr="00F32679">
        <w:rPr>
          <w:rFonts w:ascii="Calibri" w:eastAsia="Calibri" w:hAnsi="Calibri" w:cs="Calibri"/>
          <w:color w:val="FF0000"/>
          <w:sz w:val="18"/>
          <w:szCs w:val="18"/>
        </w:rPr>
        <w:tab/>
        <w:t xml:space="preserve">Mathematica analysis of the Medicare </w:t>
      </w:r>
      <w:r>
        <w:rPr>
          <w:rFonts w:ascii="Calibri" w:eastAsia="Calibri" w:hAnsi="Calibri" w:cs="Calibri"/>
          <w:color w:val="FF0000"/>
          <w:sz w:val="18"/>
          <w:szCs w:val="18"/>
        </w:rPr>
        <w:t>f</w:t>
      </w:r>
      <w:r w:rsidRPr="00F32679">
        <w:rPr>
          <w:rFonts w:ascii="Calibri" w:eastAsia="Calibri" w:hAnsi="Calibri" w:cs="Calibri"/>
          <w:color w:val="FF0000"/>
          <w:sz w:val="18"/>
          <w:szCs w:val="18"/>
        </w:rPr>
        <w:t>ee</w:t>
      </w:r>
      <w:r>
        <w:rPr>
          <w:rFonts w:ascii="Calibri" w:eastAsia="Calibri" w:hAnsi="Calibri" w:cs="Calibri"/>
          <w:color w:val="FF0000"/>
          <w:sz w:val="18"/>
          <w:szCs w:val="18"/>
        </w:rPr>
        <w:t>-</w:t>
      </w:r>
      <w:r w:rsidRPr="00F32679">
        <w:rPr>
          <w:rFonts w:ascii="Calibri" w:eastAsia="Calibri" w:hAnsi="Calibri" w:cs="Calibri"/>
          <w:color w:val="FF0000"/>
          <w:sz w:val="18"/>
          <w:szCs w:val="18"/>
        </w:rPr>
        <w:t>for</w:t>
      </w:r>
      <w:r>
        <w:rPr>
          <w:rFonts w:ascii="Calibri" w:eastAsia="Calibri" w:hAnsi="Calibri" w:cs="Calibri"/>
          <w:color w:val="FF0000"/>
          <w:sz w:val="18"/>
          <w:szCs w:val="18"/>
        </w:rPr>
        <w:t>-s</w:t>
      </w:r>
      <w:r w:rsidRPr="00F32679">
        <w:rPr>
          <w:rFonts w:ascii="Calibri" w:eastAsia="Calibri" w:hAnsi="Calibri" w:cs="Calibri"/>
          <w:color w:val="FF0000"/>
          <w:sz w:val="18"/>
          <w:szCs w:val="18"/>
        </w:rPr>
        <w:t>ervice (FFS) data for the July 1, 2017</w:t>
      </w:r>
      <w:r>
        <w:rPr>
          <w:rFonts w:ascii="Calibri" w:eastAsia="Calibri" w:hAnsi="Calibri" w:cs="Calibri"/>
          <w:color w:val="FF0000"/>
          <w:sz w:val="18"/>
          <w:szCs w:val="18"/>
        </w:rPr>
        <w:t>–</w:t>
      </w:r>
      <w:r w:rsidRPr="00F32679">
        <w:rPr>
          <w:rFonts w:ascii="Calibri" w:eastAsia="Calibri" w:hAnsi="Calibri" w:cs="Calibri"/>
          <w:color w:val="FF0000"/>
          <w:sz w:val="18"/>
          <w:szCs w:val="18"/>
        </w:rPr>
        <w:t xml:space="preserve"> June 30, 2019 performance period.</w:t>
      </w:r>
    </w:p>
    <w:p w14:paraId="65B099A4" w14:textId="77777777" w:rsidR="00BD4785" w:rsidRPr="00E96914" w:rsidRDefault="00BD4785" w:rsidP="00BD4785">
      <w:pPr>
        <w:pStyle w:val="BodyText"/>
        <w:ind w:left="90"/>
        <w:rPr>
          <w:b/>
          <w:bCs/>
          <w:color w:val="FF0000"/>
          <w:sz w:val="22"/>
          <w:szCs w:val="22"/>
        </w:rPr>
      </w:pPr>
    </w:p>
    <w:p w14:paraId="09C161CF" w14:textId="408404E8" w:rsidR="00F32679" w:rsidRPr="001C5FFB" w:rsidRDefault="00F32679" w:rsidP="00F32679">
      <w:pPr>
        <w:spacing w:before="120" w:after="0" w:line="240" w:lineRule="auto"/>
        <w:ind w:left="1260" w:hanging="1260"/>
        <w:rPr>
          <w:rFonts w:ascii="Calibri" w:eastAsia="Arial" w:hAnsi="Calibri" w:cs="Arial"/>
          <w:b/>
          <w:bCs/>
          <w:color w:val="FF0000"/>
          <w:sz w:val="20"/>
          <w:szCs w:val="20"/>
        </w:rPr>
      </w:pPr>
      <w:r w:rsidRPr="00E96914">
        <w:rPr>
          <w:rFonts w:ascii="Calibri" w:eastAsia="Arial" w:hAnsi="Calibri" w:cs="Arial"/>
          <w:b/>
          <w:bCs/>
          <w:color w:val="FF0000"/>
          <w:sz w:val="20"/>
          <w:szCs w:val="20"/>
        </w:rPr>
        <w:t xml:space="preserve">Table </w:t>
      </w:r>
      <w:r w:rsidRPr="00E96914">
        <w:rPr>
          <w:rFonts w:ascii="Calibri" w:eastAsia="Arial" w:hAnsi="Calibri"/>
          <w:b/>
          <w:color w:val="FF0000"/>
          <w:sz w:val="20"/>
        </w:rPr>
        <w:t>2b</w:t>
      </w:r>
      <w:r w:rsidR="00E96914" w:rsidRPr="00E96914">
        <w:rPr>
          <w:rFonts w:ascii="Calibri" w:eastAsia="Arial" w:hAnsi="Calibri"/>
          <w:b/>
          <w:color w:val="FF0000"/>
          <w:sz w:val="20"/>
        </w:rPr>
        <w:t>2</w:t>
      </w:r>
      <w:r w:rsidRPr="00E96914">
        <w:rPr>
          <w:rFonts w:ascii="Calibri" w:eastAsia="Arial" w:hAnsi="Calibri"/>
          <w:b/>
          <w:color w:val="FF0000"/>
          <w:sz w:val="20"/>
        </w:rPr>
        <w:t>.2B</w:t>
      </w:r>
      <w:r w:rsidRPr="00E96914">
        <w:rPr>
          <w:rFonts w:ascii="Calibri" w:eastAsia="Arial" w:hAnsi="Calibri" w:cs="Arial"/>
          <w:b/>
          <w:bCs/>
          <w:color w:val="FF0000"/>
          <w:sz w:val="20"/>
          <w:szCs w:val="20"/>
        </w:rPr>
        <w:t>. Frequency of</w:t>
      </w:r>
      <w:r w:rsidRPr="00E96914">
        <w:rPr>
          <w:rFonts w:ascii="Calibri" w:eastAsia="Arial" w:hAnsi="Calibri" w:cs="Arial"/>
          <w:color w:val="FF0000"/>
          <w:sz w:val="20"/>
          <w:szCs w:val="20"/>
        </w:rPr>
        <w:t xml:space="preserve"> </w:t>
      </w:r>
      <w:r w:rsidR="00E96914">
        <w:rPr>
          <w:rFonts w:ascii="Calibri" w:eastAsia="Arial" w:hAnsi="Calibri" w:cs="Arial"/>
          <w:b/>
          <w:bCs/>
          <w:color w:val="FF0000"/>
          <w:sz w:val="20"/>
          <w:szCs w:val="20"/>
        </w:rPr>
        <w:t xml:space="preserve">exclusion for </w:t>
      </w:r>
      <w:r w:rsidRPr="00E96914">
        <w:rPr>
          <w:rFonts w:ascii="Calibri" w:eastAsia="Arial" w:hAnsi="Calibri" w:cs="Arial"/>
          <w:b/>
          <w:bCs/>
          <w:color w:val="FF0000"/>
          <w:sz w:val="20"/>
          <w:szCs w:val="20"/>
        </w:rPr>
        <w:t>TMS</w:t>
      </w:r>
      <w:r w:rsidR="001C5FFB">
        <w:rPr>
          <w:rFonts w:ascii="Calibri" w:eastAsia="Arial" w:hAnsi="Calibri" w:cs="Arial"/>
          <w:b/>
          <w:bCs/>
          <w:color w:val="FF0000"/>
          <w:sz w:val="20"/>
          <w:szCs w:val="20"/>
        </w:rPr>
        <w:t xml:space="preserve"> </w:t>
      </w:r>
      <w:r w:rsidR="001C5FFB" w:rsidRPr="001C5FFB">
        <w:rPr>
          <w:rFonts w:ascii="Calibri" w:eastAsia="Arial" w:hAnsi="Calibri" w:cs="Arial"/>
          <w:b/>
          <w:bCs/>
          <w:color w:val="FF0000"/>
          <w:sz w:val="20"/>
          <w:szCs w:val="20"/>
        </w:rPr>
        <w:t>and performance rates with and without exclusion</w:t>
      </w:r>
    </w:p>
    <w:tbl>
      <w:tblPr>
        <w:tblW w:w="508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6"/>
        <w:gridCol w:w="1161"/>
        <w:gridCol w:w="788"/>
        <w:gridCol w:w="1127"/>
        <w:gridCol w:w="1146"/>
        <w:gridCol w:w="719"/>
        <w:gridCol w:w="1169"/>
        <w:gridCol w:w="1170"/>
        <w:gridCol w:w="630"/>
      </w:tblGrid>
      <w:tr w:rsidR="00B67A89" w:rsidRPr="00E90BB1" w14:paraId="18295160" w14:textId="77777777" w:rsidTr="00BD4785">
        <w:trPr>
          <w:trHeight w:val="288"/>
        </w:trPr>
        <w:tc>
          <w:tcPr>
            <w:tcW w:w="844" w:type="pct"/>
            <w:vMerge w:val="restart"/>
            <w:shd w:val="clear" w:color="auto" w:fill="365F91" w:themeFill="accent1" w:themeFillShade="BF"/>
            <w:vAlign w:val="bottom"/>
            <w:hideMark/>
          </w:tcPr>
          <w:p w14:paraId="617C4F6D" w14:textId="77777777" w:rsidR="00B67A89" w:rsidRPr="00E90BB1" w:rsidRDefault="00B67A89" w:rsidP="00B771F6">
            <w:pPr>
              <w:spacing w:after="0"/>
              <w:rPr>
                <w:b/>
                <w:bCs/>
                <w:color w:val="FFFFFF" w:themeColor="background1"/>
                <w:sz w:val="20"/>
                <w:szCs w:val="20"/>
              </w:rPr>
            </w:pPr>
            <w:r>
              <w:rPr>
                <w:rFonts w:ascii="Calibri" w:eastAsia="Calibri" w:hAnsi="Calibri" w:cs="Calibri"/>
                <w:b/>
                <w:bCs/>
                <w:color w:val="FFFFFF" w:themeColor="background1"/>
                <w:sz w:val="20"/>
                <w:szCs w:val="20"/>
              </w:rPr>
              <w:t>Principal c</w:t>
            </w:r>
            <w:r w:rsidRPr="0C206F83">
              <w:rPr>
                <w:rFonts w:ascii="Calibri" w:eastAsia="Calibri" w:hAnsi="Calibri" w:cs="Calibri"/>
                <w:b/>
                <w:bCs/>
                <w:color w:val="FFFFFF" w:themeColor="background1"/>
                <w:sz w:val="20"/>
                <w:szCs w:val="20"/>
              </w:rPr>
              <w:t>ondition</w:t>
            </w:r>
          </w:p>
        </w:tc>
        <w:tc>
          <w:tcPr>
            <w:tcW w:w="1024" w:type="pct"/>
            <w:gridSpan w:val="2"/>
            <w:shd w:val="clear" w:color="auto" w:fill="365F91" w:themeFill="accent1" w:themeFillShade="BF"/>
            <w:noWrap/>
            <w:vAlign w:val="bottom"/>
            <w:hideMark/>
          </w:tcPr>
          <w:p w14:paraId="78FFE01C" w14:textId="10AB82C2" w:rsidR="00B67A89" w:rsidRPr="00E90BB1" w:rsidRDefault="00B67A89" w:rsidP="00B771F6">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xml:space="preserve">All IPF </w:t>
            </w:r>
            <w:r w:rsidR="002C63F0">
              <w:rPr>
                <w:rFonts w:ascii="Calibri" w:eastAsia="Calibri" w:hAnsi="Calibri" w:cs="Calibri"/>
                <w:b/>
                <w:bCs/>
                <w:color w:val="FFFFFF" w:themeColor="background1"/>
                <w:sz w:val="20"/>
                <w:szCs w:val="20"/>
              </w:rPr>
              <w:t>discharges</w:t>
            </w:r>
          </w:p>
        </w:tc>
        <w:tc>
          <w:tcPr>
            <w:tcW w:w="1572" w:type="pct"/>
            <w:gridSpan w:val="3"/>
            <w:shd w:val="clear" w:color="auto" w:fill="365F91" w:themeFill="accent1" w:themeFillShade="BF"/>
            <w:noWrap/>
            <w:vAlign w:val="bottom"/>
            <w:hideMark/>
          </w:tcPr>
          <w:p w14:paraId="0B45985F" w14:textId="656AD978" w:rsidR="00B67A89" w:rsidRPr="00E90BB1" w:rsidRDefault="002C63F0" w:rsidP="00B771F6">
            <w:pPr>
              <w:spacing w:after="0"/>
              <w:jc w:val="center"/>
              <w:rPr>
                <w:b/>
                <w:bCs/>
                <w:color w:val="FFFFFF" w:themeColor="background1"/>
                <w:sz w:val="20"/>
                <w:szCs w:val="20"/>
              </w:rPr>
            </w:pPr>
            <w:r>
              <w:rPr>
                <w:rFonts w:ascii="Calibri" w:eastAsia="Calibri" w:hAnsi="Calibri" w:cs="Calibri"/>
                <w:b/>
                <w:bCs/>
                <w:color w:val="FFFFFF" w:themeColor="background1"/>
                <w:sz w:val="20"/>
                <w:szCs w:val="20"/>
              </w:rPr>
              <w:t>Discharges</w:t>
            </w:r>
            <w:r w:rsidR="00B67A89">
              <w:rPr>
                <w:rFonts w:ascii="Calibri" w:eastAsia="Calibri" w:hAnsi="Calibri" w:cs="Calibri"/>
                <w:b/>
                <w:bCs/>
                <w:color w:val="FFFFFF" w:themeColor="background1"/>
                <w:sz w:val="20"/>
                <w:szCs w:val="20"/>
              </w:rPr>
              <w:t xml:space="preserve"> with TMS</w:t>
            </w:r>
          </w:p>
        </w:tc>
        <w:tc>
          <w:tcPr>
            <w:tcW w:w="1560" w:type="pct"/>
            <w:gridSpan w:val="3"/>
            <w:shd w:val="clear" w:color="auto" w:fill="365F91" w:themeFill="accent1" w:themeFillShade="BF"/>
            <w:noWrap/>
            <w:vAlign w:val="bottom"/>
            <w:hideMark/>
          </w:tcPr>
          <w:p w14:paraId="07F33448" w14:textId="792C8930" w:rsidR="00B67A89" w:rsidRPr="00E90BB1" w:rsidRDefault="002C63F0" w:rsidP="00B771F6">
            <w:pPr>
              <w:spacing w:after="0"/>
              <w:jc w:val="center"/>
              <w:rPr>
                <w:b/>
                <w:bCs/>
                <w:color w:val="FFFFFF" w:themeColor="background1"/>
                <w:sz w:val="20"/>
                <w:szCs w:val="20"/>
              </w:rPr>
            </w:pPr>
            <w:r>
              <w:rPr>
                <w:rFonts w:ascii="Calibri" w:eastAsia="Calibri" w:hAnsi="Calibri" w:cs="Calibri"/>
                <w:b/>
                <w:bCs/>
                <w:color w:val="FFFFFF" w:themeColor="background1"/>
                <w:sz w:val="20"/>
                <w:szCs w:val="20"/>
              </w:rPr>
              <w:t>Discharges</w:t>
            </w:r>
            <w:r w:rsidR="00B67A89">
              <w:rPr>
                <w:rFonts w:ascii="Calibri" w:eastAsia="Calibri" w:hAnsi="Calibri" w:cs="Calibri"/>
                <w:b/>
                <w:bCs/>
                <w:color w:val="FFFFFF" w:themeColor="background1"/>
                <w:sz w:val="20"/>
                <w:szCs w:val="20"/>
              </w:rPr>
              <w:t xml:space="preserve"> without TMS</w:t>
            </w:r>
          </w:p>
        </w:tc>
      </w:tr>
      <w:tr w:rsidR="00B67A89" w:rsidRPr="00E90BB1" w14:paraId="18F2AA07" w14:textId="77777777" w:rsidTr="00BD4785">
        <w:trPr>
          <w:trHeight w:val="288"/>
        </w:trPr>
        <w:tc>
          <w:tcPr>
            <w:tcW w:w="844" w:type="pct"/>
            <w:vMerge/>
            <w:vAlign w:val="center"/>
            <w:hideMark/>
          </w:tcPr>
          <w:p w14:paraId="04239197" w14:textId="77777777" w:rsidR="00B67A89" w:rsidRPr="00E90BB1" w:rsidRDefault="00B67A89" w:rsidP="00B771F6">
            <w:pPr>
              <w:spacing w:after="0"/>
              <w:rPr>
                <w:b/>
                <w:color w:val="000000"/>
                <w:sz w:val="20"/>
                <w:szCs w:val="20"/>
              </w:rPr>
            </w:pPr>
          </w:p>
        </w:tc>
        <w:tc>
          <w:tcPr>
            <w:tcW w:w="610" w:type="pct"/>
            <w:shd w:val="clear" w:color="auto" w:fill="365F91" w:themeFill="accent1" w:themeFillShade="BF"/>
            <w:vAlign w:val="bottom"/>
            <w:hideMark/>
          </w:tcPr>
          <w:p w14:paraId="63950CCB" w14:textId="77777777" w:rsidR="00B67A89" w:rsidRPr="00E90BB1" w:rsidRDefault="00B67A89" w:rsidP="00B771F6">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414" w:type="pct"/>
            <w:shd w:val="clear" w:color="auto" w:fill="365F91" w:themeFill="accent1" w:themeFillShade="BF"/>
            <w:vAlign w:val="bottom"/>
            <w:hideMark/>
          </w:tcPr>
          <w:p w14:paraId="6818B7C3" w14:textId="77777777" w:rsidR="00B67A89" w:rsidRPr="00E90BB1" w:rsidRDefault="00B67A89" w:rsidP="00B771F6">
            <w:pPr>
              <w:spacing w:after="0"/>
              <w:jc w:val="center"/>
              <w:rPr>
                <w:b/>
                <w:bCs/>
                <w:color w:val="FFFFFF" w:themeColor="background1"/>
                <w:sz w:val="20"/>
                <w:szCs w:val="20"/>
              </w:rPr>
            </w:pPr>
            <w:r>
              <w:rPr>
                <w:b/>
                <w:bCs/>
                <w:color w:val="FFFFFF" w:themeColor="background1"/>
                <w:sz w:val="20"/>
                <w:szCs w:val="20"/>
              </w:rPr>
              <w:t>Perf rate</w:t>
            </w:r>
          </w:p>
        </w:tc>
        <w:tc>
          <w:tcPr>
            <w:tcW w:w="592" w:type="pct"/>
            <w:shd w:val="clear" w:color="auto" w:fill="365F91" w:themeFill="accent1" w:themeFillShade="BF"/>
            <w:vAlign w:val="bottom"/>
            <w:hideMark/>
          </w:tcPr>
          <w:p w14:paraId="174EA2E3" w14:textId="77777777" w:rsidR="00B67A89" w:rsidRPr="00E90BB1" w:rsidRDefault="00B67A89" w:rsidP="00B771F6">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602" w:type="pct"/>
            <w:shd w:val="clear" w:color="auto" w:fill="365F91" w:themeFill="accent1" w:themeFillShade="BF"/>
            <w:vAlign w:val="bottom"/>
            <w:hideMark/>
          </w:tcPr>
          <w:p w14:paraId="3ECB9949" w14:textId="4450C522" w:rsidR="00B67A89" w:rsidRPr="00E90BB1" w:rsidRDefault="00B67A89" w:rsidP="00B771F6">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xml:space="preserve">% </w:t>
            </w:r>
            <w:r>
              <w:rPr>
                <w:rFonts w:ascii="Calibri" w:eastAsia="Calibri" w:hAnsi="Calibri" w:cs="Calibri"/>
                <w:b/>
                <w:bCs/>
                <w:color w:val="FFFFFF" w:themeColor="background1"/>
                <w:sz w:val="20"/>
                <w:szCs w:val="20"/>
              </w:rPr>
              <w:t xml:space="preserve">all </w:t>
            </w:r>
            <w:r w:rsidR="002C63F0">
              <w:rPr>
                <w:rFonts w:ascii="Calibri" w:eastAsia="Calibri" w:hAnsi="Calibri" w:cs="Calibri"/>
                <w:b/>
                <w:bCs/>
                <w:color w:val="FFFFFF" w:themeColor="background1"/>
                <w:sz w:val="20"/>
                <w:szCs w:val="20"/>
              </w:rPr>
              <w:t>disch</w:t>
            </w:r>
            <w:r w:rsidR="00071B85">
              <w:rPr>
                <w:rFonts w:ascii="Calibri" w:eastAsia="Calibri" w:hAnsi="Calibri" w:cs="Calibri"/>
                <w:b/>
                <w:bCs/>
                <w:color w:val="FFFFFF" w:themeColor="background1"/>
                <w:sz w:val="20"/>
                <w:szCs w:val="20"/>
              </w:rPr>
              <w:t>arges</w:t>
            </w:r>
            <w:r>
              <w:rPr>
                <w:rFonts w:ascii="Calibri" w:eastAsia="Calibri" w:hAnsi="Calibri" w:cs="Calibri"/>
                <w:b/>
                <w:bCs/>
                <w:color w:val="FFFFFF" w:themeColor="background1"/>
                <w:sz w:val="20"/>
                <w:szCs w:val="20"/>
              </w:rPr>
              <w:t xml:space="preserve"> for condition</w:t>
            </w:r>
          </w:p>
        </w:tc>
        <w:tc>
          <w:tcPr>
            <w:tcW w:w="377" w:type="pct"/>
            <w:shd w:val="clear" w:color="auto" w:fill="365F91" w:themeFill="accent1" w:themeFillShade="BF"/>
            <w:vAlign w:val="bottom"/>
            <w:hideMark/>
          </w:tcPr>
          <w:p w14:paraId="23C44F8D" w14:textId="77777777" w:rsidR="00B67A89" w:rsidRPr="00E90BB1" w:rsidRDefault="00B67A89" w:rsidP="00B771F6">
            <w:pPr>
              <w:spacing w:after="0"/>
              <w:jc w:val="center"/>
              <w:rPr>
                <w:b/>
                <w:bCs/>
                <w:color w:val="FFFFFF" w:themeColor="background1"/>
                <w:sz w:val="20"/>
                <w:szCs w:val="20"/>
              </w:rPr>
            </w:pPr>
            <w:r>
              <w:rPr>
                <w:b/>
                <w:bCs/>
                <w:color w:val="FFFFFF" w:themeColor="background1"/>
                <w:sz w:val="20"/>
                <w:szCs w:val="20"/>
              </w:rPr>
              <w:t>Perf rate</w:t>
            </w:r>
          </w:p>
        </w:tc>
        <w:tc>
          <w:tcPr>
            <w:tcW w:w="614" w:type="pct"/>
            <w:shd w:val="clear" w:color="auto" w:fill="365F91" w:themeFill="accent1" w:themeFillShade="BF"/>
            <w:vAlign w:val="bottom"/>
            <w:hideMark/>
          </w:tcPr>
          <w:p w14:paraId="3D2C9962" w14:textId="77777777" w:rsidR="00B67A89" w:rsidRPr="00E90BB1" w:rsidRDefault="00B67A89" w:rsidP="00B771F6">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615" w:type="pct"/>
            <w:shd w:val="clear" w:color="auto" w:fill="365F91" w:themeFill="accent1" w:themeFillShade="BF"/>
            <w:vAlign w:val="bottom"/>
            <w:hideMark/>
          </w:tcPr>
          <w:p w14:paraId="7305112D" w14:textId="21834368" w:rsidR="00B67A89" w:rsidRPr="00E90BB1" w:rsidRDefault="00B67A89" w:rsidP="00B771F6">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xml:space="preserve">% </w:t>
            </w:r>
            <w:r>
              <w:rPr>
                <w:rFonts w:ascii="Calibri" w:eastAsia="Calibri" w:hAnsi="Calibri" w:cs="Calibri"/>
                <w:b/>
                <w:bCs/>
                <w:color w:val="FFFFFF" w:themeColor="background1"/>
                <w:sz w:val="20"/>
                <w:szCs w:val="20"/>
              </w:rPr>
              <w:t xml:space="preserve">all </w:t>
            </w:r>
            <w:r w:rsidR="002C63F0">
              <w:rPr>
                <w:rFonts w:ascii="Calibri" w:eastAsia="Calibri" w:hAnsi="Calibri" w:cs="Calibri"/>
                <w:b/>
                <w:bCs/>
                <w:color w:val="FFFFFF" w:themeColor="background1"/>
                <w:sz w:val="20"/>
                <w:szCs w:val="20"/>
              </w:rPr>
              <w:t>disch</w:t>
            </w:r>
            <w:r w:rsidR="00071B85">
              <w:rPr>
                <w:rFonts w:ascii="Calibri" w:eastAsia="Calibri" w:hAnsi="Calibri" w:cs="Calibri"/>
                <w:b/>
                <w:bCs/>
                <w:color w:val="FFFFFF" w:themeColor="background1"/>
                <w:sz w:val="20"/>
                <w:szCs w:val="20"/>
              </w:rPr>
              <w:t>arges</w:t>
            </w:r>
            <w:r>
              <w:rPr>
                <w:rFonts w:ascii="Calibri" w:eastAsia="Calibri" w:hAnsi="Calibri" w:cs="Calibri"/>
                <w:b/>
                <w:bCs/>
                <w:color w:val="FFFFFF" w:themeColor="background1"/>
                <w:sz w:val="20"/>
                <w:szCs w:val="20"/>
              </w:rPr>
              <w:t xml:space="preserve"> for condition</w:t>
            </w:r>
          </w:p>
        </w:tc>
        <w:tc>
          <w:tcPr>
            <w:tcW w:w="331" w:type="pct"/>
            <w:shd w:val="clear" w:color="auto" w:fill="365F91" w:themeFill="accent1" w:themeFillShade="BF"/>
            <w:vAlign w:val="bottom"/>
            <w:hideMark/>
          </w:tcPr>
          <w:p w14:paraId="2470DD9E" w14:textId="77777777" w:rsidR="00B67A89" w:rsidRPr="00E90BB1" w:rsidRDefault="00B67A89" w:rsidP="00B771F6">
            <w:pPr>
              <w:spacing w:after="0"/>
              <w:jc w:val="center"/>
              <w:rPr>
                <w:b/>
                <w:bCs/>
                <w:color w:val="FFFFFF" w:themeColor="background1"/>
                <w:sz w:val="20"/>
                <w:szCs w:val="20"/>
              </w:rPr>
            </w:pPr>
            <w:r>
              <w:rPr>
                <w:b/>
                <w:bCs/>
                <w:color w:val="FFFFFF" w:themeColor="background1"/>
                <w:sz w:val="20"/>
                <w:szCs w:val="20"/>
              </w:rPr>
              <w:t>Perf rate</w:t>
            </w:r>
          </w:p>
        </w:tc>
      </w:tr>
      <w:tr w:rsidR="00B67A89" w:rsidRPr="00E90BB1" w14:paraId="717DF685" w14:textId="77777777" w:rsidTr="00BD4785">
        <w:trPr>
          <w:trHeight w:val="288"/>
        </w:trPr>
        <w:tc>
          <w:tcPr>
            <w:tcW w:w="844" w:type="pct"/>
            <w:shd w:val="clear" w:color="auto" w:fill="auto"/>
            <w:vAlign w:val="bottom"/>
          </w:tcPr>
          <w:p w14:paraId="307187CA" w14:textId="77777777" w:rsidR="00B67A89" w:rsidRPr="00962E86" w:rsidRDefault="00B67A89" w:rsidP="00B771F6">
            <w:pPr>
              <w:spacing w:after="0"/>
              <w:rPr>
                <w:color w:val="000000" w:themeColor="text1"/>
                <w:sz w:val="20"/>
                <w:szCs w:val="20"/>
              </w:rPr>
            </w:pPr>
            <w:r w:rsidRPr="0C206F83">
              <w:rPr>
                <w:color w:val="000000" w:themeColor="text1"/>
                <w:sz w:val="20"/>
                <w:szCs w:val="20"/>
              </w:rPr>
              <w:t>MDD</w:t>
            </w:r>
          </w:p>
        </w:tc>
        <w:tc>
          <w:tcPr>
            <w:tcW w:w="610" w:type="pct"/>
            <w:shd w:val="clear" w:color="auto" w:fill="auto"/>
            <w:vAlign w:val="bottom"/>
          </w:tcPr>
          <w:p w14:paraId="0E732189" w14:textId="4FCD8E23" w:rsidR="00B67A89" w:rsidRPr="00E90BB1" w:rsidRDefault="00805E22" w:rsidP="00B771F6">
            <w:pPr>
              <w:spacing w:after="0"/>
              <w:jc w:val="right"/>
              <w:rPr>
                <w:color w:val="000000" w:themeColor="text1"/>
                <w:sz w:val="20"/>
                <w:szCs w:val="20"/>
              </w:rPr>
            </w:pPr>
            <w:r>
              <w:rPr>
                <w:color w:val="000000" w:themeColor="text1"/>
                <w:sz w:val="20"/>
                <w:szCs w:val="20"/>
              </w:rPr>
              <w:t>95,494</w:t>
            </w:r>
          </w:p>
        </w:tc>
        <w:tc>
          <w:tcPr>
            <w:tcW w:w="414" w:type="pct"/>
            <w:shd w:val="clear" w:color="auto" w:fill="auto"/>
            <w:vAlign w:val="bottom"/>
          </w:tcPr>
          <w:p w14:paraId="71DA2D61" w14:textId="5844C845" w:rsidR="00B67A89" w:rsidRPr="00D92E16" w:rsidRDefault="00805E22" w:rsidP="00B771F6">
            <w:pPr>
              <w:spacing w:after="0"/>
              <w:jc w:val="right"/>
              <w:rPr>
                <w:color w:val="000000"/>
                <w:sz w:val="20"/>
                <w:szCs w:val="20"/>
              </w:rPr>
            </w:pPr>
            <w:r>
              <w:rPr>
                <w:color w:val="000000"/>
                <w:sz w:val="20"/>
                <w:szCs w:val="20"/>
              </w:rPr>
              <w:t>73.8</w:t>
            </w:r>
          </w:p>
        </w:tc>
        <w:tc>
          <w:tcPr>
            <w:tcW w:w="592" w:type="pct"/>
            <w:shd w:val="clear" w:color="auto" w:fill="auto"/>
            <w:vAlign w:val="bottom"/>
          </w:tcPr>
          <w:p w14:paraId="5A0BCD4F" w14:textId="407F8603" w:rsidR="00B67A89" w:rsidRPr="00D92E16" w:rsidRDefault="0050519D" w:rsidP="00B771F6">
            <w:pPr>
              <w:spacing w:after="0"/>
              <w:jc w:val="right"/>
              <w:rPr>
                <w:color w:val="000000" w:themeColor="text1"/>
                <w:sz w:val="20"/>
                <w:szCs w:val="20"/>
              </w:rPr>
            </w:pPr>
            <w:r>
              <w:rPr>
                <w:color w:val="000000" w:themeColor="text1"/>
                <w:sz w:val="20"/>
                <w:szCs w:val="20"/>
              </w:rPr>
              <w:t>216</w:t>
            </w:r>
          </w:p>
        </w:tc>
        <w:tc>
          <w:tcPr>
            <w:tcW w:w="602" w:type="pct"/>
            <w:shd w:val="clear" w:color="auto" w:fill="auto"/>
            <w:vAlign w:val="bottom"/>
          </w:tcPr>
          <w:p w14:paraId="11D03F45" w14:textId="3D7E331F" w:rsidR="00B67A89" w:rsidRPr="00D92E16" w:rsidRDefault="00C95C24" w:rsidP="00B771F6">
            <w:pPr>
              <w:spacing w:after="0"/>
              <w:jc w:val="right"/>
              <w:rPr>
                <w:color w:val="000000"/>
                <w:sz w:val="20"/>
                <w:szCs w:val="20"/>
              </w:rPr>
            </w:pPr>
            <w:r>
              <w:rPr>
                <w:color w:val="000000"/>
                <w:sz w:val="20"/>
                <w:szCs w:val="20"/>
              </w:rPr>
              <w:t>0.2</w:t>
            </w:r>
          </w:p>
        </w:tc>
        <w:tc>
          <w:tcPr>
            <w:tcW w:w="377" w:type="pct"/>
            <w:shd w:val="clear" w:color="auto" w:fill="auto"/>
            <w:vAlign w:val="bottom"/>
          </w:tcPr>
          <w:p w14:paraId="7D17FF4C" w14:textId="3489209A" w:rsidR="00B67A89" w:rsidRPr="00D92E16" w:rsidRDefault="0050519D" w:rsidP="00B771F6">
            <w:pPr>
              <w:spacing w:after="0"/>
              <w:jc w:val="right"/>
              <w:rPr>
                <w:color w:val="000000"/>
                <w:sz w:val="20"/>
                <w:szCs w:val="20"/>
              </w:rPr>
            </w:pPr>
            <w:r>
              <w:rPr>
                <w:color w:val="000000"/>
                <w:sz w:val="20"/>
                <w:szCs w:val="20"/>
              </w:rPr>
              <w:t>80.6</w:t>
            </w:r>
          </w:p>
        </w:tc>
        <w:tc>
          <w:tcPr>
            <w:tcW w:w="614" w:type="pct"/>
            <w:shd w:val="clear" w:color="auto" w:fill="auto"/>
            <w:vAlign w:val="bottom"/>
          </w:tcPr>
          <w:p w14:paraId="1CAA0085" w14:textId="1263AB20" w:rsidR="00B67A89" w:rsidRPr="00D92E16" w:rsidRDefault="0050519D" w:rsidP="00B771F6">
            <w:pPr>
              <w:spacing w:after="0"/>
              <w:jc w:val="right"/>
              <w:rPr>
                <w:color w:val="000000" w:themeColor="text1"/>
                <w:sz w:val="20"/>
                <w:szCs w:val="20"/>
              </w:rPr>
            </w:pPr>
            <w:r>
              <w:rPr>
                <w:color w:val="000000" w:themeColor="text1"/>
                <w:sz w:val="20"/>
                <w:szCs w:val="20"/>
              </w:rPr>
              <w:t>95,278</w:t>
            </w:r>
          </w:p>
        </w:tc>
        <w:tc>
          <w:tcPr>
            <w:tcW w:w="615" w:type="pct"/>
            <w:shd w:val="clear" w:color="auto" w:fill="auto"/>
            <w:vAlign w:val="bottom"/>
          </w:tcPr>
          <w:p w14:paraId="40E2B62C" w14:textId="6DE5B6D8" w:rsidR="00B67A89" w:rsidRPr="00D92E16" w:rsidRDefault="00C95C24" w:rsidP="00B771F6">
            <w:pPr>
              <w:spacing w:after="0"/>
              <w:jc w:val="right"/>
              <w:rPr>
                <w:color w:val="000000"/>
                <w:sz w:val="20"/>
                <w:szCs w:val="20"/>
              </w:rPr>
            </w:pPr>
            <w:r>
              <w:rPr>
                <w:color w:val="000000"/>
                <w:sz w:val="20"/>
                <w:szCs w:val="20"/>
              </w:rPr>
              <w:t>99.8</w:t>
            </w:r>
          </w:p>
        </w:tc>
        <w:tc>
          <w:tcPr>
            <w:tcW w:w="331" w:type="pct"/>
            <w:shd w:val="clear" w:color="auto" w:fill="auto"/>
            <w:vAlign w:val="bottom"/>
          </w:tcPr>
          <w:p w14:paraId="5473973E" w14:textId="56CAFF49" w:rsidR="00B67A89" w:rsidRPr="00D92E16" w:rsidRDefault="0050519D" w:rsidP="00B771F6">
            <w:pPr>
              <w:spacing w:after="0"/>
              <w:jc w:val="right"/>
              <w:rPr>
                <w:color w:val="000000"/>
                <w:sz w:val="20"/>
                <w:szCs w:val="20"/>
              </w:rPr>
            </w:pPr>
            <w:r>
              <w:rPr>
                <w:color w:val="000000"/>
                <w:sz w:val="20"/>
                <w:szCs w:val="20"/>
              </w:rPr>
              <w:t>73.8</w:t>
            </w:r>
          </w:p>
        </w:tc>
      </w:tr>
      <w:tr w:rsidR="00B67A89" w:rsidRPr="00E90BB1" w14:paraId="016CC8B8" w14:textId="77777777" w:rsidTr="00BD4785">
        <w:trPr>
          <w:trHeight w:val="288"/>
        </w:trPr>
        <w:tc>
          <w:tcPr>
            <w:tcW w:w="844" w:type="pct"/>
            <w:shd w:val="clear" w:color="auto" w:fill="auto"/>
            <w:vAlign w:val="bottom"/>
            <w:hideMark/>
          </w:tcPr>
          <w:p w14:paraId="086733B9" w14:textId="77777777" w:rsidR="00B67A89" w:rsidRPr="00962E86" w:rsidRDefault="00B67A89" w:rsidP="00B771F6">
            <w:pPr>
              <w:spacing w:after="0"/>
              <w:rPr>
                <w:color w:val="000000" w:themeColor="text1"/>
                <w:sz w:val="20"/>
                <w:szCs w:val="20"/>
              </w:rPr>
            </w:pPr>
            <w:r w:rsidRPr="0C206F83">
              <w:rPr>
                <w:rFonts w:ascii="Calibri" w:eastAsia="Calibri" w:hAnsi="Calibri" w:cs="Calibri"/>
                <w:color w:val="000000" w:themeColor="text1"/>
                <w:sz w:val="20"/>
                <w:szCs w:val="20"/>
              </w:rPr>
              <w:t>Schizophrenia</w:t>
            </w:r>
          </w:p>
        </w:tc>
        <w:tc>
          <w:tcPr>
            <w:tcW w:w="610" w:type="pct"/>
            <w:shd w:val="clear" w:color="auto" w:fill="auto"/>
            <w:vAlign w:val="bottom"/>
          </w:tcPr>
          <w:p w14:paraId="7A37E6CB" w14:textId="61CDF91F" w:rsidR="00B67A89" w:rsidRPr="00E90BB1" w:rsidRDefault="00805E22" w:rsidP="00B771F6">
            <w:pPr>
              <w:spacing w:after="0"/>
              <w:jc w:val="right"/>
              <w:rPr>
                <w:color w:val="000000" w:themeColor="text1"/>
                <w:sz w:val="20"/>
                <w:szCs w:val="20"/>
              </w:rPr>
            </w:pPr>
            <w:r>
              <w:rPr>
                <w:color w:val="000000" w:themeColor="text1"/>
                <w:sz w:val="20"/>
                <w:szCs w:val="20"/>
              </w:rPr>
              <w:t>131,409</w:t>
            </w:r>
          </w:p>
        </w:tc>
        <w:tc>
          <w:tcPr>
            <w:tcW w:w="414" w:type="pct"/>
            <w:shd w:val="clear" w:color="auto" w:fill="auto"/>
            <w:vAlign w:val="bottom"/>
          </w:tcPr>
          <w:p w14:paraId="4D9DE87D" w14:textId="775FD892" w:rsidR="00B67A89" w:rsidRPr="00D92E16" w:rsidRDefault="00805E22" w:rsidP="00B771F6">
            <w:pPr>
              <w:spacing w:after="0"/>
              <w:jc w:val="right"/>
              <w:rPr>
                <w:color w:val="000000"/>
                <w:sz w:val="20"/>
                <w:szCs w:val="20"/>
              </w:rPr>
            </w:pPr>
            <w:r>
              <w:rPr>
                <w:color w:val="000000"/>
                <w:sz w:val="20"/>
                <w:szCs w:val="20"/>
              </w:rPr>
              <w:t>74.6</w:t>
            </w:r>
          </w:p>
        </w:tc>
        <w:tc>
          <w:tcPr>
            <w:tcW w:w="592" w:type="pct"/>
            <w:shd w:val="clear" w:color="auto" w:fill="auto"/>
            <w:vAlign w:val="bottom"/>
          </w:tcPr>
          <w:p w14:paraId="3DECEF3B" w14:textId="2ADFDF35" w:rsidR="00B67A89" w:rsidRPr="00D92E16" w:rsidRDefault="0050519D" w:rsidP="00B771F6">
            <w:pPr>
              <w:spacing w:after="0"/>
              <w:jc w:val="right"/>
              <w:rPr>
                <w:color w:val="000000" w:themeColor="text1"/>
                <w:sz w:val="20"/>
                <w:szCs w:val="20"/>
              </w:rPr>
            </w:pPr>
            <w:r>
              <w:rPr>
                <w:color w:val="000000" w:themeColor="text1"/>
                <w:sz w:val="20"/>
                <w:szCs w:val="20"/>
              </w:rPr>
              <w:t>15</w:t>
            </w:r>
          </w:p>
        </w:tc>
        <w:tc>
          <w:tcPr>
            <w:tcW w:w="602" w:type="pct"/>
            <w:shd w:val="clear" w:color="auto" w:fill="auto"/>
            <w:vAlign w:val="bottom"/>
          </w:tcPr>
          <w:p w14:paraId="45A292E2" w14:textId="6EB8A52B" w:rsidR="00B67A89" w:rsidRPr="00D92E16" w:rsidRDefault="00C95C24" w:rsidP="00B771F6">
            <w:pPr>
              <w:spacing w:after="0"/>
              <w:jc w:val="right"/>
              <w:rPr>
                <w:color w:val="000000"/>
                <w:sz w:val="20"/>
                <w:szCs w:val="20"/>
              </w:rPr>
            </w:pPr>
            <w:r>
              <w:rPr>
                <w:color w:val="000000"/>
                <w:sz w:val="20"/>
                <w:szCs w:val="20"/>
              </w:rPr>
              <w:t>0.0</w:t>
            </w:r>
          </w:p>
        </w:tc>
        <w:tc>
          <w:tcPr>
            <w:tcW w:w="377" w:type="pct"/>
            <w:shd w:val="clear" w:color="auto" w:fill="auto"/>
            <w:vAlign w:val="bottom"/>
          </w:tcPr>
          <w:p w14:paraId="08E9C9E3" w14:textId="44F12D4D" w:rsidR="00B67A89" w:rsidRPr="00D92E16" w:rsidRDefault="0050519D" w:rsidP="00B771F6">
            <w:pPr>
              <w:spacing w:after="0"/>
              <w:jc w:val="right"/>
              <w:rPr>
                <w:color w:val="000000"/>
                <w:sz w:val="20"/>
                <w:szCs w:val="20"/>
              </w:rPr>
            </w:pPr>
            <w:r>
              <w:rPr>
                <w:color w:val="000000"/>
                <w:sz w:val="20"/>
                <w:szCs w:val="20"/>
              </w:rPr>
              <w:t>80.0</w:t>
            </w:r>
          </w:p>
        </w:tc>
        <w:tc>
          <w:tcPr>
            <w:tcW w:w="614" w:type="pct"/>
            <w:shd w:val="clear" w:color="auto" w:fill="auto"/>
            <w:vAlign w:val="bottom"/>
          </w:tcPr>
          <w:p w14:paraId="0BF2BE85" w14:textId="1FFAA754" w:rsidR="00B67A89" w:rsidRPr="00D92E16" w:rsidRDefault="0050519D" w:rsidP="00B771F6">
            <w:pPr>
              <w:spacing w:after="0"/>
              <w:jc w:val="right"/>
              <w:rPr>
                <w:color w:val="000000" w:themeColor="text1"/>
                <w:sz w:val="20"/>
                <w:szCs w:val="20"/>
              </w:rPr>
            </w:pPr>
            <w:r>
              <w:rPr>
                <w:color w:val="000000" w:themeColor="text1"/>
                <w:sz w:val="20"/>
                <w:szCs w:val="20"/>
              </w:rPr>
              <w:t>131,394</w:t>
            </w:r>
          </w:p>
        </w:tc>
        <w:tc>
          <w:tcPr>
            <w:tcW w:w="615" w:type="pct"/>
            <w:shd w:val="clear" w:color="auto" w:fill="auto"/>
            <w:vAlign w:val="bottom"/>
          </w:tcPr>
          <w:p w14:paraId="7A839881" w14:textId="18A48EB1" w:rsidR="00B67A89" w:rsidRPr="00D92E16" w:rsidRDefault="00C95C24" w:rsidP="00B771F6">
            <w:pPr>
              <w:spacing w:after="0"/>
              <w:jc w:val="right"/>
              <w:rPr>
                <w:color w:val="000000"/>
                <w:sz w:val="20"/>
                <w:szCs w:val="20"/>
              </w:rPr>
            </w:pPr>
            <w:r>
              <w:rPr>
                <w:color w:val="000000"/>
                <w:sz w:val="20"/>
                <w:szCs w:val="20"/>
              </w:rPr>
              <w:t>100.0</w:t>
            </w:r>
          </w:p>
        </w:tc>
        <w:tc>
          <w:tcPr>
            <w:tcW w:w="331" w:type="pct"/>
            <w:shd w:val="clear" w:color="auto" w:fill="auto"/>
            <w:vAlign w:val="bottom"/>
          </w:tcPr>
          <w:p w14:paraId="257E82CD" w14:textId="78AECD4C" w:rsidR="00B67A89" w:rsidRPr="00D92E16" w:rsidRDefault="0050519D" w:rsidP="00B771F6">
            <w:pPr>
              <w:spacing w:after="0"/>
              <w:jc w:val="right"/>
              <w:rPr>
                <w:color w:val="000000"/>
                <w:sz w:val="20"/>
                <w:szCs w:val="20"/>
              </w:rPr>
            </w:pPr>
            <w:r>
              <w:rPr>
                <w:color w:val="000000"/>
                <w:sz w:val="20"/>
                <w:szCs w:val="20"/>
              </w:rPr>
              <w:t>74.6</w:t>
            </w:r>
          </w:p>
        </w:tc>
      </w:tr>
      <w:tr w:rsidR="00B67A89" w:rsidRPr="00E90BB1" w14:paraId="28B71A7B" w14:textId="77777777" w:rsidTr="00BD4785">
        <w:trPr>
          <w:trHeight w:val="288"/>
        </w:trPr>
        <w:tc>
          <w:tcPr>
            <w:tcW w:w="844" w:type="pct"/>
            <w:shd w:val="clear" w:color="auto" w:fill="auto"/>
            <w:vAlign w:val="bottom"/>
            <w:hideMark/>
          </w:tcPr>
          <w:p w14:paraId="455CF0F1" w14:textId="77777777" w:rsidR="00B67A89" w:rsidRPr="00962E86" w:rsidRDefault="00B67A89" w:rsidP="00B771F6">
            <w:pPr>
              <w:spacing w:after="0"/>
              <w:rPr>
                <w:color w:val="000000" w:themeColor="text1"/>
                <w:sz w:val="20"/>
                <w:szCs w:val="20"/>
              </w:rPr>
            </w:pPr>
            <w:r w:rsidRPr="0C206F83">
              <w:rPr>
                <w:rFonts w:ascii="Calibri" w:eastAsia="Calibri" w:hAnsi="Calibri" w:cs="Calibri"/>
                <w:color w:val="000000" w:themeColor="text1"/>
                <w:sz w:val="20"/>
                <w:szCs w:val="20"/>
              </w:rPr>
              <w:t>Bipolar disorder</w:t>
            </w:r>
          </w:p>
        </w:tc>
        <w:tc>
          <w:tcPr>
            <w:tcW w:w="610" w:type="pct"/>
            <w:shd w:val="clear" w:color="auto" w:fill="auto"/>
            <w:vAlign w:val="bottom"/>
          </w:tcPr>
          <w:p w14:paraId="19942CF0" w14:textId="1FBF420A" w:rsidR="00B67A89" w:rsidRPr="00E90BB1" w:rsidRDefault="00805E22" w:rsidP="00B771F6">
            <w:pPr>
              <w:spacing w:after="0"/>
              <w:jc w:val="right"/>
              <w:rPr>
                <w:color w:val="000000" w:themeColor="text1"/>
                <w:sz w:val="20"/>
                <w:szCs w:val="20"/>
              </w:rPr>
            </w:pPr>
            <w:r>
              <w:rPr>
                <w:color w:val="000000" w:themeColor="text1"/>
                <w:sz w:val="20"/>
                <w:szCs w:val="20"/>
              </w:rPr>
              <w:t>81,653</w:t>
            </w:r>
          </w:p>
        </w:tc>
        <w:tc>
          <w:tcPr>
            <w:tcW w:w="414" w:type="pct"/>
            <w:shd w:val="clear" w:color="auto" w:fill="auto"/>
            <w:vAlign w:val="bottom"/>
          </w:tcPr>
          <w:p w14:paraId="648CBAE4" w14:textId="43030E06" w:rsidR="00B67A89" w:rsidRPr="00D92E16" w:rsidRDefault="00805E22" w:rsidP="00B771F6">
            <w:pPr>
              <w:spacing w:after="0"/>
              <w:jc w:val="right"/>
              <w:rPr>
                <w:color w:val="000000"/>
                <w:sz w:val="20"/>
                <w:szCs w:val="20"/>
              </w:rPr>
            </w:pPr>
            <w:r>
              <w:rPr>
                <w:color w:val="000000"/>
                <w:sz w:val="20"/>
                <w:szCs w:val="20"/>
              </w:rPr>
              <w:t>74.5</w:t>
            </w:r>
          </w:p>
        </w:tc>
        <w:tc>
          <w:tcPr>
            <w:tcW w:w="592" w:type="pct"/>
            <w:shd w:val="clear" w:color="auto" w:fill="auto"/>
            <w:vAlign w:val="bottom"/>
          </w:tcPr>
          <w:p w14:paraId="05EAB684" w14:textId="55667739" w:rsidR="00B67A89" w:rsidRPr="00D92E16" w:rsidRDefault="0050519D" w:rsidP="00B771F6">
            <w:pPr>
              <w:spacing w:after="0"/>
              <w:jc w:val="right"/>
              <w:rPr>
                <w:color w:val="000000" w:themeColor="text1"/>
                <w:sz w:val="20"/>
                <w:szCs w:val="20"/>
              </w:rPr>
            </w:pPr>
            <w:r>
              <w:rPr>
                <w:color w:val="000000" w:themeColor="text1"/>
                <w:sz w:val="20"/>
                <w:szCs w:val="20"/>
              </w:rPr>
              <w:t>56</w:t>
            </w:r>
          </w:p>
        </w:tc>
        <w:tc>
          <w:tcPr>
            <w:tcW w:w="602" w:type="pct"/>
            <w:shd w:val="clear" w:color="auto" w:fill="auto"/>
            <w:vAlign w:val="bottom"/>
          </w:tcPr>
          <w:p w14:paraId="186898D5" w14:textId="56D4C9DC" w:rsidR="00B67A89" w:rsidRPr="00D92E16" w:rsidRDefault="00C95C24" w:rsidP="00B771F6">
            <w:pPr>
              <w:spacing w:after="0"/>
              <w:jc w:val="right"/>
              <w:rPr>
                <w:color w:val="000000"/>
                <w:sz w:val="20"/>
                <w:szCs w:val="20"/>
              </w:rPr>
            </w:pPr>
            <w:r>
              <w:rPr>
                <w:color w:val="000000"/>
                <w:sz w:val="20"/>
                <w:szCs w:val="20"/>
              </w:rPr>
              <w:t>0.1</w:t>
            </w:r>
          </w:p>
        </w:tc>
        <w:tc>
          <w:tcPr>
            <w:tcW w:w="377" w:type="pct"/>
            <w:shd w:val="clear" w:color="auto" w:fill="auto"/>
            <w:vAlign w:val="bottom"/>
          </w:tcPr>
          <w:p w14:paraId="7FBBE3AA" w14:textId="5DBF90E4" w:rsidR="00B67A89" w:rsidRPr="00D92E16" w:rsidRDefault="0050519D" w:rsidP="00B771F6">
            <w:pPr>
              <w:spacing w:after="0"/>
              <w:jc w:val="right"/>
              <w:rPr>
                <w:color w:val="000000"/>
                <w:sz w:val="20"/>
                <w:szCs w:val="20"/>
              </w:rPr>
            </w:pPr>
            <w:r>
              <w:rPr>
                <w:color w:val="000000"/>
                <w:sz w:val="20"/>
                <w:szCs w:val="20"/>
              </w:rPr>
              <w:t>76.8</w:t>
            </w:r>
          </w:p>
        </w:tc>
        <w:tc>
          <w:tcPr>
            <w:tcW w:w="614" w:type="pct"/>
            <w:shd w:val="clear" w:color="auto" w:fill="auto"/>
            <w:vAlign w:val="bottom"/>
          </w:tcPr>
          <w:p w14:paraId="6619EB1D" w14:textId="6983F072" w:rsidR="00B67A89" w:rsidRPr="00D92E16" w:rsidRDefault="0050519D" w:rsidP="00B771F6">
            <w:pPr>
              <w:spacing w:after="0"/>
              <w:jc w:val="right"/>
              <w:rPr>
                <w:color w:val="000000" w:themeColor="text1"/>
                <w:sz w:val="20"/>
                <w:szCs w:val="20"/>
              </w:rPr>
            </w:pPr>
            <w:r>
              <w:rPr>
                <w:color w:val="000000" w:themeColor="text1"/>
                <w:sz w:val="20"/>
                <w:szCs w:val="20"/>
              </w:rPr>
              <w:t>81,597</w:t>
            </w:r>
          </w:p>
        </w:tc>
        <w:tc>
          <w:tcPr>
            <w:tcW w:w="615" w:type="pct"/>
            <w:shd w:val="clear" w:color="auto" w:fill="auto"/>
            <w:vAlign w:val="bottom"/>
          </w:tcPr>
          <w:p w14:paraId="0B5DA934" w14:textId="2C473372" w:rsidR="00B67A89" w:rsidRPr="00D92E16" w:rsidRDefault="00C95C24" w:rsidP="00B771F6">
            <w:pPr>
              <w:spacing w:after="0"/>
              <w:jc w:val="right"/>
              <w:rPr>
                <w:color w:val="000000"/>
                <w:sz w:val="20"/>
                <w:szCs w:val="20"/>
              </w:rPr>
            </w:pPr>
            <w:r>
              <w:rPr>
                <w:color w:val="000000"/>
                <w:sz w:val="20"/>
                <w:szCs w:val="20"/>
              </w:rPr>
              <w:t>99.9</w:t>
            </w:r>
          </w:p>
        </w:tc>
        <w:tc>
          <w:tcPr>
            <w:tcW w:w="331" w:type="pct"/>
            <w:shd w:val="clear" w:color="auto" w:fill="auto"/>
            <w:vAlign w:val="bottom"/>
          </w:tcPr>
          <w:p w14:paraId="2330F86C" w14:textId="347935DD" w:rsidR="00B67A89" w:rsidRPr="00D92E16" w:rsidRDefault="0050519D" w:rsidP="00B771F6">
            <w:pPr>
              <w:spacing w:after="0"/>
              <w:jc w:val="right"/>
              <w:rPr>
                <w:color w:val="000000"/>
                <w:sz w:val="20"/>
                <w:szCs w:val="20"/>
              </w:rPr>
            </w:pPr>
            <w:r>
              <w:rPr>
                <w:color w:val="000000"/>
                <w:sz w:val="20"/>
                <w:szCs w:val="20"/>
              </w:rPr>
              <w:t>74.5</w:t>
            </w:r>
          </w:p>
        </w:tc>
      </w:tr>
      <w:tr w:rsidR="00B67A89" w:rsidRPr="00E90BB1" w14:paraId="145BE622" w14:textId="77777777" w:rsidTr="00BD4785">
        <w:trPr>
          <w:trHeight w:val="288"/>
        </w:trPr>
        <w:tc>
          <w:tcPr>
            <w:tcW w:w="844" w:type="pct"/>
            <w:shd w:val="clear" w:color="auto" w:fill="auto"/>
            <w:vAlign w:val="bottom"/>
          </w:tcPr>
          <w:p w14:paraId="137FB2F5" w14:textId="77777777" w:rsidR="00B67A89" w:rsidRPr="00E90BB1" w:rsidRDefault="00B67A89" w:rsidP="00B771F6">
            <w:pPr>
              <w:spacing w:after="0"/>
              <w:rPr>
                <w:rFonts w:ascii="Calibri" w:eastAsia="Calibri" w:hAnsi="Calibri" w:cs="Calibri"/>
                <w:b/>
                <w:bCs/>
                <w:color w:val="000000" w:themeColor="text1"/>
                <w:sz w:val="20"/>
                <w:szCs w:val="20"/>
              </w:rPr>
            </w:pPr>
            <w:r w:rsidRPr="0C206F83">
              <w:rPr>
                <w:rFonts w:ascii="Calibri" w:eastAsia="Calibri" w:hAnsi="Calibri" w:cs="Calibri"/>
                <w:b/>
                <w:bCs/>
                <w:color w:val="000000" w:themeColor="text1"/>
                <w:sz w:val="20"/>
                <w:szCs w:val="20"/>
              </w:rPr>
              <w:lastRenderedPageBreak/>
              <w:t>Overall</w:t>
            </w:r>
          </w:p>
        </w:tc>
        <w:tc>
          <w:tcPr>
            <w:tcW w:w="610" w:type="pct"/>
            <w:shd w:val="clear" w:color="auto" w:fill="auto"/>
            <w:vAlign w:val="bottom"/>
          </w:tcPr>
          <w:p w14:paraId="2501256A" w14:textId="03633328" w:rsidR="00B67A89" w:rsidRPr="00D92E16" w:rsidRDefault="00805E22" w:rsidP="00B771F6">
            <w:pPr>
              <w:spacing w:after="0"/>
              <w:jc w:val="right"/>
              <w:rPr>
                <w:sz w:val="20"/>
                <w:szCs w:val="20"/>
              </w:rPr>
            </w:pPr>
            <w:r>
              <w:rPr>
                <w:sz w:val="20"/>
                <w:szCs w:val="20"/>
              </w:rPr>
              <w:t>308,556</w:t>
            </w:r>
          </w:p>
        </w:tc>
        <w:tc>
          <w:tcPr>
            <w:tcW w:w="414" w:type="pct"/>
            <w:shd w:val="clear" w:color="auto" w:fill="auto"/>
            <w:vAlign w:val="bottom"/>
          </w:tcPr>
          <w:p w14:paraId="38052721" w14:textId="6AB7406F" w:rsidR="00B67A89" w:rsidRPr="00D92E16" w:rsidRDefault="00805E22" w:rsidP="00B771F6">
            <w:pPr>
              <w:spacing w:after="0"/>
              <w:jc w:val="right"/>
              <w:rPr>
                <w:rFonts w:ascii="Calibri" w:hAnsi="Calibri"/>
                <w:color w:val="000000"/>
                <w:sz w:val="20"/>
                <w:szCs w:val="20"/>
              </w:rPr>
            </w:pPr>
            <w:r>
              <w:rPr>
                <w:rFonts w:ascii="Calibri" w:hAnsi="Calibri"/>
                <w:color w:val="000000"/>
                <w:sz w:val="20"/>
                <w:szCs w:val="20"/>
              </w:rPr>
              <w:t>74.3</w:t>
            </w:r>
          </w:p>
        </w:tc>
        <w:tc>
          <w:tcPr>
            <w:tcW w:w="592" w:type="pct"/>
            <w:shd w:val="clear" w:color="auto" w:fill="auto"/>
            <w:vAlign w:val="bottom"/>
          </w:tcPr>
          <w:p w14:paraId="38BAEBBD" w14:textId="730DBFB7" w:rsidR="00B67A89" w:rsidRPr="00D92E16" w:rsidRDefault="00FB7CBF" w:rsidP="00B771F6">
            <w:pPr>
              <w:spacing w:after="0"/>
              <w:jc w:val="right"/>
              <w:rPr>
                <w:sz w:val="20"/>
                <w:szCs w:val="20"/>
              </w:rPr>
            </w:pPr>
            <w:r>
              <w:rPr>
                <w:sz w:val="20"/>
                <w:szCs w:val="20"/>
              </w:rPr>
              <w:t>287</w:t>
            </w:r>
          </w:p>
        </w:tc>
        <w:tc>
          <w:tcPr>
            <w:tcW w:w="602" w:type="pct"/>
            <w:shd w:val="clear" w:color="auto" w:fill="auto"/>
            <w:vAlign w:val="bottom"/>
          </w:tcPr>
          <w:p w14:paraId="75F287D3" w14:textId="51BF65AE" w:rsidR="00B67A89" w:rsidRPr="00D92E16" w:rsidRDefault="00522F56" w:rsidP="00B771F6">
            <w:pPr>
              <w:spacing w:after="0"/>
              <w:jc w:val="right"/>
              <w:rPr>
                <w:sz w:val="20"/>
                <w:szCs w:val="20"/>
              </w:rPr>
            </w:pPr>
            <w:r>
              <w:rPr>
                <w:sz w:val="20"/>
                <w:szCs w:val="20"/>
              </w:rPr>
              <w:t>0.1</w:t>
            </w:r>
          </w:p>
        </w:tc>
        <w:tc>
          <w:tcPr>
            <w:tcW w:w="377" w:type="pct"/>
            <w:shd w:val="clear" w:color="auto" w:fill="auto"/>
            <w:vAlign w:val="bottom"/>
          </w:tcPr>
          <w:p w14:paraId="7451A582" w14:textId="35A8F794" w:rsidR="00B67A89" w:rsidRPr="00D92E16" w:rsidRDefault="00FB7CBF" w:rsidP="00B771F6">
            <w:pPr>
              <w:spacing w:after="0"/>
              <w:jc w:val="right"/>
              <w:rPr>
                <w:rFonts w:ascii="Calibri" w:hAnsi="Calibri"/>
                <w:color w:val="000000"/>
                <w:sz w:val="20"/>
                <w:szCs w:val="20"/>
              </w:rPr>
            </w:pPr>
            <w:r>
              <w:rPr>
                <w:rFonts w:ascii="Calibri" w:hAnsi="Calibri"/>
                <w:color w:val="000000"/>
                <w:sz w:val="20"/>
                <w:szCs w:val="20"/>
              </w:rPr>
              <w:t>79.8</w:t>
            </w:r>
          </w:p>
        </w:tc>
        <w:tc>
          <w:tcPr>
            <w:tcW w:w="614" w:type="pct"/>
            <w:shd w:val="clear" w:color="auto" w:fill="auto"/>
            <w:vAlign w:val="bottom"/>
          </w:tcPr>
          <w:p w14:paraId="7B474FCE" w14:textId="532FA97E" w:rsidR="00B67A89" w:rsidRPr="00D92E16" w:rsidRDefault="00FB7CBF" w:rsidP="00B771F6">
            <w:pPr>
              <w:spacing w:after="0"/>
              <w:jc w:val="right"/>
              <w:rPr>
                <w:sz w:val="20"/>
                <w:szCs w:val="20"/>
              </w:rPr>
            </w:pPr>
            <w:r>
              <w:rPr>
                <w:sz w:val="20"/>
                <w:szCs w:val="20"/>
              </w:rPr>
              <w:t>308,269</w:t>
            </w:r>
          </w:p>
        </w:tc>
        <w:tc>
          <w:tcPr>
            <w:tcW w:w="615" w:type="pct"/>
            <w:shd w:val="clear" w:color="auto" w:fill="auto"/>
            <w:vAlign w:val="bottom"/>
          </w:tcPr>
          <w:p w14:paraId="79CD7B1B" w14:textId="69CB7EAE" w:rsidR="00B67A89" w:rsidRPr="00D92E16" w:rsidRDefault="00522F56" w:rsidP="00B771F6">
            <w:pPr>
              <w:spacing w:after="0"/>
              <w:jc w:val="right"/>
              <w:rPr>
                <w:sz w:val="20"/>
                <w:szCs w:val="20"/>
              </w:rPr>
            </w:pPr>
            <w:r>
              <w:rPr>
                <w:sz w:val="20"/>
                <w:szCs w:val="20"/>
              </w:rPr>
              <w:t>99.9</w:t>
            </w:r>
          </w:p>
        </w:tc>
        <w:tc>
          <w:tcPr>
            <w:tcW w:w="331" w:type="pct"/>
            <w:shd w:val="clear" w:color="auto" w:fill="auto"/>
            <w:vAlign w:val="bottom"/>
          </w:tcPr>
          <w:p w14:paraId="5AF8C2F4" w14:textId="3E930C5D" w:rsidR="00B67A89" w:rsidRPr="00D92E16" w:rsidRDefault="00FB7CBF" w:rsidP="00B771F6">
            <w:pPr>
              <w:spacing w:after="0"/>
              <w:jc w:val="right"/>
              <w:rPr>
                <w:rFonts w:ascii="Calibri" w:hAnsi="Calibri"/>
                <w:color w:val="000000"/>
                <w:sz w:val="20"/>
                <w:szCs w:val="20"/>
              </w:rPr>
            </w:pPr>
            <w:r>
              <w:rPr>
                <w:rFonts w:ascii="Calibri" w:hAnsi="Calibri"/>
                <w:color w:val="000000"/>
                <w:sz w:val="20"/>
                <w:szCs w:val="20"/>
              </w:rPr>
              <w:t>74.3</w:t>
            </w:r>
          </w:p>
        </w:tc>
      </w:tr>
    </w:tbl>
    <w:p w14:paraId="037426DA" w14:textId="30BEAA22" w:rsidR="00F32679" w:rsidRDefault="00BD4785" w:rsidP="00BD4785">
      <w:pPr>
        <w:pStyle w:val="BodyText"/>
        <w:ind w:left="90"/>
        <w:rPr>
          <w:rFonts w:ascii="Calibri" w:eastAsia="Calibri" w:hAnsi="Calibri" w:cs="Calibri"/>
          <w:color w:val="FF0000"/>
          <w:sz w:val="18"/>
          <w:szCs w:val="18"/>
        </w:rPr>
      </w:pPr>
      <w:r w:rsidRPr="00F32679">
        <w:rPr>
          <w:rFonts w:ascii="Calibri" w:eastAsia="Calibri" w:hAnsi="Calibri" w:cs="Calibri"/>
          <w:color w:val="FF0000"/>
          <w:sz w:val="18"/>
          <w:szCs w:val="18"/>
        </w:rPr>
        <w:t>Source:</w:t>
      </w:r>
      <w:r w:rsidRPr="00F32679">
        <w:rPr>
          <w:rFonts w:ascii="Calibri" w:eastAsia="Calibri" w:hAnsi="Calibri" w:cs="Calibri"/>
          <w:color w:val="FF0000"/>
          <w:sz w:val="18"/>
          <w:szCs w:val="18"/>
        </w:rPr>
        <w:tab/>
        <w:t xml:space="preserve">Mathematica analysis of the Medicare </w:t>
      </w:r>
      <w:r>
        <w:rPr>
          <w:rFonts w:ascii="Calibri" w:eastAsia="Calibri" w:hAnsi="Calibri" w:cs="Calibri"/>
          <w:color w:val="FF0000"/>
          <w:sz w:val="18"/>
          <w:szCs w:val="18"/>
        </w:rPr>
        <w:t>f</w:t>
      </w:r>
      <w:r w:rsidRPr="00F32679">
        <w:rPr>
          <w:rFonts w:ascii="Calibri" w:eastAsia="Calibri" w:hAnsi="Calibri" w:cs="Calibri"/>
          <w:color w:val="FF0000"/>
          <w:sz w:val="18"/>
          <w:szCs w:val="18"/>
        </w:rPr>
        <w:t>ee</w:t>
      </w:r>
      <w:r>
        <w:rPr>
          <w:rFonts w:ascii="Calibri" w:eastAsia="Calibri" w:hAnsi="Calibri" w:cs="Calibri"/>
          <w:color w:val="FF0000"/>
          <w:sz w:val="18"/>
          <w:szCs w:val="18"/>
        </w:rPr>
        <w:t>-</w:t>
      </w:r>
      <w:r w:rsidRPr="00F32679">
        <w:rPr>
          <w:rFonts w:ascii="Calibri" w:eastAsia="Calibri" w:hAnsi="Calibri" w:cs="Calibri"/>
          <w:color w:val="FF0000"/>
          <w:sz w:val="18"/>
          <w:szCs w:val="18"/>
        </w:rPr>
        <w:t>for</w:t>
      </w:r>
      <w:r>
        <w:rPr>
          <w:rFonts w:ascii="Calibri" w:eastAsia="Calibri" w:hAnsi="Calibri" w:cs="Calibri"/>
          <w:color w:val="FF0000"/>
          <w:sz w:val="18"/>
          <w:szCs w:val="18"/>
        </w:rPr>
        <w:t>-s</w:t>
      </w:r>
      <w:r w:rsidRPr="00F32679">
        <w:rPr>
          <w:rFonts w:ascii="Calibri" w:eastAsia="Calibri" w:hAnsi="Calibri" w:cs="Calibri"/>
          <w:color w:val="FF0000"/>
          <w:sz w:val="18"/>
          <w:szCs w:val="18"/>
        </w:rPr>
        <w:t>ervice (FFS) data for the July 1, 2017</w:t>
      </w:r>
      <w:r>
        <w:rPr>
          <w:rFonts w:ascii="Calibri" w:eastAsia="Calibri" w:hAnsi="Calibri" w:cs="Calibri"/>
          <w:color w:val="FF0000"/>
          <w:sz w:val="18"/>
          <w:szCs w:val="18"/>
        </w:rPr>
        <w:t>–</w:t>
      </w:r>
      <w:r w:rsidRPr="00F32679">
        <w:rPr>
          <w:rFonts w:ascii="Calibri" w:eastAsia="Calibri" w:hAnsi="Calibri" w:cs="Calibri"/>
          <w:color w:val="FF0000"/>
          <w:sz w:val="18"/>
          <w:szCs w:val="18"/>
        </w:rPr>
        <w:t xml:space="preserve"> June 30, 2019 performance period.</w:t>
      </w:r>
    </w:p>
    <w:p w14:paraId="1D919F4A" w14:textId="77777777" w:rsidR="00BD4785" w:rsidRPr="00E96914" w:rsidRDefault="00BD4785" w:rsidP="00BD4785">
      <w:pPr>
        <w:pStyle w:val="BodyText"/>
        <w:ind w:left="90"/>
        <w:rPr>
          <w:b/>
          <w:bCs/>
          <w:color w:val="FF0000"/>
          <w:sz w:val="22"/>
          <w:szCs w:val="22"/>
        </w:rPr>
      </w:pPr>
    </w:p>
    <w:p w14:paraId="1A03204F" w14:textId="071781BA" w:rsidR="00F32679" w:rsidRPr="00E96914" w:rsidRDefault="00F32679" w:rsidP="00F32679">
      <w:pPr>
        <w:spacing w:before="120" w:after="0" w:line="240" w:lineRule="auto"/>
        <w:rPr>
          <w:rFonts w:ascii="Calibri" w:eastAsia="Arial" w:hAnsi="Calibri" w:cs="Arial"/>
          <w:b/>
          <w:bCs/>
          <w:color w:val="FF0000"/>
          <w:sz w:val="20"/>
          <w:szCs w:val="20"/>
        </w:rPr>
      </w:pPr>
      <w:r w:rsidRPr="00E96914">
        <w:rPr>
          <w:rFonts w:ascii="Calibri" w:eastAsia="Arial" w:hAnsi="Calibri" w:cs="Arial"/>
          <w:b/>
          <w:bCs/>
          <w:color w:val="FF0000"/>
          <w:sz w:val="20"/>
          <w:szCs w:val="20"/>
        </w:rPr>
        <w:t xml:space="preserve">Table </w:t>
      </w:r>
      <w:r w:rsidRPr="00E96914">
        <w:rPr>
          <w:rFonts w:ascii="Calibri" w:eastAsia="Arial" w:hAnsi="Calibri"/>
          <w:b/>
          <w:color w:val="FF0000"/>
          <w:sz w:val="20"/>
        </w:rPr>
        <w:t>2b</w:t>
      </w:r>
      <w:r w:rsidR="00E96914">
        <w:rPr>
          <w:rFonts w:ascii="Calibri" w:eastAsia="Arial" w:hAnsi="Calibri"/>
          <w:b/>
          <w:color w:val="FF0000"/>
          <w:sz w:val="20"/>
        </w:rPr>
        <w:t>2</w:t>
      </w:r>
      <w:r w:rsidRPr="00E96914">
        <w:rPr>
          <w:rFonts w:ascii="Calibri" w:eastAsia="Arial" w:hAnsi="Calibri"/>
          <w:b/>
          <w:color w:val="FF0000"/>
          <w:sz w:val="20"/>
        </w:rPr>
        <w:t>.2C</w:t>
      </w:r>
      <w:r w:rsidRPr="00E96914">
        <w:rPr>
          <w:rFonts w:ascii="Calibri" w:eastAsia="Arial" w:hAnsi="Calibri" w:cs="Arial"/>
          <w:b/>
          <w:bCs/>
          <w:color w:val="FF0000"/>
          <w:sz w:val="20"/>
          <w:szCs w:val="20"/>
        </w:rPr>
        <w:t xml:space="preserve">. </w:t>
      </w:r>
      <w:r w:rsidR="00E96914">
        <w:rPr>
          <w:rFonts w:ascii="Calibri" w:eastAsia="Arial" w:hAnsi="Calibri" w:cs="Arial"/>
          <w:b/>
          <w:bCs/>
          <w:color w:val="FF0000"/>
          <w:sz w:val="20"/>
          <w:szCs w:val="20"/>
        </w:rPr>
        <w:t>Frequency of exclusion for pregnancy</w:t>
      </w:r>
      <w:r w:rsidR="001C5FFB">
        <w:rPr>
          <w:rFonts w:ascii="Calibri" w:eastAsia="Arial" w:hAnsi="Calibri" w:cs="Arial"/>
          <w:b/>
          <w:bCs/>
          <w:color w:val="FF0000"/>
          <w:sz w:val="20"/>
          <w:szCs w:val="20"/>
        </w:rPr>
        <w:t xml:space="preserve"> </w:t>
      </w:r>
      <w:r w:rsidR="001C5FFB" w:rsidRPr="001C5FFB">
        <w:rPr>
          <w:rFonts w:ascii="Calibri" w:eastAsia="Arial" w:hAnsi="Calibri" w:cs="Arial"/>
          <w:b/>
          <w:bCs/>
          <w:color w:val="FF0000"/>
          <w:sz w:val="20"/>
          <w:szCs w:val="20"/>
        </w:rPr>
        <w:t>and performance rates with and without exclusion</w:t>
      </w:r>
    </w:p>
    <w:tbl>
      <w:tblPr>
        <w:tblW w:w="508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7"/>
        <w:gridCol w:w="1161"/>
        <w:gridCol w:w="790"/>
        <w:gridCol w:w="1127"/>
        <w:gridCol w:w="1144"/>
        <w:gridCol w:w="719"/>
        <w:gridCol w:w="1170"/>
        <w:gridCol w:w="1170"/>
        <w:gridCol w:w="628"/>
      </w:tblGrid>
      <w:tr w:rsidR="00F32679" w:rsidRPr="00E90BB1" w14:paraId="261980AE" w14:textId="77777777" w:rsidTr="00BD4785">
        <w:trPr>
          <w:trHeight w:val="288"/>
        </w:trPr>
        <w:tc>
          <w:tcPr>
            <w:tcW w:w="844" w:type="pct"/>
            <w:vMerge w:val="restart"/>
            <w:shd w:val="clear" w:color="auto" w:fill="365F91" w:themeFill="accent1" w:themeFillShade="BF"/>
            <w:vAlign w:val="bottom"/>
            <w:hideMark/>
          </w:tcPr>
          <w:p w14:paraId="04FB4980" w14:textId="2D0D8963" w:rsidR="00F32679" w:rsidRPr="00E90BB1" w:rsidRDefault="00AD4449" w:rsidP="00F32679">
            <w:pPr>
              <w:spacing w:after="0"/>
              <w:rPr>
                <w:b/>
                <w:bCs/>
                <w:color w:val="FFFFFF" w:themeColor="background1"/>
                <w:sz w:val="20"/>
                <w:szCs w:val="20"/>
              </w:rPr>
            </w:pPr>
            <w:r>
              <w:rPr>
                <w:rFonts w:ascii="Calibri" w:eastAsia="Calibri" w:hAnsi="Calibri" w:cs="Calibri"/>
                <w:b/>
                <w:bCs/>
                <w:color w:val="FFFFFF" w:themeColor="background1"/>
                <w:sz w:val="20"/>
                <w:szCs w:val="20"/>
              </w:rPr>
              <w:t>Principal c</w:t>
            </w:r>
            <w:r w:rsidR="00F32679" w:rsidRPr="0C206F83">
              <w:rPr>
                <w:rFonts w:ascii="Calibri" w:eastAsia="Calibri" w:hAnsi="Calibri" w:cs="Calibri"/>
                <w:b/>
                <w:bCs/>
                <w:color w:val="FFFFFF" w:themeColor="background1"/>
                <w:sz w:val="20"/>
                <w:szCs w:val="20"/>
              </w:rPr>
              <w:t>ondition</w:t>
            </w:r>
          </w:p>
        </w:tc>
        <w:tc>
          <w:tcPr>
            <w:tcW w:w="1025" w:type="pct"/>
            <w:gridSpan w:val="2"/>
            <w:shd w:val="clear" w:color="auto" w:fill="365F91" w:themeFill="accent1" w:themeFillShade="BF"/>
            <w:noWrap/>
            <w:vAlign w:val="bottom"/>
            <w:hideMark/>
          </w:tcPr>
          <w:p w14:paraId="373F5BF6" w14:textId="65F94B05"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xml:space="preserve">All IPF </w:t>
            </w:r>
            <w:r w:rsidR="002C63F0">
              <w:rPr>
                <w:rFonts w:ascii="Calibri" w:eastAsia="Calibri" w:hAnsi="Calibri" w:cs="Calibri"/>
                <w:b/>
                <w:bCs/>
                <w:color w:val="FFFFFF" w:themeColor="background1"/>
                <w:sz w:val="20"/>
                <w:szCs w:val="20"/>
              </w:rPr>
              <w:t>discharges</w:t>
            </w:r>
          </w:p>
        </w:tc>
        <w:tc>
          <w:tcPr>
            <w:tcW w:w="1571" w:type="pct"/>
            <w:gridSpan w:val="3"/>
            <w:shd w:val="clear" w:color="auto" w:fill="365F91" w:themeFill="accent1" w:themeFillShade="BF"/>
            <w:noWrap/>
            <w:vAlign w:val="bottom"/>
            <w:hideMark/>
          </w:tcPr>
          <w:p w14:paraId="14B7C982" w14:textId="6F756CA1" w:rsidR="00F32679" w:rsidRPr="00E90BB1" w:rsidRDefault="00071B85" w:rsidP="00F32679">
            <w:pPr>
              <w:spacing w:after="0"/>
              <w:jc w:val="center"/>
              <w:rPr>
                <w:b/>
                <w:bCs/>
                <w:color w:val="FFFFFF" w:themeColor="background1"/>
                <w:sz w:val="20"/>
                <w:szCs w:val="20"/>
              </w:rPr>
            </w:pPr>
            <w:r>
              <w:rPr>
                <w:rFonts w:ascii="Calibri" w:eastAsia="Calibri" w:hAnsi="Calibri" w:cs="Calibri"/>
                <w:b/>
                <w:bCs/>
                <w:color w:val="FFFFFF" w:themeColor="background1"/>
                <w:sz w:val="20"/>
                <w:szCs w:val="20"/>
              </w:rPr>
              <w:t>Discharges</w:t>
            </w:r>
            <w:r w:rsidR="00AD4449">
              <w:rPr>
                <w:rFonts w:ascii="Calibri" w:eastAsia="Calibri" w:hAnsi="Calibri" w:cs="Calibri"/>
                <w:b/>
                <w:bCs/>
                <w:color w:val="FFFFFF" w:themeColor="background1"/>
                <w:sz w:val="20"/>
                <w:szCs w:val="20"/>
              </w:rPr>
              <w:t xml:space="preserve"> with pregnancy</w:t>
            </w:r>
          </w:p>
        </w:tc>
        <w:tc>
          <w:tcPr>
            <w:tcW w:w="1561" w:type="pct"/>
            <w:gridSpan w:val="3"/>
            <w:shd w:val="clear" w:color="auto" w:fill="365F91" w:themeFill="accent1" w:themeFillShade="BF"/>
            <w:noWrap/>
            <w:vAlign w:val="bottom"/>
            <w:hideMark/>
          </w:tcPr>
          <w:p w14:paraId="69BA2B3C" w14:textId="505F0DD9" w:rsidR="00F32679" w:rsidRPr="00E90BB1" w:rsidRDefault="00071B85" w:rsidP="00F32679">
            <w:pPr>
              <w:spacing w:after="0"/>
              <w:jc w:val="center"/>
              <w:rPr>
                <w:b/>
                <w:bCs/>
                <w:color w:val="FFFFFF" w:themeColor="background1"/>
                <w:sz w:val="20"/>
                <w:szCs w:val="20"/>
              </w:rPr>
            </w:pPr>
            <w:r>
              <w:rPr>
                <w:rFonts w:ascii="Calibri" w:eastAsia="Calibri" w:hAnsi="Calibri" w:cs="Calibri"/>
                <w:b/>
                <w:bCs/>
                <w:color w:val="FFFFFF" w:themeColor="background1"/>
                <w:sz w:val="20"/>
                <w:szCs w:val="20"/>
              </w:rPr>
              <w:t>Discharges</w:t>
            </w:r>
            <w:r w:rsidR="00AD4449">
              <w:rPr>
                <w:rFonts w:ascii="Calibri" w:eastAsia="Calibri" w:hAnsi="Calibri" w:cs="Calibri"/>
                <w:b/>
                <w:bCs/>
                <w:color w:val="FFFFFF" w:themeColor="background1"/>
                <w:sz w:val="20"/>
                <w:szCs w:val="20"/>
              </w:rPr>
              <w:t xml:space="preserve"> without p</w:t>
            </w:r>
            <w:r w:rsidR="00F32679" w:rsidRPr="0C206F83">
              <w:rPr>
                <w:rFonts w:ascii="Calibri" w:eastAsia="Calibri" w:hAnsi="Calibri" w:cs="Calibri"/>
                <w:b/>
                <w:bCs/>
                <w:color w:val="FFFFFF" w:themeColor="background1"/>
                <w:sz w:val="20"/>
                <w:szCs w:val="20"/>
              </w:rPr>
              <w:t>regnan</w:t>
            </w:r>
            <w:r w:rsidR="00AD4449">
              <w:rPr>
                <w:rFonts w:ascii="Calibri" w:eastAsia="Calibri" w:hAnsi="Calibri" w:cs="Calibri"/>
                <w:b/>
                <w:bCs/>
                <w:color w:val="FFFFFF" w:themeColor="background1"/>
                <w:sz w:val="20"/>
                <w:szCs w:val="20"/>
              </w:rPr>
              <w:t>cy</w:t>
            </w:r>
          </w:p>
        </w:tc>
      </w:tr>
      <w:tr w:rsidR="00204B1F" w:rsidRPr="00E90BB1" w14:paraId="1983C3D4" w14:textId="77777777" w:rsidTr="00BD4785">
        <w:trPr>
          <w:trHeight w:val="288"/>
        </w:trPr>
        <w:tc>
          <w:tcPr>
            <w:tcW w:w="844" w:type="pct"/>
            <w:vMerge/>
            <w:vAlign w:val="center"/>
            <w:hideMark/>
          </w:tcPr>
          <w:p w14:paraId="3B6A4B8F" w14:textId="77777777" w:rsidR="00F32679" w:rsidRPr="00E90BB1" w:rsidRDefault="00F32679" w:rsidP="00F32679">
            <w:pPr>
              <w:spacing w:after="0"/>
              <w:rPr>
                <w:b/>
                <w:color w:val="000000"/>
                <w:sz w:val="20"/>
                <w:szCs w:val="20"/>
              </w:rPr>
            </w:pPr>
          </w:p>
        </w:tc>
        <w:tc>
          <w:tcPr>
            <w:tcW w:w="610" w:type="pct"/>
            <w:shd w:val="clear" w:color="auto" w:fill="365F91" w:themeFill="accent1" w:themeFillShade="BF"/>
            <w:vAlign w:val="bottom"/>
            <w:hideMark/>
          </w:tcPr>
          <w:p w14:paraId="77E17733"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415" w:type="pct"/>
            <w:shd w:val="clear" w:color="auto" w:fill="365F91" w:themeFill="accent1" w:themeFillShade="BF"/>
            <w:vAlign w:val="bottom"/>
            <w:hideMark/>
          </w:tcPr>
          <w:p w14:paraId="1FA6DFF5" w14:textId="3284AE02" w:rsidR="00F32679" w:rsidRPr="00E90BB1" w:rsidRDefault="00F2707B" w:rsidP="00F32679">
            <w:pPr>
              <w:spacing w:after="0"/>
              <w:jc w:val="center"/>
              <w:rPr>
                <w:b/>
                <w:bCs/>
                <w:color w:val="FFFFFF" w:themeColor="background1"/>
                <w:sz w:val="20"/>
                <w:szCs w:val="20"/>
              </w:rPr>
            </w:pPr>
            <w:r>
              <w:rPr>
                <w:b/>
                <w:bCs/>
                <w:color w:val="FFFFFF" w:themeColor="background1"/>
                <w:sz w:val="20"/>
                <w:szCs w:val="20"/>
              </w:rPr>
              <w:t>Perf rate</w:t>
            </w:r>
          </w:p>
        </w:tc>
        <w:tc>
          <w:tcPr>
            <w:tcW w:w="592" w:type="pct"/>
            <w:shd w:val="clear" w:color="auto" w:fill="365F91" w:themeFill="accent1" w:themeFillShade="BF"/>
            <w:vAlign w:val="bottom"/>
            <w:hideMark/>
          </w:tcPr>
          <w:p w14:paraId="5FEA7A5E" w14:textId="7B464881"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requency</w:t>
            </w:r>
          </w:p>
        </w:tc>
        <w:tc>
          <w:tcPr>
            <w:tcW w:w="601" w:type="pct"/>
            <w:shd w:val="clear" w:color="auto" w:fill="365F91" w:themeFill="accent1" w:themeFillShade="BF"/>
            <w:vAlign w:val="bottom"/>
            <w:hideMark/>
          </w:tcPr>
          <w:p w14:paraId="4165431D" w14:textId="0F2DC23C"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xml:space="preserve">% </w:t>
            </w:r>
            <w:r w:rsidR="00355603">
              <w:rPr>
                <w:rFonts w:ascii="Calibri" w:eastAsia="Calibri" w:hAnsi="Calibri" w:cs="Calibri"/>
                <w:b/>
                <w:bCs/>
                <w:color w:val="FFFFFF" w:themeColor="background1"/>
                <w:sz w:val="20"/>
                <w:szCs w:val="20"/>
              </w:rPr>
              <w:t xml:space="preserve">all </w:t>
            </w:r>
            <w:r w:rsidR="00071B85">
              <w:rPr>
                <w:rFonts w:ascii="Calibri" w:eastAsia="Calibri" w:hAnsi="Calibri" w:cs="Calibri"/>
                <w:b/>
                <w:bCs/>
                <w:color w:val="FFFFFF" w:themeColor="background1"/>
                <w:sz w:val="20"/>
                <w:szCs w:val="20"/>
              </w:rPr>
              <w:t>discharges</w:t>
            </w:r>
            <w:r w:rsidR="00355603">
              <w:rPr>
                <w:rFonts w:ascii="Calibri" w:eastAsia="Calibri" w:hAnsi="Calibri" w:cs="Calibri"/>
                <w:b/>
                <w:bCs/>
                <w:color w:val="FFFFFF" w:themeColor="background1"/>
                <w:sz w:val="20"/>
                <w:szCs w:val="20"/>
              </w:rPr>
              <w:t xml:space="preserve"> for condition</w:t>
            </w:r>
          </w:p>
        </w:tc>
        <w:tc>
          <w:tcPr>
            <w:tcW w:w="377" w:type="pct"/>
            <w:shd w:val="clear" w:color="auto" w:fill="365F91" w:themeFill="accent1" w:themeFillShade="BF"/>
            <w:vAlign w:val="bottom"/>
            <w:hideMark/>
          </w:tcPr>
          <w:p w14:paraId="64CC76A4" w14:textId="48111ABA" w:rsidR="00F32679" w:rsidRPr="00E90BB1" w:rsidRDefault="00355603" w:rsidP="00F32679">
            <w:pPr>
              <w:spacing w:after="0"/>
              <w:jc w:val="center"/>
              <w:rPr>
                <w:b/>
                <w:bCs/>
                <w:color w:val="FFFFFF" w:themeColor="background1"/>
                <w:sz w:val="20"/>
                <w:szCs w:val="20"/>
              </w:rPr>
            </w:pPr>
            <w:r>
              <w:rPr>
                <w:b/>
                <w:bCs/>
                <w:color w:val="FFFFFF" w:themeColor="background1"/>
                <w:sz w:val="20"/>
                <w:szCs w:val="20"/>
              </w:rPr>
              <w:t>Perf rate</w:t>
            </w:r>
          </w:p>
        </w:tc>
        <w:tc>
          <w:tcPr>
            <w:tcW w:w="615" w:type="pct"/>
            <w:shd w:val="clear" w:color="auto" w:fill="365F91" w:themeFill="accent1" w:themeFillShade="BF"/>
            <w:vAlign w:val="bottom"/>
            <w:hideMark/>
          </w:tcPr>
          <w:p w14:paraId="12F059E2"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615" w:type="pct"/>
            <w:shd w:val="clear" w:color="auto" w:fill="365F91" w:themeFill="accent1" w:themeFillShade="BF"/>
            <w:vAlign w:val="bottom"/>
            <w:hideMark/>
          </w:tcPr>
          <w:p w14:paraId="29B4E096" w14:textId="38881BAB"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xml:space="preserve">% </w:t>
            </w:r>
            <w:r w:rsidR="00355603">
              <w:rPr>
                <w:rFonts w:ascii="Calibri" w:eastAsia="Calibri" w:hAnsi="Calibri" w:cs="Calibri"/>
                <w:b/>
                <w:bCs/>
                <w:color w:val="FFFFFF" w:themeColor="background1"/>
                <w:sz w:val="20"/>
                <w:szCs w:val="20"/>
              </w:rPr>
              <w:t xml:space="preserve">all </w:t>
            </w:r>
            <w:r w:rsidR="00071B85">
              <w:rPr>
                <w:rFonts w:ascii="Calibri" w:eastAsia="Calibri" w:hAnsi="Calibri" w:cs="Calibri"/>
                <w:b/>
                <w:bCs/>
                <w:color w:val="FFFFFF" w:themeColor="background1"/>
                <w:sz w:val="20"/>
                <w:szCs w:val="20"/>
              </w:rPr>
              <w:t>discharges</w:t>
            </w:r>
            <w:r w:rsidR="00355603">
              <w:rPr>
                <w:rFonts w:ascii="Calibri" w:eastAsia="Calibri" w:hAnsi="Calibri" w:cs="Calibri"/>
                <w:b/>
                <w:bCs/>
                <w:color w:val="FFFFFF" w:themeColor="background1"/>
                <w:sz w:val="20"/>
                <w:szCs w:val="20"/>
              </w:rPr>
              <w:t xml:space="preserve"> for condition</w:t>
            </w:r>
          </w:p>
        </w:tc>
        <w:tc>
          <w:tcPr>
            <w:tcW w:w="331" w:type="pct"/>
            <w:shd w:val="clear" w:color="auto" w:fill="365F91" w:themeFill="accent1" w:themeFillShade="BF"/>
            <w:vAlign w:val="bottom"/>
            <w:hideMark/>
          </w:tcPr>
          <w:p w14:paraId="1B1897C9" w14:textId="6B718425" w:rsidR="00F32679" w:rsidRPr="00E90BB1" w:rsidRDefault="00590085" w:rsidP="00F32679">
            <w:pPr>
              <w:spacing w:after="0"/>
              <w:jc w:val="center"/>
              <w:rPr>
                <w:b/>
                <w:bCs/>
                <w:color w:val="FFFFFF" w:themeColor="background1"/>
                <w:sz w:val="20"/>
                <w:szCs w:val="20"/>
              </w:rPr>
            </w:pPr>
            <w:r>
              <w:rPr>
                <w:b/>
                <w:bCs/>
                <w:color w:val="FFFFFF" w:themeColor="background1"/>
                <w:sz w:val="20"/>
                <w:szCs w:val="20"/>
              </w:rPr>
              <w:t>Perf rate</w:t>
            </w:r>
          </w:p>
        </w:tc>
      </w:tr>
      <w:tr w:rsidR="004A5E06" w:rsidRPr="00E90BB1" w14:paraId="220286BC" w14:textId="77777777" w:rsidTr="00BD4785">
        <w:trPr>
          <w:trHeight w:val="288"/>
        </w:trPr>
        <w:tc>
          <w:tcPr>
            <w:tcW w:w="844" w:type="pct"/>
            <w:shd w:val="clear" w:color="auto" w:fill="auto"/>
            <w:vAlign w:val="bottom"/>
          </w:tcPr>
          <w:p w14:paraId="6EFC4C44" w14:textId="77777777" w:rsidR="004A5E06" w:rsidRPr="00962E86" w:rsidRDefault="004A5E06" w:rsidP="004A5E06">
            <w:pPr>
              <w:spacing w:after="0"/>
              <w:rPr>
                <w:color w:val="000000" w:themeColor="text1"/>
                <w:sz w:val="20"/>
                <w:szCs w:val="20"/>
              </w:rPr>
            </w:pPr>
            <w:r w:rsidRPr="0C206F83">
              <w:rPr>
                <w:color w:val="000000" w:themeColor="text1"/>
                <w:sz w:val="20"/>
                <w:szCs w:val="20"/>
              </w:rPr>
              <w:t>MDD</w:t>
            </w:r>
          </w:p>
        </w:tc>
        <w:tc>
          <w:tcPr>
            <w:tcW w:w="610" w:type="pct"/>
            <w:shd w:val="clear" w:color="auto" w:fill="auto"/>
            <w:vAlign w:val="bottom"/>
          </w:tcPr>
          <w:p w14:paraId="6006CC01" w14:textId="0133D7E7" w:rsidR="004A5E06" w:rsidRPr="00E90BB1" w:rsidRDefault="004A5E06" w:rsidP="004A5E06">
            <w:pPr>
              <w:spacing w:after="0"/>
              <w:jc w:val="right"/>
              <w:rPr>
                <w:color w:val="000000" w:themeColor="text1"/>
                <w:sz w:val="20"/>
                <w:szCs w:val="20"/>
              </w:rPr>
            </w:pPr>
            <w:r>
              <w:rPr>
                <w:color w:val="000000" w:themeColor="text1"/>
                <w:sz w:val="20"/>
                <w:szCs w:val="20"/>
              </w:rPr>
              <w:t>95,494</w:t>
            </w:r>
          </w:p>
        </w:tc>
        <w:tc>
          <w:tcPr>
            <w:tcW w:w="415" w:type="pct"/>
            <w:shd w:val="clear" w:color="auto" w:fill="auto"/>
            <w:vAlign w:val="bottom"/>
          </w:tcPr>
          <w:p w14:paraId="7FCD3394" w14:textId="2F771905" w:rsidR="004A5E06" w:rsidRPr="00D92E16" w:rsidRDefault="004A5E06" w:rsidP="004A5E06">
            <w:pPr>
              <w:spacing w:after="0"/>
              <w:jc w:val="right"/>
              <w:rPr>
                <w:color w:val="000000"/>
                <w:sz w:val="20"/>
                <w:szCs w:val="20"/>
              </w:rPr>
            </w:pPr>
            <w:r>
              <w:rPr>
                <w:color w:val="000000"/>
                <w:sz w:val="20"/>
                <w:szCs w:val="20"/>
              </w:rPr>
              <w:t>73.8</w:t>
            </w:r>
          </w:p>
        </w:tc>
        <w:tc>
          <w:tcPr>
            <w:tcW w:w="592" w:type="pct"/>
            <w:shd w:val="clear" w:color="auto" w:fill="auto"/>
            <w:vAlign w:val="bottom"/>
          </w:tcPr>
          <w:p w14:paraId="7E40A036" w14:textId="6A9D4DEF" w:rsidR="004A5E06" w:rsidRPr="00D92E16" w:rsidRDefault="004A5E06" w:rsidP="004A5E06">
            <w:pPr>
              <w:spacing w:after="0"/>
              <w:jc w:val="right"/>
              <w:rPr>
                <w:color w:val="000000" w:themeColor="text1"/>
                <w:sz w:val="20"/>
                <w:szCs w:val="20"/>
              </w:rPr>
            </w:pPr>
            <w:r>
              <w:rPr>
                <w:color w:val="000000" w:themeColor="text1"/>
                <w:sz w:val="20"/>
                <w:szCs w:val="20"/>
              </w:rPr>
              <w:t>47</w:t>
            </w:r>
          </w:p>
        </w:tc>
        <w:tc>
          <w:tcPr>
            <w:tcW w:w="601" w:type="pct"/>
            <w:shd w:val="clear" w:color="auto" w:fill="auto"/>
            <w:vAlign w:val="bottom"/>
          </w:tcPr>
          <w:p w14:paraId="104F23BE" w14:textId="7DF59395" w:rsidR="004A5E06" w:rsidRPr="00D92E16" w:rsidRDefault="00AD36A9" w:rsidP="004A5E06">
            <w:pPr>
              <w:spacing w:after="0"/>
              <w:jc w:val="right"/>
              <w:rPr>
                <w:color w:val="000000"/>
                <w:sz w:val="20"/>
                <w:szCs w:val="20"/>
              </w:rPr>
            </w:pPr>
            <w:r>
              <w:rPr>
                <w:color w:val="000000"/>
                <w:sz w:val="20"/>
                <w:szCs w:val="20"/>
              </w:rPr>
              <w:t>0.0</w:t>
            </w:r>
          </w:p>
        </w:tc>
        <w:tc>
          <w:tcPr>
            <w:tcW w:w="377" w:type="pct"/>
            <w:shd w:val="clear" w:color="auto" w:fill="auto"/>
            <w:vAlign w:val="bottom"/>
          </w:tcPr>
          <w:p w14:paraId="471AE7B2" w14:textId="1E24DC56" w:rsidR="004A5E06" w:rsidRPr="00D92E16" w:rsidRDefault="004A5E06" w:rsidP="004A5E06">
            <w:pPr>
              <w:spacing w:after="0"/>
              <w:jc w:val="right"/>
              <w:rPr>
                <w:color w:val="000000"/>
                <w:sz w:val="20"/>
                <w:szCs w:val="20"/>
              </w:rPr>
            </w:pPr>
            <w:r>
              <w:rPr>
                <w:color w:val="000000"/>
                <w:sz w:val="20"/>
                <w:szCs w:val="20"/>
              </w:rPr>
              <w:t>48.9</w:t>
            </w:r>
          </w:p>
        </w:tc>
        <w:tc>
          <w:tcPr>
            <w:tcW w:w="615" w:type="pct"/>
            <w:shd w:val="clear" w:color="auto" w:fill="auto"/>
            <w:vAlign w:val="bottom"/>
          </w:tcPr>
          <w:p w14:paraId="6E376FED" w14:textId="7C4473B7" w:rsidR="004A5E06" w:rsidRPr="00D92E16" w:rsidRDefault="004A5E06" w:rsidP="004A5E06">
            <w:pPr>
              <w:spacing w:after="0"/>
              <w:jc w:val="right"/>
              <w:rPr>
                <w:color w:val="000000" w:themeColor="text1"/>
                <w:sz w:val="20"/>
                <w:szCs w:val="20"/>
              </w:rPr>
            </w:pPr>
            <w:r>
              <w:rPr>
                <w:color w:val="000000" w:themeColor="text1"/>
                <w:sz w:val="20"/>
                <w:szCs w:val="20"/>
              </w:rPr>
              <w:t>95,447</w:t>
            </w:r>
          </w:p>
        </w:tc>
        <w:tc>
          <w:tcPr>
            <w:tcW w:w="615" w:type="pct"/>
            <w:shd w:val="clear" w:color="auto" w:fill="auto"/>
            <w:vAlign w:val="bottom"/>
          </w:tcPr>
          <w:p w14:paraId="5FCDD640" w14:textId="277BFA36" w:rsidR="004A5E06" w:rsidRPr="00D92E16" w:rsidRDefault="004A7745" w:rsidP="004A5E06">
            <w:pPr>
              <w:spacing w:after="0"/>
              <w:jc w:val="right"/>
              <w:rPr>
                <w:color w:val="000000"/>
                <w:sz w:val="20"/>
                <w:szCs w:val="20"/>
              </w:rPr>
            </w:pPr>
            <w:r>
              <w:rPr>
                <w:color w:val="000000"/>
                <w:sz w:val="20"/>
                <w:szCs w:val="20"/>
              </w:rPr>
              <w:t>100.0</w:t>
            </w:r>
          </w:p>
        </w:tc>
        <w:tc>
          <w:tcPr>
            <w:tcW w:w="331" w:type="pct"/>
            <w:shd w:val="clear" w:color="auto" w:fill="auto"/>
            <w:vAlign w:val="bottom"/>
          </w:tcPr>
          <w:p w14:paraId="76A13887" w14:textId="37226B3A" w:rsidR="004A5E06" w:rsidRPr="00D92E16" w:rsidRDefault="004A5E06" w:rsidP="004A5E06">
            <w:pPr>
              <w:spacing w:after="0"/>
              <w:jc w:val="right"/>
              <w:rPr>
                <w:color w:val="000000"/>
                <w:sz w:val="20"/>
                <w:szCs w:val="20"/>
              </w:rPr>
            </w:pPr>
            <w:r>
              <w:rPr>
                <w:color w:val="000000"/>
                <w:sz w:val="20"/>
                <w:szCs w:val="20"/>
              </w:rPr>
              <w:t>73.8</w:t>
            </w:r>
          </w:p>
        </w:tc>
      </w:tr>
      <w:tr w:rsidR="004A5E06" w:rsidRPr="00E90BB1" w14:paraId="13A5D68B" w14:textId="77777777" w:rsidTr="00BD4785">
        <w:trPr>
          <w:trHeight w:val="288"/>
        </w:trPr>
        <w:tc>
          <w:tcPr>
            <w:tcW w:w="844" w:type="pct"/>
            <w:shd w:val="clear" w:color="auto" w:fill="auto"/>
            <w:vAlign w:val="bottom"/>
            <w:hideMark/>
          </w:tcPr>
          <w:p w14:paraId="55F79F28" w14:textId="77777777" w:rsidR="004A5E06" w:rsidRPr="00962E86" w:rsidRDefault="004A5E06" w:rsidP="004A5E06">
            <w:pPr>
              <w:spacing w:after="0"/>
              <w:rPr>
                <w:color w:val="000000" w:themeColor="text1"/>
                <w:sz w:val="20"/>
                <w:szCs w:val="20"/>
              </w:rPr>
            </w:pPr>
            <w:r w:rsidRPr="0C206F83">
              <w:rPr>
                <w:rFonts w:ascii="Calibri" w:eastAsia="Calibri" w:hAnsi="Calibri" w:cs="Calibri"/>
                <w:color w:val="000000" w:themeColor="text1"/>
                <w:sz w:val="20"/>
                <w:szCs w:val="20"/>
              </w:rPr>
              <w:t>Schizophrenia</w:t>
            </w:r>
          </w:p>
        </w:tc>
        <w:tc>
          <w:tcPr>
            <w:tcW w:w="610" w:type="pct"/>
            <w:shd w:val="clear" w:color="auto" w:fill="auto"/>
            <w:vAlign w:val="bottom"/>
          </w:tcPr>
          <w:p w14:paraId="17A1989A" w14:textId="09E24E59" w:rsidR="004A5E06" w:rsidRPr="00E90BB1" w:rsidRDefault="004A5E06" w:rsidP="004A5E06">
            <w:pPr>
              <w:spacing w:after="0"/>
              <w:jc w:val="right"/>
              <w:rPr>
                <w:color w:val="000000" w:themeColor="text1"/>
                <w:sz w:val="20"/>
                <w:szCs w:val="20"/>
              </w:rPr>
            </w:pPr>
            <w:r>
              <w:rPr>
                <w:color w:val="000000" w:themeColor="text1"/>
                <w:sz w:val="20"/>
                <w:szCs w:val="20"/>
              </w:rPr>
              <w:t>131,409</w:t>
            </w:r>
          </w:p>
        </w:tc>
        <w:tc>
          <w:tcPr>
            <w:tcW w:w="415" w:type="pct"/>
            <w:shd w:val="clear" w:color="auto" w:fill="auto"/>
            <w:vAlign w:val="bottom"/>
          </w:tcPr>
          <w:p w14:paraId="2D6801F8" w14:textId="070797E2" w:rsidR="004A5E06" w:rsidRPr="00D92E16" w:rsidRDefault="004A5E06" w:rsidP="004A5E06">
            <w:pPr>
              <w:spacing w:after="0"/>
              <w:jc w:val="right"/>
              <w:rPr>
                <w:color w:val="000000"/>
                <w:sz w:val="20"/>
                <w:szCs w:val="20"/>
              </w:rPr>
            </w:pPr>
            <w:r>
              <w:rPr>
                <w:color w:val="000000"/>
                <w:sz w:val="20"/>
                <w:szCs w:val="20"/>
              </w:rPr>
              <w:t>74.6</w:t>
            </w:r>
          </w:p>
        </w:tc>
        <w:tc>
          <w:tcPr>
            <w:tcW w:w="592" w:type="pct"/>
            <w:shd w:val="clear" w:color="auto" w:fill="auto"/>
            <w:vAlign w:val="bottom"/>
          </w:tcPr>
          <w:p w14:paraId="0A205F83" w14:textId="2C8C80EE" w:rsidR="004A5E06" w:rsidRPr="00D92E16" w:rsidRDefault="004A5E06" w:rsidP="004A5E06">
            <w:pPr>
              <w:spacing w:after="0"/>
              <w:jc w:val="right"/>
              <w:rPr>
                <w:color w:val="000000" w:themeColor="text1"/>
                <w:sz w:val="20"/>
                <w:szCs w:val="20"/>
              </w:rPr>
            </w:pPr>
            <w:r>
              <w:rPr>
                <w:color w:val="000000" w:themeColor="text1"/>
                <w:sz w:val="20"/>
                <w:szCs w:val="20"/>
              </w:rPr>
              <w:t>93</w:t>
            </w:r>
          </w:p>
        </w:tc>
        <w:tc>
          <w:tcPr>
            <w:tcW w:w="601" w:type="pct"/>
            <w:shd w:val="clear" w:color="auto" w:fill="auto"/>
            <w:vAlign w:val="bottom"/>
          </w:tcPr>
          <w:p w14:paraId="16FCE4F5" w14:textId="24EF8BB2" w:rsidR="004A5E06" w:rsidRPr="00D92E16" w:rsidRDefault="00AD36A9" w:rsidP="004A5E06">
            <w:pPr>
              <w:spacing w:after="0"/>
              <w:jc w:val="right"/>
              <w:rPr>
                <w:color w:val="000000"/>
                <w:sz w:val="20"/>
                <w:szCs w:val="20"/>
              </w:rPr>
            </w:pPr>
            <w:r>
              <w:rPr>
                <w:color w:val="000000"/>
                <w:sz w:val="20"/>
                <w:szCs w:val="20"/>
              </w:rPr>
              <w:t>0.1</w:t>
            </w:r>
          </w:p>
        </w:tc>
        <w:tc>
          <w:tcPr>
            <w:tcW w:w="377" w:type="pct"/>
            <w:shd w:val="clear" w:color="auto" w:fill="auto"/>
            <w:vAlign w:val="bottom"/>
          </w:tcPr>
          <w:p w14:paraId="7EE83F9A" w14:textId="1F2DE66F" w:rsidR="004A5E06" w:rsidRPr="00D92E16" w:rsidRDefault="004A5E06" w:rsidP="004A5E06">
            <w:pPr>
              <w:spacing w:after="0"/>
              <w:jc w:val="right"/>
              <w:rPr>
                <w:color w:val="000000"/>
                <w:sz w:val="20"/>
                <w:szCs w:val="20"/>
              </w:rPr>
            </w:pPr>
            <w:r>
              <w:rPr>
                <w:color w:val="000000"/>
                <w:sz w:val="20"/>
                <w:szCs w:val="20"/>
              </w:rPr>
              <w:t>69.9</w:t>
            </w:r>
          </w:p>
        </w:tc>
        <w:tc>
          <w:tcPr>
            <w:tcW w:w="615" w:type="pct"/>
            <w:shd w:val="clear" w:color="auto" w:fill="auto"/>
            <w:vAlign w:val="bottom"/>
          </w:tcPr>
          <w:p w14:paraId="2EDCE46B" w14:textId="1058B15F" w:rsidR="004A5E06" w:rsidRPr="00D92E16" w:rsidRDefault="004A5E06" w:rsidP="004A5E06">
            <w:pPr>
              <w:spacing w:after="0"/>
              <w:jc w:val="right"/>
              <w:rPr>
                <w:color w:val="000000" w:themeColor="text1"/>
                <w:sz w:val="20"/>
                <w:szCs w:val="20"/>
              </w:rPr>
            </w:pPr>
            <w:r>
              <w:rPr>
                <w:color w:val="000000" w:themeColor="text1"/>
                <w:sz w:val="20"/>
                <w:szCs w:val="20"/>
              </w:rPr>
              <w:t>131,316</w:t>
            </w:r>
          </w:p>
        </w:tc>
        <w:tc>
          <w:tcPr>
            <w:tcW w:w="615" w:type="pct"/>
            <w:shd w:val="clear" w:color="auto" w:fill="auto"/>
            <w:vAlign w:val="bottom"/>
          </w:tcPr>
          <w:p w14:paraId="6B339EE1" w14:textId="4C65B0CB" w:rsidR="004A5E06" w:rsidRPr="00D92E16" w:rsidRDefault="004A7745" w:rsidP="004A5E06">
            <w:pPr>
              <w:spacing w:after="0"/>
              <w:jc w:val="right"/>
              <w:rPr>
                <w:color w:val="000000"/>
                <w:sz w:val="20"/>
                <w:szCs w:val="20"/>
              </w:rPr>
            </w:pPr>
            <w:r>
              <w:rPr>
                <w:color w:val="000000"/>
                <w:sz w:val="20"/>
                <w:szCs w:val="20"/>
              </w:rPr>
              <w:t>99.9</w:t>
            </w:r>
          </w:p>
        </w:tc>
        <w:tc>
          <w:tcPr>
            <w:tcW w:w="331" w:type="pct"/>
            <w:shd w:val="clear" w:color="auto" w:fill="auto"/>
            <w:vAlign w:val="bottom"/>
          </w:tcPr>
          <w:p w14:paraId="36631EEA" w14:textId="4846213D" w:rsidR="004A5E06" w:rsidRPr="00D92E16" w:rsidRDefault="004A5E06" w:rsidP="004A5E06">
            <w:pPr>
              <w:spacing w:after="0"/>
              <w:jc w:val="right"/>
              <w:rPr>
                <w:color w:val="000000"/>
                <w:sz w:val="20"/>
                <w:szCs w:val="20"/>
              </w:rPr>
            </w:pPr>
            <w:r>
              <w:rPr>
                <w:color w:val="000000"/>
                <w:sz w:val="20"/>
                <w:szCs w:val="20"/>
              </w:rPr>
              <w:t>74.6</w:t>
            </w:r>
          </w:p>
        </w:tc>
      </w:tr>
      <w:tr w:rsidR="004A5E06" w:rsidRPr="00E90BB1" w14:paraId="13FA5B4F" w14:textId="77777777" w:rsidTr="00BD4785">
        <w:trPr>
          <w:trHeight w:val="288"/>
        </w:trPr>
        <w:tc>
          <w:tcPr>
            <w:tcW w:w="844" w:type="pct"/>
            <w:shd w:val="clear" w:color="auto" w:fill="auto"/>
            <w:vAlign w:val="bottom"/>
            <w:hideMark/>
          </w:tcPr>
          <w:p w14:paraId="5C245CAC" w14:textId="77777777" w:rsidR="004A5E06" w:rsidRPr="00962E86" w:rsidRDefault="004A5E06" w:rsidP="004A5E06">
            <w:pPr>
              <w:spacing w:after="0"/>
              <w:rPr>
                <w:color w:val="000000" w:themeColor="text1"/>
                <w:sz w:val="20"/>
                <w:szCs w:val="20"/>
              </w:rPr>
            </w:pPr>
            <w:r w:rsidRPr="0C206F83">
              <w:rPr>
                <w:rFonts w:ascii="Calibri" w:eastAsia="Calibri" w:hAnsi="Calibri" w:cs="Calibri"/>
                <w:color w:val="000000" w:themeColor="text1"/>
                <w:sz w:val="20"/>
                <w:szCs w:val="20"/>
              </w:rPr>
              <w:t>Bipolar disorder</w:t>
            </w:r>
          </w:p>
        </w:tc>
        <w:tc>
          <w:tcPr>
            <w:tcW w:w="610" w:type="pct"/>
            <w:shd w:val="clear" w:color="auto" w:fill="auto"/>
            <w:vAlign w:val="bottom"/>
          </w:tcPr>
          <w:p w14:paraId="7A042BF1" w14:textId="49E45684" w:rsidR="004A5E06" w:rsidRPr="00E90BB1" w:rsidRDefault="004A5E06" w:rsidP="004A5E06">
            <w:pPr>
              <w:spacing w:after="0"/>
              <w:jc w:val="right"/>
              <w:rPr>
                <w:color w:val="000000" w:themeColor="text1"/>
                <w:sz w:val="20"/>
                <w:szCs w:val="20"/>
              </w:rPr>
            </w:pPr>
            <w:r>
              <w:rPr>
                <w:color w:val="000000" w:themeColor="text1"/>
                <w:sz w:val="20"/>
                <w:szCs w:val="20"/>
              </w:rPr>
              <w:t>81,653</w:t>
            </w:r>
          </w:p>
        </w:tc>
        <w:tc>
          <w:tcPr>
            <w:tcW w:w="415" w:type="pct"/>
            <w:shd w:val="clear" w:color="auto" w:fill="auto"/>
            <w:vAlign w:val="bottom"/>
          </w:tcPr>
          <w:p w14:paraId="0D16A741" w14:textId="495A5C05" w:rsidR="004A5E06" w:rsidRPr="00D92E16" w:rsidRDefault="004A5E06" w:rsidP="004A5E06">
            <w:pPr>
              <w:spacing w:after="0"/>
              <w:jc w:val="right"/>
              <w:rPr>
                <w:color w:val="000000"/>
                <w:sz w:val="20"/>
                <w:szCs w:val="20"/>
              </w:rPr>
            </w:pPr>
            <w:r>
              <w:rPr>
                <w:color w:val="000000"/>
                <w:sz w:val="20"/>
                <w:szCs w:val="20"/>
              </w:rPr>
              <w:t>74.5</w:t>
            </w:r>
          </w:p>
        </w:tc>
        <w:tc>
          <w:tcPr>
            <w:tcW w:w="592" w:type="pct"/>
            <w:shd w:val="clear" w:color="auto" w:fill="auto"/>
            <w:vAlign w:val="bottom"/>
          </w:tcPr>
          <w:p w14:paraId="391B0EE7" w14:textId="38F1D693" w:rsidR="004A5E06" w:rsidRPr="00D92E16" w:rsidRDefault="004A5E06" w:rsidP="004A5E06">
            <w:pPr>
              <w:spacing w:after="0"/>
              <w:jc w:val="right"/>
              <w:rPr>
                <w:color w:val="000000" w:themeColor="text1"/>
                <w:sz w:val="20"/>
                <w:szCs w:val="20"/>
              </w:rPr>
            </w:pPr>
            <w:r>
              <w:rPr>
                <w:color w:val="000000" w:themeColor="text1"/>
                <w:sz w:val="20"/>
                <w:szCs w:val="20"/>
              </w:rPr>
              <w:t>101</w:t>
            </w:r>
          </w:p>
        </w:tc>
        <w:tc>
          <w:tcPr>
            <w:tcW w:w="601" w:type="pct"/>
            <w:shd w:val="clear" w:color="auto" w:fill="auto"/>
            <w:vAlign w:val="bottom"/>
          </w:tcPr>
          <w:p w14:paraId="5E1786CA" w14:textId="18C23835" w:rsidR="004A5E06" w:rsidRPr="00D92E16" w:rsidRDefault="00AD36A9" w:rsidP="004A5E06">
            <w:pPr>
              <w:spacing w:after="0"/>
              <w:jc w:val="right"/>
              <w:rPr>
                <w:color w:val="000000"/>
                <w:sz w:val="20"/>
                <w:szCs w:val="20"/>
              </w:rPr>
            </w:pPr>
            <w:r>
              <w:rPr>
                <w:color w:val="000000"/>
                <w:sz w:val="20"/>
                <w:szCs w:val="20"/>
              </w:rPr>
              <w:t>0.1</w:t>
            </w:r>
          </w:p>
        </w:tc>
        <w:tc>
          <w:tcPr>
            <w:tcW w:w="377" w:type="pct"/>
            <w:shd w:val="clear" w:color="auto" w:fill="auto"/>
            <w:vAlign w:val="bottom"/>
          </w:tcPr>
          <w:p w14:paraId="479AC92D" w14:textId="0ACC449C" w:rsidR="004A5E06" w:rsidRPr="00D92E16" w:rsidRDefault="004A5E06" w:rsidP="004A5E06">
            <w:pPr>
              <w:spacing w:after="0"/>
              <w:jc w:val="right"/>
              <w:rPr>
                <w:color w:val="000000"/>
                <w:sz w:val="20"/>
                <w:szCs w:val="20"/>
              </w:rPr>
            </w:pPr>
            <w:r>
              <w:rPr>
                <w:color w:val="000000"/>
                <w:sz w:val="20"/>
                <w:szCs w:val="20"/>
              </w:rPr>
              <w:t>62.4</w:t>
            </w:r>
          </w:p>
        </w:tc>
        <w:tc>
          <w:tcPr>
            <w:tcW w:w="615" w:type="pct"/>
            <w:shd w:val="clear" w:color="auto" w:fill="auto"/>
            <w:vAlign w:val="bottom"/>
          </w:tcPr>
          <w:p w14:paraId="18249C5D" w14:textId="6B4B5175" w:rsidR="004A5E06" w:rsidRPr="00D92E16" w:rsidRDefault="004A5E06" w:rsidP="004A5E06">
            <w:pPr>
              <w:spacing w:after="0"/>
              <w:jc w:val="right"/>
              <w:rPr>
                <w:color w:val="000000" w:themeColor="text1"/>
                <w:sz w:val="20"/>
                <w:szCs w:val="20"/>
              </w:rPr>
            </w:pPr>
            <w:r>
              <w:rPr>
                <w:color w:val="000000" w:themeColor="text1"/>
                <w:sz w:val="20"/>
                <w:szCs w:val="20"/>
              </w:rPr>
              <w:t>81,552</w:t>
            </w:r>
          </w:p>
        </w:tc>
        <w:tc>
          <w:tcPr>
            <w:tcW w:w="615" w:type="pct"/>
            <w:shd w:val="clear" w:color="auto" w:fill="auto"/>
            <w:vAlign w:val="bottom"/>
          </w:tcPr>
          <w:p w14:paraId="4F8F6D88" w14:textId="11C53DD6" w:rsidR="004A5E06" w:rsidRPr="00D92E16" w:rsidRDefault="004A7745" w:rsidP="004A5E06">
            <w:pPr>
              <w:spacing w:after="0"/>
              <w:jc w:val="right"/>
              <w:rPr>
                <w:color w:val="000000"/>
                <w:sz w:val="20"/>
                <w:szCs w:val="20"/>
              </w:rPr>
            </w:pPr>
            <w:r>
              <w:rPr>
                <w:color w:val="000000"/>
                <w:sz w:val="20"/>
                <w:szCs w:val="20"/>
              </w:rPr>
              <w:t>99.9</w:t>
            </w:r>
          </w:p>
        </w:tc>
        <w:tc>
          <w:tcPr>
            <w:tcW w:w="331" w:type="pct"/>
            <w:shd w:val="clear" w:color="auto" w:fill="auto"/>
            <w:vAlign w:val="bottom"/>
          </w:tcPr>
          <w:p w14:paraId="4C69DAC3" w14:textId="10907F31" w:rsidR="004A5E06" w:rsidRPr="00D92E16" w:rsidRDefault="004A5E06" w:rsidP="004A5E06">
            <w:pPr>
              <w:spacing w:after="0"/>
              <w:jc w:val="right"/>
              <w:rPr>
                <w:color w:val="000000"/>
                <w:sz w:val="20"/>
                <w:szCs w:val="20"/>
              </w:rPr>
            </w:pPr>
            <w:r>
              <w:rPr>
                <w:color w:val="000000"/>
                <w:sz w:val="20"/>
                <w:szCs w:val="20"/>
              </w:rPr>
              <w:t>74.5</w:t>
            </w:r>
          </w:p>
        </w:tc>
      </w:tr>
      <w:tr w:rsidR="004A5E06" w:rsidRPr="00E90BB1" w14:paraId="76F33A05" w14:textId="77777777" w:rsidTr="00BD4785">
        <w:trPr>
          <w:trHeight w:val="288"/>
        </w:trPr>
        <w:tc>
          <w:tcPr>
            <w:tcW w:w="844" w:type="pct"/>
            <w:shd w:val="clear" w:color="auto" w:fill="auto"/>
            <w:vAlign w:val="bottom"/>
          </w:tcPr>
          <w:p w14:paraId="068DB1D5" w14:textId="77777777" w:rsidR="004A5E06" w:rsidRPr="00E90BB1" w:rsidRDefault="004A5E06" w:rsidP="004A5E06">
            <w:pPr>
              <w:spacing w:after="0"/>
              <w:rPr>
                <w:rFonts w:ascii="Calibri" w:eastAsia="Calibri" w:hAnsi="Calibri" w:cs="Calibri"/>
                <w:b/>
                <w:bCs/>
                <w:color w:val="000000" w:themeColor="text1"/>
                <w:sz w:val="20"/>
                <w:szCs w:val="20"/>
              </w:rPr>
            </w:pPr>
            <w:r w:rsidRPr="0C206F83">
              <w:rPr>
                <w:rFonts w:ascii="Calibri" w:eastAsia="Calibri" w:hAnsi="Calibri" w:cs="Calibri"/>
                <w:b/>
                <w:bCs/>
                <w:color w:val="000000" w:themeColor="text1"/>
                <w:sz w:val="20"/>
                <w:szCs w:val="20"/>
              </w:rPr>
              <w:t>Overall</w:t>
            </w:r>
          </w:p>
        </w:tc>
        <w:tc>
          <w:tcPr>
            <w:tcW w:w="610" w:type="pct"/>
            <w:shd w:val="clear" w:color="auto" w:fill="auto"/>
            <w:vAlign w:val="bottom"/>
          </w:tcPr>
          <w:p w14:paraId="04EBDA7A" w14:textId="57D7F568" w:rsidR="004A5E06" w:rsidRPr="00D92E16" w:rsidRDefault="004A5E06" w:rsidP="004A5E06">
            <w:pPr>
              <w:spacing w:after="0"/>
              <w:jc w:val="right"/>
              <w:rPr>
                <w:sz w:val="20"/>
                <w:szCs w:val="20"/>
              </w:rPr>
            </w:pPr>
            <w:r>
              <w:rPr>
                <w:sz w:val="20"/>
                <w:szCs w:val="20"/>
              </w:rPr>
              <w:t>308,556</w:t>
            </w:r>
          </w:p>
        </w:tc>
        <w:tc>
          <w:tcPr>
            <w:tcW w:w="415" w:type="pct"/>
            <w:shd w:val="clear" w:color="auto" w:fill="auto"/>
            <w:vAlign w:val="bottom"/>
          </w:tcPr>
          <w:p w14:paraId="6729203B" w14:textId="2A88F805" w:rsidR="004A5E06" w:rsidRPr="00D92E16" w:rsidRDefault="004A5E06" w:rsidP="004A5E06">
            <w:pPr>
              <w:spacing w:after="0"/>
              <w:jc w:val="right"/>
              <w:rPr>
                <w:rFonts w:ascii="Calibri" w:hAnsi="Calibri"/>
                <w:color w:val="000000"/>
                <w:sz w:val="20"/>
                <w:szCs w:val="20"/>
              </w:rPr>
            </w:pPr>
            <w:r>
              <w:rPr>
                <w:rFonts w:ascii="Calibri" w:hAnsi="Calibri"/>
                <w:color w:val="000000"/>
                <w:sz w:val="20"/>
                <w:szCs w:val="20"/>
              </w:rPr>
              <w:t>74.3</w:t>
            </w:r>
          </w:p>
        </w:tc>
        <w:tc>
          <w:tcPr>
            <w:tcW w:w="592" w:type="pct"/>
            <w:shd w:val="clear" w:color="auto" w:fill="auto"/>
            <w:vAlign w:val="bottom"/>
          </w:tcPr>
          <w:p w14:paraId="2FC67431" w14:textId="3FFFBACE" w:rsidR="004A5E06" w:rsidRPr="00D92E16" w:rsidRDefault="0080799D" w:rsidP="004A5E06">
            <w:pPr>
              <w:spacing w:after="0"/>
              <w:jc w:val="right"/>
              <w:rPr>
                <w:sz w:val="20"/>
                <w:szCs w:val="20"/>
              </w:rPr>
            </w:pPr>
            <w:r>
              <w:rPr>
                <w:sz w:val="20"/>
                <w:szCs w:val="20"/>
              </w:rPr>
              <w:t>241</w:t>
            </w:r>
          </w:p>
        </w:tc>
        <w:tc>
          <w:tcPr>
            <w:tcW w:w="601" w:type="pct"/>
            <w:shd w:val="clear" w:color="auto" w:fill="auto"/>
            <w:vAlign w:val="bottom"/>
          </w:tcPr>
          <w:p w14:paraId="6B643FD5" w14:textId="0998620B" w:rsidR="004A5E06" w:rsidRPr="00D92E16" w:rsidRDefault="00AD36A9" w:rsidP="004A5E06">
            <w:pPr>
              <w:spacing w:after="0"/>
              <w:jc w:val="right"/>
              <w:rPr>
                <w:sz w:val="20"/>
                <w:szCs w:val="20"/>
              </w:rPr>
            </w:pPr>
            <w:r>
              <w:rPr>
                <w:sz w:val="20"/>
                <w:szCs w:val="20"/>
              </w:rPr>
              <w:t>0.1</w:t>
            </w:r>
          </w:p>
        </w:tc>
        <w:tc>
          <w:tcPr>
            <w:tcW w:w="377" w:type="pct"/>
            <w:shd w:val="clear" w:color="auto" w:fill="auto"/>
            <w:vAlign w:val="bottom"/>
          </w:tcPr>
          <w:p w14:paraId="7FF1CBE1" w14:textId="409A99C1" w:rsidR="004A5E06" w:rsidRPr="00D92E16" w:rsidRDefault="0080799D" w:rsidP="004A5E06">
            <w:pPr>
              <w:spacing w:after="0"/>
              <w:jc w:val="right"/>
              <w:rPr>
                <w:rFonts w:ascii="Calibri" w:hAnsi="Calibri"/>
                <w:color w:val="000000"/>
                <w:sz w:val="20"/>
                <w:szCs w:val="20"/>
              </w:rPr>
            </w:pPr>
            <w:r>
              <w:rPr>
                <w:rFonts w:ascii="Calibri" w:hAnsi="Calibri"/>
                <w:color w:val="000000"/>
                <w:sz w:val="20"/>
                <w:szCs w:val="20"/>
              </w:rPr>
              <w:t>62.7</w:t>
            </w:r>
          </w:p>
        </w:tc>
        <w:tc>
          <w:tcPr>
            <w:tcW w:w="615" w:type="pct"/>
            <w:shd w:val="clear" w:color="auto" w:fill="auto"/>
            <w:vAlign w:val="bottom"/>
          </w:tcPr>
          <w:p w14:paraId="7A278087" w14:textId="51D697D9" w:rsidR="004A5E06" w:rsidRPr="00D92E16" w:rsidRDefault="0080799D" w:rsidP="004A5E06">
            <w:pPr>
              <w:spacing w:after="0"/>
              <w:jc w:val="right"/>
              <w:rPr>
                <w:sz w:val="20"/>
                <w:szCs w:val="20"/>
              </w:rPr>
            </w:pPr>
            <w:r>
              <w:rPr>
                <w:sz w:val="20"/>
                <w:szCs w:val="20"/>
              </w:rPr>
              <w:t>308,315</w:t>
            </w:r>
          </w:p>
        </w:tc>
        <w:tc>
          <w:tcPr>
            <w:tcW w:w="615" w:type="pct"/>
            <w:shd w:val="clear" w:color="auto" w:fill="auto"/>
            <w:vAlign w:val="bottom"/>
          </w:tcPr>
          <w:p w14:paraId="587ABCBE" w14:textId="055B8254" w:rsidR="004A5E06" w:rsidRPr="00D92E16" w:rsidRDefault="004A7745" w:rsidP="004A5E06">
            <w:pPr>
              <w:spacing w:after="0"/>
              <w:jc w:val="right"/>
              <w:rPr>
                <w:sz w:val="20"/>
                <w:szCs w:val="20"/>
              </w:rPr>
            </w:pPr>
            <w:r>
              <w:rPr>
                <w:sz w:val="20"/>
                <w:szCs w:val="20"/>
              </w:rPr>
              <w:t>99.9</w:t>
            </w:r>
          </w:p>
        </w:tc>
        <w:tc>
          <w:tcPr>
            <w:tcW w:w="331" w:type="pct"/>
            <w:shd w:val="clear" w:color="auto" w:fill="auto"/>
            <w:vAlign w:val="bottom"/>
          </w:tcPr>
          <w:p w14:paraId="77A7AF0B" w14:textId="13042E31" w:rsidR="004A5E06" w:rsidRPr="00D92E16" w:rsidRDefault="0080799D" w:rsidP="004A5E06">
            <w:pPr>
              <w:spacing w:after="0"/>
              <w:jc w:val="right"/>
              <w:rPr>
                <w:rFonts w:ascii="Calibri" w:hAnsi="Calibri"/>
                <w:color w:val="000000"/>
                <w:sz w:val="20"/>
                <w:szCs w:val="20"/>
              </w:rPr>
            </w:pPr>
            <w:r>
              <w:rPr>
                <w:rFonts w:ascii="Calibri" w:hAnsi="Calibri"/>
                <w:color w:val="000000"/>
                <w:sz w:val="20"/>
                <w:szCs w:val="20"/>
              </w:rPr>
              <w:t>74.3</w:t>
            </w:r>
          </w:p>
        </w:tc>
      </w:tr>
    </w:tbl>
    <w:p w14:paraId="701C70BF" w14:textId="77777777" w:rsidR="00BD4785" w:rsidRPr="00E96914" w:rsidRDefault="00BD4785" w:rsidP="00BD4785">
      <w:pPr>
        <w:pStyle w:val="BodyText"/>
        <w:ind w:left="90"/>
        <w:rPr>
          <w:b/>
          <w:bCs/>
          <w:color w:val="FF0000"/>
          <w:sz w:val="22"/>
          <w:szCs w:val="22"/>
        </w:rPr>
      </w:pPr>
      <w:r w:rsidRPr="00F32679">
        <w:rPr>
          <w:rFonts w:ascii="Calibri" w:eastAsia="Calibri" w:hAnsi="Calibri" w:cs="Calibri"/>
          <w:color w:val="FF0000"/>
          <w:sz w:val="18"/>
          <w:szCs w:val="18"/>
        </w:rPr>
        <w:t>Source:</w:t>
      </w:r>
      <w:r w:rsidRPr="00F32679">
        <w:rPr>
          <w:rFonts w:ascii="Calibri" w:eastAsia="Calibri" w:hAnsi="Calibri" w:cs="Calibri"/>
          <w:color w:val="FF0000"/>
          <w:sz w:val="18"/>
          <w:szCs w:val="18"/>
        </w:rPr>
        <w:tab/>
        <w:t xml:space="preserve">Mathematica analysis of the Medicare </w:t>
      </w:r>
      <w:r>
        <w:rPr>
          <w:rFonts w:ascii="Calibri" w:eastAsia="Calibri" w:hAnsi="Calibri" w:cs="Calibri"/>
          <w:color w:val="FF0000"/>
          <w:sz w:val="18"/>
          <w:szCs w:val="18"/>
        </w:rPr>
        <w:t>f</w:t>
      </w:r>
      <w:r w:rsidRPr="00F32679">
        <w:rPr>
          <w:rFonts w:ascii="Calibri" w:eastAsia="Calibri" w:hAnsi="Calibri" w:cs="Calibri"/>
          <w:color w:val="FF0000"/>
          <w:sz w:val="18"/>
          <w:szCs w:val="18"/>
        </w:rPr>
        <w:t>ee</w:t>
      </w:r>
      <w:r>
        <w:rPr>
          <w:rFonts w:ascii="Calibri" w:eastAsia="Calibri" w:hAnsi="Calibri" w:cs="Calibri"/>
          <w:color w:val="FF0000"/>
          <w:sz w:val="18"/>
          <w:szCs w:val="18"/>
        </w:rPr>
        <w:t>-</w:t>
      </w:r>
      <w:r w:rsidRPr="00F32679">
        <w:rPr>
          <w:rFonts w:ascii="Calibri" w:eastAsia="Calibri" w:hAnsi="Calibri" w:cs="Calibri"/>
          <w:color w:val="FF0000"/>
          <w:sz w:val="18"/>
          <w:szCs w:val="18"/>
        </w:rPr>
        <w:t>for</w:t>
      </w:r>
      <w:r>
        <w:rPr>
          <w:rFonts w:ascii="Calibri" w:eastAsia="Calibri" w:hAnsi="Calibri" w:cs="Calibri"/>
          <w:color w:val="FF0000"/>
          <w:sz w:val="18"/>
          <w:szCs w:val="18"/>
        </w:rPr>
        <w:t>-s</w:t>
      </w:r>
      <w:r w:rsidRPr="00F32679">
        <w:rPr>
          <w:rFonts w:ascii="Calibri" w:eastAsia="Calibri" w:hAnsi="Calibri" w:cs="Calibri"/>
          <w:color w:val="FF0000"/>
          <w:sz w:val="18"/>
          <w:szCs w:val="18"/>
        </w:rPr>
        <w:t>ervice (FFS) data for the July 1, 2017</w:t>
      </w:r>
      <w:r>
        <w:rPr>
          <w:rFonts w:ascii="Calibri" w:eastAsia="Calibri" w:hAnsi="Calibri" w:cs="Calibri"/>
          <w:color w:val="FF0000"/>
          <w:sz w:val="18"/>
          <w:szCs w:val="18"/>
        </w:rPr>
        <w:t>–</w:t>
      </w:r>
      <w:r w:rsidRPr="00F32679">
        <w:rPr>
          <w:rFonts w:ascii="Calibri" w:eastAsia="Calibri" w:hAnsi="Calibri" w:cs="Calibri"/>
          <w:color w:val="FF0000"/>
          <w:sz w:val="18"/>
          <w:szCs w:val="18"/>
        </w:rPr>
        <w:t xml:space="preserve"> June 30, 2019 performance period.</w:t>
      </w:r>
    </w:p>
    <w:p w14:paraId="02536B4C" w14:textId="77777777" w:rsidR="005B164E" w:rsidRDefault="005B164E" w:rsidP="005B164E">
      <w:pPr>
        <w:pStyle w:val="BodyText"/>
        <w:ind w:left="0"/>
        <w:rPr>
          <w:b/>
          <w:bCs/>
          <w:color w:val="FF0000"/>
          <w:sz w:val="22"/>
          <w:szCs w:val="22"/>
        </w:rPr>
      </w:pPr>
    </w:p>
    <w:p w14:paraId="35206988" w14:textId="5AD6ED1D" w:rsidR="00F32679" w:rsidRPr="005B164E" w:rsidRDefault="00F32679" w:rsidP="005B164E">
      <w:pPr>
        <w:pStyle w:val="BodyText"/>
        <w:ind w:left="0"/>
        <w:rPr>
          <w:rFonts w:ascii="Calibri" w:eastAsia="Arial" w:hAnsi="Calibri" w:cs="Arial"/>
          <w:b/>
          <w:bCs/>
          <w:color w:val="FF0000"/>
          <w:sz w:val="20"/>
          <w:szCs w:val="20"/>
        </w:rPr>
      </w:pPr>
      <w:r w:rsidRPr="005B164E">
        <w:rPr>
          <w:rFonts w:ascii="Calibri" w:eastAsia="Arial" w:hAnsi="Calibri" w:cs="Arial"/>
          <w:b/>
          <w:bCs/>
          <w:color w:val="FF0000"/>
          <w:sz w:val="20"/>
          <w:szCs w:val="20"/>
        </w:rPr>
        <w:t>Table 2b</w:t>
      </w:r>
      <w:r w:rsidR="00E96914" w:rsidRPr="005B164E">
        <w:rPr>
          <w:rFonts w:ascii="Calibri" w:eastAsia="Arial" w:hAnsi="Calibri" w:cs="Arial"/>
          <w:b/>
          <w:bCs/>
          <w:color w:val="FF0000"/>
          <w:sz w:val="20"/>
          <w:szCs w:val="20"/>
        </w:rPr>
        <w:t>2.</w:t>
      </w:r>
      <w:r w:rsidRPr="005B164E">
        <w:rPr>
          <w:rFonts w:ascii="Calibri" w:eastAsia="Arial" w:hAnsi="Calibri" w:cs="Arial"/>
          <w:b/>
          <w:bCs/>
          <w:color w:val="FF0000"/>
          <w:sz w:val="20"/>
          <w:szCs w:val="20"/>
        </w:rPr>
        <w:t xml:space="preserve">2D. </w:t>
      </w:r>
      <w:r w:rsidR="00E96914" w:rsidRPr="005B164E">
        <w:rPr>
          <w:rFonts w:ascii="Calibri" w:eastAsia="Arial" w:hAnsi="Calibri" w:cs="Arial"/>
          <w:b/>
          <w:bCs/>
          <w:color w:val="FF0000"/>
          <w:sz w:val="20"/>
          <w:szCs w:val="20"/>
        </w:rPr>
        <w:t>Frequency of exclusion for delirium</w:t>
      </w:r>
      <w:r w:rsidR="001C5FFB" w:rsidRPr="005B164E">
        <w:rPr>
          <w:rFonts w:ascii="Calibri" w:eastAsia="Arial" w:hAnsi="Calibri" w:cs="Arial"/>
          <w:b/>
          <w:bCs/>
          <w:color w:val="FF0000"/>
          <w:sz w:val="20"/>
          <w:szCs w:val="20"/>
        </w:rPr>
        <w:t xml:space="preserve"> and performance rates with and without exclusion</w:t>
      </w:r>
    </w:p>
    <w:tbl>
      <w:tblPr>
        <w:tblW w:w="508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3"/>
        <w:gridCol w:w="1131"/>
        <w:gridCol w:w="818"/>
        <w:gridCol w:w="1127"/>
        <w:gridCol w:w="1148"/>
        <w:gridCol w:w="721"/>
        <w:gridCol w:w="1170"/>
        <w:gridCol w:w="1170"/>
        <w:gridCol w:w="628"/>
      </w:tblGrid>
      <w:tr w:rsidR="00F32679" w:rsidRPr="00E90BB1" w14:paraId="6DE7A453" w14:textId="77777777" w:rsidTr="00071B85">
        <w:trPr>
          <w:trHeight w:val="288"/>
          <w:tblHeader/>
        </w:trPr>
        <w:tc>
          <w:tcPr>
            <w:tcW w:w="842" w:type="pct"/>
            <w:vMerge w:val="restart"/>
            <w:shd w:val="clear" w:color="auto" w:fill="365F91" w:themeFill="accent1" w:themeFillShade="BF"/>
            <w:vAlign w:val="bottom"/>
            <w:hideMark/>
          </w:tcPr>
          <w:p w14:paraId="377D578E" w14:textId="2378A5D7" w:rsidR="00F32679" w:rsidRPr="00E90BB1" w:rsidRDefault="00F32679" w:rsidP="00F32679">
            <w:pPr>
              <w:spacing w:after="0"/>
              <w:rPr>
                <w:b/>
                <w:bCs/>
                <w:color w:val="FFFFFF" w:themeColor="background1"/>
                <w:sz w:val="20"/>
                <w:szCs w:val="20"/>
              </w:rPr>
            </w:pPr>
            <w:r w:rsidRPr="0C206F83">
              <w:rPr>
                <w:rFonts w:ascii="Calibri" w:eastAsia="Calibri" w:hAnsi="Calibri" w:cs="Calibri"/>
                <w:b/>
                <w:bCs/>
                <w:color w:val="FFFFFF" w:themeColor="background1"/>
                <w:sz w:val="20"/>
                <w:szCs w:val="20"/>
              </w:rPr>
              <w:t xml:space="preserve">Principal </w:t>
            </w:r>
            <w:r w:rsidR="00AD4449">
              <w:rPr>
                <w:rFonts w:ascii="Calibri" w:eastAsia="Calibri" w:hAnsi="Calibri" w:cs="Calibri"/>
                <w:b/>
                <w:bCs/>
                <w:color w:val="FFFFFF" w:themeColor="background1"/>
                <w:sz w:val="20"/>
                <w:szCs w:val="20"/>
              </w:rPr>
              <w:t>c</w:t>
            </w:r>
            <w:r w:rsidRPr="0C206F83">
              <w:rPr>
                <w:rFonts w:ascii="Calibri" w:eastAsia="Calibri" w:hAnsi="Calibri" w:cs="Calibri"/>
                <w:b/>
                <w:bCs/>
                <w:color w:val="FFFFFF" w:themeColor="background1"/>
                <w:sz w:val="20"/>
                <w:szCs w:val="20"/>
              </w:rPr>
              <w:t>ondition</w:t>
            </w:r>
          </w:p>
        </w:tc>
        <w:tc>
          <w:tcPr>
            <w:tcW w:w="1024" w:type="pct"/>
            <w:gridSpan w:val="2"/>
            <w:shd w:val="clear" w:color="auto" w:fill="365F91" w:themeFill="accent1" w:themeFillShade="BF"/>
            <w:noWrap/>
            <w:vAlign w:val="bottom"/>
            <w:hideMark/>
          </w:tcPr>
          <w:p w14:paraId="5E94B18F" w14:textId="4E8A7A1F"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xml:space="preserve">All IPF </w:t>
            </w:r>
            <w:r w:rsidR="00071B85">
              <w:rPr>
                <w:rFonts w:ascii="Calibri" w:eastAsia="Calibri" w:hAnsi="Calibri" w:cs="Calibri"/>
                <w:b/>
                <w:bCs/>
                <w:color w:val="FFFFFF" w:themeColor="background1"/>
                <w:sz w:val="20"/>
                <w:szCs w:val="20"/>
              </w:rPr>
              <w:t>discharges</w:t>
            </w:r>
          </w:p>
        </w:tc>
        <w:tc>
          <w:tcPr>
            <w:tcW w:w="1574" w:type="pct"/>
            <w:gridSpan w:val="3"/>
            <w:shd w:val="clear" w:color="auto" w:fill="365F91" w:themeFill="accent1" w:themeFillShade="BF"/>
            <w:noWrap/>
            <w:vAlign w:val="bottom"/>
            <w:hideMark/>
          </w:tcPr>
          <w:p w14:paraId="096CA607" w14:textId="00FAFA86" w:rsidR="00F32679" w:rsidRPr="00E90BB1" w:rsidRDefault="00071B85" w:rsidP="00F32679">
            <w:pPr>
              <w:spacing w:after="0"/>
              <w:jc w:val="center"/>
              <w:rPr>
                <w:b/>
                <w:bCs/>
                <w:color w:val="FFFFFF" w:themeColor="background1"/>
                <w:sz w:val="20"/>
                <w:szCs w:val="20"/>
              </w:rPr>
            </w:pPr>
            <w:r>
              <w:rPr>
                <w:rFonts w:ascii="Calibri" w:eastAsia="Calibri" w:hAnsi="Calibri" w:cs="Calibri"/>
                <w:b/>
                <w:bCs/>
                <w:color w:val="FFFFFF" w:themeColor="background1"/>
                <w:sz w:val="20"/>
                <w:szCs w:val="20"/>
              </w:rPr>
              <w:t>Discharges</w:t>
            </w:r>
            <w:r w:rsidR="00AD4449">
              <w:rPr>
                <w:rFonts w:ascii="Calibri" w:eastAsia="Calibri" w:hAnsi="Calibri" w:cs="Calibri"/>
                <w:b/>
                <w:bCs/>
                <w:color w:val="FFFFFF" w:themeColor="background1"/>
                <w:sz w:val="20"/>
                <w:szCs w:val="20"/>
              </w:rPr>
              <w:t xml:space="preserve"> with d</w:t>
            </w:r>
            <w:r w:rsidR="00F32679" w:rsidRPr="0C206F83">
              <w:rPr>
                <w:rFonts w:ascii="Calibri" w:eastAsia="Calibri" w:hAnsi="Calibri" w:cs="Calibri"/>
                <w:b/>
                <w:bCs/>
                <w:color w:val="FFFFFF" w:themeColor="background1"/>
                <w:sz w:val="20"/>
                <w:szCs w:val="20"/>
              </w:rPr>
              <w:t>elirium</w:t>
            </w:r>
          </w:p>
        </w:tc>
        <w:tc>
          <w:tcPr>
            <w:tcW w:w="1559" w:type="pct"/>
            <w:gridSpan w:val="3"/>
            <w:shd w:val="clear" w:color="auto" w:fill="365F91" w:themeFill="accent1" w:themeFillShade="BF"/>
            <w:noWrap/>
            <w:vAlign w:val="bottom"/>
            <w:hideMark/>
          </w:tcPr>
          <w:p w14:paraId="2829FD50" w14:textId="4DE6F8CD" w:rsidR="00F32679" w:rsidRPr="00E90BB1" w:rsidRDefault="00071B85" w:rsidP="00F32679">
            <w:pPr>
              <w:spacing w:after="0"/>
              <w:jc w:val="center"/>
              <w:rPr>
                <w:b/>
                <w:bCs/>
                <w:color w:val="FFFFFF" w:themeColor="background1"/>
                <w:sz w:val="20"/>
                <w:szCs w:val="20"/>
              </w:rPr>
            </w:pPr>
            <w:r>
              <w:rPr>
                <w:rFonts w:ascii="Calibri" w:eastAsia="Calibri" w:hAnsi="Calibri" w:cs="Calibri"/>
                <w:b/>
                <w:bCs/>
                <w:color w:val="FFFFFF" w:themeColor="background1"/>
                <w:sz w:val="20"/>
                <w:szCs w:val="20"/>
              </w:rPr>
              <w:t>Discharges</w:t>
            </w:r>
            <w:r w:rsidR="00A67264">
              <w:rPr>
                <w:rFonts w:ascii="Calibri" w:eastAsia="Calibri" w:hAnsi="Calibri" w:cs="Calibri"/>
                <w:b/>
                <w:bCs/>
                <w:color w:val="FFFFFF" w:themeColor="background1"/>
                <w:sz w:val="20"/>
                <w:szCs w:val="20"/>
              </w:rPr>
              <w:t xml:space="preserve"> without d</w:t>
            </w:r>
            <w:r w:rsidR="00F32679" w:rsidRPr="0C206F83">
              <w:rPr>
                <w:rFonts w:ascii="Calibri" w:eastAsia="Calibri" w:hAnsi="Calibri" w:cs="Calibri"/>
                <w:b/>
                <w:bCs/>
                <w:color w:val="FFFFFF" w:themeColor="background1"/>
                <w:sz w:val="20"/>
                <w:szCs w:val="20"/>
              </w:rPr>
              <w:t>elirium</w:t>
            </w:r>
          </w:p>
        </w:tc>
      </w:tr>
      <w:tr w:rsidR="00F32679" w:rsidRPr="00E90BB1" w14:paraId="54EDFECA" w14:textId="77777777" w:rsidTr="00071B85">
        <w:trPr>
          <w:trHeight w:val="288"/>
          <w:tblHeader/>
        </w:trPr>
        <w:tc>
          <w:tcPr>
            <w:tcW w:w="842" w:type="pct"/>
            <w:vMerge/>
            <w:shd w:val="clear" w:color="auto" w:fill="365F91" w:themeFill="accent1" w:themeFillShade="BF"/>
            <w:hideMark/>
          </w:tcPr>
          <w:p w14:paraId="6A98022E" w14:textId="77777777" w:rsidR="00F32679" w:rsidRPr="00E90BB1" w:rsidRDefault="00F32679" w:rsidP="00F32679">
            <w:pPr>
              <w:spacing w:after="0"/>
              <w:rPr>
                <w:b/>
                <w:color w:val="FFFFFF" w:themeColor="background1"/>
                <w:sz w:val="20"/>
                <w:szCs w:val="20"/>
              </w:rPr>
            </w:pPr>
          </w:p>
        </w:tc>
        <w:tc>
          <w:tcPr>
            <w:tcW w:w="594" w:type="pct"/>
            <w:shd w:val="clear" w:color="auto" w:fill="365F91" w:themeFill="accent1" w:themeFillShade="BF"/>
            <w:vAlign w:val="bottom"/>
            <w:hideMark/>
          </w:tcPr>
          <w:p w14:paraId="64988CA1"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430" w:type="pct"/>
            <w:shd w:val="clear" w:color="auto" w:fill="365F91" w:themeFill="accent1" w:themeFillShade="BF"/>
            <w:vAlign w:val="bottom"/>
            <w:hideMark/>
          </w:tcPr>
          <w:p w14:paraId="4B57E83C" w14:textId="122AD149" w:rsidR="00F32679" w:rsidRPr="00E90BB1" w:rsidRDefault="00F2707B" w:rsidP="00F32679">
            <w:pPr>
              <w:spacing w:after="0"/>
              <w:jc w:val="center"/>
              <w:rPr>
                <w:b/>
                <w:bCs/>
                <w:color w:val="FFFFFF" w:themeColor="background1"/>
                <w:sz w:val="20"/>
                <w:szCs w:val="20"/>
              </w:rPr>
            </w:pPr>
            <w:r>
              <w:rPr>
                <w:b/>
                <w:bCs/>
                <w:color w:val="FFFFFF" w:themeColor="background1"/>
                <w:sz w:val="20"/>
                <w:szCs w:val="20"/>
              </w:rPr>
              <w:t>Perf rate</w:t>
            </w:r>
          </w:p>
        </w:tc>
        <w:tc>
          <w:tcPr>
            <w:tcW w:w="592" w:type="pct"/>
            <w:shd w:val="clear" w:color="auto" w:fill="365F91" w:themeFill="accent1" w:themeFillShade="BF"/>
            <w:vAlign w:val="bottom"/>
            <w:hideMark/>
          </w:tcPr>
          <w:p w14:paraId="06752748"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603" w:type="pct"/>
            <w:shd w:val="clear" w:color="auto" w:fill="365F91" w:themeFill="accent1" w:themeFillShade="BF"/>
            <w:vAlign w:val="bottom"/>
            <w:hideMark/>
          </w:tcPr>
          <w:p w14:paraId="5770B4B2" w14:textId="3562468E"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xml:space="preserve">% </w:t>
            </w:r>
            <w:r w:rsidR="00355603">
              <w:rPr>
                <w:rFonts w:ascii="Calibri" w:eastAsia="Calibri" w:hAnsi="Calibri" w:cs="Calibri"/>
                <w:b/>
                <w:bCs/>
                <w:color w:val="FFFFFF" w:themeColor="background1"/>
                <w:sz w:val="20"/>
                <w:szCs w:val="20"/>
              </w:rPr>
              <w:t xml:space="preserve">all </w:t>
            </w:r>
            <w:r w:rsidR="00071B85">
              <w:rPr>
                <w:rFonts w:ascii="Calibri" w:eastAsia="Calibri" w:hAnsi="Calibri" w:cs="Calibri"/>
                <w:b/>
                <w:bCs/>
                <w:color w:val="FFFFFF" w:themeColor="background1"/>
                <w:sz w:val="20"/>
                <w:szCs w:val="20"/>
              </w:rPr>
              <w:t>discharges</w:t>
            </w:r>
            <w:r w:rsidR="00355603">
              <w:rPr>
                <w:rFonts w:ascii="Calibri" w:eastAsia="Calibri" w:hAnsi="Calibri" w:cs="Calibri"/>
                <w:b/>
                <w:bCs/>
                <w:color w:val="FFFFFF" w:themeColor="background1"/>
                <w:sz w:val="20"/>
                <w:szCs w:val="20"/>
              </w:rPr>
              <w:t xml:space="preserve"> for condition</w:t>
            </w:r>
          </w:p>
        </w:tc>
        <w:tc>
          <w:tcPr>
            <w:tcW w:w="379" w:type="pct"/>
            <w:shd w:val="clear" w:color="auto" w:fill="365F91" w:themeFill="accent1" w:themeFillShade="BF"/>
            <w:vAlign w:val="bottom"/>
            <w:hideMark/>
          </w:tcPr>
          <w:p w14:paraId="19D0EBB4" w14:textId="12E18988" w:rsidR="00F32679" w:rsidRPr="00E90BB1" w:rsidRDefault="00355603" w:rsidP="00F32679">
            <w:pPr>
              <w:spacing w:after="0"/>
              <w:jc w:val="center"/>
              <w:rPr>
                <w:b/>
                <w:bCs/>
                <w:color w:val="FFFFFF" w:themeColor="background1"/>
                <w:sz w:val="20"/>
                <w:szCs w:val="20"/>
              </w:rPr>
            </w:pPr>
            <w:r>
              <w:rPr>
                <w:b/>
                <w:bCs/>
                <w:color w:val="FFFFFF" w:themeColor="background1"/>
                <w:sz w:val="20"/>
                <w:szCs w:val="20"/>
              </w:rPr>
              <w:t>Perf rate</w:t>
            </w:r>
          </w:p>
        </w:tc>
        <w:tc>
          <w:tcPr>
            <w:tcW w:w="615" w:type="pct"/>
            <w:shd w:val="clear" w:color="auto" w:fill="365F91" w:themeFill="accent1" w:themeFillShade="BF"/>
            <w:vAlign w:val="bottom"/>
            <w:hideMark/>
          </w:tcPr>
          <w:p w14:paraId="7EEF2676"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615" w:type="pct"/>
            <w:shd w:val="clear" w:color="auto" w:fill="365F91" w:themeFill="accent1" w:themeFillShade="BF"/>
            <w:vAlign w:val="bottom"/>
            <w:hideMark/>
          </w:tcPr>
          <w:p w14:paraId="37A38769" w14:textId="16399174"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xml:space="preserve">% </w:t>
            </w:r>
            <w:r w:rsidR="00355603">
              <w:rPr>
                <w:rFonts w:ascii="Calibri" w:eastAsia="Calibri" w:hAnsi="Calibri" w:cs="Calibri"/>
                <w:b/>
                <w:bCs/>
                <w:color w:val="FFFFFF" w:themeColor="background1"/>
                <w:sz w:val="20"/>
                <w:szCs w:val="20"/>
              </w:rPr>
              <w:t xml:space="preserve">all </w:t>
            </w:r>
            <w:r w:rsidR="00071B85">
              <w:rPr>
                <w:rFonts w:ascii="Calibri" w:eastAsia="Calibri" w:hAnsi="Calibri" w:cs="Calibri"/>
                <w:b/>
                <w:bCs/>
                <w:color w:val="FFFFFF" w:themeColor="background1"/>
                <w:sz w:val="20"/>
                <w:szCs w:val="20"/>
              </w:rPr>
              <w:t>discharges</w:t>
            </w:r>
            <w:r w:rsidR="00355603">
              <w:rPr>
                <w:rFonts w:ascii="Calibri" w:eastAsia="Calibri" w:hAnsi="Calibri" w:cs="Calibri"/>
                <w:b/>
                <w:bCs/>
                <w:color w:val="FFFFFF" w:themeColor="background1"/>
                <w:sz w:val="20"/>
                <w:szCs w:val="20"/>
              </w:rPr>
              <w:t xml:space="preserve"> for condition</w:t>
            </w:r>
          </w:p>
        </w:tc>
        <w:tc>
          <w:tcPr>
            <w:tcW w:w="330" w:type="pct"/>
            <w:shd w:val="clear" w:color="auto" w:fill="365F91" w:themeFill="accent1" w:themeFillShade="BF"/>
            <w:vAlign w:val="bottom"/>
            <w:hideMark/>
          </w:tcPr>
          <w:p w14:paraId="178E9B71" w14:textId="4D2EDF44" w:rsidR="00F32679" w:rsidRPr="00E90BB1" w:rsidRDefault="00355603" w:rsidP="00F32679">
            <w:pPr>
              <w:spacing w:after="0"/>
              <w:jc w:val="center"/>
              <w:rPr>
                <w:b/>
                <w:bCs/>
                <w:color w:val="FFFFFF" w:themeColor="background1"/>
                <w:sz w:val="20"/>
                <w:szCs w:val="20"/>
              </w:rPr>
            </w:pPr>
            <w:r>
              <w:rPr>
                <w:b/>
                <w:bCs/>
                <w:color w:val="FFFFFF" w:themeColor="background1"/>
                <w:sz w:val="20"/>
                <w:szCs w:val="20"/>
              </w:rPr>
              <w:t>Perf rate</w:t>
            </w:r>
          </w:p>
        </w:tc>
      </w:tr>
      <w:tr w:rsidR="004A5E06" w:rsidRPr="00D92E16" w14:paraId="006D7431" w14:textId="77777777" w:rsidTr="00071B85">
        <w:trPr>
          <w:trHeight w:val="288"/>
        </w:trPr>
        <w:tc>
          <w:tcPr>
            <w:tcW w:w="842" w:type="pct"/>
            <w:shd w:val="clear" w:color="auto" w:fill="auto"/>
            <w:vAlign w:val="bottom"/>
            <w:hideMark/>
          </w:tcPr>
          <w:p w14:paraId="495462D3" w14:textId="77777777" w:rsidR="004A5E06" w:rsidRPr="009E29EA" w:rsidRDefault="004A5E06" w:rsidP="004A5E06">
            <w:pPr>
              <w:spacing w:after="0"/>
              <w:rPr>
                <w:color w:val="000000" w:themeColor="text1"/>
                <w:sz w:val="20"/>
                <w:szCs w:val="20"/>
              </w:rPr>
            </w:pPr>
            <w:r w:rsidRPr="0C206F83">
              <w:rPr>
                <w:color w:val="000000" w:themeColor="text1"/>
                <w:sz w:val="20"/>
                <w:szCs w:val="20"/>
              </w:rPr>
              <w:t>MDD</w:t>
            </w:r>
          </w:p>
        </w:tc>
        <w:tc>
          <w:tcPr>
            <w:tcW w:w="594" w:type="pct"/>
            <w:shd w:val="clear" w:color="auto" w:fill="auto"/>
            <w:vAlign w:val="bottom"/>
          </w:tcPr>
          <w:p w14:paraId="45601184" w14:textId="7E178920" w:rsidR="004A5E06" w:rsidRPr="00E90BB1" w:rsidRDefault="004A5E06" w:rsidP="004A5E06">
            <w:pPr>
              <w:spacing w:after="0"/>
              <w:jc w:val="right"/>
              <w:rPr>
                <w:color w:val="000000" w:themeColor="text1"/>
                <w:sz w:val="20"/>
                <w:szCs w:val="20"/>
              </w:rPr>
            </w:pPr>
            <w:r>
              <w:rPr>
                <w:color w:val="000000" w:themeColor="text1"/>
                <w:sz w:val="20"/>
                <w:szCs w:val="20"/>
              </w:rPr>
              <w:t>95,494</w:t>
            </w:r>
          </w:p>
        </w:tc>
        <w:tc>
          <w:tcPr>
            <w:tcW w:w="430" w:type="pct"/>
            <w:shd w:val="clear" w:color="auto" w:fill="auto"/>
            <w:vAlign w:val="bottom"/>
          </w:tcPr>
          <w:p w14:paraId="118CDF21" w14:textId="65DFC04E" w:rsidR="004A5E06" w:rsidRPr="00D92E16" w:rsidRDefault="004A5E06" w:rsidP="004A5E06">
            <w:pPr>
              <w:spacing w:after="0"/>
              <w:jc w:val="right"/>
              <w:rPr>
                <w:color w:val="000000"/>
                <w:sz w:val="20"/>
                <w:szCs w:val="20"/>
              </w:rPr>
            </w:pPr>
            <w:r>
              <w:rPr>
                <w:color w:val="000000"/>
                <w:sz w:val="20"/>
                <w:szCs w:val="20"/>
              </w:rPr>
              <w:t>73.8</w:t>
            </w:r>
          </w:p>
        </w:tc>
        <w:tc>
          <w:tcPr>
            <w:tcW w:w="592" w:type="pct"/>
            <w:shd w:val="clear" w:color="auto" w:fill="auto"/>
            <w:vAlign w:val="bottom"/>
          </w:tcPr>
          <w:p w14:paraId="6458B739" w14:textId="03F5D5ED" w:rsidR="004A5E06" w:rsidRPr="00D92E16" w:rsidRDefault="0037667F" w:rsidP="004A5E06">
            <w:pPr>
              <w:spacing w:after="0"/>
              <w:jc w:val="right"/>
              <w:rPr>
                <w:color w:val="000000" w:themeColor="text1"/>
                <w:sz w:val="20"/>
                <w:szCs w:val="20"/>
              </w:rPr>
            </w:pPr>
            <w:r>
              <w:rPr>
                <w:color w:val="000000" w:themeColor="text1"/>
                <w:sz w:val="20"/>
                <w:szCs w:val="20"/>
              </w:rPr>
              <w:t>2,618</w:t>
            </w:r>
          </w:p>
        </w:tc>
        <w:tc>
          <w:tcPr>
            <w:tcW w:w="603" w:type="pct"/>
            <w:shd w:val="clear" w:color="auto" w:fill="auto"/>
            <w:vAlign w:val="bottom"/>
          </w:tcPr>
          <w:p w14:paraId="3A79F56D" w14:textId="614A123D" w:rsidR="004A5E06" w:rsidRPr="00D92E16" w:rsidRDefault="007D0F5D" w:rsidP="004A5E06">
            <w:pPr>
              <w:spacing w:after="0"/>
              <w:jc w:val="right"/>
              <w:rPr>
                <w:color w:val="000000"/>
                <w:sz w:val="20"/>
                <w:szCs w:val="20"/>
              </w:rPr>
            </w:pPr>
            <w:r>
              <w:rPr>
                <w:color w:val="000000"/>
                <w:sz w:val="20"/>
                <w:szCs w:val="20"/>
              </w:rPr>
              <w:t>2.7</w:t>
            </w:r>
          </w:p>
        </w:tc>
        <w:tc>
          <w:tcPr>
            <w:tcW w:w="379" w:type="pct"/>
            <w:shd w:val="clear" w:color="auto" w:fill="auto"/>
            <w:vAlign w:val="bottom"/>
          </w:tcPr>
          <w:p w14:paraId="73C929C4" w14:textId="2E447150" w:rsidR="004A5E06" w:rsidRPr="00D92E16" w:rsidRDefault="0037667F" w:rsidP="004A5E06">
            <w:pPr>
              <w:spacing w:after="0"/>
              <w:jc w:val="right"/>
              <w:rPr>
                <w:color w:val="000000"/>
                <w:sz w:val="20"/>
                <w:szCs w:val="20"/>
              </w:rPr>
            </w:pPr>
            <w:r>
              <w:rPr>
                <w:color w:val="000000"/>
                <w:sz w:val="20"/>
                <w:szCs w:val="20"/>
              </w:rPr>
              <w:t>74.6</w:t>
            </w:r>
          </w:p>
        </w:tc>
        <w:tc>
          <w:tcPr>
            <w:tcW w:w="615" w:type="pct"/>
            <w:shd w:val="clear" w:color="auto" w:fill="auto"/>
            <w:vAlign w:val="bottom"/>
          </w:tcPr>
          <w:p w14:paraId="075435E0" w14:textId="663CDB5F" w:rsidR="004A5E06" w:rsidRPr="00D92E16" w:rsidRDefault="0037667F" w:rsidP="004A5E06">
            <w:pPr>
              <w:spacing w:after="0"/>
              <w:jc w:val="right"/>
              <w:rPr>
                <w:color w:val="000000" w:themeColor="text1"/>
                <w:sz w:val="20"/>
                <w:szCs w:val="20"/>
              </w:rPr>
            </w:pPr>
            <w:r>
              <w:rPr>
                <w:color w:val="000000" w:themeColor="text1"/>
                <w:sz w:val="20"/>
                <w:szCs w:val="20"/>
              </w:rPr>
              <w:t>92,876</w:t>
            </w:r>
          </w:p>
        </w:tc>
        <w:tc>
          <w:tcPr>
            <w:tcW w:w="615" w:type="pct"/>
            <w:shd w:val="clear" w:color="auto" w:fill="auto"/>
            <w:vAlign w:val="bottom"/>
          </w:tcPr>
          <w:p w14:paraId="44A3749E" w14:textId="743D1204" w:rsidR="004A5E06" w:rsidRPr="00D92E16" w:rsidRDefault="007C23A0" w:rsidP="004A5E06">
            <w:pPr>
              <w:spacing w:after="0"/>
              <w:jc w:val="right"/>
              <w:rPr>
                <w:color w:val="000000"/>
                <w:sz w:val="20"/>
                <w:szCs w:val="20"/>
              </w:rPr>
            </w:pPr>
            <w:r>
              <w:rPr>
                <w:color w:val="000000"/>
                <w:sz w:val="20"/>
                <w:szCs w:val="20"/>
              </w:rPr>
              <w:t>97.3</w:t>
            </w:r>
          </w:p>
        </w:tc>
        <w:tc>
          <w:tcPr>
            <w:tcW w:w="330" w:type="pct"/>
            <w:shd w:val="clear" w:color="auto" w:fill="auto"/>
            <w:vAlign w:val="bottom"/>
          </w:tcPr>
          <w:p w14:paraId="4DBDAB9D" w14:textId="0451BE4A" w:rsidR="004A5E06" w:rsidRPr="00D92E16" w:rsidRDefault="0037667F" w:rsidP="004A5E06">
            <w:pPr>
              <w:spacing w:after="0"/>
              <w:jc w:val="right"/>
              <w:rPr>
                <w:color w:val="000000"/>
                <w:sz w:val="20"/>
                <w:szCs w:val="20"/>
              </w:rPr>
            </w:pPr>
            <w:r>
              <w:rPr>
                <w:color w:val="000000"/>
                <w:sz w:val="20"/>
                <w:szCs w:val="20"/>
              </w:rPr>
              <w:t>73.8</w:t>
            </w:r>
          </w:p>
        </w:tc>
      </w:tr>
      <w:tr w:rsidR="004A5E06" w:rsidRPr="00D92E16" w14:paraId="2AC10FC8" w14:textId="77777777" w:rsidTr="00071B85">
        <w:trPr>
          <w:cantSplit/>
          <w:trHeight w:val="288"/>
        </w:trPr>
        <w:tc>
          <w:tcPr>
            <w:tcW w:w="842" w:type="pct"/>
            <w:shd w:val="clear" w:color="auto" w:fill="auto"/>
            <w:vAlign w:val="bottom"/>
            <w:hideMark/>
          </w:tcPr>
          <w:p w14:paraId="020F1A3A" w14:textId="77777777" w:rsidR="004A5E06" w:rsidRPr="009E29EA" w:rsidRDefault="004A5E06" w:rsidP="004A5E06">
            <w:pPr>
              <w:spacing w:after="0"/>
              <w:rPr>
                <w:color w:val="000000" w:themeColor="text1"/>
                <w:sz w:val="20"/>
                <w:szCs w:val="20"/>
              </w:rPr>
            </w:pPr>
            <w:r w:rsidRPr="0C206F83">
              <w:rPr>
                <w:rFonts w:ascii="Calibri" w:eastAsia="Calibri" w:hAnsi="Calibri" w:cs="Calibri"/>
                <w:color w:val="000000" w:themeColor="text1"/>
                <w:sz w:val="20"/>
                <w:szCs w:val="20"/>
              </w:rPr>
              <w:t>Schizophrenia</w:t>
            </w:r>
          </w:p>
        </w:tc>
        <w:tc>
          <w:tcPr>
            <w:tcW w:w="594" w:type="pct"/>
            <w:shd w:val="clear" w:color="auto" w:fill="auto"/>
            <w:vAlign w:val="bottom"/>
          </w:tcPr>
          <w:p w14:paraId="186DCCCF" w14:textId="67F49998" w:rsidR="004A5E06" w:rsidRPr="00E90BB1" w:rsidRDefault="004A5E06" w:rsidP="004A5E06">
            <w:pPr>
              <w:spacing w:after="0"/>
              <w:jc w:val="right"/>
              <w:rPr>
                <w:color w:val="000000" w:themeColor="text1"/>
                <w:sz w:val="20"/>
                <w:szCs w:val="20"/>
              </w:rPr>
            </w:pPr>
            <w:r>
              <w:rPr>
                <w:color w:val="000000" w:themeColor="text1"/>
                <w:sz w:val="20"/>
                <w:szCs w:val="20"/>
              </w:rPr>
              <w:t>131,409</w:t>
            </w:r>
          </w:p>
        </w:tc>
        <w:tc>
          <w:tcPr>
            <w:tcW w:w="430" w:type="pct"/>
            <w:shd w:val="clear" w:color="auto" w:fill="auto"/>
            <w:vAlign w:val="bottom"/>
          </w:tcPr>
          <w:p w14:paraId="4756E6D8" w14:textId="53E14D52" w:rsidR="004A5E06" w:rsidRPr="00D92E16" w:rsidRDefault="004A5E06" w:rsidP="004A5E06">
            <w:pPr>
              <w:spacing w:after="0"/>
              <w:jc w:val="right"/>
              <w:rPr>
                <w:color w:val="000000"/>
                <w:sz w:val="20"/>
                <w:szCs w:val="20"/>
              </w:rPr>
            </w:pPr>
            <w:r>
              <w:rPr>
                <w:color w:val="000000"/>
                <w:sz w:val="20"/>
                <w:szCs w:val="20"/>
              </w:rPr>
              <w:t>74.6</w:t>
            </w:r>
          </w:p>
        </w:tc>
        <w:tc>
          <w:tcPr>
            <w:tcW w:w="592" w:type="pct"/>
            <w:shd w:val="clear" w:color="auto" w:fill="auto"/>
            <w:vAlign w:val="bottom"/>
          </w:tcPr>
          <w:p w14:paraId="6BE2BC27" w14:textId="76F25231" w:rsidR="004A5E06" w:rsidRPr="00D92E16" w:rsidRDefault="0037667F" w:rsidP="004A5E06">
            <w:pPr>
              <w:spacing w:after="0"/>
              <w:jc w:val="right"/>
              <w:rPr>
                <w:color w:val="000000" w:themeColor="text1"/>
                <w:sz w:val="20"/>
                <w:szCs w:val="20"/>
              </w:rPr>
            </w:pPr>
            <w:r>
              <w:rPr>
                <w:color w:val="000000" w:themeColor="text1"/>
                <w:sz w:val="20"/>
                <w:szCs w:val="20"/>
              </w:rPr>
              <w:t>2,649</w:t>
            </w:r>
          </w:p>
        </w:tc>
        <w:tc>
          <w:tcPr>
            <w:tcW w:w="603" w:type="pct"/>
            <w:shd w:val="clear" w:color="auto" w:fill="auto"/>
            <w:vAlign w:val="bottom"/>
          </w:tcPr>
          <w:p w14:paraId="745917DB" w14:textId="7A0F20B3" w:rsidR="004A5E06" w:rsidRPr="00D92E16" w:rsidRDefault="007C23A0" w:rsidP="004A5E06">
            <w:pPr>
              <w:spacing w:after="0"/>
              <w:jc w:val="right"/>
              <w:rPr>
                <w:color w:val="000000"/>
                <w:sz w:val="20"/>
                <w:szCs w:val="20"/>
              </w:rPr>
            </w:pPr>
            <w:r>
              <w:rPr>
                <w:color w:val="000000"/>
                <w:sz w:val="20"/>
                <w:szCs w:val="20"/>
              </w:rPr>
              <w:t>2.0</w:t>
            </w:r>
          </w:p>
        </w:tc>
        <w:tc>
          <w:tcPr>
            <w:tcW w:w="379" w:type="pct"/>
            <w:shd w:val="clear" w:color="auto" w:fill="auto"/>
            <w:vAlign w:val="bottom"/>
          </w:tcPr>
          <w:p w14:paraId="18F517C9" w14:textId="1369B2E6" w:rsidR="004A5E06" w:rsidRPr="00D92E16" w:rsidRDefault="0037667F" w:rsidP="004A5E06">
            <w:pPr>
              <w:spacing w:after="0"/>
              <w:jc w:val="right"/>
              <w:rPr>
                <w:color w:val="000000"/>
                <w:sz w:val="20"/>
                <w:szCs w:val="20"/>
              </w:rPr>
            </w:pPr>
            <w:r>
              <w:rPr>
                <w:color w:val="000000"/>
                <w:sz w:val="20"/>
                <w:szCs w:val="20"/>
              </w:rPr>
              <w:t>78.8</w:t>
            </w:r>
          </w:p>
        </w:tc>
        <w:tc>
          <w:tcPr>
            <w:tcW w:w="615" w:type="pct"/>
            <w:shd w:val="clear" w:color="auto" w:fill="auto"/>
            <w:vAlign w:val="bottom"/>
          </w:tcPr>
          <w:p w14:paraId="0D9E2ACD" w14:textId="092DABD4" w:rsidR="004A5E06" w:rsidRPr="00D92E16" w:rsidRDefault="0037667F" w:rsidP="004A5E06">
            <w:pPr>
              <w:spacing w:after="0"/>
              <w:jc w:val="right"/>
              <w:rPr>
                <w:color w:val="000000" w:themeColor="text1"/>
                <w:sz w:val="20"/>
                <w:szCs w:val="20"/>
              </w:rPr>
            </w:pPr>
            <w:r>
              <w:rPr>
                <w:color w:val="000000" w:themeColor="text1"/>
                <w:sz w:val="20"/>
                <w:szCs w:val="20"/>
              </w:rPr>
              <w:t>128,760</w:t>
            </w:r>
          </w:p>
        </w:tc>
        <w:tc>
          <w:tcPr>
            <w:tcW w:w="615" w:type="pct"/>
            <w:shd w:val="clear" w:color="auto" w:fill="auto"/>
            <w:vAlign w:val="bottom"/>
          </w:tcPr>
          <w:p w14:paraId="07DCB778" w14:textId="3FCEFC01" w:rsidR="004A5E06" w:rsidRPr="00D92E16" w:rsidRDefault="007C23A0" w:rsidP="004A5E06">
            <w:pPr>
              <w:spacing w:after="0"/>
              <w:jc w:val="right"/>
              <w:rPr>
                <w:color w:val="000000"/>
                <w:sz w:val="20"/>
                <w:szCs w:val="20"/>
              </w:rPr>
            </w:pPr>
            <w:r>
              <w:rPr>
                <w:color w:val="000000"/>
                <w:sz w:val="20"/>
                <w:szCs w:val="20"/>
              </w:rPr>
              <w:t>98.0</w:t>
            </w:r>
          </w:p>
        </w:tc>
        <w:tc>
          <w:tcPr>
            <w:tcW w:w="330" w:type="pct"/>
            <w:shd w:val="clear" w:color="auto" w:fill="auto"/>
            <w:vAlign w:val="bottom"/>
          </w:tcPr>
          <w:p w14:paraId="39772487" w14:textId="6F41D74F" w:rsidR="004A5E06" w:rsidRPr="00D92E16" w:rsidRDefault="0037667F" w:rsidP="004A5E06">
            <w:pPr>
              <w:spacing w:after="0"/>
              <w:jc w:val="right"/>
              <w:rPr>
                <w:color w:val="000000"/>
                <w:sz w:val="20"/>
                <w:szCs w:val="20"/>
              </w:rPr>
            </w:pPr>
            <w:r>
              <w:rPr>
                <w:color w:val="000000"/>
                <w:sz w:val="20"/>
                <w:szCs w:val="20"/>
              </w:rPr>
              <w:t>74.5</w:t>
            </w:r>
          </w:p>
        </w:tc>
      </w:tr>
      <w:tr w:rsidR="004A5E06" w:rsidRPr="00D92E16" w14:paraId="47AA1C8D" w14:textId="77777777" w:rsidTr="00071B85">
        <w:trPr>
          <w:trHeight w:val="288"/>
        </w:trPr>
        <w:tc>
          <w:tcPr>
            <w:tcW w:w="842" w:type="pct"/>
            <w:shd w:val="clear" w:color="auto" w:fill="auto"/>
            <w:vAlign w:val="bottom"/>
            <w:hideMark/>
          </w:tcPr>
          <w:p w14:paraId="4B874319" w14:textId="77777777" w:rsidR="004A5E06" w:rsidRPr="009E29EA" w:rsidRDefault="004A5E06" w:rsidP="004A5E06">
            <w:pPr>
              <w:spacing w:after="0"/>
              <w:rPr>
                <w:color w:val="000000" w:themeColor="text1"/>
                <w:sz w:val="20"/>
                <w:szCs w:val="20"/>
              </w:rPr>
            </w:pPr>
            <w:r w:rsidRPr="0C206F83">
              <w:rPr>
                <w:rFonts w:ascii="Calibri" w:eastAsia="Calibri" w:hAnsi="Calibri" w:cs="Calibri"/>
                <w:color w:val="000000" w:themeColor="text1"/>
                <w:sz w:val="20"/>
                <w:szCs w:val="20"/>
              </w:rPr>
              <w:t>Bipolar disorder</w:t>
            </w:r>
          </w:p>
        </w:tc>
        <w:tc>
          <w:tcPr>
            <w:tcW w:w="594" w:type="pct"/>
            <w:shd w:val="clear" w:color="auto" w:fill="auto"/>
            <w:vAlign w:val="bottom"/>
          </w:tcPr>
          <w:p w14:paraId="1F25EEF3" w14:textId="2DB5378F" w:rsidR="004A5E06" w:rsidRPr="00E90BB1" w:rsidRDefault="004A5E06" w:rsidP="004A5E06">
            <w:pPr>
              <w:spacing w:after="0"/>
              <w:jc w:val="right"/>
              <w:rPr>
                <w:color w:val="000000" w:themeColor="text1"/>
                <w:sz w:val="20"/>
                <w:szCs w:val="20"/>
              </w:rPr>
            </w:pPr>
            <w:r>
              <w:rPr>
                <w:color w:val="000000" w:themeColor="text1"/>
                <w:sz w:val="20"/>
                <w:szCs w:val="20"/>
              </w:rPr>
              <w:t>81,653</w:t>
            </w:r>
          </w:p>
        </w:tc>
        <w:tc>
          <w:tcPr>
            <w:tcW w:w="430" w:type="pct"/>
            <w:shd w:val="clear" w:color="auto" w:fill="auto"/>
            <w:vAlign w:val="bottom"/>
          </w:tcPr>
          <w:p w14:paraId="0D4CA417" w14:textId="05602C97" w:rsidR="004A5E06" w:rsidRPr="00D92E16" w:rsidRDefault="004A5E06" w:rsidP="004A5E06">
            <w:pPr>
              <w:spacing w:after="0"/>
              <w:jc w:val="right"/>
              <w:rPr>
                <w:color w:val="000000"/>
                <w:sz w:val="20"/>
                <w:szCs w:val="20"/>
              </w:rPr>
            </w:pPr>
            <w:r>
              <w:rPr>
                <w:color w:val="000000"/>
                <w:sz w:val="20"/>
                <w:szCs w:val="20"/>
              </w:rPr>
              <w:t>74.5</w:t>
            </w:r>
          </w:p>
        </w:tc>
        <w:tc>
          <w:tcPr>
            <w:tcW w:w="592" w:type="pct"/>
            <w:shd w:val="clear" w:color="auto" w:fill="auto"/>
            <w:vAlign w:val="bottom"/>
          </w:tcPr>
          <w:p w14:paraId="503FC897" w14:textId="113C7F43" w:rsidR="004A5E06" w:rsidRPr="00D92E16" w:rsidRDefault="0037667F" w:rsidP="004A5E06">
            <w:pPr>
              <w:spacing w:after="0"/>
              <w:jc w:val="right"/>
              <w:rPr>
                <w:color w:val="000000" w:themeColor="text1"/>
                <w:sz w:val="20"/>
                <w:szCs w:val="20"/>
              </w:rPr>
            </w:pPr>
            <w:r>
              <w:rPr>
                <w:color w:val="000000" w:themeColor="text1"/>
                <w:sz w:val="20"/>
                <w:szCs w:val="20"/>
              </w:rPr>
              <w:t>2,011</w:t>
            </w:r>
          </w:p>
        </w:tc>
        <w:tc>
          <w:tcPr>
            <w:tcW w:w="603" w:type="pct"/>
            <w:shd w:val="clear" w:color="auto" w:fill="auto"/>
            <w:vAlign w:val="bottom"/>
          </w:tcPr>
          <w:p w14:paraId="39FF3893" w14:textId="494B68CA" w:rsidR="004A5E06" w:rsidRPr="00D92E16" w:rsidRDefault="007C23A0" w:rsidP="004A5E06">
            <w:pPr>
              <w:spacing w:after="0"/>
              <w:jc w:val="right"/>
              <w:rPr>
                <w:color w:val="000000"/>
                <w:sz w:val="20"/>
                <w:szCs w:val="20"/>
              </w:rPr>
            </w:pPr>
            <w:r>
              <w:rPr>
                <w:color w:val="000000"/>
                <w:sz w:val="20"/>
                <w:szCs w:val="20"/>
              </w:rPr>
              <w:t>2.5</w:t>
            </w:r>
          </w:p>
        </w:tc>
        <w:tc>
          <w:tcPr>
            <w:tcW w:w="379" w:type="pct"/>
            <w:shd w:val="clear" w:color="auto" w:fill="auto"/>
            <w:vAlign w:val="bottom"/>
          </w:tcPr>
          <w:p w14:paraId="0F2A3293" w14:textId="387B6067" w:rsidR="004A5E06" w:rsidRPr="00D92E16" w:rsidRDefault="0037667F" w:rsidP="004A5E06">
            <w:pPr>
              <w:spacing w:after="0"/>
              <w:jc w:val="right"/>
              <w:rPr>
                <w:color w:val="000000"/>
                <w:sz w:val="20"/>
                <w:szCs w:val="20"/>
              </w:rPr>
            </w:pPr>
            <w:r>
              <w:rPr>
                <w:color w:val="000000"/>
                <w:sz w:val="20"/>
                <w:szCs w:val="20"/>
              </w:rPr>
              <w:t>77.4</w:t>
            </w:r>
          </w:p>
        </w:tc>
        <w:tc>
          <w:tcPr>
            <w:tcW w:w="615" w:type="pct"/>
            <w:shd w:val="clear" w:color="auto" w:fill="auto"/>
            <w:vAlign w:val="bottom"/>
          </w:tcPr>
          <w:p w14:paraId="60E2FCB4" w14:textId="55365AE4" w:rsidR="004A5E06" w:rsidRPr="00D92E16" w:rsidRDefault="00251E52" w:rsidP="004A5E06">
            <w:pPr>
              <w:spacing w:after="0"/>
              <w:jc w:val="right"/>
              <w:rPr>
                <w:color w:val="000000" w:themeColor="text1"/>
                <w:sz w:val="20"/>
                <w:szCs w:val="20"/>
              </w:rPr>
            </w:pPr>
            <w:r>
              <w:rPr>
                <w:color w:val="000000" w:themeColor="text1"/>
                <w:sz w:val="20"/>
                <w:szCs w:val="20"/>
              </w:rPr>
              <w:t>79,642</w:t>
            </w:r>
          </w:p>
        </w:tc>
        <w:tc>
          <w:tcPr>
            <w:tcW w:w="615" w:type="pct"/>
            <w:shd w:val="clear" w:color="auto" w:fill="auto"/>
            <w:vAlign w:val="bottom"/>
          </w:tcPr>
          <w:p w14:paraId="7F057448" w14:textId="4E59FC94" w:rsidR="004A5E06" w:rsidRPr="00D92E16" w:rsidRDefault="007C23A0" w:rsidP="004A5E06">
            <w:pPr>
              <w:spacing w:after="0"/>
              <w:jc w:val="right"/>
              <w:rPr>
                <w:color w:val="000000"/>
                <w:sz w:val="20"/>
                <w:szCs w:val="20"/>
              </w:rPr>
            </w:pPr>
            <w:r>
              <w:rPr>
                <w:color w:val="000000"/>
                <w:sz w:val="20"/>
                <w:szCs w:val="20"/>
              </w:rPr>
              <w:t>97.5</w:t>
            </w:r>
          </w:p>
        </w:tc>
        <w:tc>
          <w:tcPr>
            <w:tcW w:w="330" w:type="pct"/>
            <w:shd w:val="clear" w:color="auto" w:fill="auto"/>
            <w:vAlign w:val="bottom"/>
          </w:tcPr>
          <w:p w14:paraId="0F4AE7C5" w14:textId="2020C3C8" w:rsidR="004A5E06" w:rsidRPr="00D92E16" w:rsidRDefault="00251E52" w:rsidP="004A5E06">
            <w:pPr>
              <w:spacing w:after="0"/>
              <w:jc w:val="right"/>
              <w:rPr>
                <w:color w:val="000000"/>
                <w:sz w:val="20"/>
                <w:szCs w:val="20"/>
              </w:rPr>
            </w:pPr>
            <w:r>
              <w:rPr>
                <w:color w:val="000000"/>
                <w:sz w:val="20"/>
                <w:szCs w:val="20"/>
              </w:rPr>
              <w:t>74.4</w:t>
            </w:r>
          </w:p>
        </w:tc>
      </w:tr>
      <w:tr w:rsidR="004A5E06" w:rsidRPr="00D92E16" w14:paraId="351BBFBC" w14:textId="77777777" w:rsidTr="00071B85">
        <w:trPr>
          <w:cantSplit/>
          <w:trHeight w:val="288"/>
        </w:trPr>
        <w:tc>
          <w:tcPr>
            <w:tcW w:w="842" w:type="pct"/>
            <w:shd w:val="clear" w:color="auto" w:fill="auto"/>
            <w:vAlign w:val="bottom"/>
            <w:hideMark/>
          </w:tcPr>
          <w:p w14:paraId="64161899" w14:textId="77777777" w:rsidR="004A5E06" w:rsidRPr="00E90BB1" w:rsidRDefault="004A5E06" w:rsidP="004A5E06">
            <w:pPr>
              <w:spacing w:after="0"/>
              <w:rPr>
                <w:b/>
                <w:bCs/>
                <w:color w:val="000000" w:themeColor="text1"/>
                <w:sz w:val="20"/>
                <w:szCs w:val="20"/>
              </w:rPr>
            </w:pPr>
            <w:r w:rsidRPr="0C206F83">
              <w:rPr>
                <w:rFonts w:ascii="Calibri" w:eastAsia="Calibri" w:hAnsi="Calibri" w:cs="Calibri"/>
                <w:b/>
                <w:bCs/>
                <w:color w:val="000000" w:themeColor="text1"/>
                <w:sz w:val="20"/>
                <w:szCs w:val="20"/>
              </w:rPr>
              <w:t>Overall</w:t>
            </w:r>
          </w:p>
        </w:tc>
        <w:tc>
          <w:tcPr>
            <w:tcW w:w="594" w:type="pct"/>
            <w:shd w:val="clear" w:color="auto" w:fill="auto"/>
            <w:vAlign w:val="bottom"/>
          </w:tcPr>
          <w:p w14:paraId="3EBA9B72" w14:textId="1C212C89" w:rsidR="004A5E06" w:rsidRPr="00E90BB1" w:rsidRDefault="004A5E06" w:rsidP="004A5E06">
            <w:pPr>
              <w:spacing w:after="0"/>
              <w:jc w:val="right"/>
              <w:rPr>
                <w:color w:val="000000" w:themeColor="text1"/>
                <w:sz w:val="20"/>
                <w:szCs w:val="20"/>
              </w:rPr>
            </w:pPr>
            <w:r>
              <w:rPr>
                <w:sz w:val="20"/>
                <w:szCs w:val="20"/>
              </w:rPr>
              <w:t>308,556</w:t>
            </w:r>
          </w:p>
        </w:tc>
        <w:tc>
          <w:tcPr>
            <w:tcW w:w="430" w:type="pct"/>
            <w:shd w:val="clear" w:color="auto" w:fill="auto"/>
            <w:vAlign w:val="bottom"/>
          </w:tcPr>
          <w:p w14:paraId="17EA338B" w14:textId="559B629D" w:rsidR="004A5E06" w:rsidRPr="00D92E16" w:rsidRDefault="004A5E06" w:rsidP="004A5E06">
            <w:pPr>
              <w:spacing w:after="0"/>
              <w:jc w:val="right"/>
              <w:rPr>
                <w:color w:val="000000"/>
                <w:sz w:val="20"/>
                <w:szCs w:val="20"/>
              </w:rPr>
            </w:pPr>
            <w:r>
              <w:rPr>
                <w:rFonts w:ascii="Calibri" w:hAnsi="Calibri"/>
                <w:color w:val="000000"/>
                <w:sz w:val="20"/>
                <w:szCs w:val="20"/>
              </w:rPr>
              <w:t>74.3</w:t>
            </w:r>
          </w:p>
        </w:tc>
        <w:tc>
          <w:tcPr>
            <w:tcW w:w="592" w:type="pct"/>
            <w:shd w:val="clear" w:color="auto" w:fill="auto"/>
            <w:vAlign w:val="bottom"/>
          </w:tcPr>
          <w:p w14:paraId="0EC807C8" w14:textId="627319EF" w:rsidR="004A5E06" w:rsidRPr="00D92E16" w:rsidRDefault="007D0F5D" w:rsidP="004A5E06">
            <w:pPr>
              <w:spacing w:after="0"/>
              <w:jc w:val="right"/>
              <w:rPr>
                <w:color w:val="000000" w:themeColor="text1"/>
                <w:sz w:val="20"/>
                <w:szCs w:val="20"/>
              </w:rPr>
            </w:pPr>
            <w:r>
              <w:rPr>
                <w:color w:val="000000" w:themeColor="text1"/>
                <w:sz w:val="20"/>
                <w:szCs w:val="20"/>
              </w:rPr>
              <w:t>7,278</w:t>
            </w:r>
          </w:p>
        </w:tc>
        <w:tc>
          <w:tcPr>
            <w:tcW w:w="603" w:type="pct"/>
            <w:shd w:val="clear" w:color="auto" w:fill="auto"/>
            <w:vAlign w:val="bottom"/>
          </w:tcPr>
          <w:p w14:paraId="2ADF448C" w14:textId="7B224BE7" w:rsidR="004A5E06" w:rsidRPr="00D92E16" w:rsidRDefault="007C23A0" w:rsidP="004A5E06">
            <w:pPr>
              <w:spacing w:after="0"/>
              <w:jc w:val="right"/>
              <w:rPr>
                <w:color w:val="000000"/>
                <w:sz w:val="20"/>
                <w:szCs w:val="20"/>
              </w:rPr>
            </w:pPr>
            <w:r>
              <w:rPr>
                <w:color w:val="000000"/>
                <w:sz w:val="20"/>
                <w:szCs w:val="20"/>
              </w:rPr>
              <w:t>2.4</w:t>
            </w:r>
          </w:p>
        </w:tc>
        <w:tc>
          <w:tcPr>
            <w:tcW w:w="379" w:type="pct"/>
            <w:shd w:val="clear" w:color="auto" w:fill="auto"/>
            <w:vAlign w:val="bottom"/>
          </w:tcPr>
          <w:p w14:paraId="52556DE0" w14:textId="2EBE566B" w:rsidR="004A5E06" w:rsidRPr="00D92E16" w:rsidRDefault="007D0F5D" w:rsidP="004A5E06">
            <w:pPr>
              <w:spacing w:after="0"/>
              <w:jc w:val="right"/>
              <w:rPr>
                <w:color w:val="000000"/>
                <w:sz w:val="20"/>
                <w:szCs w:val="20"/>
              </w:rPr>
            </w:pPr>
            <w:r>
              <w:rPr>
                <w:color w:val="000000"/>
                <w:sz w:val="20"/>
                <w:szCs w:val="20"/>
              </w:rPr>
              <w:t>76.9</w:t>
            </w:r>
          </w:p>
        </w:tc>
        <w:tc>
          <w:tcPr>
            <w:tcW w:w="615" w:type="pct"/>
            <w:shd w:val="clear" w:color="auto" w:fill="auto"/>
            <w:vAlign w:val="bottom"/>
          </w:tcPr>
          <w:p w14:paraId="3264FB00" w14:textId="3A6E5C7A" w:rsidR="004A5E06" w:rsidRPr="00D92E16" w:rsidRDefault="007D0F5D" w:rsidP="004A5E06">
            <w:pPr>
              <w:spacing w:after="0"/>
              <w:jc w:val="right"/>
              <w:rPr>
                <w:color w:val="000000" w:themeColor="text1"/>
                <w:sz w:val="20"/>
                <w:szCs w:val="20"/>
              </w:rPr>
            </w:pPr>
            <w:r>
              <w:rPr>
                <w:color w:val="000000" w:themeColor="text1"/>
                <w:sz w:val="20"/>
                <w:szCs w:val="20"/>
              </w:rPr>
              <w:t>301,278</w:t>
            </w:r>
          </w:p>
        </w:tc>
        <w:tc>
          <w:tcPr>
            <w:tcW w:w="615" w:type="pct"/>
            <w:shd w:val="clear" w:color="auto" w:fill="auto"/>
            <w:vAlign w:val="bottom"/>
          </w:tcPr>
          <w:p w14:paraId="66FDF38F" w14:textId="71DA9DD8" w:rsidR="004A5E06" w:rsidRPr="00D92E16" w:rsidRDefault="007C23A0" w:rsidP="004A5E06">
            <w:pPr>
              <w:spacing w:after="0"/>
              <w:jc w:val="right"/>
              <w:rPr>
                <w:color w:val="000000"/>
                <w:sz w:val="20"/>
                <w:szCs w:val="20"/>
              </w:rPr>
            </w:pPr>
            <w:r>
              <w:rPr>
                <w:color w:val="000000"/>
                <w:sz w:val="20"/>
                <w:szCs w:val="20"/>
              </w:rPr>
              <w:t>97.6</w:t>
            </w:r>
          </w:p>
        </w:tc>
        <w:tc>
          <w:tcPr>
            <w:tcW w:w="330" w:type="pct"/>
            <w:shd w:val="clear" w:color="auto" w:fill="auto"/>
            <w:vAlign w:val="bottom"/>
          </w:tcPr>
          <w:p w14:paraId="37759682" w14:textId="05DF95AF" w:rsidR="004A5E06" w:rsidRPr="00D92E16" w:rsidRDefault="007D0F5D" w:rsidP="004A5E06">
            <w:pPr>
              <w:spacing w:after="0"/>
              <w:jc w:val="right"/>
              <w:rPr>
                <w:color w:val="000000"/>
                <w:sz w:val="20"/>
                <w:szCs w:val="20"/>
              </w:rPr>
            </w:pPr>
            <w:r>
              <w:rPr>
                <w:color w:val="000000"/>
                <w:sz w:val="20"/>
                <w:szCs w:val="20"/>
              </w:rPr>
              <w:t>74.3</w:t>
            </w:r>
          </w:p>
        </w:tc>
      </w:tr>
    </w:tbl>
    <w:p w14:paraId="5BFD9EE1" w14:textId="77777777" w:rsidR="00BD4785" w:rsidRPr="00E96914" w:rsidRDefault="00BD4785" w:rsidP="00BD4785">
      <w:pPr>
        <w:pStyle w:val="BodyText"/>
        <w:ind w:left="90"/>
        <w:rPr>
          <w:b/>
          <w:bCs/>
          <w:color w:val="FF0000"/>
          <w:sz w:val="22"/>
          <w:szCs w:val="22"/>
        </w:rPr>
      </w:pPr>
      <w:r w:rsidRPr="00F32679">
        <w:rPr>
          <w:rFonts w:ascii="Calibri" w:eastAsia="Calibri" w:hAnsi="Calibri" w:cs="Calibri"/>
          <w:color w:val="FF0000"/>
          <w:sz w:val="18"/>
          <w:szCs w:val="18"/>
        </w:rPr>
        <w:t>Source:</w:t>
      </w:r>
      <w:r w:rsidRPr="00F32679">
        <w:rPr>
          <w:rFonts w:ascii="Calibri" w:eastAsia="Calibri" w:hAnsi="Calibri" w:cs="Calibri"/>
          <w:color w:val="FF0000"/>
          <w:sz w:val="18"/>
          <w:szCs w:val="18"/>
        </w:rPr>
        <w:tab/>
        <w:t xml:space="preserve">Mathematica analysis of the Medicare </w:t>
      </w:r>
      <w:r>
        <w:rPr>
          <w:rFonts w:ascii="Calibri" w:eastAsia="Calibri" w:hAnsi="Calibri" w:cs="Calibri"/>
          <w:color w:val="FF0000"/>
          <w:sz w:val="18"/>
          <w:szCs w:val="18"/>
        </w:rPr>
        <w:t>f</w:t>
      </w:r>
      <w:r w:rsidRPr="00F32679">
        <w:rPr>
          <w:rFonts w:ascii="Calibri" w:eastAsia="Calibri" w:hAnsi="Calibri" w:cs="Calibri"/>
          <w:color w:val="FF0000"/>
          <w:sz w:val="18"/>
          <w:szCs w:val="18"/>
        </w:rPr>
        <w:t>ee</w:t>
      </w:r>
      <w:r>
        <w:rPr>
          <w:rFonts w:ascii="Calibri" w:eastAsia="Calibri" w:hAnsi="Calibri" w:cs="Calibri"/>
          <w:color w:val="FF0000"/>
          <w:sz w:val="18"/>
          <w:szCs w:val="18"/>
        </w:rPr>
        <w:t>-</w:t>
      </w:r>
      <w:r w:rsidRPr="00F32679">
        <w:rPr>
          <w:rFonts w:ascii="Calibri" w:eastAsia="Calibri" w:hAnsi="Calibri" w:cs="Calibri"/>
          <w:color w:val="FF0000"/>
          <w:sz w:val="18"/>
          <w:szCs w:val="18"/>
        </w:rPr>
        <w:t>for</w:t>
      </w:r>
      <w:r>
        <w:rPr>
          <w:rFonts w:ascii="Calibri" w:eastAsia="Calibri" w:hAnsi="Calibri" w:cs="Calibri"/>
          <w:color w:val="FF0000"/>
          <w:sz w:val="18"/>
          <w:szCs w:val="18"/>
        </w:rPr>
        <w:t>-s</w:t>
      </w:r>
      <w:r w:rsidRPr="00F32679">
        <w:rPr>
          <w:rFonts w:ascii="Calibri" w:eastAsia="Calibri" w:hAnsi="Calibri" w:cs="Calibri"/>
          <w:color w:val="FF0000"/>
          <w:sz w:val="18"/>
          <w:szCs w:val="18"/>
        </w:rPr>
        <w:t>ervice (FFS) data for the July 1, 2017</w:t>
      </w:r>
      <w:r>
        <w:rPr>
          <w:rFonts w:ascii="Calibri" w:eastAsia="Calibri" w:hAnsi="Calibri" w:cs="Calibri"/>
          <w:color w:val="FF0000"/>
          <w:sz w:val="18"/>
          <w:szCs w:val="18"/>
        </w:rPr>
        <w:t>–</w:t>
      </w:r>
      <w:r w:rsidRPr="00F32679">
        <w:rPr>
          <w:rFonts w:ascii="Calibri" w:eastAsia="Calibri" w:hAnsi="Calibri" w:cs="Calibri"/>
          <w:color w:val="FF0000"/>
          <w:sz w:val="18"/>
          <w:szCs w:val="18"/>
        </w:rPr>
        <w:t xml:space="preserve"> June 30, 2019 performance period.</w:t>
      </w:r>
    </w:p>
    <w:p w14:paraId="0EF49552" w14:textId="77777777" w:rsidR="005B164E" w:rsidRDefault="005B164E" w:rsidP="00F32679">
      <w:pPr>
        <w:keepNext/>
        <w:spacing w:before="120" w:after="0" w:line="240" w:lineRule="auto"/>
        <w:rPr>
          <w:rFonts w:ascii="Calibri" w:eastAsia="Arial" w:hAnsi="Calibri" w:cs="Arial"/>
          <w:b/>
          <w:bCs/>
          <w:color w:val="FF0000"/>
          <w:sz w:val="20"/>
          <w:szCs w:val="20"/>
        </w:rPr>
      </w:pPr>
    </w:p>
    <w:p w14:paraId="3F391A6E" w14:textId="7389F7CE" w:rsidR="00F32679" w:rsidRPr="005E0E3B" w:rsidRDefault="00F32679" w:rsidP="00F32679">
      <w:pPr>
        <w:keepNext/>
        <w:spacing w:before="120" w:after="0" w:line="240" w:lineRule="auto"/>
        <w:rPr>
          <w:rFonts w:ascii="Calibri" w:eastAsia="Arial" w:hAnsi="Calibri" w:cs="Arial"/>
          <w:b/>
          <w:bCs/>
          <w:sz w:val="20"/>
          <w:szCs w:val="20"/>
        </w:rPr>
      </w:pPr>
      <w:r w:rsidRPr="00E96914">
        <w:rPr>
          <w:rFonts w:ascii="Calibri" w:eastAsia="Arial" w:hAnsi="Calibri" w:cs="Arial"/>
          <w:b/>
          <w:bCs/>
          <w:color w:val="FF0000"/>
          <w:sz w:val="20"/>
          <w:szCs w:val="20"/>
        </w:rPr>
        <w:t xml:space="preserve">Table </w:t>
      </w:r>
      <w:r w:rsidRPr="00E96914">
        <w:rPr>
          <w:rFonts w:ascii="Calibri" w:eastAsia="Arial" w:hAnsi="Calibri"/>
          <w:b/>
          <w:color w:val="FF0000"/>
          <w:sz w:val="20"/>
        </w:rPr>
        <w:t>2b</w:t>
      </w:r>
      <w:r w:rsidR="00E96914">
        <w:rPr>
          <w:rFonts w:ascii="Calibri" w:eastAsia="Arial" w:hAnsi="Calibri"/>
          <w:b/>
          <w:color w:val="FF0000"/>
          <w:sz w:val="20"/>
        </w:rPr>
        <w:t>2</w:t>
      </w:r>
      <w:r w:rsidRPr="00E96914">
        <w:rPr>
          <w:rFonts w:ascii="Calibri" w:eastAsia="Arial" w:hAnsi="Calibri"/>
          <w:b/>
          <w:color w:val="FF0000"/>
          <w:sz w:val="20"/>
        </w:rPr>
        <w:t>.2</w:t>
      </w:r>
      <w:r w:rsidRPr="00E96914">
        <w:rPr>
          <w:rFonts w:ascii="Calibri" w:eastAsia="Arial" w:hAnsi="Calibri" w:cs="Arial"/>
          <w:b/>
          <w:bCs/>
          <w:color w:val="FF0000"/>
          <w:sz w:val="20"/>
          <w:szCs w:val="20"/>
        </w:rPr>
        <w:t xml:space="preserve">E. </w:t>
      </w:r>
      <w:r w:rsidR="00E96914">
        <w:rPr>
          <w:rFonts w:ascii="Calibri" w:eastAsia="Arial" w:hAnsi="Calibri" w:cs="Arial"/>
          <w:b/>
          <w:bCs/>
          <w:color w:val="FF0000"/>
          <w:sz w:val="20"/>
          <w:szCs w:val="20"/>
        </w:rPr>
        <w:t>Frequency of exclusion for primary diagnosis of s</w:t>
      </w:r>
      <w:r w:rsidRPr="00E96914">
        <w:rPr>
          <w:rFonts w:ascii="Calibri" w:eastAsia="Arial" w:hAnsi="Calibri" w:cs="Arial"/>
          <w:b/>
          <w:bCs/>
          <w:color w:val="FF0000"/>
          <w:sz w:val="20"/>
          <w:szCs w:val="20"/>
        </w:rPr>
        <w:t xml:space="preserve">chizophrenia and </w:t>
      </w:r>
      <w:r w:rsidR="00E96914">
        <w:rPr>
          <w:rFonts w:ascii="Calibri" w:eastAsia="Arial" w:hAnsi="Calibri" w:cs="Arial"/>
          <w:b/>
          <w:bCs/>
          <w:color w:val="FF0000"/>
          <w:sz w:val="20"/>
          <w:szCs w:val="20"/>
        </w:rPr>
        <w:t>s</w:t>
      </w:r>
      <w:r w:rsidRPr="00E96914">
        <w:rPr>
          <w:rFonts w:ascii="Calibri" w:eastAsia="Arial" w:hAnsi="Calibri" w:cs="Arial"/>
          <w:b/>
          <w:bCs/>
          <w:color w:val="FF0000"/>
          <w:sz w:val="20"/>
          <w:szCs w:val="20"/>
        </w:rPr>
        <w:t xml:space="preserve">econdary </w:t>
      </w:r>
      <w:r w:rsidR="00E96914">
        <w:rPr>
          <w:rFonts w:ascii="Calibri" w:eastAsia="Arial" w:hAnsi="Calibri" w:cs="Arial"/>
          <w:b/>
          <w:bCs/>
          <w:color w:val="FF0000"/>
          <w:sz w:val="20"/>
          <w:szCs w:val="20"/>
        </w:rPr>
        <w:t>diagnosis of dementia</w:t>
      </w:r>
      <w:r w:rsidR="001C5FFB">
        <w:rPr>
          <w:rFonts w:ascii="Calibri" w:eastAsia="Arial" w:hAnsi="Calibri" w:cs="Arial"/>
          <w:b/>
          <w:bCs/>
          <w:color w:val="FF0000"/>
          <w:sz w:val="20"/>
          <w:szCs w:val="20"/>
        </w:rPr>
        <w:t xml:space="preserve"> </w:t>
      </w:r>
      <w:r w:rsidR="001C5FFB" w:rsidRPr="001C5FFB">
        <w:rPr>
          <w:rFonts w:ascii="Calibri" w:eastAsia="Arial" w:hAnsi="Calibri" w:cs="Arial"/>
          <w:b/>
          <w:bCs/>
          <w:color w:val="FF0000"/>
          <w:sz w:val="20"/>
          <w:szCs w:val="20"/>
        </w:rPr>
        <w:t>and performance rates with and without exclusion</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1168"/>
        <w:gridCol w:w="632"/>
        <w:gridCol w:w="1169"/>
        <w:gridCol w:w="1113"/>
        <w:gridCol w:w="688"/>
        <w:gridCol w:w="1081"/>
        <w:gridCol w:w="1171"/>
        <w:gridCol w:w="913"/>
      </w:tblGrid>
      <w:tr w:rsidR="00F32679" w:rsidRPr="006D5260" w14:paraId="670E8DA4" w14:textId="77777777" w:rsidTr="00B54D66">
        <w:trPr>
          <w:trHeight w:val="288"/>
        </w:trPr>
        <w:tc>
          <w:tcPr>
            <w:tcW w:w="757" w:type="pct"/>
            <w:vMerge w:val="restart"/>
            <w:shd w:val="clear" w:color="auto" w:fill="365F91" w:themeFill="accent1" w:themeFillShade="BF"/>
            <w:vAlign w:val="bottom"/>
            <w:hideMark/>
          </w:tcPr>
          <w:p w14:paraId="0CB7CE9F" w14:textId="2E147874" w:rsidR="00F32679" w:rsidRPr="00A3368A" w:rsidRDefault="00F32679" w:rsidP="00F32679">
            <w:pPr>
              <w:keepNext/>
              <w:spacing w:after="0"/>
              <w:rPr>
                <w:b/>
                <w:bCs/>
                <w:color w:val="FFFFFF" w:themeColor="background1"/>
                <w:sz w:val="20"/>
                <w:szCs w:val="20"/>
              </w:rPr>
            </w:pPr>
            <w:r w:rsidRPr="0C206F83">
              <w:rPr>
                <w:b/>
                <w:bCs/>
                <w:color w:val="FFFFFF" w:themeColor="background1"/>
                <w:sz w:val="20"/>
                <w:szCs w:val="20"/>
              </w:rPr>
              <w:t xml:space="preserve">Principal </w:t>
            </w:r>
            <w:r w:rsidR="00AD4449">
              <w:rPr>
                <w:b/>
                <w:bCs/>
                <w:color w:val="FFFFFF" w:themeColor="background1"/>
                <w:sz w:val="20"/>
                <w:szCs w:val="20"/>
              </w:rPr>
              <w:t>c</w:t>
            </w:r>
            <w:r w:rsidRPr="0C206F83">
              <w:rPr>
                <w:rFonts w:ascii="Calibri" w:eastAsia="Calibri" w:hAnsi="Calibri" w:cs="Calibri"/>
                <w:b/>
                <w:bCs/>
                <w:color w:val="FFFFFF" w:themeColor="background1"/>
                <w:sz w:val="20"/>
                <w:szCs w:val="20"/>
              </w:rPr>
              <w:t>ondition</w:t>
            </w:r>
          </w:p>
        </w:tc>
        <w:tc>
          <w:tcPr>
            <w:tcW w:w="963" w:type="pct"/>
            <w:gridSpan w:val="2"/>
            <w:shd w:val="clear" w:color="auto" w:fill="365F91" w:themeFill="accent1" w:themeFillShade="BF"/>
            <w:noWrap/>
            <w:vAlign w:val="bottom"/>
            <w:hideMark/>
          </w:tcPr>
          <w:p w14:paraId="027E6961" w14:textId="2A0FD5C0" w:rsidR="00F32679" w:rsidRPr="00A3368A" w:rsidRDefault="00F32679" w:rsidP="00F32679">
            <w:pPr>
              <w:keepNext/>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xml:space="preserve">All IPF </w:t>
            </w:r>
            <w:r w:rsidR="00071B85">
              <w:rPr>
                <w:rFonts w:ascii="Calibri" w:eastAsia="Calibri" w:hAnsi="Calibri" w:cs="Calibri"/>
                <w:b/>
                <w:bCs/>
                <w:color w:val="FFFFFF" w:themeColor="background1"/>
                <w:sz w:val="20"/>
                <w:szCs w:val="20"/>
              </w:rPr>
              <w:t>discharges</w:t>
            </w:r>
          </w:p>
        </w:tc>
        <w:tc>
          <w:tcPr>
            <w:tcW w:w="1588" w:type="pct"/>
            <w:gridSpan w:val="3"/>
            <w:shd w:val="clear" w:color="auto" w:fill="365F91" w:themeFill="accent1" w:themeFillShade="BF"/>
            <w:noWrap/>
            <w:vAlign w:val="bottom"/>
            <w:hideMark/>
          </w:tcPr>
          <w:p w14:paraId="469D69E2" w14:textId="1294E97C" w:rsidR="00F32679" w:rsidRPr="00A3368A" w:rsidRDefault="00AD4449" w:rsidP="00F32679">
            <w:pPr>
              <w:keepNext/>
              <w:spacing w:after="0"/>
              <w:jc w:val="center"/>
              <w:rPr>
                <w:b/>
                <w:bCs/>
                <w:color w:val="FFFFFF" w:themeColor="background1"/>
                <w:sz w:val="20"/>
                <w:szCs w:val="20"/>
              </w:rPr>
            </w:pPr>
            <w:r>
              <w:rPr>
                <w:rFonts w:ascii="Calibri" w:eastAsia="Calibri" w:hAnsi="Calibri" w:cs="Calibri"/>
                <w:b/>
                <w:bCs/>
                <w:color w:val="FFFFFF" w:themeColor="background1"/>
                <w:sz w:val="20"/>
                <w:szCs w:val="20"/>
              </w:rPr>
              <w:t xml:space="preserve">Schizophrenia </w:t>
            </w:r>
            <w:r w:rsidR="00071B85">
              <w:rPr>
                <w:rFonts w:ascii="Calibri" w:eastAsia="Calibri" w:hAnsi="Calibri" w:cs="Calibri"/>
                <w:b/>
                <w:bCs/>
                <w:color w:val="FFFFFF" w:themeColor="background1"/>
                <w:sz w:val="20"/>
                <w:szCs w:val="20"/>
              </w:rPr>
              <w:t>discharges</w:t>
            </w:r>
            <w:r>
              <w:rPr>
                <w:rFonts w:ascii="Calibri" w:eastAsia="Calibri" w:hAnsi="Calibri" w:cs="Calibri"/>
                <w:b/>
                <w:bCs/>
                <w:color w:val="FFFFFF" w:themeColor="background1"/>
                <w:sz w:val="20"/>
                <w:szCs w:val="20"/>
              </w:rPr>
              <w:t xml:space="preserve"> with s</w:t>
            </w:r>
            <w:r w:rsidR="00F32679" w:rsidRPr="0C206F83">
              <w:rPr>
                <w:rFonts w:ascii="Calibri" w:eastAsia="Calibri" w:hAnsi="Calibri" w:cs="Calibri"/>
                <w:b/>
                <w:bCs/>
                <w:color w:val="FFFFFF" w:themeColor="background1"/>
                <w:sz w:val="20"/>
                <w:szCs w:val="20"/>
              </w:rPr>
              <w:t xml:space="preserve">econdary </w:t>
            </w:r>
            <w:r>
              <w:rPr>
                <w:rFonts w:ascii="Calibri" w:eastAsia="Calibri" w:hAnsi="Calibri" w:cs="Calibri"/>
                <w:b/>
                <w:bCs/>
                <w:color w:val="FFFFFF" w:themeColor="background1"/>
                <w:sz w:val="20"/>
                <w:szCs w:val="20"/>
              </w:rPr>
              <w:t>diagnosis of d</w:t>
            </w:r>
            <w:r w:rsidR="00F32679" w:rsidRPr="0C206F83">
              <w:rPr>
                <w:rFonts w:ascii="Calibri" w:eastAsia="Calibri" w:hAnsi="Calibri" w:cs="Calibri"/>
                <w:b/>
                <w:bCs/>
                <w:color w:val="FFFFFF" w:themeColor="background1"/>
                <w:sz w:val="20"/>
                <w:szCs w:val="20"/>
              </w:rPr>
              <w:t>ementia</w:t>
            </w:r>
          </w:p>
        </w:tc>
        <w:tc>
          <w:tcPr>
            <w:tcW w:w="1693" w:type="pct"/>
            <w:gridSpan w:val="3"/>
            <w:shd w:val="clear" w:color="auto" w:fill="365F91" w:themeFill="accent1" w:themeFillShade="BF"/>
            <w:noWrap/>
            <w:vAlign w:val="bottom"/>
            <w:hideMark/>
          </w:tcPr>
          <w:p w14:paraId="1FF3CD0F" w14:textId="0E5F73CC" w:rsidR="00F32679" w:rsidRPr="00A3368A" w:rsidRDefault="00AD4449" w:rsidP="00F32679">
            <w:pPr>
              <w:keepNext/>
              <w:spacing w:after="0"/>
              <w:jc w:val="center"/>
              <w:rPr>
                <w:b/>
                <w:bCs/>
                <w:color w:val="FFFFFF" w:themeColor="background1"/>
                <w:sz w:val="20"/>
                <w:szCs w:val="20"/>
              </w:rPr>
            </w:pPr>
            <w:r>
              <w:rPr>
                <w:rFonts w:ascii="Calibri" w:eastAsia="Calibri" w:hAnsi="Calibri" w:cs="Calibri"/>
                <w:b/>
                <w:bCs/>
                <w:color w:val="FFFFFF" w:themeColor="background1"/>
                <w:sz w:val="20"/>
                <w:szCs w:val="20"/>
              </w:rPr>
              <w:t xml:space="preserve">Schizophrenia </w:t>
            </w:r>
            <w:r w:rsidR="00071B85">
              <w:rPr>
                <w:rFonts w:ascii="Calibri" w:eastAsia="Calibri" w:hAnsi="Calibri" w:cs="Calibri"/>
                <w:b/>
                <w:bCs/>
                <w:color w:val="FFFFFF" w:themeColor="background1"/>
                <w:sz w:val="20"/>
                <w:szCs w:val="20"/>
              </w:rPr>
              <w:t>discharges</w:t>
            </w:r>
            <w:r>
              <w:rPr>
                <w:rFonts w:ascii="Calibri" w:eastAsia="Calibri" w:hAnsi="Calibri" w:cs="Calibri"/>
                <w:b/>
                <w:bCs/>
                <w:color w:val="FFFFFF" w:themeColor="background1"/>
                <w:sz w:val="20"/>
                <w:szCs w:val="20"/>
              </w:rPr>
              <w:t xml:space="preserve"> without secondary diagnosis of</w:t>
            </w:r>
            <w:r w:rsidR="00F32679" w:rsidRPr="0C206F83">
              <w:rPr>
                <w:rFonts w:ascii="Calibri" w:eastAsia="Calibri" w:hAnsi="Calibri" w:cs="Calibri"/>
                <w:b/>
                <w:bCs/>
                <w:color w:val="FFFFFF" w:themeColor="background1"/>
                <w:sz w:val="20"/>
                <w:szCs w:val="20"/>
              </w:rPr>
              <w:t xml:space="preserve"> </w:t>
            </w:r>
            <w:r>
              <w:rPr>
                <w:rFonts w:ascii="Calibri" w:eastAsia="Calibri" w:hAnsi="Calibri" w:cs="Calibri"/>
                <w:b/>
                <w:bCs/>
                <w:color w:val="FFFFFF" w:themeColor="background1"/>
                <w:sz w:val="20"/>
                <w:szCs w:val="20"/>
              </w:rPr>
              <w:t>d</w:t>
            </w:r>
            <w:r w:rsidR="00F32679" w:rsidRPr="0C206F83">
              <w:rPr>
                <w:rFonts w:ascii="Calibri" w:eastAsia="Calibri" w:hAnsi="Calibri" w:cs="Calibri"/>
                <w:b/>
                <w:bCs/>
                <w:color w:val="FFFFFF" w:themeColor="background1"/>
                <w:sz w:val="20"/>
                <w:szCs w:val="20"/>
              </w:rPr>
              <w:t>ementia</w:t>
            </w:r>
          </w:p>
        </w:tc>
      </w:tr>
      <w:tr w:rsidR="00B54D66" w:rsidRPr="006D5260" w14:paraId="02603DCB" w14:textId="77777777" w:rsidTr="00B54D66">
        <w:trPr>
          <w:trHeight w:val="288"/>
        </w:trPr>
        <w:tc>
          <w:tcPr>
            <w:tcW w:w="757" w:type="pct"/>
            <w:vMerge/>
            <w:shd w:val="clear" w:color="auto" w:fill="365F91" w:themeFill="accent1" w:themeFillShade="BF"/>
            <w:vAlign w:val="center"/>
            <w:hideMark/>
          </w:tcPr>
          <w:p w14:paraId="345CBA93" w14:textId="77777777" w:rsidR="00F32679" w:rsidRPr="00A3368A" w:rsidRDefault="00F32679" w:rsidP="00F32679">
            <w:pPr>
              <w:spacing w:after="0"/>
              <w:rPr>
                <w:b/>
                <w:color w:val="FFFFFF" w:themeColor="background1"/>
                <w:sz w:val="20"/>
                <w:szCs w:val="20"/>
              </w:rPr>
            </w:pPr>
          </w:p>
        </w:tc>
        <w:tc>
          <w:tcPr>
            <w:tcW w:w="625" w:type="pct"/>
            <w:shd w:val="clear" w:color="auto" w:fill="365F91" w:themeFill="accent1" w:themeFillShade="BF"/>
            <w:vAlign w:val="bottom"/>
            <w:hideMark/>
          </w:tcPr>
          <w:p w14:paraId="646E65C1" w14:textId="77777777" w:rsidR="00F32679" w:rsidRPr="00A3368A"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338" w:type="pct"/>
            <w:shd w:val="clear" w:color="auto" w:fill="365F91" w:themeFill="accent1" w:themeFillShade="BF"/>
            <w:vAlign w:val="bottom"/>
            <w:hideMark/>
          </w:tcPr>
          <w:p w14:paraId="7A427A78" w14:textId="6BF1A636" w:rsidR="00F32679" w:rsidRPr="00A3368A" w:rsidRDefault="00355603" w:rsidP="00F32679">
            <w:pPr>
              <w:spacing w:after="0"/>
              <w:jc w:val="center"/>
              <w:rPr>
                <w:b/>
                <w:bCs/>
                <w:color w:val="FFFFFF" w:themeColor="background1"/>
                <w:sz w:val="20"/>
                <w:szCs w:val="20"/>
              </w:rPr>
            </w:pPr>
            <w:r>
              <w:rPr>
                <w:b/>
                <w:bCs/>
                <w:color w:val="FFFFFF" w:themeColor="background1"/>
                <w:sz w:val="20"/>
                <w:szCs w:val="20"/>
              </w:rPr>
              <w:t>Perf rate</w:t>
            </w:r>
          </w:p>
        </w:tc>
        <w:tc>
          <w:tcPr>
            <w:tcW w:w="625" w:type="pct"/>
            <w:shd w:val="clear" w:color="auto" w:fill="365F91" w:themeFill="accent1" w:themeFillShade="BF"/>
            <w:vAlign w:val="bottom"/>
            <w:hideMark/>
          </w:tcPr>
          <w:p w14:paraId="63615A3B" w14:textId="77777777" w:rsidR="00F32679" w:rsidRPr="00A3368A"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595" w:type="pct"/>
            <w:shd w:val="clear" w:color="auto" w:fill="365F91" w:themeFill="accent1" w:themeFillShade="BF"/>
            <w:vAlign w:val="bottom"/>
            <w:hideMark/>
          </w:tcPr>
          <w:p w14:paraId="28CF8764" w14:textId="1416AFF7" w:rsidR="00F32679" w:rsidRPr="00A3368A"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xml:space="preserve">% </w:t>
            </w:r>
            <w:r w:rsidR="00071B85">
              <w:rPr>
                <w:rFonts w:ascii="Calibri" w:eastAsia="Calibri" w:hAnsi="Calibri" w:cs="Calibri"/>
                <w:b/>
                <w:bCs/>
                <w:color w:val="FFFFFF" w:themeColor="background1"/>
                <w:sz w:val="20"/>
                <w:szCs w:val="20"/>
              </w:rPr>
              <w:t>all discharges for condition</w:t>
            </w:r>
          </w:p>
        </w:tc>
        <w:tc>
          <w:tcPr>
            <w:tcW w:w="368" w:type="pct"/>
            <w:shd w:val="clear" w:color="auto" w:fill="365F91" w:themeFill="accent1" w:themeFillShade="BF"/>
            <w:vAlign w:val="bottom"/>
            <w:hideMark/>
          </w:tcPr>
          <w:p w14:paraId="3C89C7C4" w14:textId="6155BD48" w:rsidR="00F32679" w:rsidRPr="00A3368A" w:rsidRDefault="00071B85" w:rsidP="00F32679">
            <w:pPr>
              <w:spacing w:after="0"/>
              <w:jc w:val="center"/>
              <w:rPr>
                <w:b/>
                <w:bCs/>
                <w:color w:val="FFFFFF" w:themeColor="background1"/>
                <w:sz w:val="20"/>
                <w:szCs w:val="20"/>
              </w:rPr>
            </w:pPr>
            <w:r>
              <w:rPr>
                <w:b/>
                <w:bCs/>
                <w:color w:val="FFFFFF" w:themeColor="background1"/>
                <w:sz w:val="20"/>
                <w:szCs w:val="20"/>
              </w:rPr>
              <w:t>Perf rate</w:t>
            </w:r>
          </w:p>
        </w:tc>
        <w:tc>
          <w:tcPr>
            <w:tcW w:w="578" w:type="pct"/>
            <w:shd w:val="clear" w:color="auto" w:fill="365F91" w:themeFill="accent1" w:themeFillShade="BF"/>
            <w:vAlign w:val="bottom"/>
            <w:hideMark/>
          </w:tcPr>
          <w:p w14:paraId="0CC18C23" w14:textId="77777777" w:rsidR="00F32679" w:rsidRPr="00A3368A"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626" w:type="pct"/>
            <w:shd w:val="clear" w:color="auto" w:fill="365F91" w:themeFill="accent1" w:themeFillShade="BF"/>
            <w:vAlign w:val="bottom"/>
            <w:hideMark/>
          </w:tcPr>
          <w:p w14:paraId="7829DDB3" w14:textId="375E971F" w:rsidR="00F32679" w:rsidRPr="00A3368A"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xml:space="preserve">% </w:t>
            </w:r>
            <w:r w:rsidR="00071B85">
              <w:rPr>
                <w:rFonts w:ascii="Calibri" w:eastAsia="Calibri" w:hAnsi="Calibri" w:cs="Calibri"/>
                <w:b/>
                <w:bCs/>
                <w:color w:val="FFFFFF" w:themeColor="background1"/>
                <w:sz w:val="20"/>
                <w:szCs w:val="20"/>
              </w:rPr>
              <w:t>all discharges for condition</w:t>
            </w:r>
          </w:p>
        </w:tc>
        <w:tc>
          <w:tcPr>
            <w:tcW w:w="488" w:type="pct"/>
            <w:shd w:val="clear" w:color="auto" w:fill="365F91" w:themeFill="accent1" w:themeFillShade="BF"/>
            <w:vAlign w:val="bottom"/>
            <w:hideMark/>
          </w:tcPr>
          <w:p w14:paraId="792B04B3" w14:textId="20E5B6E2" w:rsidR="00F32679" w:rsidRPr="00A3368A" w:rsidRDefault="00B54D66" w:rsidP="00F32679">
            <w:pPr>
              <w:spacing w:after="0"/>
              <w:jc w:val="center"/>
              <w:rPr>
                <w:b/>
                <w:bCs/>
                <w:color w:val="FFFFFF" w:themeColor="background1"/>
                <w:sz w:val="20"/>
                <w:szCs w:val="20"/>
              </w:rPr>
            </w:pPr>
            <w:r>
              <w:rPr>
                <w:b/>
                <w:bCs/>
                <w:color w:val="FFFFFF" w:themeColor="background1"/>
                <w:sz w:val="20"/>
                <w:szCs w:val="20"/>
              </w:rPr>
              <w:t>Perf rate</w:t>
            </w:r>
          </w:p>
        </w:tc>
      </w:tr>
      <w:tr w:rsidR="00B54D66" w14:paraId="0E27E022" w14:textId="77777777" w:rsidTr="00B54D66">
        <w:trPr>
          <w:trHeight w:val="288"/>
        </w:trPr>
        <w:tc>
          <w:tcPr>
            <w:tcW w:w="757" w:type="pct"/>
            <w:shd w:val="clear" w:color="auto" w:fill="auto"/>
            <w:vAlign w:val="bottom"/>
            <w:hideMark/>
          </w:tcPr>
          <w:p w14:paraId="412F447A" w14:textId="77777777" w:rsidR="00F32679" w:rsidRPr="002621F9" w:rsidRDefault="00F32679" w:rsidP="00F32679">
            <w:pPr>
              <w:spacing w:after="0"/>
              <w:rPr>
                <w:color w:val="000000" w:themeColor="text1"/>
                <w:sz w:val="20"/>
                <w:szCs w:val="20"/>
              </w:rPr>
            </w:pPr>
            <w:r w:rsidRPr="0C206F83">
              <w:rPr>
                <w:rFonts w:ascii="Calibri" w:eastAsia="Calibri" w:hAnsi="Calibri" w:cs="Calibri"/>
                <w:color w:val="000000" w:themeColor="text1"/>
                <w:sz w:val="20"/>
                <w:szCs w:val="20"/>
              </w:rPr>
              <w:t>Schizophrenia</w:t>
            </w:r>
          </w:p>
        </w:tc>
        <w:tc>
          <w:tcPr>
            <w:tcW w:w="625" w:type="pct"/>
            <w:shd w:val="clear" w:color="auto" w:fill="auto"/>
            <w:vAlign w:val="bottom"/>
          </w:tcPr>
          <w:p w14:paraId="4D62CAD9" w14:textId="161A3FB0" w:rsidR="00F32679" w:rsidRPr="00A3368A" w:rsidRDefault="00066EF9" w:rsidP="00F32679">
            <w:pPr>
              <w:spacing w:after="0"/>
              <w:jc w:val="right"/>
              <w:rPr>
                <w:color w:val="000000" w:themeColor="text1"/>
                <w:sz w:val="20"/>
                <w:szCs w:val="20"/>
              </w:rPr>
            </w:pPr>
            <w:r>
              <w:rPr>
                <w:color w:val="000000" w:themeColor="text1"/>
                <w:sz w:val="20"/>
                <w:szCs w:val="20"/>
              </w:rPr>
              <w:t>131,409</w:t>
            </w:r>
          </w:p>
        </w:tc>
        <w:tc>
          <w:tcPr>
            <w:tcW w:w="338" w:type="pct"/>
            <w:shd w:val="clear" w:color="auto" w:fill="auto"/>
            <w:vAlign w:val="bottom"/>
          </w:tcPr>
          <w:p w14:paraId="620CBF19" w14:textId="6BDE8439" w:rsidR="00F32679" w:rsidRPr="00D92E16" w:rsidRDefault="00066EF9" w:rsidP="00F32679">
            <w:pPr>
              <w:spacing w:after="0"/>
              <w:jc w:val="right"/>
              <w:rPr>
                <w:color w:val="000000"/>
                <w:sz w:val="20"/>
                <w:szCs w:val="20"/>
              </w:rPr>
            </w:pPr>
            <w:r>
              <w:rPr>
                <w:color w:val="000000"/>
                <w:sz w:val="20"/>
                <w:szCs w:val="20"/>
              </w:rPr>
              <w:t>74.6</w:t>
            </w:r>
          </w:p>
        </w:tc>
        <w:tc>
          <w:tcPr>
            <w:tcW w:w="625" w:type="pct"/>
            <w:shd w:val="clear" w:color="auto" w:fill="auto"/>
            <w:vAlign w:val="bottom"/>
          </w:tcPr>
          <w:p w14:paraId="1E0BFAE0" w14:textId="14B6C9DA" w:rsidR="00F32679" w:rsidRPr="00D92E16" w:rsidRDefault="00092F9D" w:rsidP="00F32679">
            <w:pPr>
              <w:spacing w:after="0"/>
              <w:jc w:val="right"/>
              <w:rPr>
                <w:color w:val="000000" w:themeColor="text1"/>
                <w:sz w:val="20"/>
                <w:szCs w:val="20"/>
              </w:rPr>
            </w:pPr>
            <w:r>
              <w:rPr>
                <w:color w:val="000000" w:themeColor="text1"/>
                <w:sz w:val="20"/>
                <w:szCs w:val="20"/>
              </w:rPr>
              <w:t>3,375</w:t>
            </w:r>
          </w:p>
        </w:tc>
        <w:tc>
          <w:tcPr>
            <w:tcW w:w="595" w:type="pct"/>
            <w:shd w:val="clear" w:color="auto" w:fill="auto"/>
            <w:vAlign w:val="bottom"/>
          </w:tcPr>
          <w:p w14:paraId="4CA42037" w14:textId="6231A341" w:rsidR="00F32679" w:rsidRPr="00D92E16" w:rsidRDefault="006254B6" w:rsidP="00F32679">
            <w:pPr>
              <w:spacing w:after="0"/>
              <w:jc w:val="right"/>
              <w:rPr>
                <w:color w:val="000000"/>
                <w:sz w:val="20"/>
                <w:szCs w:val="20"/>
              </w:rPr>
            </w:pPr>
            <w:r>
              <w:rPr>
                <w:color w:val="000000"/>
                <w:sz w:val="20"/>
                <w:szCs w:val="20"/>
              </w:rPr>
              <w:t>2.6</w:t>
            </w:r>
          </w:p>
        </w:tc>
        <w:tc>
          <w:tcPr>
            <w:tcW w:w="368" w:type="pct"/>
            <w:shd w:val="clear" w:color="auto" w:fill="auto"/>
            <w:vAlign w:val="bottom"/>
          </w:tcPr>
          <w:p w14:paraId="4F74CAB3" w14:textId="55BB7401" w:rsidR="00F32679" w:rsidRPr="00D92E16" w:rsidRDefault="00092F9D" w:rsidP="00F32679">
            <w:pPr>
              <w:spacing w:after="0"/>
              <w:jc w:val="right"/>
              <w:rPr>
                <w:color w:val="000000"/>
                <w:sz w:val="20"/>
                <w:szCs w:val="20"/>
              </w:rPr>
            </w:pPr>
            <w:r>
              <w:rPr>
                <w:color w:val="000000"/>
                <w:sz w:val="20"/>
                <w:szCs w:val="20"/>
              </w:rPr>
              <w:t>76.5</w:t>
            </w:r>
          </w:p>
        </w:tc>
        <w:tc>
          <w:tcPr>
            <w:tcW w:w="578" w:type="pct"/>
            <w:shd w:val="clear" w:color="auto" w:fill="auto"/>
            <w:vAlign w:val="bottom"/>
          </w:tcPr>
          <w:p w14:paraId="4E91245F" w14:textId="0A7D1ED2" w:rsidR="00F32679" w:rsidRPr="00D92E16" w:rsidRDefault="00092F9D" w:rsidP="00F32679">
            <w:pPr>
              <w:spacing w:after="0"/>
              <w:jc w:val="right"/>
              <w:rPr>
                <w:color w:val="000000" w:themeColor="text1"/>
                <w:sz w:val="20"/>
                <w:szCs w:val="20"/>
              </w:rPr>
            </w:pPr>
            <w:r>
              <w:rPr>
                <w:color w:val="000000" w:themeColor="text1"/>
                <w:sz w:val="20"/>
                <w:szCs w:val="20"/>
              </w:rPr>
              <w:t>128,034</w:t>
            </w:r>
          </w:p>
        </w:tc>
        <w:tc>
          <w:tcPr>
            <w:tcW w:w="626" w:type="pct"/>
            <w:shd w:val="clear" w:color="auto" w:fill="auto"/>
            <w:vAlign w:val="bottom"/>
          </w:tcPr>
          <w:p w14:paraId="312D2734" w14:textId="5AB9CC66" w:rsidR="00F32679" w:rsidRPr="00D92E16" w:rsidRDefault="006254B6" w:rsidP="00F32679">
            <w:pPr>
              <w:spacing w:after="0"/>
              <w:jc w:val="right"/>
              <w:rPr>
                <w:color w:val="000000"/>
                <w:sz w:val="20"/>
                <w:szCs w:val="20"/>
              </w:rPr>
            </w:pPr>
            <w:r>
              <w:rPr>
                <w:color w:val="000000"/>
                <w:sz w:val="20"/>
                <w:szCs w:val="20"/>
              </w:rPr>
              <w:t>97.4</w:t>
            </w:r>
          </w:p>
        </w:tc>
        <w:tc>
          <w:tcPr>
            <w:tcW w:w="488" w:type="pct"/>
            <w:shd w:val="clear" w:color="auto" w:fill="auto"/>
            <w:vAlign w:val="bottom"/>
          </w:tcPr>
          <w:p w14:paraId="2C45D5CD" w14:textId="150E7886" w:rsidR="00F32679" w:rsidRPr="00D92E16" w:rsidRDefault="00092F9D" w:rsidP="00F32679">
            <w:pPr>
              <w:spacing w:after="0"/>
              <w:jc w:val="right"/>
              <w:rPr>
                <w:color w:val="000000"/>
                <w:sz w:val="20"/>
                <w:szCs w:val="20"/>
              </w:rPr>
            </w:pPr>
            <w:r>
              <w:rPr>
                <w:color w:val="000000"/>
                <w:sz w:val="20"/>
                <w:szCs w:val="20"/>
              </w:rPr>
              <w:t>74.5</w:t>
            </w:r>
          </w:p>
        </w:tc>
      </w:tr>
    </w:tbl>
    <w:p w14:paraId="47198518" w14:textId="77777777" w:rsidR="00BD4785" w:rsidRPr="00E96914" w:rsidRDefault="00BD4785" w:rsidP="00BD4785">
      <w:pPr>
        <w:pStyle w:val="BodyText"/>
        <w:ind w:left="90"/>
        <w:rPr>
          <w:b/>
          <w:bCs/>
          <w:color w:val="FF0000"/>
          <w:sz w:val="22"/>
          <w:szCs w:val="22"/>
        </w:rPr>
      </w:pPr>
      <w:r w:rsidRPr="00F32679">
        <w:rPr>
          <w:rFonts w:ascii="Calibri" w:eastAsia="Calibri" w:hAnsi="Calibri" w:cs="Calibri"/>
          <w:color w:val="FF0000"/>
          <w:sz w:val="18"/>
          <w:szCs w:val="18"/>
        </w:rPr>
        <w:t>Source:</w:t>
      </w:r>
      <w:r w:rsidRPr="00F32679">
        <w:rPr>
          <w:rFonts w:ascii="Calibri" w:eastAsia="Calibri" w:hAnsi="Calibri" w:cs="Calibri"/>
          <w:color w:val="FF0000"/>
          <w:sz w:val="18"/>
          <w:szCs w:val="18"/>
        </w:rPr>
        <w:tab/>
        <w:t xml:space="preserve">Mathematica analysis of the Medicare </w:t>
      </w:r>
      <w:r>
        <w:rPr>
          <w:rFonts w:ascii="Calibri" w:eastAsia="Calibri" w:hAnsi="Calibri" w:cs="Calibri"/>
          <w:color w:val="FF0000"/>
          <w:sz w:val="18"/>
          <w:szCs w:val="18"/>
        </w:rPr>
        <w:t>f</w:t>
      </w:r>
      <w:r w:rsidRPr="00F32679">
        <w:rPr>
          <w:rFonts w:ascii="Calibri" w:eastAsia="Calibri" w:hAnsi="Calibri" w:cs="Calibri"/>
          <w:color w:val="FF0000"/>
          <w:sz w:val="18"/>
          <w:szCs w:val="18"/>
        </w:rPr>
        <w:t>ee</w:t>
      </w:r>
      <w:r>
        <w:rPr>
          <w:rFonts w:ascii="Calibri" w:eastAsia="Calibri" w:hAnsi="Calibri" w:cs="Calibri"/>
          <w:color w:val="FF0000"/>
          <w:sz w:val="18"/>
          <w:szCs w:val="18"/>
        </w:rPr>
        <w:t>-</w:t>
      </w:r>
      <w:r w:rsidRPr="00F32679">
        <w:rPr>
          <w:rFonts w:ascii="Calibri" w:eastAsia="Calibri" w:hAnsi="Calibri" w:cs="Calibri"/>
          <w:color w:val="FF0000"/>
          <w:sz w:val="18"/>
          <w:szCs w:val="18"/>
        </w:rPr>
        <w:t>for</w:t>
      </w:r>
      <w:r>
        <w:rPr>
          <w:rFonts w:ascii="Calibri" w:eastAsia="Calibri" w:hAnsi="Calibri" w:cs="Calibri"/>
          <w:color w:val="FF0000"/>
          <w:sz w:val="18"/>
          <w:szCs w:val="18"/>
        </w:rPr>
        <w:t>-s</w:t>
      </w:r>
      <w:r w:rsidRPr="00F32679">
        <w:rPr>
          <w:rFonts w:ascii="Calibri" w:eastAsia="Calibri" w:hAnsi="Calibri" w:cs="Calibri"/>
          <w:color w:val="FF0000"/>
          <w:sz w:val="18"/>
          <w:szCs w:val="18"/>
        </w:rPr>
        <w:t>ervice (FFS) data for the July 1, 2017</w:t>
      </w:r>
      <w:r>
        <w:rPr>
          <w:rFonts w:ascii="Calibri" w:eastAsia="Calibri" w:hAnsi="Calibri" w:cs="Calibri"/>
          <w:color w:val="FF0000"/>
          <w:sz w:val="18"/>
          <w:szCs w:val="18"/>
        </w:rPr>
        <w:t>–</w:t>
      </w:r>
      <w:r w:rsidRPr="00F32679">
        <w:rPr>
          <w:rFonts w:ascii="Calibri" w:eastAsia="Calibri" w:hAnsi="Calibri" w:cs="Calibri"/>
          <w:color w:val="FF0000"/>
          <w:sz w:val="18"/>
          <w:szCs w:val="18"/>
        </w:rPr>
        <w:t xml:space="preserve"> June 30, 2019 performance period.</w:t>
      </w:r>
    </w:p>
    <w:p w14:paraId="2828D643" w14:textId="77777777" w:rsidR="00F32679" w:rsidRDefault="00F32679" w:rsidP="00092566">
      <w:pPr>
        <w:autoSpaceDE w:val="0"/>
        <w:autoSpaceDN w:val="0"/>
        <w:adjustRightInd w:val="0"/>
        <w:spacing w:after="0" w:line="240" w:lineRule="auto"/>
        <w:rPr>
          <w:rFonts w:cstheme="minorHAnsi"/>
          <w:bCs/>
        </w:rPr>
      </w:pPr>
    </w:p>
    <w:p w14:paraId="5103CCA5" w14:textId="4C7EA35F" w:rsidR="004E357F" w:rsidRPr="004E357F" w:rsidRDefault="004E357F" w:rsidP="004E357F">
      <w:pPr>
        <w:autoSpaceDE w:val="0"/>
        <w:autoSpaceDN w:val="0"/>
        <w:adjustRightInd w:val="0"/>
        <w:spacing w:after="0" w:line="240" w:lineRule="auto"/>
        <w:rPr>
          <w:rFonts w:cstheme="minorHAnsi"/>
          <w:bCs/>
          <w:color w:val="FF0000"/>
        </w:rPr>
      </w:pPr>
      <w:bookmarkStart w:id="46" w:name="_Hlk43985313"/>
      <w:r w:rsidRPr="004E357F">
        <w:rPr>
          <w:rFonts w:cstheme="minorHAnsi"/>
          <w:bCs/>
          <w:color w:val="FF0000"/>
        </w:rPr>
        <w:lastRenderedPageBreak/>
        <w:t xml:space="preserve">Table </w:t>
      </w:r>
      <w:r w:rsidR="00FC0CD8">
        <w:rPr>
          <w:rFonts w:cstheme="minorHAnsi"/>
          <w:bCs/>
          <w:color w:val="FF0000"/>
        </w:rPr>
        <w:t>2b2.2F</w:t>
      </w:r>
      <w:r w:rsidRPr="004E357F">
        <w:rPr>
          <w:rFonts w:cstheme="minorHAnsi"/>
          <w:bCs/>
          <w:color w:val="FF0000"/>
        </w:rPr>
        <w:t xml:space="preserve"> summarizes the mean</w:t>
      </w:r>
      <w:r w:rsidR="006F0AD2">
        <w:rPr>
          <w:rFonts w:cstheme="minorHAnsi"/>
          <w:bCs/>
          <w:color w:val="FF0000"/>
        </w:rPr>
        <w:t>,</w:t>
      </w:r>
      <w:r w:rsidR="00DD7D96">
        <w:rPr>
          <w:rFonts w:cstheme="minorHAnsi"/>
          <w:bCs/>
          <w:color w:val="FF0000"/>
        </w:rPr>
        <w:t xml:space="preserve"> </w:t>
      </w:r>
      <w:r w:rsidRPr="004E357F">
        <w:rPr>
          <w:rFonts w:cstheme="minorHAnsi"/>
          <w:bCs/>
          <w:color w:val="FF0000"/>
        </w:rPr>
        <w:t>95% confidence interval</w:t>
      </w:r>
      <w:r w:rsidR="006F0AD2">
        <w:rPr>
          <w:rFonts w:cstheme="minorHAnsi"/>
          <w:bCs/>
          <w:color w:val="FF0000"/>
        </w:rPr>
        <w:t>,</w:t>
      </w:r>
      <w:r w:rsidRPr="004E357F">
        <w:rPr>
          <w:rFonts w:cstheme="minorHAnsi"/>
          <w:bCs/>
          <w:color w:val="FF0000"/>
        </w:rPr>
        <w:t xml:space="preserve"> and </w:t>
      </w:r>
      <w:r w:rsidR="00DD7D96">
        <w:rPr>
          <w:rFonts w:cstheme="minorHAnsi"/>
          <w:bCs/>
          <w:color w:val="FF0000"/>
        </w:rPr>
        <w:t xml:space="preserve">illustrates </w:t>
      </w:r>
      <w:r w:rsidRPr="004E357F">
        <w:rPr>
          <w:rFonts w:cstheme="minorHAnsi"/>
          <w:bCs/>
          <w:color w:val="FF0000"/>
        </w:rPr>
        <w:t>the difference from the national rate (75.0%)</w:t>
      </w:r>
      <w:r w:rsidR="00DD7D96">
        <w:rPr>
          <w:rFonts w:cstheme="minorHAnsi"/>
          <w:bCs/>
          <w:color w:val="FF0000"/>
        </w:rPr>
        <w:t>.</w:t>
      </w:r>
    </w:p>
    <w:p w14:paraId="27A7EF6F" w14:textId="1BA6F5E8" w:rsidR="004E357F" w:rsidRPr="004E357F" w:rsidRDefault="004E357F" w:rsidP="004E357F">
      <w:pPr>
        <w:spacing w:before="240" w:after="240" w:line="240" w:lineRule="auto"/>
        <w:rPr>
          <w:rFonts w:cstheme="minorHAnsi"/>
          <w:bCs/>
          <w:color w:val="FF0000"/>
        </w:rPr>
      </w:pPr>
      <w:r w:rsidRPr="004E357F">
        <w:rPr>
          <w:rFonts w:cstheme="minorHAnsi"/>
          <w:b/>
          <w:color w:val="FF0000"/>
        </w:rPr>
        <w:t xml:space="preserve">Table </w:t>
      </w:r>
      <w:r w:rsidR="00FC0CD8">
        <w:rPr>
          <w:rFonts w:cstheme="minorHAnsi"/>
          <w:b/>
          <w:color w:val="FF0000"/>
        </w:rPr>
        <w:t>2b2.2F</w:t>
      </w:r>
      <w:r w:rsidRPr="004E357F">
        <w:rPr>
          <w:rFonts w:cstheme="minorHAnsi"/>
          <w:b/>
          <w:color w:val="FF0000"/>
        </w:rPr>
        <w:t xml:space="preserve">. Mean </w:t>
      </w:r>
      <w:r w:rsidR="00B771F6">
        <w:rPr>
          <w:rFonts w:cstheme="minorHAnsi"/>
          <w:b/>
          <w:color w:val="FF0000"/>
        </w:rPr>
        <w:t xml:space="preserve">performance rate </w:t>
      </w:r>
      <w:r w:rsidRPr="004E357F">
        <w:rPr>
          <w:rFonts w:cstheme="minorHAnsi"/>
          <w:b/>
          <w:color w:val="FF0000"/>
        </w:rPr>
        <w:t>and 95% confidence interval by exclusion type</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0"/>
        <w:gridCol w:w="1680"/>
        <w:gridCol w:w="1680"/>
        <w:gridCol w:w="1680"/>
      </w:tblGrid>
      <w:tr w:rsidR="00B771F6" w:rsidRPr="00931350" w14:paraId="1F90BF94" w14:textId="77777777" w:rsidTr="00B771F6">
        <w:trPr>
          <w:trHeight w:val="953"/>
          <w:tblHeader/>
        </w:trPr>
        <w:tc>
          <w:tcPr>
            <w:tcW w:w="4230" w:type="dxa"/>
            <w:shd w:val="clear" w:color="auto" w:fill="7F7F7F" w:themeFill="text1" w:themeFillTint="80"/>
            <w:vAlign w:val="bottom"/>
          </w:tcPr>
          <w:p w14:paraId="70995036" w14:textId="77777777" w:rsidR="00B771F6" w:rsidRPr="0069253D" w:rsidRDefault="00B771F6" w:rsidP="00B771F6">
            <w:pPr>
              <w:spacing w:after="120" w:line="240" w:lineRule="auto"/>
              <w:jc w:val="center"/>
              <w:rPr>
                <w:rFonts w:ascii="Calibri" w:hAnsi="Calibri" w:cs="Calibri"/>
                <w:color w:val="FFFFFF" w:themeColor="background1"/>
              </w:rPr>
            </w:pPr>
            <w:r>
              <w:rPr>
                <w:rFonts w:ascii="Calibri" w:hAnsi="Calibri" w:cs="Calibri"/>
                <w:color w:val="FFFFFF" w:themeColor="background1"/>
              </w:rPr>
              <w:t>Exclusion type</w:t>
            </w:r>
          </w:p>
        </w:tc>
        <w:tc>
          <w:tcPr>
            <w:tcW w:w="1680" w:type="dxa"/>
            <w:shd w:val="clear" w:color="auto" w:fill="7F7F7F" w:themeFill="text1" w:themeFillTint="80"/>
            <w:vAlign w:val="bottom"/>
          </w:tcPr>
          <w:p w14:paraId="57D58152" w14:textId="77777777" w:rsidR="00B771F6" w:rsidRDefault="00B771F6" w:rsidP="00B771F6">
            <w:pPr>
              <w:spacing w:after="120" w:line="240" w:lineRule="auto"/>
              <w:jc w:val="center"/>
              <w:rPr>
                <w:rFonts w:ascii="Calibri" w:hAnsi="Calibri" w:cs="Calibri"/>
                <w:color w:val="FFFFFF" w:themeColor="background1"/>
              </w:rPr>
            </w:pPr>
            <w:r>
              <w:rPr>
                <w:rFonts w:ascii="Calibri" w:hAnsi="Calibri" w:cs="Calibri"/>
                <w:color w:val="FFFFFF" w:themeColor="background1"/>
              </w:rPr>
              <w:t>Mean</w:t>
            </w:r>
          </w:p>
        </w:tc>
        <w:tc>
          <w:tcPr>
            <w:tcW w:w="1680" w:type="dxa"/>
            <w:shd w:val="clear" w:color="auto" w:fill="7F7F7F" w:themeFill="text1" w:themeFillTint="80"/>
            <w:vAlign w:val="bottom"/>
          </w:tcPr>
          <w:p w14:paraId="34CEFA43" w14:textId="77777777" w:rsidR="00B771F6" w:rsidRPr="00931350" w:rsidRDefault="00B771F6" w:rsidP="00B771F6">
            <w:pPr>
              <w:spacing w:after="120" w:line="240" w:lineRule="auto"/>
              <w:jc w:val="center"/>
              <w:rPr>
                <w:rFonts w:ascii="Calibri" w:hAnsi="Calibri" w:cs="Calibri"/>
                <w:color w:val="FFFFFF" w:themeColor="background1"/>
              </w:rPr>
            </w:pPr>
            <w:r>
              <w:rPr>
                <w:rFonts w:ascii="Calibri" w:hAnsi="Calibri" w:cs="Calibri"/>
                <w:color w:val="FFFFFF" w:themeColor="background1"/>
              </w:rPr>
              <w:t>95% CI</w:t>
            </w:r>
          </w:p>
        </w:tc>
        <w:tc>
          <w:tcPr>
            <w:tcW w:w="1680" w:type="dxa"/>
            <w:shd w:val="clear" w:color="auto" w:fill="7F7F7F" w:themeFill="text1" w:themeFillTint="80"/>
            <w:vAlign w:val="bottom"/>
          </w:tcPr>
          <w:p w14:paraId="03639D28" w14:textId="77777777" w:rsidR="00B771F6" w:rsidRPr="00931350" w:rsidRDefault="00B771F6" w:rsidP="00B771F6">
            <w:pPr>
              <w:spacing w:after="120" w:line="240" w:lineRule="auto"/>
              <w:jc w:val="center"/>
              <w:rPr>
                <w:rFonts w:ascii="Calibri" w:hAnsi="Calibri" w:cs="Calibri"/>
                <w:color w:val="FFFFFF" w:themeColor="background1"/>
              </w:rPr>
            </w:pPr>
            <w:r>
              <w:rPr>
                <w:rFonts w:ascii="Calibri" w:hAnsi="Calibri" w:cs="Calibri"/>
                <w:color w:val="FFFFFF" w:themeColor="background1"/>
              </w:rPr>
              <w:t>Difference from National Rate</w:t>
            </w:r>
          </w:p>
        </w:tc>
      </w:tr>
      <w:tr w:rsidR="00B771F6" w:rsidRPr="00931350" w14:paraId="6CE2B4DC" w14:textId="77777777" w:rsidTr="00B771F6">
        <w:trPr>
          <w:trHeight w:val="647"/>
        </w:trPr>
        <w:tc>
          <w:tcPr>
            <w:tcW w:w="4230" w:type="dxa"/>
            <w:vAlign w:val="center"/>
          </w:tcPr>
          <w:p w14:paraId="0F126583" w14:textId="77777777" w:rsidR="00B771F6" w:rsidRPr="00931350" w:rsidRDefault="00B771F6" w:rsidP="00B771F6">
            <w:pPr>
              <w:spacing w:line="240" w:lineRule="auto"/>
              <w:rPr>
                <w:rFonts w:ascii="Calibri" w:hAnsi="Calibri" w:cs="Calibri"/>
                <w:color w:val="000000"/>
              </w:rPr>
            </w:pPr>
            <w:r w:rsidRPr="00025447">
              <w:rPr>
                <w:rFonts w:ascii="Calibri" w:hAnsi="Calibri" w:cs="Calibri"/>
                <w:color w:val="000000"/>
              </w:rPr>
              <w:t>All exclusions applied</w:t>
            </w:r>
          </w:p>
        </w:tc>
        <w:tc>
          <w:tcPr>
            <w:tcW w:w="1680" w:type="dxa"/>
            <w:vAlign w:val="center"/>
          </w:tcPr>
          <w:p w14:paraId="09EF8F03" w14:textId="1E207C1C" w:rsidR="00B771F6" w:rsidRPr="00BF0124" w:rsidRDefault="00B771F6" w:rsidP="00B771F6">
            <w:pPr>
              <w:spacing w:line="240" w:lineRule="auto"/>
              <w:jc w:val="center"/>
            </w:pPr>
            <w:r>
              <w:t>75.03</w:t>
            </w:r>
          </w:p>
        </w:tc>
        <w:tc>
          <w:tcPr>
            <w:tcW w:w="1680" w:type="dxa"/>
            <w:shd w:val="clear" w:color="auto" w:fill="auto"/>
            <w:noWrap/>
            <w:vAlign w:val="center"/>
          </w:tcPr>
          <w:p w14:paraId="464E1AD7" w14:textId="3221CA53" w:rsidR="00B771F6" w:rsidRPr="00931350" w:rsidRDefault="00B771F6" w:rsidP="00B771F6">
            <w:pPr>
              <w:spacing w:line="240" w:lineRule="auto"/>
              <w:jc w:val="center"/>
              <w:rPr>
                <w:rFonts w:ascii="Calibri" w:hAnsi="Calibri" w:cs="Calibri"/>
                <w:color w:val="000000"/>
              </w:rPr>
            </w:pPr>
            <w:r>
              <w:rPr>
                <w:rFonts w:ascii="Calibri" w:hAnsi="Calibri" w:cs="Calibri"/>
                <w:color w:val="000000"/>
              </w:rPr>
              <w:t>74.42 – 75.64</w:t>
            </w:r>
          </w:p>
        </w:tc>
        <w:tc>
          <w:tcPr>
            <w:tcW w:w="1680" w:type="dxa"/>
            <w:shd w:val="clear" w:color="auto" w:fill="auto"/>
            <w:noWrap/>
            <w:vAlign w:val="center"/>
          </w:tcPr>
          <w:p w14:paraId="3D687F26" w14:textId="2EE3CE67" w:rsidR="00B771F6" w:rsidRPr="00931350" w:rsidRDefault="007E30A9" w:rsidP="00B771F6">
            <w:pPr>
              <w:spacing w:after="0" w:line="240" w:lineRule="auto"/>
              <w:jc w:val="center"/>
              <w:rPr>
                <w:rFonts w:ascii="Calibri" w:hAnsi="Calibri" w:cs="Calibri"/>
                <w:color w:val="000000"/>
              </w:rPr>
            </w:pPr>
            <w:r>
              <w:rPr>
                <w:rFonts w:ascii="Calibri" w:hAnsi="Calibri" w:cs="Calibri"/>
                <w:color w:val="000000"/>
              </w:rPr>
              <w:t>N/A</w:t>
            </w:r>
          </w:p>
        </w:tc>
      </w:tr>
      <w:tr w:rsidR="00B771F6" w:rsidRPr="00931350" w14:paraId="21F04AB3" w14:textId="77777777" w:rsidTr="00B771F6">
        <w:trPr>
          <w:trHeight w:val="467"/>
        </w:trPr>
        <w:tc>
          <w:tcPr>
            <w:tcW w:w="4230" w:type="dxa"/>
            <w:shd w:val="clear" w:color="auto" w:fill="F2F2F2" w:themeFill="background1" w:themeFillShade="F2"/>
            <w:vAlign w:val="center"/>
          </w:tcPr>
          <w:p w14:paraId="504156E1" w14:textId="77777777" w:rsidR="00B771F6" w:rsidRPr="00931350" w:rsidRDefault="00B771F6" w:rsidP="00B771F6">
            <w:pPr>
              <w:spacing w:line="240" w:lineRule="auto"/>
              <w:rPr>
                <w:rFonts w:ascii="Calibri" w:hAnsi="Calibri" w:cs="Calibri"/>
                <w:color w:val="000000"/>
              </w:rPr>
            </w:pPr>
            <w:r w:rsidRPr="0041349A">
              <w:rPr>
                <w:rFonts w:ascii="Calibri" w:hAnsi="Calibri" w:cs="Calibri"/>
                <w:color w:val="000000"/>
              </w:rPr>
              <w:t>No exclusions applied</w:t>
            </w:r>
          </w:p>
        </w:tc>
        <w:tc>
          <w:tcPr>
            <w:tcW w:w="1680" w:type="dxa"/>
            <w:shd w:val="clear" w:color="auto" w:fill="F2F2F2" w:themeFill="background1" w:themeFillShade="F2"/>
            <w:vAlign w:val="center"/>
          </w:tcPr>
          <w:p w14:paraId="4ECB6D86" w14:textId="65B9F6C9" w:rsidR="00B771F6" w:rsidRPr="00BF0124" w:rsidRDefault="00B771F6" w:rsidP="00B771F6">
            <w:pPr>
              <w:spacing w:line="240" w:lineRule="auto"/>
              <w:jc w:val="center"/>
            </w:pPr>
            <w:r>
              <w:t>75.07</w:t>
            </w:r>
          </w:p>
        </w:tc>
        <w:tc>
          <w:tcPr>
            <w:tcW w:w="1680" w:type="dxa"/>
            <w:shd w:val="clear" w:color="auto" w:fill="F2F2F2" w:themeFill="background1" w:themeFillShade="F2"/>
            <w:noWrap/>
            <w:vAlign w:val="center"/>
          </w:tcPr>
          <w:p w14:paraId="6D3583EB" w14:textId="2C860322" w:rsidR="00B771F6" w:rsidRPr="00931350" w:rsidRDefault="007E30A9" w:rsidP="00B771F6">
            <w:pPr>
              <w:spacing w:line="240" w:lineRule="auto"/>
              <w:jc w:val="center"/>
              <w:rPr>
                <w:rFonts w:ascii="Calibri" w:hAnsi="Calibri" w:cs="Calibri"/>
                <w:color w:val="000000"/>
              </w:rPr>
            </w:pPr>
            <w:r>
              <w:rPr>
                <w:rFonts w:ascii="Calibri" w:hAnsi="Calibri" w:cs="Calibri"/>
                <w:color w:val="000000"/>
              </w:rPr>
              <w:t>74.46 – 75.68</w:t>
            </w:r>
          </w:p>
        </w:tc>
        <w:tc>
          <w:tcPr>
            <w:tcW w:w="1680" w:type="dxa"/>
            <w:shd w:val="clear" w:color="auto" w:fill="F2F2F2" w:themeFill="background1" w:themeFillShade="F2"/>
            <w:noWrap/>
            <w:vAlign w:val="center"/>
          </w:tcPr>
          <w:p w14:paraId="3912D132" w14:textId="019952C0" w:rsidR="00B771F6" w:rsidRPr="00931350" w:rsidRDefault="007E30A9" w:rsidP="00B771F6">
            <w:pPr>
              <w:spacing w:line="240" w:lineRule="auto"/>
              <w:jc w:val="center"/>
              <w:rPr>
                <w:rFonts w:ascii="Calibri" w:hAnsi="Calibri" w:cs="Calibri"/>
                <w:color w:val="000000"/>
              </w:rPr>
            </w:pPr>
            <w:r>
              <w:rPr>
                <w:rFonts w:ascii="Calibri" w:hAnsi="Calibri" w:cs="Calibri"/>
                <w:color w:val="000000"/>
              </w:rPr>
              <w:t>No Difference</w:t>
            </w:r>
          </w:p>
        </w:tc>
      </w:tr>
      <w:tr w:rsidR="00B771F6" w:rsidRPr="00931350" w14:paraId="6408A115" w14:textId="77777777" w:rsidTr="00B771F6">
        <w:trPr>
          <w:trHeight w:val="602"/>
        </w:trPr>
        <w:tc>
          <w:tcPr>
            <w:tcW w:w="4230" w:type="dxa"/>
          </w:tcPr>
          <w:p w14:paraId="1A6E7F35" w14:textId="77777777" w:rsidR="00B771F6" w:rsidRPr="00931350" w:rsidRDefault="00B771F6" w:rsidP="00B771F6">
            <w:pPr>
              <w:spacing w:line="240" w:lineRule="auto"/>
              <w:rPr>
                <w:rFonts w:ascii="Calibri" w:hAnsi="Calibri" w:cs="Calibri"/>
                <w:color w:val="000000"/>
              </w:rPr>
            </w:pPr>
            <w:r>
              <w:rPr>
                <w:rFonts w:ascii="Calibri" w:hAnsi="Calibri" w:cs="Calibri"/>
                <w:color w:val="000000"/>
              </w:rPr>
              <w:t xml:space="preserve">All </w:t>
            </w:r>
            <w:r w:rsidRPr="0041349A">
              <w:rPr>
                <w:rFonts w:ascii="Calibri" w:hAnsi="Calibri" w:cs="Calibri"/>
                <w:color w:val="000000"/>
              </w:rPr>
              <w:t>exclusions applied</w:t>
            </w:r>
            <w:r>
              <w:rPr>
                <w:rFonts w:ascii="Calibri" w:hAnsi="Calibri" w:cs="Calibri"/>
                <w:color w:val="000000"/>
              </w:rPr>
              <w:t xml:space="preserve"> except received ECT</w:t>
            </w:r>
          </w:p>
        </w:tc>
        <w:tc>
          <w:tcPr>
            <w:tcW w:w="1680" w:type="dxa"/>
            <w:vAlign w:val="center"/>
          </w:tcPr>
          <w:p w14:paraId="1C422C08" w14:textId="252FD177" w:rsidR="00B771F6" w:rsidRPr="00BF0124" w:rsidRDefault="007E30A9" w:rsidP="00B771F6">
            <w:pPr>
              <w:spacing w:line="240" w:lineRule="auto"/>
              <w:jc w:val="center"/>
            </w:pPr>
            <w:r>
              <w:t>75.07</w:t>
            </w:r>
          </w:p>
        </w:tc>
        <w:tc>
          <w:tcPr>
            <w:tcW w:w="1680" w:type="dxa"/>
            <w:shd w:val="clear" w:color="auto" w:fill="auto"/>
            <w:noWrap/>
            <w:vAlign w:val="center"/>
          </w:tcPr>
          <w:p w14:paraId="319FFB8F" w14:textId="57E7FA56" w:rsidR="00B771F6" w:rsidRPr="00931350" w:rsidRDefault="007E30A9" w:rsidP="00B771F6">
            <w:pPr>
              <w:spacing w:line="240" w:lineRule="auto"/>
              <w:jc w:val="center"/>
              <w:rPr>
                <w:rFonts w:ascii="Calibri" w:hAnsi="Calibri" w:cs="Calibri"/>
                <w:color w:val="000000"/>
              </w:rPr>
            </w:pPr>
            <w:r>
              <w:rPr>
                <w:rFonts w:ascii="Calibri" w:hAnsi="Calibri" w:cs="Calibri"/>
                <w:color w:val="000000"/>
              </w:rPr>
              <w:t>74.46 – 75.69</w:t>
            </w:r>
          </w:p>
        </w:tc>
        <w:tc>
          <w:tcPr>
            <w:tcW w:w="1680" w:type="dxa"/>
            <w:shd w:val="clear" w:color="auto" w:fill="auto"/>
            <w:noWrap/>
            <w:vAlign w:val="center"/>
          </w:tcPr>
          <w:p w14:paraId="61826FD1" w14:textId="1E56FD21" w:rsidR="00B771F6" w:rsidRPr="00931350" w:rsidRDefault="007E30A9" w:rsidP="00B771F6">
            <w:pPr>
              <w:spacing w:after="0" w:line="240" w:lineRule="auto"/>
              <w:jc w:val="center"/>
              <w:rPr>
                <w:rFonts w:ascii="Calibri" w:hAnsi="Calibri" w:cs="Calibri"/>
                <w:color w:val="000000"/>
              </w:rPr>
            </w:pPr>
            <w:r>
              <w:rPr>
                <w:rFonts w:ascii="Calibri" w:hAnsi="Calibri" w:cs="Calibri"/>
                <w:color w:val="000000"/>
              </w:rPr>
              <w:t>No Difference</w:t>
            </w:r>
          </w:p>
        </w:tc>
      </w:tr>
      <w:tr w:rsidR="00B771F6" w:rsidRPr="00931350" w14:paraId="169D5000" w14:textId="77777777" w:rsidTr="00B771F6">
        <w:trPr>
          <w:trHeight w:val="575"/>
        </w:trPr>
        <w:tc>
          <w:tcPr>
            <w:tcW w:w="4230" w:type="dxa"/>
            <w:shd w:val="clear" w:color="auto" w:fill="F2F2F2" w:themeFill="background1" w:themeFillShade="F2"/>
          </w:tcPr>
          <w:p w14:paraId="3A187BA5" w14:textId="77777777" w:rsidR="00B771F6" w:rsidRPr="00931350" w:rsidRDefault="00B771F6" w:rsidP="00B771F6">
            <w:pPr>
              <w:spacing w:line="240" w:lineRule="auto"/>
              <w:rPr>
                <w:rFonts w:ascii="Calibri" w:hAnsi="Calibri" w:cs="Calibri"/>
                <w:color w:val="000000"/>
              </w:rPr>
            </w:pPr>
            <w:r w:rsidRPr="0041349A">
              <w:rPr>
                <w:rFonts w:ascii="Calibri" w:hAnsi="Calibri" w:cs="Calibri"/>
                <w:color w:val="000000"/>
              </w:rPr>
              <w:t xml:space="preserve">All exclusions applied except </w:t>
            </w:r>
            <w:r>
              <w:rPr>
                <w:rFonts w:ascii="Calibri" w:hAnsi="Calibri" w:cs="Calibri"/>
                <w:color w:val="000000"/>
              </w:rPr>
              <w:t>received TMS</w:t>
            </w:r>
          </w:p>
        </w:tc>
        <w:tc>
          <w:tcPr>
            <w:tcW w:w="1680" w:type="dxa"/>
            <w:shd w:val="clear" w:color="auto" w:fill="F2F2F2" w:themeFill="background1" w:themeFillShade="F2"/>
            <w:vAlign w:val="center"/>
          </w:tcPr>
          <w:p w14:paraId="7F74524B" w14:textId="32E00F57" w:rsidR="00B771F6" w:rsidRPr="00BF0124" w:rsidRDefault="007E30A9" w:rsidP="00B771F6">
            <w:pPr>
              <w:spacing w:line="240" w:lineRule="auto"/>
              <w:jc w:val="center"/>
            </w:pPr>
            <w:r>
              <w:t>75.03</w:t>
            </w:r>
          </w:p>
        </w:tc>
        <w:tc>
          <w:tcPr>
            <w:tcW w:w="1680" w:type="dxa"/>
            <w:shd w:val="clear" w:color="auto" w:fill="F2F2F2" w:themeFill="background1" w:themeFillShade="F2"/>
            <w:noWrap/>
            <w:vAlign w:val="center"/>
          </w:tcPr>
          <w:p w14:paraId="2C85F7B7" w14:textId="4FA39E99" w:rsidR="00B771F6" w:rsidRPr="00931350" w:rsidRDefault="007E30A9" w:rsidP="00B771F6">
            <w:pPr>
              <w:spacing w:line="240" w:lineRule="auto"/>
              <w:jc w:val="center"/>
              <w:rPr>
                <w:rFonts w:ascii="Calibri" w:hAnsi="Calibri" w:cs="Calibri"/>
                <w:color w:val="000000"/>
              </w:rPr>
            </w:pPr>
            <w:r>
              <w:rPr>
                <w:rFonts w:ascii="Calibri" w:hAnsi="Calibri" w:cs="Calibri"/>
                <w:color w:val="000000"/>
              </w:rPr>
              <w:t>74.42 – 75.64</w:t>
            </w:r>
          </w:p>
        </w:tc>
        <w:tc>
          <w:tcPr>
            <w:tcW w:w="1680" w:type="dxa"/>
            <w:shd w:val="clear" w:color="auto" w:fill="F2F2F2" w:themeFill="background1" w:themeFillShade="F2"/>
            <w:noWrap/>
            <w:vAlign w:val="center"/>
          </w:tcPr>
          <w:p w14:paraId="2A7CF3AF" w14:textId="7A872821" w:rsidR="00B771F6" w:rsidRPr="00931350" w:rsidRDefault="007E30A9" w:rsidP="00B771F6">
            <w:pPr>
              <w:spacing w:after="0" w:line="240" w:lineRule="auto"/>
              <w:jc w:val="center"/>
              <w:rPr>
                <w:rFonts w:ascii="Calibri" w:hAnsi="Calibri" w:cs="Calibri"/>
                <w:color w:val="000000"/>
              </w:rPr>
            </w:pPr>
            <w:r>
              <w:rPr>
                <w:rFonts w:ascii="Calibri" w:hAnsi="Calibri" w:cs="Calibri"/>
                <w:color w:val="000000"/>
              </w:rPr>
              <w:t>No Difference</w:t>
            </w:r>
          </w:p>
        </w:tc>
      </w:tr>
      <w:tr w:rsidR="00B771F6" w:rsidRPr="00931350" w14:paraId="5774A720" w14:textId="77777777" w:rsidTr="00B771F6">
        <w:trPr>
          <w:trHeight w:val="395"/>
        </w:trPr>
        <w:tc>
          <w:tcPr>
            <w:tcW w:w="4230" w:type="dxa"/>
          </w:tcPr>
          <w:p w14:paraId="2C12D828" w14:textId="77777777" w:rsidR="00B771F6" w:rsidRPr="00931350" w:rsidRDefault="00B771F6" w:rsidP="00B771F6">
            <w:pPr>
              <w:spacing w:line="240" w:lineRule="auto"/>
              <w:rPr>
                <w:rFonts w:ascii="Calibri" w:hAnsi="Calibri" w:cs="Calibri"/>
                <w:color w:val="000000"/>
              </w:rPr>
            </w:pPr>
            <w:r w:rsidRPr="0041349A">
              <w:rPr>
                <w:rFonts w:ascii="Calibri" w:hAnsi="Calibri" w:cs="Calibri"/>
                <w:color w:val="000000"/>
              </w:rPr>
              <w:t xml:space="preserve">All exclusions applied except </w:t>
            </w:r>
            <w:r>
              <w:rPr>
                <w:rFonts w:ascii="Calibri" w:hAnsi="Calibri" w:cs="Calibri"/>
                <w:color w:val="000000"/>
              </w:rPr>
              <w:t>pregnant</w:t>
            </w:r>
          </w:p>
        </w:tc>
        <w:tc>
          <w:tcPr>
            <w:tcW w:w="1680" w:type="dxa"/>
          </w:tcPr>
          <w:p w14:paraId="68D1437C" w14:textId="09B861BF" w:rsidR="00B771F6" w:rsidRPr="00BF0124" w:rsidRDefault="000C22A2" w:rsidP="00B771F6">
            <w:pPr>
              <w:spacing w:line="240" w:lineRule="auto"/>
              <w:jc w:val="center"/>
            </w:pPr>
            <w:r>
              <w:t>75.02</w:t>
            </w:r>
          </w:p>
        </w:tc>
        <w:tc>
          <w:tcPr>
            <w:tcW w:w="1680" w:type="dxa"/>
            <w:shd w:val="clear" w:color="auto" w:fill="auto"/>
            <w:noWrap/>
          </w:tcPr>
          <w:p w14:paraId="3F16D4F2" w14:textId="2DC79D84" w:rsidR="00B771F6" w:rsidRPr="00931350" w:rsidRDefault="000C22A2" w:rsidP="00B771F6">
            <w:pPr>
              <w:spacing w:line="240" w:lineRule="auto"/>
              <w:jc w:val="center"/>
              <w:rPr>
                <w:rFonts w:ascii="Calibri" w:hAnsi="Calibri" w:cs="Calibri"/>
                <w:color w:val="000000"/>
              </w:rPr>
            </w:pPr>
            <w:r>
              <w:rPr>
                <w:rFonts w:ascii="Calibri" w:hAnsi="Calibri" w:cs="Calibri"/>
                <w:color w:val="000000"/>
              </w:rPr>
              <w:t>74.41 – 75.63</w:t>
            </w:r>
          </w:p>
        </w:tc>
        <w:tc>
          <w:tcPr>
            <w:tcW w:w="1680" w:type="dxa"/>
            <w:shd w:val="clear" w:color="auto" w:fill="auto"/>
            <w:noWrap/>
          </w:tcPr>
          <w:p w14:paraId="69F42D24" w14:textId="2E1B72B3" w:rsidR="00B771F6" w:rsidRPr="00931350" w:rsidRDefault="007E30A9" w:rsidP="00B771F6">
            <w:pPr>
              <w:spacing w:line="240" w:lineRule="auto"/>
              <w:jc w:val="center"/>
              <w:rPr>
                <w:rFonts w:ascii="Calibri" w:hAnsi="Calibri" w:cs="Calibri"/>
                <w:color w:val="000000"/>
              </w:rPr>
            </w:pPr>
            <w:r>
              <w:rPr>
                <w:rFonts w:ascii="Calibri" w:hAnsi="Calibri" w:cs="Calibri"/>
                <w:color w:val="000000"/>
              </w:rPr>
              <w:t>No Difference</w:t>
            </w:r>
          </w:p>
        </w:tc>
      </w:tr>
      <w:tr w:rsidR="00B771F6" w:rsidRPr="00931350" w14:paraId="2A797750" w14:textId="77777777" w:rsidTr="00B771F6">
        <w:trPr>
          <w:trHeight w:val="449"/>
        </w:trPr>
        <w:tc>
          <w:tcPr>
            <w:tcW w:w="4230" w:type="dxa"/>
            <w:shd w:val="clear" w:color="auto" w:fill="F2F2F2" w:themeFill="background1" w:themeFillShade="F2"/>
          </w:tcPr>
          <w:p w14:paraId="313C69CA" w14:textId="77777777" w:rsidR="00B771F6" w:rsidRPr="00931350" w:rsidRDefault="00B771F6" w:rsidP="00B771F6">
            <w:pPr>
              <w:spacing w:line="240" w:lineRule="auto"/>
              <w:rPr>
                <w:rFonts w:ascii="Calibri" w:hAnsi="Calibri" w:cs="Calibri"/>
                <w:color w:val="000000"/>
              </w:rPr>
            </w:pPr>
            <w:r w:rsidRPr="0041349A">
              <w:rPr>
                <w:rFonts w:ascii="Calibri" w:hAnsi="Calibri" w:cs="Calibri"/>
                <w:color w:val="000000"/>
              </w:rPr>
              <w:t xml:space="preserve">All exclusions applied except </w:t>
            </w:r>
            <w:r>
              <w:rPr>
                <w:rFonts w:ascii="Calibri" w:hAnsi="Calibri" w:cs="Calibri"/>
                <w:color w:val="000000"/>
              </w:rPr>
              <w:t>delirium</w:t>
            </w:r>
          </w:p>
        </w:tc>
        <w:tc>
          <w:tcPr>
            <w:tcW w:w="1680" w:type="dxa"/>
            <w:shd w:val="clear" w:color="auto" w:fill="F2F2F2" w:themeFill="background1" w:themeFillShade="F2"/>
          </w:tcPr>
          <w:p w14:paraId="7A586459" w14:textId="597B4C09" w:rsidR="00B771F6" w:rsidRPr="00BF0124" w:rsidRDefault="000C22A2" w:rsidP="00B771F6">
            <w:pPr>
              <w:spacing w:line="240" w:lineRule="auto"/>
              <w:jc w:val="center"/>
            </w:pPr>
            <w:r>
              <w:t>75.00</w:t>
            </w:r>
          </w:p>
        </w:tc>
        <w:tc>
          <w:tcPr>
            <w:tcW w:w="1680" w:type="dxa"/>
            <w:shd w:val="clear" w:color="auto" w:fill="F2F2F2" w:themeFill="background1" w:themeFillShade="F2"/>
            <w:noWrap/>
          </w:tcPr>
          <w:p w14:paraId="2C0EAA89" w14:textId="46B3F67C" w:rsidR="00B771F6" w:rsidRPr="00931350" w:rsidRDefault="000C22A2" w:rsidP="00B771F6">
            <w:pPr>
              <w:spacing w:line="240" w:lineRule="auto"/>
              <w:jc w:val="center"/>
              <w:rPr>
                <w:rFonts w:ascii="Calibri" w:hAnsi="Calibri" w:cs="Calibri"/>
                <w:color w:val="000000"/>
              </w:rPr>
            </w:pPr>
            <w:r>
              <w:rPr>
                <w:rFonts w:ascii="Calibri" w:hAnsi="Calibri" w:cs="Calibri"/>
                <w:color w:val="000000"/>
              </w:rPr>
              <w:t>74.39 – 75.62</w:t>
            </w:r>
          </w:p>
        </w:tc>
        <w:tc>
          <w:tcPr>
            <w:tcW w:w="1680" w:type="dxa"/>
            <w:shd w:val="clear" w:color="auto" w:fill="F2F2F2" w:themeFill="background1" w:themeFillShade="F2"/>
            <w:noWrap/>
          </w:tcPr>
          <w:p w14:paraId="49B11B84" w14:textId="6E0C087A" w:rsidR="00B771F6" w:rsidRPr="00931350" w:rsidRDefault="007E30A9" w:rsidP="00B771F6">
            <w:pPr>
              <w:spacing w:line="240" w:lineRule="auto"/>
              <w:jc w:val="center"/>
              <w:rPr>
                <w:rFonts w:ascii="Calibri" w:hAnsi="Calibri" w:cs="Calibri"/>
                <w:color w:val="000000"/>
              </w:rPr>
            </w:pPr>
            <w:r>
              <w:rPr>
                <w:rFonts w:ascii="Calibri" w:hAnsi="Calibri" w:cs="Calibri"/>
                <w:color w:val="000000"/>
              </w:rPr>
              <w:t>No Difference</w:t>
            </w:r>
          </w:p>
        </w:tc>
      </w:tr>
      <w:tr w:rsidR="00B771F6" w:rsidRPr="00931350" w14:paraId="76E5505D" w14:textId="77777777" w:rsidTr="00B771F6">
        <w:trPr>
          <w:trHeight w:val="449"/>
        </w:trPr>
        <w:tc>
          <w:tcPr>
            <w:tcW w:w="4230" w:type="dxa"/>
            <w:shd w:val="clear" w:color="auto" w:fill="F2F2F2" w:themeFill="background1" w:themeFillShade="F2"/>
          </w:tcPr>
          <w:p w14:paraId="3DDAE750" w14:textId="77777777" w:rsidR="00B771F6" w:rsidRPr="000C22A2" w:rsidRDefault="00B771F6" w:rsidP="00B771F6">
            <w:pPr>
              <w:spacing w:line="240" w:lineRule="auto"/>
              <w:rPr>
                <w:rFonts w:ascii="Calibri" w:hAnsi="Calibri" w:cs="Calibri"/>
                <w:color w:val="000000"/>
              </w:rPr>
            </w:pPr>
            <w:r w:rsidRPr="000C22A2">
              <w:rPr>
                <w:rFonts w:ascii="Calibri" w:hAnsi="Calibri" w:cs="Calibri"/>
                <w:color w:val="000000"/>
              </w:rPr>
              <w:t>All exclusions applied except schizophrenia with dementia</w:t>
            </w:r>
          </w:p>
        </w:tc>
        <w:tc>
          <w:tcPr>
            <w:tcW w:w="1680" w:type="dxa"/>
            <w:shd w:val="clear" w:color="auto" w:fill="F2F2F2" w:themeFill="background1" w:themeFillShade="F2"/>
          </w:tcPr>
          <w:p w14:paraId="290D5079" w14:textId="0ECF46C9" w:rsidR="00B771F6" w:rsidRPr="000C22A2" w:rsidRDefault="00394015" w:rsidP="00B771F6">
            <w:pPr>
              <w:spacing w:line="240" w:lineRule="auto"/>
              <w:jc w:val="center"/>
            </w:pPr>
            <w:r>
              <w:t>75.02</w:t>
            </w:r>
          </w:p>
        </w:tc>
        <w:tc>
          <w:tcPr>
            <w:tcW w:w="1680" w:type="dxa"/>
            <w:shd w:val="clear" w:color="auto" w:fill="F2F2F2" w:themeFill="background1" w:themeFillShade="F2"/>
            <w:noWrap/>
          </w:tcPr>
          <w:p w14:paraId="7ED4ED86" w14:textId="38B767A2" w:rsidR="00B771F6" w:rsidRPr="000C22A2" w:rsidRDefault="00394015" w:rsidP="00B771F6">
            <w:pPr>
              <w:spacing w:line="240" w:lineRule="auto"/>
              <w:jc w:val="center"/>
            </w:pPr>
            <w:r>
              <w:t>74.41 – 75.63</w:t>
            </w:r>
          </w:p>
        </w:tc>
        <w:tc>
          <w:tcPr>
            <w:tcW w:w="1680" w:type="dxa"/>
            <w:shd w:val="clear" w:color="auto" w:fill="F2F2F2" w:themeFill="background1" w:themeFillShade="F2"/>
            <w:noWrap/>
          </w:tcPr>
          <w:p w14:paraId="49A91707" w14:textId="5B06FC52" w:rsidR="00B771F6" w:rsidRPr="000C22A2" w:rsidRDefault="007E30A9" w:rsidP="00B771F6">
            <w:pPr>
              <w:spacing w:line="240" w:lineRule="auto"/>
              <w:jc w:val="center"/>
              <w:rPr>
                <w:rFonts w:ascii="Calibri" w:hAnsi="Calibri" w:cs="Calibri"/>
                <w:color w:val="000000"/>
              </w:rPr>
            </w:pPr>
            <w:r w:rsidRPr="000C22A2">
              <w:rPr>
                <w:rFonts w:ascii="Calibri" w:hAnsi="Calibri" w:cs="Calibri"/>
                <w:color w:val="000000"/>
              </w:rPr>
              <w:t>No Difference</w:t>
            </w:r>
          </w:p>
        </w:tc>
      </w:tr>
    </w:tbl>
    <w:bookmarkEnd w:id="46"/>
    <w:p w14:paraId="2EAC9FC1" w14:textId="60F813E0" w:rsidR="007E30A9" w:rsidRPr="007E30A9" w:rsidRDefault="007E30A9" w:rsidP="007E30A9">
      <w:pPr>
        <w:rPr>
          <w:rFonts w:ascii="Calibri" w:eastAsia="Calibri" w:hAnsi="Calibri" w:cs="Calibri"/>
          <w:color w:val="FF0000"/>
          <w:sz w:val="18"/>
          <w:szCs w:val="18"/>
        </w:rPr>
      </w:pPr>
      <w:r w:rsidRPr="007E30A9">
        <w:rPr>
          <w:rFonts w:ascii="Calibri" w:eastAsia="Calibri" w:hAnsi="Calibri" w:cs="Calibri"/>
          <w:color w:val="FF0000"/>
          <w:sz w:val="18"/>
          <w:szCs w:val="18"/>
        </w:rPr>
        <w:t xml:space="preserve">Source: Mathematica analysis of Medicare </w:t>
      </w:r>
      <w:r w:rsidR="00DD7D96">
        <w:rPr>
          <w:rFonts w:ascii="Calibri" w:eastAsia="Calibri" w:hAnsi="Calibri" w:cs="Calibri"/>
          <w:color w:val="FF0000"/>
          <w:sz w:val="18"/>
          <w:szCs w:val="18"/>
        </w:rPr>
        <w:t>f</w:t>
      </w:r>
      <w:r w:rsidR="00DD7D96" w:rsidRPr="007E30A9">
        <w:rPr>
          <w:rFonts w:ascii="Calibri" w:eastAsia="Calibri" w:hAnsi="Calibri" w:cs="Calibri"/>
          <w:color w:val="FF0000"/>
          <w:sz w:val="18"/>
          <w:szCs w:val="18"/>
        </w:rPr>
        <w:t>ee</w:t>
      </w:r>
      <w:r w:rsidR="00DD7D96">
        <w:rPr>
          <w:rFonts w:ascii="Calibri" w:eastAsia="Calibri" w:hAnsi="Calibri" w:cs="Calibri"/>
          <w:color w:val="FF0000"/>
          <w:sz w:val="18"/>
          <w:szCs w:val="18"/>
        </w:rPr>
        <w:t>-</w:t>
      </w:r>
      <w:r w:rsidRPr="007E30A9">
        <w:rPr>
          <w:rFonts w:ascii="Calibri" w:eastAsia="Calibri" w:hAnsi="Calibri" w:cs="Calibri"/>
          <w:color w:val="FF0000"/>
          <w:sz w:val="18"/>
          <w:szCs w:val="18"/>
        </w:rPr>
        <w:t>for</w:t>
      </w:r>
      <w:r w:rsidR="00DD7D96">
        <w:rPr>
          <w:rFonts w:ascii="Calibri" w:eastAsia="Calibri" w:hAnsi="Calibri" w:cs="Calibri"/>
          <w:color w:val="FF0000"/>
          <w:sz w:val="18"/>
          <w:szCs w:val="18"/>
        </w:rPr>
        <w:t>-s</w:t>
      </w:r>
      <w:r w:rsidRPr="007E30A9">
        <w:rPr>
          <w:rFonts w:ascii="Calibri" w:eastAsia="Calibri" w:hAnsi="Calibri" w:cs="Calibri"/>
          <w:color w:val="FF0000"/>
          <w:sz w:val="18"/>
          <w:szCs w:val="18"/>
        </w:rPr>
        <w:t>ervice (FFS) data for the July 1, 2017</w:t>
      </w:r>
      <w:r w:rsidR="00DD7D96">
        <w:rPr>
          <w:rFonts w:ascii="Calibri" w:eastAsia="Calibri" w:hAnsi="Calibri" w:cs="Calibri"/>
          <w:color w:val="FF0000"/>
          <w:sz w:val="18"/>
          <w:szCs w:val="18"/>
        </w:rPr>
        <w:t>–</w:t>
      </w:r>
      <w:r w:rsidRPr="007E30A9">
        <w:rPr>
          <w:rFonts w:ascii="Calibri" w:eastAsia="Calibri" w:hAnsi="Calibri" w:cs="Calibri"/>
          <w:color w:val="FF0000"/>
          <w:sz w:val="18"/>
          <w:szCs w:val="18"/>
        </w:rPr>
        <w:t xml:space="preserve"> June 30, 2019</w:t>
      </w:r>
      <w:del w:id="47" w:author="L. Bernstein" w:date="2020-07-01T14:03:00Z">
        <w:r w:rsidRPr="007E30A9" w:rsidDel="00DD7D96">
          <w:rPr>
            <w:rFonts w:ascii="Calibri" w:eastAsia="Calibri" w:hAnsi="Calibri" w:cs="Calibri"/>
            <w:color w:val="FF0000"/>
            <w:sz w:val="18"/>
            <w:szCs w:val="18"/>
          </w:rPr>
          <w:delText>,</w:delText>
        </w:r>
      </w:del>
      <w:r w:rsidRPr="007E30A9">
        <w:rPr>
          <w:rFonts w:ascii="Calibri" w:eastAsia="Calibri" w:hAnsi="Calibri" w:cs="Calibri"/>
          <w:color w:val="FF0000"/>
          <w:sz w:val="18"/>
          <w:szCs w:val="18"/>
        </w:rPr>
        <w:t xml:space="preserve"> performance period. </w:t>
      </w:r>
    </w:p>
    <w:p w14:paraId="43EC0836" w14:textId="77777777" w:rsidR="004E357F" w:rsidRPr="00C8021D" w:rsidRDefault="004E357F" w:rsidP="005B164E">
      <w:pPr>
        <w:pStyle w:val="BodyText"/>
        <w:ind w:left="720"/>
        <w:rPr>
          <w:b/>
          <w:bCs/>
          <w:color w:val="0000FF"/>
          <w:sz w:val="22"/>
          <w:szCs w:val="22"/>
        </w:rPr>
      </w:pPr>
    </w:p>
    <w:p w14:paraId="047DF888" w14:textId="77777777" w:rsidR="00F32679" w:rsidRPr="005B164E" w:rsidRDefault="00F32679" w:rsidP="005B164E">
      <w:pPr>
        <w:pStyle w:val="BodyText"/>
        <w:ind w:left="0"/>
        <w:rPr>
          <w:rFonts w:ascii="Calibri" w:eastAsia="Arial" w:hAnsi="Calibri" w:cs="Arial"/>
          <w:b/>
          <w:bCs/>
          <w:color w:val="auto"/>
          <w:sz w:val="20"/>
          <w:szCs w:val="20"/>
        </w:rPr>
      </w:pPr>
      <w:r w:rsidRPr="005B164E">
        <w:rPr>
          <w:rFonts w:ascii="Calibri" w:eastAsia="Arial" w:hAnsi="Calibri" w:cs="Arial"/>
          <w:b/>
          <w:bCs/>
          <w:color w:val="auto"/>
          <w:sz w:val="20"/>
          <w:szCs w:val="20"/>
        </w:rPr>
        <w:t>Table 2b3.2-A. Frequency of ECT During or After the Index Admission</w:t>
      </w:r>
    </w:p>
    <w:tbl>
      <w:tblPr>
        <w:tblW w:w="94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6"/>
        <w:gridCol w:w="1161"/>
        <w:gridCol w:w="846"/>
        <w:gridCol w:w="1161"/>
        <w:gridCol w:w="864"/>
        <w:gridCol w:w="882"/>
        <w:gridCol w:w="1134"/>
        <w:gridCol w:w="846"/>
        <w:gridCol w:w="855"/>
      </w:tblGrid>
      <w:tr w:rsidR="00F32679" w:rsidRPr="009C2A08" w14:paraId="2016C497" w14:textId="77777777" w:rsidTr="00F32679">
        <w:trPr>
          <w:trHeight w:val="490"/>
          <w:tblHeader/>
        </w:trPr>
        <w:tc>
          <w:tcPr>
            <w:tcW w:w="1656" w:type="dxa"/>
            <w:vMerge w:val="restart"/>
            <w:shd w:val="clear" w:color="auto" w:fill="365F91" w:themeFill="accent1" w:themeFillShade="BF"/>
            <w:vAlign w:val="bottom"/>
            <w:hideMark/>
          </w:tcPr>
          <w:p w14:paraId="6FB4223D" w14:textId="77777777" w:rsidR="00F32679" w:rsidRPr="009C2A08" w:rsidRDefault="00F32679" w:rsidP="00F32679">
            <w:pPr>
              <w:spacing w:after="0"/>
              <w:rPr>
                <w:b/>
                <w:bCs/>
                <w:color w:val="FFFFFF" w:themeColor="background1"/>
                <w:sz w:val="20"/>
                <w:szCs w:val="20"/>
              </w:rPr>
            </w:pPr>
            <w:r w:rsidRPr="0C206F83">
              <w:rPr>
                <w:rFonts w:ascii="Calibri" w:eastAsia="Calibri" w:hAnsi="Calibri" w:cs="Calibri"/>
                <w:b/>
                <w:bCs/>
                <w:color w:val="FFFFFF" w:themeColor="background1"/>
                <w:sz w:val="20"/>
                <w:szCs w:val="20"/>
              </w:rPr>
              <w:t>Principal Condition</w:t>
            </w:r>
          </w:p>
        </w:tc>
        <w:tc>
          <w:tcPr>
            <w:tcW w:w="2007" w:type="dxa"/>
            <w:gridSpan w:val="2"/>
            <w:shd w:val="clear" w:color="auto" w:fill="365F91" w:themeFill="accent1" w:themeFillShade="BF"/>
            <w:noWrap/>
            <w:vAlign w:val="bottom"/>
            <w:hideMark/>
          </w:tcPr>
          <w:p w14:paraId="6C927E23" w14:textId="77777777" w:rsidR="00F32679" w:rsidRPr="009C2A08"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All IPF Admissions</w:t>
            </w:r>
          </w:p>
        </w:tc>
        <w:tc>
          <w:tcPr>
            <w:tcW w:w="2907" w:type="dxa"/>
            <w:gridSpan w:val="3"/>
            <w:shd w:val="clear" w:color="auto" w:fill="365F91" w:themeFill="accent1" w:themeFillShade="BF"/>
            <w:noWrap/>
            <w:vAlign w:val="bottom"/>
            <w:hideMark/>
          </w:tcPr>
          <w:p w14:paraId="4AFDE7D8" w14:textId="77777777" w:rsidR="00F32679" w:rsidRDefault="00F32679" w:rsidP="00F32679">
            <w:pPr>
              <w:spacing w:after="0"/>
              <w:jc w:val="center"/>
              <w:rPr>
                <w:rFonts w:ascii="Calibri" w:eastAsia="Calibri" w:hAnsi="Calibri" w:cs="Calibri"/>
                <w:b/>
                <w:bCs/>
                <w:color w:val="FFFFFF" w:themeColor="background1"/>
                <w:sz w:val="20"/>
                <w:szCs w:val="20"/>
              </w:rPr>
            </w:pPr>
            <w:r w:rsidRPr="0C206F83">
              <w:rPr>
                <w:rFonts w:ascii="Calibri" w:eastAsia="Calibri" w:hAnsi="Calibri" w:cs="Calibri"/>
                <w:b/>
                <w:bCs/>
                <w:color w:val="FFFFFF" w:themeColor="background1"/>
                <w:sz w:val="20"/>
                <w:szCs w:val="20"/>
              </w:rPr>
              <w:t>ECT During Admission</w:t>
            </w:r>
          </w:p>
          <w:p w14:paraId="09B42F4D" w14:textId="77777777" w:rsidR="00F32679" w:rsidRPr="009C2A08" w:rsidRDefault="00F32679" w:rsidP="00F32679">
            <w:pPr>
              <w:spacing w:after="0"/>
              <w:jc w:val="center"/>
              <w:rPr>
                <w:b/>
                <w:bCs/>
                <w:color w:val="FFFFFF" w:themeColor="background1"/>
                <w:sz w:val="20"/>
                <w:szCs w:val="20"/>
              </w:rPr>
            </w:pPr>
            <w:r>
              <w:rPr>
                <w:rFonts w:ascii="Calibri" w:eastAsia="Calibri" w:hAnsi="Calibri" w:cs="Calibri"/>
                <w:b/>
                <w:bCs/>
                <w:color w:val="FFFFFF" w:themeColor="background1"/>
                <w:sz w:val="20"/>
                <w:szCs w:val="20"/>
              </w:rPr>
              <w:t>O</w:t>
            </w:r>
            <w:r w:rsidRPr="0C206F83">
              <w:rPr>
                <w:rFonts w:ascii="Calibri" w:eastAsia="Calibri" w:hAnsi="Calibri" w:cs="Calibri"/>
                <w:b/>
                <w:bCs/>
                <w:color w:val="FFFFFF" w:themeColor="background1"/>
                <w:sz w:val="20"/>
                <w:szCs w:val="20"/>
              </w:rPr>
              <w:t>r Follow-Up Period</w:t>
            </w:r>
          </w:p>
        </w:tc>
        <w:tc>
          <w:tcPr>
            <w:tcW w:w="2835" w:type="dxa"/>
            <w:gridSpan w:val="3"/>
            <w:shd w:val="clear" w:color="auto" w:fill="365F91" w:themeFill="accent1" w:themeFillShade="BF"/>
            <w:noWrap/>
            <w:vAlign w:val="bottom"/>
            <w:hideMark/>
          </w:tcPr>
          <w:p w14:paraId="60874AAD" w14:textId="77777777" w:rsidR="00F32679" w:rsidRDefault="00F32679" w:rsidP="00F32679">
            <w:pPr>
              <w:spacing w:after="0"/>
              <w:jc w:val="center"/>
              <w:rPr>
                <w:rFonts w:ascii="Calibri" w:eastAsia="Calibri" w:hAnsi="Calibri" w:cs="Calibri"/>
                <w:b/>
                <w:bCs/>
                <w:color w:val="FFFFFF" w:themeColor="background1"/>
                <w:sz w:val="20"/>
                <w:szCs w:val="20"/>
              </w:rPr>
            </w:pPr>
            <w:r w:rsidRPr="0C206F83">
              <w:rPr>
                <w:rFonts w:ascii="Calibri" w:eastAsia="Calibri" w:hAnsi="Calibri" w:cs="Calibri"/>
                <w:b/>
                <w:bCs/>
                <w:color w:val="FFFFFF" w:themeColor="background1"/>
                <w:sz w:val="20"/>
                <w:szCs w:val="20"/>
              </w:rPr>
              <w:t>No ECT During Admission</w:t>
            </w:r>
          </w:p>
          <w:p w14:paraId="4148C768" w14:textId="77777777" w:rsidR="00F32679" w:rsidRPr="009C2A08" w:rsidRDefault="00F32679" w:rsidP="00F32679">
            <w:pPr>
              <w:spacing w:after="0"/>
              <w:jc w:val="center"/>
              <w:rPr>
                <w:b/>
                <w:bCs/>
                <w:color w:val="FFFFFF" w:themeColor="background1"/>
                <w:sz w:val="20"/>
                <w:szCs w:val="20"/>
              </w:rPr>
            </w:pPr>
            <w:r>
              <w:rPr>
                <w:rFonts w:ascii="Calibri" w:eastAsia="Calibri" w:hAnsi="Calibri" w:cs="Calibri"/>
                <w:b/>
                <w:bCs/>
                <w:color w:val="FFFFFF" w:themeColor="background1"/>
                <w:sz w:val="20"/>
                <w:szCs w:val="20"/>
              </w:rPr>
              <w:t>O</w:t>
            </w:r>
            <w:r w:rsidRPr="0C206F83">
              <w:rPr>
                <w:rFonts w:ascii="Calibri" w:eastAsia="Calibri" w:hAnsi="Calibri" w:cs="Calibri"/>
                <w:b/>
                <w:bCs/>
                <w:color w:val="FFFFFF" w:themeColor="background1"/>
                <w:sz w:val="20"/>
                <w:szCs w:val="20"/>
              </w:rPr>
              <w:t>r Follow-Up Period</w:t>
            </w:r>
          </w:p>
        </w:tc>
      </w:tr>
      <w:tr w:rsidR="00F32679" w:rsidRPr="009C2A08" w14:paraId="6944C105" w14:textId="77777777" w:rsidTr="00F32679">
        <w:trPr>
          <w:trHeight w:val="297"/>
          <w:tblHeader/>
        </w:trPr>
        <w:tc>
          <w:tcPr>
            <w:tcW w:w="1656" w:type="dxa"/>
            <w:vMerge/>
            <w:shd w:val="clear" w:color="auto" w:fill="365F91" w:themeFill="accent1" w:themeFillShade="BF"/>
            <w:hideMark/>
          </w:tcPr>
          <w:p w14:paraId="2480863C" w14:textId="77777777" w:rsidR="00F32679" w:rsidRPr="009C2A08" w:rsidRDefault="00F32679" w:rsidP="00F32679">
            <w:pPr>
              <w:spacing w:after="0"/>
              <w:rPr>
                <w:b/>
                <w:color w:val="FFFFFF" w:themeColor="background1"/>
                <w:sz w:val="20"/>
                <w:szCs w:val="20"/>
              </w:rPr>
            </w:pPr>
          </w:p>
        </w:tc>
        <w:tc>
          <w:tcPr>
            <w:tcW w:w="1161" w:type="dxa"/>
            <w:shd w:val="clear" w:color="auto" w:fill="365F91" w:themeFill="accent1" w:themeFillShade="BF"/>
            <w:vAlign w:val="bottom"/>
            <w:hideMark/>
          </w:tcPr>
          <w:p w14:paraId="71AA7A2B" w14:textId="77777777" w:rsidR="00F32679" w:rsidRPr="009C2A08"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846" w:type="dxa"/>
            <w:shd w:val="clear" w:color="auto" w:fill="365F91" w:themeFill="accent1" w:themeFillShade="BF"/>
            <w:vAlign w:val="bottom"/>
            <w:hideMark/>
          </w:tcPr>
          <w:p w14:paraId="341DC3AD" w14:textId="77777777" w:rsidR="00F32679" w:rsidRPr="009C2A08"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Rx</w:t>
            </w:r>
          </w:p>
        </w:tc>
        <w:tc>
          <w:tcPr>
            <w:tcW w:w="1161" w:type="dxa"/>
            <w:shd w:val="clear" w:color="auto" w:fill="365F91" w:themeFill="accent1" w:themeFillShade="BF"/>
            <w:vAlign w:val="bottom"/>
            <w:hideMark/>
          </w:tcPr>
          <w:p w14:paraId="74E887A8" w14:textId="77777777" w:rsidR="00F32679" w:rsidRPr="009C2A08"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864" w:type="dxa"/>
            <w:shd w:val="clear" w:color="auto" w:fill="365F91" w:themeFill="accent1" w:themeFillShade="BF"/>
            <w:vAlign w:val="bottom"/>
            <w:hideMark/>
          </w:tcPr>
          <w:p w14:paraId="17A920A2" w14:textId="77777777" w:rsidR="00F32679" w:rsidRPr="009C2A08"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Total</w:t>
            </w:r>
          </w:p>
        </w:tc>
        <w:tc>
          <w:tcPr>
            <w:tcW w:w="882" w:type="dxa"/>
            <w:shd w:val="clear" w:color="auto" w:fill="365F91" w:themeFill="accent1" w:themeFillShade="BF"/>
            <w:vAlign w:val="bottom"/>
            <w:hideMark/>
          </w:tcPr>
          <w:p w14:paraId="4E55B035" w14:textId="77777777" w:rsidR="00F32679" w:rsidRPr="009C2A08"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Rx</w:t>
            </w:r>
          </w:p>
        </w:tc>
        <w:tc>
          <w:tcPr>
            <w:tcW w:w="1134" w:type="dxa"/>
            <w:shd w:val="clear" w:color="auto" w:fill="365F91" w:themeFill="accent1" w:themeFillShade="BF"/>
            <w:vAlign w:val="bottom"/>
            <w:hideMark/>
          </w:tcPr>
          <w:p w14:paraId="4855B46D" w14:textId="77777777" w:rsidR="00F32679" w:rsidRPr="009C2A08"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846" w:type="dxa"/>
            <w:shd w:val="clear" w:color="auto" w:fill="365F91" w:themeFill="accent1" w:themeFillShade="BF"/>
            <w:vAlign w:val="bottom"/>
            <w:hideMark/>
          </w:tcPr>
          <w:p w14:paraId="1AF784E7" w14:textId="77777777" w:rsidR="00F32679" w:rsidRPr="009C2A08"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Total</w:t>
            </w:r>
          </w:p>
        </w:tc>
        <w:tc>
          <w:tcPr>
            <w:tcW w:w="855" w:type="dxa"/>
            <w:shd w:val="clear" w:color="auto" w:fill="365F91" w:themeFill="accent1" w:themeFillShade="BF"/>
            <w:vAlign w:val="bottom"/>
            <w:hideMark/>
          </w:tcPr>
          <w:p w14:paraId="24B25A73" w14:textId="77777777" w:rsidR="00F32679" w:rsidRPr="009C2A08"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Rx</w:t>
            </w:r>
          </w:p>
        </w:tc>
      </w:tr>
      <w:tr w:rsidR="00F32679" w:rsidRPr="009C2A08" w14:paraId="19E3CF03" w14:textId="77777777" w:rsidTr="00F32679">
        <w:trPr>
          <w:trHeight w:val="283"/>
        </w:trPr>
        <w:tc>
          <w:tcPr>
            <w:tcW w:w="1656" w:type="dxa"/>
            <w:shd w:val="clear" w:color="auto" w:fill="auto"/>
            <w:vAlign w:val="bottom"/>
            <w:hideMark/>
          </w:tcPr>
          <w:p w14:paraId="0DADD574" w14:textId="77777777" w:rsidR="00F32679" w:rsidRPr="009C2A08" w:rsidRDefault="00F32679" w:rsidP="00F32679">
            <w:pPr>
              <w:spacing w:after="0"/>
              <w:rPr>
                <w:color w:val="000000" w:themeColor="text1"/>
                <w:sz w:val="20"/>
                <w:szCs w:val="20"/>
              </w:rPr>
            </w:pPr>
            <w:r w:rsidRPr="0C206F83">
              <w:rPr>
                <w:color w:val="000000" w:themeColor="text1"/>
                <w:sz w:val="20"/>
                <w:szCs w:val="20"/>
              </w:rPr>
              <w:t>MDD</w:t>
            </w:r>
          </w:p>
        </w:tc>
        <w:tc>
          <w:tcPr>
            <w:tcW w:w="1161" w:type="dxa"/>
            <w:shd w:val="clear" w:color="auto" w:fill="auto"/>
            <w:vAlign w:val="bottom"/>
            <w:hideMark/>
          </w:tcPr>
          <w:p w14:paraId="60E2878C" w14:textId="77777777" w:rsidR="00F32679" w:rsidRPr="009C2A08" w:rsidRDefault="00F32679" w:rsidP="00F32679">
            <w:pPr>
              <w:spacing w:after="0"/>
              <w:jc w:val="right"/>
              <w:rPr>
                <w:color w:val="000000" w:themeColor="text1"/>
                <w:sz w:val="20"/>
                <w:szCs w:val="20"/>
              </w:rPr>
            </w:pPr>
            <w:r w:rsidRPr="0C206F83">
              <w:rPr>
                <w:sz w:val="20"/>
                <w:szCs w:val="20"/>
              </w:rPr>
              <w:t>139,355</w:t>
            </w:r>
          </w:p>
        </w:tc>
        <w:tc>
          <w:tcPr>
            <w:tcW w:w="846" w:type="dxa"/>
            <w:shd w:val="clear" w:color="auto" w:fill="auto"/>
            <w:vAlign w:val="bottom"/>
            <w:hideMark/>
          </w:tcPr>
          <w:p w14:paraId="6D76FFD7"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71.7</w:t>
            </w:r>
          </w:p>
        </w:tc>
        <w:tc>
          <w:tcPr>
            <w:tcW w:w="1161" w:type="dxa"/>
            <w:shd w:val="clear" w:color="auto" w:fill="auto"/>
            <w:vAlign w:val="bottom"/>
          </w:tcPr>
          <w:p w14:paraId="0941D039" w14:textId="77777777" w:rsidR="00F32679" w:rsidRPr="009C2A08" w:rsidRDefault="00F32679" w:rsidP="00F32679">
            <w:pPr>
              <w:spacing w:after="0"/>
              <w:jc w:val="right"/>
              <w:rPr>
                <w:color w:val="000000" w:themeColor="text1"/>
                <w:sz w:val="20"/>
                <w:szCs w:val="20"/>
              </w:rPr>
            </w:pPr>
            <w:r w:rsidRPr="0C206F83">
              <w:rPr>
                <w:rFonts w:ascii="Calibri" w:eastAsia="Calibri" w:hAnsi="Calibri" w:cs="Calibri"/>
                <w:color w:val="000000" w:themeColor="text1"/>
                <w:sz w:val="20"/>
                <w:szCs w:val="20"/>
              </w:rPr>
              <w:t>7,414</w:t>
            </w:r>
          </w:p>
        </w:tc>
        <w:tc>
          <w:tcPr>
            <w:tcW w:w="864" w:type="dxa"/>
            <w:shd w:val="clear" w:color="auto" w:fill="auto"/>
            <w:vAlign w:val="bottom"/>
          </w:tcPr>
          <w:p w14:paraId="3CDDCA96"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5.3</w:t>
            </w:r>
          </w:p>
        </w:tc>
        <w:tc>
          <w:tcPr>
            <w:tcW w:w="882" w:type="dxa"/>
            <w:shd w:val="clear" w:color="auto" w:fill="auto"/>
            <w:vAlign w:val="bottom"/>
          </w:tcPr>
          <w:p w14:paraId="23B1B8F5"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76.3</w:t>
            </w:r>
          </w:p>
        </w:tc>
        <w:tc>
          <w:tcPr>
            <w:tcW w:w="1134" w:type="dxa"/>
            <w:shd w:val="clear" w:color="auto" w:fill="auto"/>
            <w:vAlign w:val="bottom"/>
          </w:tcPr>
          <w:p w14:paraId="74114806" w14:textId="77777777" w:rsidR="00F32679" w:rsidRPr="009C2A08" w:rsidRDefault="00F32679" w:rsidP="00F32679">
            <w:pPr>
              <w:spacing w:after="0"/>
              <w:jc w:val="right"/>
              <w:rPr>
                <w:color w:val="000000" w:themeColor="text1"/>
                <w:sz w:val="20"/>
                <w:szCs w:val="20"/>
              </w:rPr>
            </w:pPr>
            <w:r w:rsidRPr="0C206F83">
              <w:rPr>
                <w:rFonts w:ascii="Calibri" w:eastAsia="Calibri" w:hAnsi="Calibri" w:cs="Calibri"/>
                <w:color w:val="000000" w:themeColor="text1"/>
                <w:sz w:val="20"/>
                <w:szCs w:val="20"/>
              </w:rPr>
              <w:t>131,941</w:t>
            </w:r>
          </w:p>
        </w:tc>
        <w:tc>
          <w:tcPr>
            <w:tcW w:w="846" w:type="dxa"/>
            <w:shd w:val="clear" w:color="auto" w:fill="auto"/>
            <w:vAlign w:val="bottom"/>
          </w:tcPr>
          <w:p w14:paraId="5604F0C9"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94.7</w:t>
            </w:r>
          </w:p>
        </w:tc>
        <w:tc>
          <w:tcPr>
            <w:tcW w:w="855" w:type="dxa"/>
            <w:shd w:val="clear" w:color="auto" w:fill="auto"/>
            <w:vAlign w:val="bottom"/>
          </w:tcPr>
          <w:p w14:paraId="16962A5C"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71.4</w:t>
            </w:r>
          </w:p>
        </w:tc>
      </w:tr>
      <w:tr w:rsidR="00F32679" w:rsidRPr="009C2A08" w14:paraId="57F0A97E" w14:textId="77777777" w:rsidTr="00F32679">
        <w:trPr>
          <w:cantSplit/>
          <w:trHeight w:val="283"/>
        </w:trPr>
        <w:tc>
          <w:tcPr>
            <w:tcW w:w="1656" w:type="dxa"/>
            <w:shd w:val="clear" w:color="auto" w:fill="auto"/>
            <w:vAlign w:val="bottom"/>
            <w:hideMark/>
          </w:tcPr>
          <w:p w14:paraId="5389536C" w14:textId="77777777" w:rsidR="00F32679" w:rsidRPr="009C2A08" w:rsidRDefault="00F32679" w:rsidP="00F32679">
            <w:pPr>
              <w:spacing w:after="0"/>
              <w:rPr>
                <w:color w:val="000000" w:themeColor="text1"/>
                <w:sz w:val="20"/>
                <w:szCs w:val="20"/>
              </w:rPr>
            </w:pPr>
            <w:r w:rsidRPr="0C206F83">
              <w:rPr>
                <w:rFonts w:ascii="Calibri" w:eastAsia="Calibri" w:hAnsi="Calibri" w:cs="Calibri"/>
                <w:color w:val="000000" w:themeColor="text1"/>
                <w:sz w:val="20"/>
                <w:szCs w:val="20"/>
              </w:rPr>
              <w:t>Schizophrenia</w:t>
            </w:r>
          </w:p>
        </w:tc>
        <w:tc>
          <w:tcPr>
            <w:tcW w:w="1161" w:type="dxa"/>
            <w:shd w:val="clear" w:color="auto" w:fill="auto"/>
            <w:vAlign w:val="bottom"/>
            <w:hideMark/>
          </w:tcPr>
          <w:p w14:paraId="56522BF4" w14:textId="77777777" w:rsidR="00F32679" w:rsidRPr="009C2A08" w:rsidRDefault="00F32679" w:rsidP="00F32679">
            <w:pPr>
              <w:spacing w:after="0"/>
              <w:jc w:val="right"/>
              <w:rPr>
                <w:color w:val="000000" w:themeColor="text1"/>
                <w:sz w:val="20"/>
                <w:szCs w:val="20"/>
              </w:rPr>
            </w:pPr>
            <w:r w:rsidRPr="0C206F83">
              <w:rPr>
                <w:sz w:val="20"/>
                <w:szCs w:val="20"/>
              </w:rPr>
              <w:t>217,417</w:t>
            </w:r>
          </w:p>
        </w:tc>
        <w:tc>
          <w:tcPr>
            <w:tcW w:w="846" w:type="dxa"/>
            <w:shd w:val="clear" w:color="auto" w:fill="auto"/>
            <w:vAlign w:val="bottom"/>
            <w:hideMark/>
          </w:tcPr>
          <w:p w14:paraId="296D01B0"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75.6</w:t>
            </w:r>
          </w:p>
        </w:tc>
        <w:tc>
          <w:tcPr>
            <w:tcW w:w="1161" w:type="dxa"/>
            <w:shd w:val="clear" w:color="auto" w:fill="auto"/>
            <w:vAlign w:val="bottom"/>
          </w:tcPr>
          <w:p w14:paraId="55E692CE" w14:textId="77777777" w:rsidR="00F32679" w:rsidRPr="009C2A08" w:rsidRDefault="00F32679" w:rsidP="00F32679">
            <w:pPr>
              <w:spacing w:after="0"/>
              <w:jc w:val="right"/>
              <w:rPr>
                <w:color w:val="000000" w:themeColor="text1"/>
                <w:sz w:val="20"/>
                <w:szCs w:val="20"/>
              </w:rPr>
            </w:pPr>
            <w:r w:rsidRPr="0C206F83">
              <w:rPr>
                <w:rFonts w:ascii="Calibri" w:eastAsia="Calibri" w:hAnsi="Calibri" w:cs="Calibri"/>
                <w:color w:val="000000" w:themeColor="text1"/>
                <w:sz w:val="20"/>
                <w:szCs w:val="20"/>
              </w:rPr>
              <w:t>3,086</w:t>
            </w:r>
          </w:p>
        </w:tc>
        <w:tc>
          <w:tcPr>
            <w:tcW w:w="864" w:type="dxa"/>
            <w:shd w:val="clear" w:color="auto" w:fill="auto"/>
            <w:vAlign w:val="bottom"/>
          </w:tcPr>
          <w:p w14:paraId="099AC8D3"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1.4</w:t>
            </w:r>
          </w:p>
        </w:tc>
        <w:tc>
          <w:tcPr>
            <w:tcW w:w="882" w:type="dxa"/>
            <w:shd w:val="clear" w:color="auto" w:fill="auto"/>
            <w:vAlign w:val="bottom"/>
          </w:tcPr>
          <w:p w14:paraId="1216EDEB"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77.3</w:t>
            </w:r>
          </w:p>
        </w:tc>
        <w:tc>
          <w:tcPr>
            <w:tcW w:w="1134" w:type="dxa"/>
            <w:shd w:val="clear" w:color="auto" w:fill="auto"/>
            <w:vAlign w:val="bottom"/>
          </w:tcPr>
          <w:p w14:paraId="14B20ABE" w14:textId="77777777" w:rsidR="00F32679" w:rsidRPr="009C2A08" w:rsidRDefault="00F32679" w:rsidP="00F32679">
            <w:pPr>
              <w:spacing w:after="0"/>
              <w:jc w:val="right"/>
              <w:rPr>
                <w:color w:val="000000" w:themeColor="text1"/>
                <w:sz w:val="20"/>
                <w:szCs w:val="20"/>
              </w:rPr>
            </w:pPr>
            <w:r w:rsidRPr="0C206F83">
              <w:rPr>
                <w:rFonts w:ascii="Calibri" w:eastAsia="Calibri" w:hAnsi="Calibri" w:cs="Calibri"/>
                <w:color w:val="000000" w:themeColor="text1"/>
                <w:sz w:val="20"/>
                <w:szCs w:val="20"/>
              </w:rPr>
              <w:t>214,331</w:t>
            </w:r>
          </w:p>
        </w:tc>
        <w:tc>
          <w:tcPr>
            <w:tcW w:w="846" w:type="dxa"/>
            <w:shd w:val="clear" w:color="auto" w:fill="auto"/>
            <w:vAlign w:val="bottom"/>
          </w:tcPr>
          <w:p w14:paraId="0D52E19C"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98.6</w:t>
            </w:r>
          </w:p>
        </w:tc>
        <w:tc>
          <w:tcPr>
            <w:tcW w:w="855" w:type="dxa"/>
            <w:shd w:val="clear" w:color="auto" w:fill="auto"/>
            <w:vAlign w:val="bottom"/>
          </w:tcPr>
          <w:p w14:paraId="3FA5D532"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75.5</w:t>
            </w:r>
          </w:p>
        </w:tc>
      </w:tr>
      <w:tr w:rsidR="00F32679" w:rsidRPr="009C2A08" w14:paraId="0E892A0A" w14:textId="77777777" w:rsidTr="00F32679">
        <w:trPr>
          <w:trHeight w:val="283"/>
        </w:trPr>
        <w:tc>
          <w:tcPr>
            <w:tcW w:w="1656" w:type="dxa"/>
            <w:shd w:val="clear" w:color="auto" w:fill="auto"/>
            <w:vAlign w:val="bottom"/>
            <w:hideMark/>
          </w:tcPr>
          <w:p w14:paraId="46A327CE" w14:textId="77777777" w:rsidR="00F32679" w:rsidRPr="009C2A08" w:rsidRDefault="00F32679" w:rsidP="00F32679">
            <w:pPr>
              <w:spacing w:after="0"/>
              <w:rPr>
                <w:color w:val="000000" w:themeColor="text1"/>
                <w:sz w:val="20"/>
                <w:szCs w:val="20"/>
              </w:rPr>
            </w:pPr>
            <w:r w:rsidRPr="0C206F83">
              <w:rPr>
                <w:rFonts w:ascii="Calibri" w:eastAsia="Calibri" w:hAnsi="Calibri" w:cs="Calibri"/>
                <w:color w:val="000000" w:themeColor="text1"/>
                <w:sz w:val="20"/>
                <w:szCs w:val="20"/>
              </w:rPr>
              <w:t>Bipolar disorder</w:t>
            </w:r>
          </w:p>
        </w:tc>
        <w:tc>
          <w:tcPr>
            <w:tcW w:w="1161" w:type="dxa"/>
            <w:shd w:val="clear" w:color="auto" w:fill="auto"/>
            <w:vAlign w:val="bottom"/>
            <w:hideMark/>
          </w:tcPr>
          <w:p w14:paraId="7C3AEC4A" w14:textId="77777777" w:rsidR="00F32679" w:rsidRPr="009C2A08" w:rsidRDefault="00F32679" w:rsidP="00F32679">
            <w:pPr>
              <w:spacing w:after="0"/>
              <w:jc w:val="right"/>
              <w:rPr>
                <w:color w:val="000000" w:themeColor="text1"/>
                <w:sz w:val="20"/>
                <w:szCs w:val="20"/>
              </w:rPr>
            </w:pPr>
            <w:r w:rsidRPr="0C206F83">
              <w:rPr>
                <w:sz w:val="20"/>
                <w:szCs w:val="20"/>
              </w:rPr>
              <w:t>132,376</w:t>
            </w:r>
          </w:p>
        </w:tc>
        <w:tc>
          <w:tcPr>
            <w:tcW w:w="846" w:type="dxa"/>
            <w:shd w:val="clear" w:color="auto" w:fill="auto"/>
            <w:vAlign w:val="bottom"/>
            <w:hideMark/>
          </w:tcPr>
          <w:p w14:paraId="7B87C6A5"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75.5</w:t>
            </w:r>
          </w:p>
        </w:tc>
        <w:tc>
          <w:tcPr>
            <w:tcW w:w="1161" w:type="dxa"/>
            <w:shd w:val="clear" w:color="auto" w:fill="auto"/>
            <w:vAlign w:val="bottom"/>
          </w:tcPr>
          <w:p w14:paraId="22DC9A36" w14:textId="77777777" w:rsidR="00F32679" w:rsidRPr="009C2A08" w:rsidRDefault="00F32679" w:rsidP="00F32679">
            <w:pPr>
              <w:spacing w:after="0"/>
              <w:jc w:val="right"/>
              <w:rPr>
                <w:color w:val="000000" w:themeColor="text1"/>
                <w:sz w:val="20"/>
                <w:szCs w:val="20"/>
              </w:rPr>
            </w:pPr>
            <w:r w:rsidRPr="0C206F83">
              <w:rPr>
                <w:rFonts w:ascii="Calibri" w:eastAsia="Calibri" w:hAnsi="Calibri" w:cs="Calibri"/>
                <w:color w:val="000000" w:themeColor="text1"/>
                <w:sz w:val="20"/>
                <w:szCs w:val="20"/>
              </w:rPr>
              <w:t>4,474</w:t>
            </w:r>
          </w:p>
        </w:tc>
        <w:tc>
          <w:tcPr>
            <w:tcW w:w="864" w:type="dxa"/>
            <w:shd w:val="clear" w:color="auto" w:fill="auto"/>
            <w:vAlign w:val="bottom"/>
          </w:tcPr>
          <w:p w14:paraId="0414BD3F"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3.4</w:t>
            </w:r>
          </w:p>
        </w:tc>
        <w:tc>
          <w:tcPr>
            <w:tcW w:w="882" w:type="dxa"/>
            <w:shd w:val="clear" w:color="auto" w:fill="auto"/>
            <w:vAlign w:val="bottom"/>
          </w:tcPr>
          <w:p w14:paraId="2AACD322"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74.6</w:t>
            </w:r>
          </w:p>
        </w:tc>
        <w:tc>
          <w:tcPr>
            <w:tcW w:w="1134" w:type="dxa"/>
            <w:shd w:val="clear" w:color="auto" w:fill="auto"/>
            <w:vAlign w:val="bottom"/>
          </w:tcPr>
          <w:p w14:paraId="432C9080" w14:textId="77777777" w:rsidR="00F32679" w:rsidRPr="009C2A08" w:rsidRDefault="00F32679" w:rsidP="00F32679">
            <w:pPr>
              <w:spacing w:after="0"/>
              <w:jc w:val="right"/>
              <w:rPr>
                <w:color w:val="000000" w:themeColor="text1"/>
                <w:sz w:val="20"/>
                <w:szCs w:val="20"/>
              </w:rPr>
            </w:pPr>
            <w:r w:rsidRPr="0C206F83">
              <w:rPr>
                <w:rFonts w:ascii="Calibri" w:eastAsia="Calibri" w:hAnsi="Calibri" w:cs="Calibri"/>
                <w:color w:val="000000" w:themeColor="text1"/>
                <w:sz w:val="20"/>
                <w:szCs w:val="20"/>
              </w:rPr>
              <w:t>127,902</w:t>
            </w:r>
          </w:p>
        </w:tc>
        <w:tc>
          <w:tcPr>
            <w:tcW w:w="846" w:type="dxa"/>
            <w:shd w:val="clear" w:color="auto" w:fill="auto"/>
            <w:vAlign w:val="bottom"/>
          </w:tcPr>
          <w:p w14:paraId="1FB04D7A"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96.6</w:t>
            </w:r>
          </w:p>
        </w:tc>
        <w:tc>
          <w:tcPr>
            <w:tcW w:w="855" w:type="dxa"/>
            <w:shd w:val="clear" w:color="auto" w:fill="auto"/>
            <w:vAlign w:val="bottom"/>
          </w:tcPr>
          <w:p w14:paraId="49990608"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75.6</w:t>
            </w:r>
          </w:p>
        </w:tc>
      </w:tr>
      <w:tr w:rsidR="00F32679" w:rsidRPr="009C2A08" w14:paraId="60FB87F4" w14:textId="77777777" w:rsidTr="00F32679">
        <w:trPr>
          <w:cantSplit/>
          <w:trHeight w:val="283"/>
        </w:trPr>
        <w:tc>
          <w:tcPr>
            <w:tcW w:w="1656" w:type="dxa"/>
            <w:shd w:val="clear" w:color="auto" w:fill="auto"/>
            <w:vAlign w:val="bottom"/>
            <w:hideMark/>
          </w:tcPr>
          <w:p w14:paraId="3F1E7FE6" w14:textId="77777777" w:rsidR="00F32679" w:rsidRPr="009C2A08" w:rsidRDefault="00F32679" w:rsidP="00F32679">
            <w:pPr>
              <w:spacing w:after="0"/>
              <w:rPr>
                <w:b/>
                <w:bCs/>
                <w:color w:val="000000" w:themeColor="text1"/>
                <w:sz w:val="20"/>
                <w:szCs w:val="20"/>
              </w:rPr>
            </w:pPr>
            <w:r w:rsidRPr="0C206F83">
              <w:rPr>
                <w:rFonts w:ascii="Calibri" w:eastAsia="Calibri" w:hAnsi="Calibri" w:cs="Calibri"/>
                <w:b/>
                <w:bCs/>
                <w:color w:val="000000" w:themeColor="text1"/>
                <w:sz w:val="20"/>
                <w:szCs w:val="20"/>
              </w:rPr>
              <w:t>Overall</w:t>
            </w:r>
          </w:p>
        </w:tc>
        <w:tc>
          <w:tcPr>
            <w:tcW w:w="1161" w:type="dxa"/>
            <w:shd w:val="clear" w:color="auto" w:fill="auto"/>
            <w:vAlign w:val="bottom"/>
            <w:hideMark/>
          </w:tcPr>
          <w:p w14:paraId="101D7239" w14:textId="77777777" w:rsidR="00F32679" w:rsidRPr="009C2A08" w:rsidRDefault="00F32679" w:rsidP="00F32679">
            <w:pPr>
              <w:spacing w:after="0"/>
              <w:jc w:val="right"/>
              <w:rPr>
                <w:color w:val="000000" w:themeColor="text1"/>
                <w:sz w:val="20"/>
                <w:szCs w:val="20"/>
              </w:rPr>
            </w:pPr>
            <w:r w:rsidRPr="0C206F83">
              <w:rPr>
                <w:sz w:val="20"/>
                <w:szCs w:val="20"/>
              </w:rPr>
              <w:t>489,148</w:t>
            </w:r>
          </w:p>
        </w:tc>
        <w:tc>
          <w:tcPr>
            <w:tcW w:w="846" w:type="dxa"/>
            <w:shd w:val="clear" w:color="auto" w:fill="auto"/>
            <w:vAlign w:val="bottom"/>
            <w:hideMark/>
          </w:tcPr>
          <w:p w14:paraId="54B3BC1D"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74.5</w:t>
            </w:r>
          </w:p>
        </w:tc>
        <w:tc>
          <w:tcPr>
            <w:tcW w:w="1161" w:type="dxa"/>
            <w:shd w:val="clear" w:color="auto" w:fill="auto"/>
            <w:vAlign w:val="bottom"/>
          </w:tcPr>
          <w:p w14:paraId="0E448259" w14:textId="77777777" w:rsidR="00F32679" w:rsidRPr="009C2A08" w:rsidRDefault="00F32679" w:rsidP="00F32679">
            <w:pPr>
              <w:spacing w:after="0"/>
              <w:jc w:val="right"/>
              <w:rPr>
                <w:color w:val="000000" w:themeColor="text1"/>
                <w:sz w:val="20"/>
                <w:szCs w:val="20"/>
              </w:rPr>
            </w:pPr>
            <w:r w:rsidRPr="0C206F83">
              <w:rPr>
                <w:rFonts w:ascii="Calibri" w:eastAsia="Calibri" w:hAnsi="Calibri" w:cs="Calibri"/>
                <w:color w:val="000000" w:themeColor="text1"/>
                <w:sz w:val="20"/>
                <w:szCs w:val="20"/>
              </w:rPr>
              <w:t>14,974</w:t>
            </w:r>
          </w:p>
        </w:tc>
        <w:tc>
          <w:tcPr>
            <w:tcW w:w="864" w:type="dxa"/>
            <w:shd w:val="clear" w:color="auto" w:fill="auto"/>
            <w:vAlign w:val="bottom"/>
          </w:tcPr>
          <w:p w14:paraId="754953B1"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3.1</w:t>
            </w:r>
          </w:p>
        </w:tc>
        <w:tc>
          <w:tcPr>
            <w:tcW w:w="882" w:type="dxa"/>
            <w:shd w:val="clear" w:color="auto" w:fill="auto"/>
            <w:vAlign w:val="bottom"/>
          </w:tcPr>
          <w:p w14:paraId="191C9275"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76.0</w:t>
            </w:r>
          </w:p>
        </w:tc>
        <w:tc>
          <w:tcPr>
            <w:tcW w:w="1134" w:type="dxa"/>
            <w:shd w:val="clear" w:color="auto" w:fill="auto"/>
            <w:vAlign w:val="bottom"/>
          </w:tcPr>
          <w:p w14:paraId="782B4E5E" w14:textId="77777777" w:rsidR="00F32679" w:rsidRPr="009C2A08" w:rsidRDefault="00F32679" w:rsidP="00F32679">
            <w:pPr>
              <w:spacing w:after="0"/>
              <w:jc w:val="right"/>
              <w:rPr>
                <w:color w:val="000000" w:themeColor="text1"/>
                <w:sz w:val="20"/>
                <w:szCs w:val="20"/>
              </w:rPr>
            </w:pPr>
            <w:r w:rsidRPr="0C206F83">
              <w:rPr>
                <w:rFonts w:ascii="Calibri" w:eastAsia="Calibri" w:hAnsi="Calibri" w:cs="Calibri"/>
                <w:color w:val="000000" w:themeColor="text1"/>
                <w:sz w:val="20"/>
                <w:szCs w:val="20"/>
              </w:rPr>
              <w:t>474,174</w:t>
            </w:r>
          </w:p>
        </w:tc>
        <w:tc>
          <w:tcPr>
            <w:tcW w:w="846" w:type="dxa"/>
            <w:shd w:val="clear" w:color="auto" w:fill="auto"/>
            <w:vAlign w:val="bottom"/>
          </w:tcPr>
          <w:p w14:paraId="306A715F"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96.9</w:t>
            </w:r>
          </w:p>
        </w:tc>
        <w:tc>
          <w:tcPr>
            <w:tcW w:w="855" w:type="dxa"/>
            <w:shd w:val="clear" w:color="auto" w:fill="auto"/>
            <w:vAlign w:val="bottom"/>
          </w:tcPr>
          <w:p w14:paraId="7E8C21D9" w14:textId="77777777" w:rsidR="00F32679" w:rsidRPr="009C2A08" w:rsidRDefault="00F32679" w:rsidP="00F32679">
            <w:pPr>
              <w:spacing w:after="0"/>
              <w:jc w:val="right"/>
              <w:rPr>
                <w:color w:val="000000"/>
                <w:sz w:val="20"/>
                <w:szCs w:val="20"/>
              </w:rPr>
            </w:pPr>
            <w:r w:rsidRPr="009C2A08">
              <w:rPr>
                <w:rFonts w:ascii="Calibri" w:hAnsi="Calibri"/>
                <w:color w:val="000000"/>
                <w:sz w:val="20"/>
                <w:szCs w:val="20"/>
              </w:rPr>
              <w:t>74.4</w:t>
            </w:r>
          </w:p>
        </w:tc>
      </w:tr>
    </w:tbl>
    <w:p w14:paraId="20BA5BC5" w14:textId="77777777" w:rsidR="005B164E" w:rsidRDefault="005B164E" w:rsidP="00F32679">
      <w:pPr>
        <w:spacing w:before="120" w:after="0" w:line="240" w:lineRule="auto"/>
        <w:ind w:left="1260" w:hanging="1260"/>
        <w:rPr>
          <w:rFonts w:ascii="Calibri" w:eastAsia="Arial" w:hAnsi="Calibri" w:cs="Arial"/>
          <w:b/>
          <w:bCs/>
          <w:sz w:val="20"/>
          <w:szCs w:val="20"/>
        </w:rPr>
      </w:pPr>
    </w:p>
    <w:p w14:paraId="63C5B80B" w14:textId="188E28A7" w:rsidR="00F32679" w:rsidRPr="005E0E3B" w:rsidRDefault="00F32679" w:rsidP="00F32679">
      <w:pPr>
        <w:spacing w:before="120" w:after="0" w:line="240" w:lineRule="auto"/>
        <w:ind w:left="1260" w:hanging="1260"/>
        <w:rPr>
          <w:rFonts w:ascii="Calibri" w:eastAsia="Arial" w:hAnsi="Calibri" w:cs="Arial"/>
          <w:b/>
          <w:bCs/>
          <w:sz w:val="20"/>
          <w:szCs w:val="20"/>
        </w:rPr>
      </w:pPr>
      <w:r w:rsidRPr="007C558A">
        <w:rPr>
          <w:rFonts w:ascii="Calibri" w:eastAsia="Arial" w:hAnsi="Calibri" w:cs="Arial"/>
          <w:b/>
          <w:bCs/>
          <w:sz w:val="20"/>
          <w:szCs w:val="20"/>
        </w:rPr>
        <w:t xml:space="preserve">Table </w:t>
      </w:r>
      <w:r w:rsidRPr="007C558A">
        <w:rPr>
          <w:rFonts w:ascii="Calibri" w:eastAsia="Arial" w:hAnsi="Calibri"/>
          <w:b/>
          <w:sz w:val="20"/>
        </w:rPr>
        <w:t>2b3.2</w:t>
      </w:r>
      <w:r w:rsidRPr="00214F76">
        <w:rPr>
          <w:rFonts w:ascii="Calibri" w:eastAsia="Times New Roman" w:hAnsi="Calibri" w:cs="Times New Roman"/>
          <w:b/>
        </w:rPr>
        <w:t>-</w:t>
      </w:r>
      <w:r w:rsidRPr="007C558A">
        <w:rPr>
          <w:rFonts w:ascii="Calibri" w:eastAsia="Arial" w:hAnsi="Calibri"/>
          <w:b/>
          <w:sz w:val="20"/>
        </w:rPr>
        <w:t>B</w:t>
      </w:r>
      <w:r w:rsidRPr="007C558A">
        <w:rPr>
          <w:rFonts w:ascii="Calibri" w:eastAsia="Arial" w:hAnsi="Calibri" w:cs="Arial"/>
          <w:b/>
          <w:bCs/>
          <w:sz w:val="20"/>
          <w:szCs w:val="20"/>
        </w:rPr>
        <w:t>. Frequency</w:t>
      </w:r>
      <w:r w:rsidRPr="005E0E3B">
        <w:rPr>
          <w:rFonts w:ascii="Calibri" w:eastAsia="Arial" w:hAnsi="Calibri" w:cs="Arial"/>
          <w:b/>
          <w:bCs/>
          <w:sz w:val="20"/>
          <w:szCs w:val="20"/>
        </w:rPr>
        <w:t xml:space="preserve"> of</w:t>
      </w:r>
      <w:r w:rsidRPr="005E0E3B">
        <w:rPr>
          <w:rFonts w:ascii="Calibri" w:eastAsia="Arial" w:hAnsi="Calibri" w:cs="Arial"/>
          <w:sz w:val="20"/>
          <w:szCs w:val="20"/>
        </w:rPr>
        <w:t xml:space="preserve"> </w:t>
      </w:r>
      <w:r w:rsidRPr="005E0E3B">
        <w:rPr>
          <w:rFonts w:ascii="Calibri" w:eastAsia="Arial" w:hAnsi="Calibri" w:cs="Arial"/>
          <w:b/>
          <w:bCs/>
          <w:sz w:val="20"/>
          <w:szCs w:val="20"/>
        </w:rPr>
        <w:t xml:space="preserve">TMS During the Stay or After the Index Admission for MDD, Schizophrenia, or Bipolar </w:t>
      </w:r>
      <w:r>
        <w:rPr>
          <w:rFonts w:ascii="Calibri" w:eastAsia="Arial" w:hAnsi="Calibri" w:cs="Arial"/>
          <w:b/>
          <w:bCs/>
          <w:sz w:val="20"/>
          <w:szCs w:val="20"/>
        </w:rPr>
        <w:t>D</w:t>
      </w:r>
      <w:r w:rsidRPr="005E0E3B">
        <w:rPr>
          <w:rFonts w:ascii="Calibri" w:eastAsia="Arial" w:hAnsi="Calibri" w:cs="Arial"/>
          <w:b/>
          <w:bCs/>
          <w:sz w:val="20"/>
          <w:szCs w:val="20"/>
        </w:rPr>
        <w:t>isorders</w:t>
      </w:r>
    </w:p>
    <w:tbl>
      <w:tblPr>
        <w:tblW w:w="94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1152"/>
        <w:gridCol w:w="846"/>
        <w:gridCol w:w="1170"/>
        <w:gridCol w:w="855"/>
        <w:gridCol w:w="882"/>
        <w:gridCol w:w="1134"/>
        <w:gridCol w:w="846"/>
        <w:gridCol w:w="855"/>
      </w:tblGrid>
      <w:tr w:rsidR="00F32679" w:rsidRPr="00E90BB1" w14:paraId="3DD3103A" w14:textId="77777777" w:rsidTr="00F32679">
        <w:trPr>
          <w:trHeight w:val="490"/>
          <w:tblHeader/>
        </w:trPr>
        <w:tc>
          <w:tcPr>
            <w:tcW w:w="1674" w:type="dxa"/>
            <w:vMerge w:val="restart"/>
            <w:shd w:val="clear" w:color="auto" w:fill="365F91" w:themeFill="accent1" w:themeFillShade="BF"/>
            <w:vAlign w:val="bottom"/>
            <w:hideMark/>
          </w:tcPr>
          <w:p w14:paraId="33326194" w14:textId="77777777" w:rsidR="00F32679" w:rsidRPr="009C2A08" w:rsidRDefault="00F32679" w:rsidP="00F32679">
            <w:pPr>
              <w:spacing w:after="0"/>
              <w:rPr>
                <w:b/>
                <w:bCs/>
                <w:color w:val="FFFFFF" w:themeColor="background1"/>
                <w:sz w:val="20"/>
                <w:szCs w:val="20"/>
              </w:rPr>
            </w:pPr>
            <w:r w:rsidRPr="0C206F83">
              <w:rPr>
                <w:rFonts w:ascii="Calibri" w:eastAsia="Calibri" w:hAnsi="Calibri" w:cs="Calibri"/>
                <w:b/>
                <w:bCs/>
                <w:color w:val="FFFFFF" w:themeColor="background1"/>
                <w:sz w:val="20"/>
                <w:szCs w:val="20"/>
              </w:rPr>
              <w:t>Principal Condition</w:t>
            </w:r>
          </w:p>
        </w:tc>
        <w:tc>
          <w:tcPr>
            <w:tcW w:w="1998" w:type="dxa"/>
            <w:gridSpan w:val="2"/>
            <w:shd w:val="clear" w:color="auto" w:fill="365F91" w:themeFill="accent1" w:themeFillShade="BF"/>
            <w:noWrap/>
            <w:vAlign w:val="bottom"/>
            <w:hideMark/>
          </w:tcPr>
          <w:p w14:paraId="2ED62D9A" w14:textId="77777777" w:rsidR="00F32679" w:rsidRPr="009C2A08"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All IPF Admissions</w:t>
            </w:r>
          </w:p>
        </w:tc>
        <w:tc>
          <w:tcPr>
            <w:tcW w:w="2907" w:type="dxa"/>
            <w:gridSpan w:val="3"/>
            <w:shd w:val="clear" w:color="auto" w:fill="365F91" w:themeFill="accent1" w:themeFillShade="BF"/>
            <w:noWrap/>
            <w:vAlign w:val="bottom"/>
            <w:hideMark/>
          </w:tcPr>
          <w:p w14:paraId="69A047AE" w14:textId="77777777" w:rsidR="00F32679" w:rsidRDefault="00F32679" w:rsidP="00F32679">
            <w:pPr>
              <w:spacing w:after="0"/>
              <w:jc w:val="center"/>
              <w:rPr>
                <w:rFonts w:ascii="Calibri" w:eastAsia="Calibri" w:hAnsi="Calibri" w:cs="Calibri"/>
                <w:b/>
                <w:bCs/>
                <w:color w:val="FFFFFF" w:themeColor="background1"/>
                <w:sz w:val="20"/>
                <w:szCs w:val="20"/>
              </w:rPr>
            </w:pPr>
            <w:r w:rsidRPr="0C206F83">
              <w:rPr>
                <w:rFonts w:ascii="Calibri" w:eastAsia="Calibri" w:hAnsi="Calibri" w:cs="Calibri"/>
                <w:b/>
                <w:bCs/>
                <w:color w:val="FFFFFF" w:themeColor="background1"/>
                <w:sz w:val="20"/>
                <w:szCs w:val="20"/>
              </w:rPr>
              <w:t xml:space="preserve">TMS During Admission </w:t>
            </w:r>
          </w:p>
          <w:p w14:paraId="44EADD24" w14:textId="77777777" w:rsidR="00F32679" w:rsidRPr="009C2A08" w:rsidRDefault="00F32679" w:rsidP="00F32679">
            <w:pPr>
              <w:spacing w:after="0"/>
              <w:jc w:val="center"/>
              <w:rPr>
                <w:b/>
                <w:bCs/>
                <w:color w:val="FFFFFF" w:themeColor="background1"/>
                <w:sz w:val="20"/>
                <w:szCs w:val="20"/>
              </w:rPr>
            </w:pPr>
            <w:r>
              <w:rPr>
                <w:rFonts w:ascii="Calibri" w:eastAsia="Calibri" w:hAnsi="Calibri" w:cs="Calibri"/>
                <w:b/>
                <w:bCs/>
                <w:color w:val="FFFFFF" w:themeColor="background1"/>
                <w:sz w:val="20"/>
                <w:szCs w:val="20"/>
              </w:rPr>
              <w:t>O</w:t>
            </w:r>
            <w:r w:rsidRPr="0C206F83">
              <w:rPr>
                <w:rFonts w:ascii="Calibri" w:eastAsia="Calibri" w:hAnsi="Calibri" w:cs="Calibri"/>
                <w:b/>
                <w:bCs/>
                <w:color w:val="FFFFFF" w:themeColor="background1"/>
                <w:sz w:val="20"/>
                <w:szCs w:val="20"/>
              </w:rPr>
              <w:t>r Follow-Up Period</w:t>
            </w:r>
          </w:p>
        </w:tc>
        <w:tc>
          <w:tcPr>
            <w:tcW w:w="2835" w:type="dxa"/>
            <w:gridSpan w:val="3"/>
            <w:shd w:val="clear" w:color="auto" w:fill="365F91" w:themeFill="accent1" w:themeFillShade="BF"/>
            <w:noWrap/>
            <w:vAlign w:val="bottom"/>
            <w:hideMark/>
          </w:tcPr>
          <w:p w14:paraId="01327C62" w14:textId="77777777" w:rsidR="00F32679" w:rsidRDefault="00F32679" w:rsidP="00F32679">
            <w:pPr>
              <w:spacing w:after="0"/>
              <w:jc w:val="center"/>
              <w:rPr>
                <w:rFonts w:ascii="Calibri" w:eastAsia="Calibri" w:hAnsi="Calibri" w:cs="Calibri"/>
                <w:b/>
                <w:bCs/>
                <w:color w:val="FFFFFF" w:themeColor="background1"/>
                <w:sz w:val="20"/>
                <w:szCs w:val="20"/>
              </w:rPr>
            </w:pPr>
            <w:r>
              <w:rPr>
                <w:rFonts w:ascii="Calibri" w:eastAsia="Calibri" w:hAnsi="Calibri" w:cs="Calibri"/>
                <w:b/>
                <w:bCs/>
                <w:color w:val="FFFFFF" w:themeColor="background1"/>
                <w:sz w:val="20"/>
                <w:szCs w:val="20"/>
              </w:rPr>
              <w:t xml:space="preserve">No </w:t>
            </w:r>
            <w:r w:rsidRPr="0C206F83">
              <w:rPr>
                <w:rFonts w:ascii="Calibri" w:eastAsia="Calibri" w:hAnsi="Calibri" w:cs="Calibri"/>
                <w:b/>
                <w:bCs/>
                <w:color w:val="FFFFFF" w:themeColor="background1"/>
                <w:sz w:val="20"/>
                <w:szCs w:val="20"/>
              </w:rPr>
              <w:t xml:space="preserve">TMS During Admission </w:t>
            </w:r>
          </w:p>
          <w:p w14:paraId="08DA67F6" w14:textId="77777777" w:rsidR="00F32679" w:rsidRPr="00E90BB1" w:rsidRDefault="00F32679" w:rsidP="00F32679">
            <w:pPr>
              <w:spacing w:after="0"/>
              <w:jc w:val="center"/>
              <w:rPr>
                <w:b/>
                <w:bCs/>
                <w:color w:val="FFFFFF" w:themeColor="background1"/>
                <w:sz w:val="20"/>
                <w:szCs w:val="20"/>
              </w:rPr>
            </w:pPr>
            <w:r>
              <w:rPr>
                <w:rFonts w:ascii="Calibri" w:eastAsia="Calibri" w:hAnsi="Calibri" w:cs="Calibri"/>
                <w:b/>
                <w:bCs/>
                <w:color w:val="FFFFFF" w:themeColor="background1"/>
                <w:sz w:val="20"/>
                <w:szCs w:val="20"/>
              </w:rPr>
              <w:t>O</w:t>
            </w:r>
            <w:r w:rsidRPr="0C206F83">
              <w:rPr>
                <w:rFonts w:ascii="Calibri" w:eastAsia="Calibri" w:hAnsi="Calibri" w:cs="Calibri"/>
                <w:b/>
                <w:bCs/>
                <w:color w:val="FFFFFF" w:themeColor="background1"/>
                <w:sz w:val="20"/>
                <w:szCs w:val="20"/>
              </w:rPr>
              <w:t>r Follow-Up Period</w:t>
            </w:r>
          </w:p>
        </w:tc>
      </w:tr>
      <w:tr w:rsidR="00F32679" w:rsidRPr="00E90BB1" w14:paraId="433D7847" w14:textId="77777777" w:rsidTr="00F32679">
        <w:trPr>
          <w:trHeight w:val="288"/>
          <w:tblHeader/>
        </w:trPr>
        <w:tc>
          <w:tcPr>
            <w:tcW w:w="1674" w:type="dxa"/>
            <w:vMerge/>
            <w:shd w:val="clear" w:color="auto" w:fill="365F91" w:themeFill="accent1" w:themeFillShade="BF"/>
            <w:hideMark/>
          </w:tcPr>
          <w:p w14:paraId="65224777" w14:textId="77777777" w:rsidR="00F32679" w:rsidRPr="00E90BB1" w:rsidRDefault="00F32679" w:rsidP="00F32679">
            <w:pPr>
              <w:spacing w:after="0"/>
              <w:rPr>
                <w:b/>
                <w:color w:val="FFFFFF" w:themeColor="background1"/>
                <w:sz w:val="20"/>
                <w:szCs w:val="20"/>
              </w:rPr>
            </w:pPr>
          </w:p>
        </w:tc>
        <w:tc>
          <w:tcPr>
            <w:tcW w:w="1152" w:type="dxa"/>
            <w:shd w:val="clear" w:color="auto" w:fill="365F91" w:themeFill="accent1" w:themeFillShade="BF"/>
            <w:vAlign w:val="bottom"/>
            <w:hideMark/>
          </w:tcPr>
          <w:p w14:paraId="6F1C7FD6"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846" w:type="dxa"/>
            <w:shd w:val="clear" w:color="auto" w:fill="365F91" w:themeFill="accent1" w:themeFillShade="BF"/>
            <w:vAlign w:val="bottom"/>
            <w:hideMark/>
          </w:tcPr>
          <w:p w14:paraId="33612C41"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Rx</w:t>
            </w:r>
          </w:p>
        </w:tc>
        <w:tc>
          <w:tcPr>
            <w:tcW w:w="1170" w:type="dxa"/>
            <w:shd w:val="clear" w:color="auto" w:fill="365F91" w:themeFill="accent1" w:themeFillShade="BF"/>
            <w:vAlign w:val="bottom"/>
            <w:hideMark/>
          </w:tcPr>
          <w:p w14:paraId="31EB88AA"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855" w:type="dxa"/>
            <w:shd w:val="clear" w:color="auto" w:fill="365F91" w:themeFill="accent1" w:themeFillShade="BF"/>
            <w:vAlign w:val="bottom"/>
            <w:hideMark/>
          </w:tcPr>
          <w:p w14:paraId="33E6AD70"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Total</w:t>
            </w:r>
          </w:p>
        </w:tc>
        <w:tc>
          <w:tcPr>
            <w:tcW w:w="882" w:type="dxa"/>
            <w:shd w:val="clear" w:color="auto" w:fill="365F91" w:themeFill="accent1" w:themeFillShade="BF"/>
            <w:vAlign w:val="bottom"/>
            <w:hideMark/>
          </w:tcPr>
          <w:p w14:paraId="339866B3"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Rx</w:t>
            </w:r>
          </w:p>
        </w:tc>
        <w:tc>
          <w:tcPr>
            <w:tcW w:w="1134" w:type="dxa"/>
            <w:shd w:val="clear" w:color="auto" w:fill="365F91" w:themeFill="accent1" w:themeFillShade="BF"/>
            <w:vAlign w:val="bottom"/>
            <w:hideMark/>
          </w:tcPr>
          <w:p w14:paraId="78A89FAA"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846" w:type="dxa"/>
            <w:shd w:val="clear" w:color="auto" w:fill="365F91" w:themeFill="accent1" w:themeFillShade="BF"/>
            <w:vAlign w:val="bottom"/>
            <w:hideMark/>
          </w:tcPr>
          <w:p w14:paraId="78023743"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Total</w:t>
            </w:r>
          </w:p>
        </w:tc>
        <w:tc>
          <w:tcPr>
            <w:tcW w:w="855" w:type="dxa"/>
            <w:shd w:val="clear" w:color="auto" w:fill="365F91" w:themeFill="accent1" w:themeFillShade="BF"/>
            <w:vAlign w:val="bottom"/>
            <w:hideMark/>
          </w:tcPr>
          <w:p w14:paraId="080F04F2"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Rx</w:t>
            </w:r>
          </w:p>
        </w:tc>
      </w:tr>
      <w:tr w:rsidR="00F32679" w:rsidRPr="00E90BB1" w14:paraId="53A6EFC7" w14:textId="77777777" w:rsidTr="00F32679">
        <w:trPr>
          <w:cantSplit/>
          <w:trHeight w:val="288"/>
        </w:trPr>
        <w:tc>
          <w:tcPr>
            <w:tcW w:w="1674" w:type="dxa"/>
            <w:shd w:val="clear" w:color="auto" w:fill="auto"/>
            <w:vAlign w:val="bottom"/>
            <w:hideMark/>
          </w:tcPr>
          <w:p w14:paraId="283C16C2" w14:textId="77777777" w:rsidR="00F32679" w:rsidRPr="00E90BB1" w:rsidRDefault="00F32679" w:rsidP="00F32679">
            <w:pPr>
              <w:spacing w:after="0"/>
              <w:rPr>
                <w:b/>
                <w:bCs/>
                <w:color w:val="000000" w:themeColor="text1"/>
                <w:sz w:val="20"/>
                <w:szCs w:val="20"/>
              </w:rPr>
            </w:pPr>
            <w:r w:rsidRPr="0C206F83">
              <w:rPr>
                <w:rFonts w:ascii="Calibri" w:eastAsia="Calibri" w:hAnsi="Calibri" w:cs="Calibri"/>
                <w:b/>
                <w:bCs/>
                <w:color w:val="000000" w:themeColor="text1"/>
                <w:sz w:val="20"/>
                <w:szCs w:val="20"/>
              </w:rPr>
              <w:t>Overall</w:t>
            </w:r>
          </w:p>
        </w:tc>
        <w:tc>
          <w:tcPr>
            <w:tcW w:w="1152" w:type="dxa"/>
            <w:shd w:val="clear" w:color="auto" w:fill="auto"/>
            <w:vAlign w:val="bottom"/>
            <w:hideMark/>
          </w:tcPr>
          <w:p w14:paraId="2441D796" w14:textId="77777777" w:rsidR="00F32679" w:rsidRPr="00CC797D" w:rsidRDefault="00F32679" w:rsidP="00F32679">
            <w:pPr>
              <w:spacing w:after="0"/>
              <w:jc w:val="right"/>
              <w:rPr>
                <w:color w:val="000000" w:themeColor="text1"/>
                <w:sz w:val="20"/>
                <w:szCs w:val="20"/>
              </w:rPr>
            </w:pPr>
            <w:r w:rsidRPr="0C206F83">
              <w:rPr>
                <w:sz w:val="20"/>
                <w:szCs w:val="20"/>
              </w:rPr>
              <w:t>489,148</w:t>
            </w:r>
          </w:p>
        </w:tc>
        <w:tc>
          <w:tcPr>
            <w:tcW w:w="846" w:type="dxa"/>
            <w:shd w:val="clear" w:color="auto" w:fill="auto"/>
            <w:vAlign w:val="bottom"/>
            <w:hideMark/>
          </w:tcPr>
          <w:p w14:paraId="0CF8576F" w14:textId="77777777" w:rsidR="00F32679" w:rsidRPr="00CC797D" w:rsidRDefault="00F32679" w:rsidP="00F32679">
            <w:pPr>
              <w:spacing w:after="0"/>
              <w:jc w:val="right"/>
              <w:rPr>
                <w:color w:val="000000"/>
                <w:sz w:val="20"/>
                <w:szCs w:val="20"/>
              </w:rPr>
            </w:pPr>
            <w:r w:rsidRPr="00CC797D">
              <w:rPr>
                <w:rFonts w:ascii="Calibri" w:hAnsi="Calibri"/>
                <w:color w:val="000000"/>
                <w:sz w:val="20"/>
                <w:szCs w:val="20"/>
              </w:rPr>
              <w:t>74.5</w:t>
            </w:r>
          </w:p>
        </w:tc>
        <w:tc>
          <w:tcPr>
            <w:tcW w:w="1170" w:type="dxa"/>
            <w:shd w:val="clear" w:color="auto" w:fill="auto"/>
            <w:vAlign w:val="bottom"/>
          </w:tcPr>
          <w:p w14:paraId="2E3EEACF" w14:textId="77777777" w:rsidR="00F32679" w:rsidRPr="00CC797D" w:rsidRDefault="00F32679" w:rsidP="00F32679">
            <w:pPr>
              <w:spacing w:after="0"/>
              <w:jc w:val="right"/>
              <w:rPr>
                <w:color w:val="000000" w:themeColor="text1"/>
                <w:sz w:val="20"/>
                <w:szCs w:val="20"/>
              </w:rPr>
            </w:pPr>
            <w:r w:rsidRPr="0C206F83">
              <w:rPr>
                <w:rFonts w:ascii="Calibri" w:eastAsia="Calibri" w:hAnsi="Calibri" w:cs="Calibri"/>
                <w:color w:val="000000" w:themeColor="text1"/>
                <w:sz w:val="20"/>
                <w:szCs w:val="20"/>
              </w:rPr>
              <w:t>76</w:t>
            </w:r>
          </w:p>
        </w:tc>
        <w:tc>
          <w:tcPr>
            <w:tcW w:w="855" w:type="dxa"/>
            <w:shd w:val="clear" w:color="auto" w:fill="auto"/>
            <w:vAlign w:val="bottom"/>
          </w:tcPr>
          <w:p w14:paraId="3EC2C47E" w14:textId="77777777" w:rsidR="00F32679" w:rsidRPr="00CC797D" w:rsidRDefault="00F32679" w:rsidP="00F32679">
            <w:pPr>
              <w:spacing w:after="0"/>
              <w:jc w:val="right"/>
              <w:rPr>
                <w:color w:val="000000"/>
                <w:sz w:val="20"/>
                <w:szCs w:val="20"/>
              </w:rPr>
            </w:pPr>
            <w:r w:rsidRPr="00CC797D">
              <w:rPr>
                <w:rFonts w:ascii="Calibri" w:hAnsi="Calibri"/>
                <w:color w:val="000000"/>
                <w:sz w:val="20"/>
                <w:szCs w:val="20"/>
              </w:rPr>
              <w:t>0.0</w:t>
            </w:r>
          </w:p>
        </w:tc>
        <w:tc>
          <w:tcPr>
            <w:tcW w:w="882" w:type="dxa"/>
            <w:shd w:val="clear" w:color="auto" w:fill="auto"/>
            <w:vAlign w:val="bottom"/>
          </w:tcPr>
          <w:p w14:paraId="50F8DF94" w14:textId="77777777" w:rsidR="00F32679" w:rsidRPr="00CC797D" w:rsidRDefault="00F32679" w:rsidP="00F32679">
            <w:pPr>
              <w:spacing w:after="0"/>
              <w:jc w:val="right"/>
              <w:rPr>
                <w:color w:val="000000"/>
                <w:sz w:val="20"/>
                <w:szCs w:val="20"/>
              </w:rPr>
            </w:pPr>
            <w:r w:rsidRPr="00CC797D">
              <w:rPr>
                <w:rFonts w:ascii="Calibri" w:hAnsi="Calibri"/>
                <w:color w:val="000000"/>
                <w:sz w:val="20"/>
                <w:szCs w:val="20"/>
              </w:rPr>
              <w:t>76.3</w:t>
            </w:r>
          </w:p>
        </w:tc>
        <w:tc>
          <w:tcPr>
            <w:tcW w:w="1134" w:type="dxa"/>
            <w:shd w:val="clear" w:color="auto" w:fill="auto"/>
            <w:vAlign w:val="bottom"/>
          </w:tcPr>
          <w:p w14:paraId="76A60761" w14:textId="77777777" w:rsidR="00F32679" w:rsidRPr="00CC797D" w:rsidRDefault="00F32679" w:rsidP="00F32679">
            <w:pPr>
              <w:spacing w:after="0"/>
              <w:jc w:val="right"/>
              <w:rPr>
                <w:color w:val="000000" w:themeColor="text1"/>
                <w:sz w:val="20"/>
                <w:szCs w:val="20"/>
              </w:rPr>
            </w:pPr>
            <w:r w:rsidRPr="0C206F83">
              <w:rPr>
                <w:rFonts w:ascii="Calibri" w:eastAsia="Calibri" w:hAnsi="Calibri" w:cs="Calibri"/>
                <w:color w:val="000000" w:themeColor="text1"/>
                <w:sz w:val="20"/>
                <w:szCs w:val="20"/>
              </w:rPr>
              <w:t>489,072</w:t>
            </w:r>
          </w:p>
        </w:tc>
        <w:tc>
          <w:tcPr>
            <w:tcW w:w="846" w:type="dxa"/>
            <w:shd w:val="clear" w:color="auto" w:fill="auto"/>
            <w:vAlign w:val="bottom"/>
          </w:tcPr>
          <w:p w14:paraId="5A76138A" w14:textId="77777777" w:rsidR="00F32679" w:rsidRPr="00CC797D" w:rsidRDefault="00F32679" w:rsidP="00F32679">
            <w:pPr>
              <w:spacing w:after="0"/>
              <w:jc w:val="right"/>
              <w:rPr>
                <w:color w:val="000000"/>
                <w:sz w:val="20"/>
                <w:szCs w:val="20"/>
              </w:rPr>
            </w:pPr>
            <w:r w:rsidRPr="00CC797D">
              <w:rPr>
                <w:rFonts w:ascii="Calibri" w:hAnsi="Calibri"/>
                <w:color w:val="000000"/>
                <w:sz w:val="20"/>
                <w:szCs w:val="20"/>
              </w:rPr>
              <w:t>100.0</w:t>
            </w:r>
          </w:p>
        </w:tc>
        <w:tc>
          <w:tcPr>
            <w:tcW w:w="855" w:type="dxa"/>
            <w:shd w:val="clear" w:color="auto" w:fill="auto"/>
            <w:vAlign w:val="bottom"/>
          </w:tcPr>
          <w:p w14:paraId="7ED88659" w14:textId="77777777" w:rsidR="00F32679" w:rsidRPr="00CC797D" w:rsidRDefault="00F32679" w:rsidP="00F32679">
            <w:pPr>
              <w:spacing w:after="0"/>
              <w:jc w:val="right"/>
              <w:rPr>
                <w:color w:val="000000"/>
                <w:sz w:val="20"/>
                <w:szCs w:val="20"/>
              </w:rPr>
            </w:pPr>
            <w:r w:rsidRPr="00CC797D">
              <w:rPr>
                <w:rFonts w:ascii="Calibri" w:hAnsi="Calibri"/>
                <w:color w:val="000000"/>
                <w:sz w:val="20"/>
                <w:szCs w:val="20"/>
              </w:rPr>
              <w:t>74.5</w:t>
            </w:r>
          </w:p>
        </w:tc>
      </w:tr>
    </w:tbl>
    <w:p w14:paraId="4649916A" w14:textId="6FB5E98C" w:rsidR="00F32679" w:rsidRPr="00C8021D" w:rsidRDefault="00F32679" w:rsidP="005B164E">
      <w:pPr>
        <w:pStyle w:val="BodyText"/>
        <w:tabs>
          <w:tab w:val="left" w:pos="1710"/>
        </w:tabs>
        <w:ind w:left="360"/>
        <w:rPr>
          <w:b/>
          <w:bCs/>
          <w:color w:val="0000FF"/>
          <w:sz w:val="22"/>
          <w:szCs w:val="22"/>
        </w:rPr>
      </w:pPr>
    </w:p>
    <w:p w14:paraId="0F5C6D79" w14:textId="77777777" w:rsidR="00F32679" w:rsidRPr="005E0E3B" w:rsidRDefault="00F32679" w:rsidP="00F32679">
      <w:pPr>
        <w:spacing w:before="120" w:after="0" w:line="240" w:lineRule="auto"/>
        <w:rPr>
          <w:rFonts w:ascii="Calibri" w:eastAsia="Arial" w:hAnsi="Calibri" w:cs="Arial"/>
          <w:b/>
          <w:bCs/>
          <w:sz w:val="20"/>
          <w:szCs w:val="20"/>
        </w:rPr>
      </w:pPr>
      <w:r w:rsidRPr="007C558A">
        <w:rPr>
          <w:rFonts w:ascii="Calibri" w:eastAsia="Arial" w:hAnsi="Calibri" w:cs="Arial"/>
          <w:b/>
          <w:bCs/>
          <w:sz w:val="20"/>
          <w:szCs w:val="20"/>
        </w:rPr>
        <w:t xml:space="preserve">Table </w:t>
      </w:r>
      <w:r w:rsidRPr="007C558A">
        <w:rPr>
          <w:rFonts w:ascii="Calibri" w:eastAsia="Arial" w:hAnsi="Calibri"/>
          <w:b/>
          <w:sz w:val="20"/>
        </w:rPr>
        <w:t>2b3.2</w:t>
      </w:r>
      <w:r w:rsidRPr="00214F76">
        <w:rPr>
          <w:rFonts w:ascii="Calibri" w:eastAsia="Times New Roman" w:hAnsi="Calibri" w:cs="Times New Roman"/>
          <w:b/>
        </w:rPr>
        <w:t>-</w:t>
      </w:r>
      <w:r w:rsidRPr="007C558A">
        <w:rPr>
          <w:rFonts w:ascii="Calibri" w:eastAsia="Arial" w:hAnsi="Calibri"/>
          <w:b/>
          <w:sz w:val="20"/>
        </w:rPr>
        <w:t>C</w:t>
      </w:r>
      <w:r w:rsidRPr="007C558A">
        <w:rPr>
          <w:rFonts w:ascii="Calibri" w:eastAsia="Arial" w:hAnsi="Calibri" w:cs="Arial"/>
          <w:b/>
          <w:bCs/>
          <w:sz w:val="20"/>
          <w:szCs w:val="20"/>
        </w:rPr>
        <w:t>. Follow-Up Rates</w:t>
      </w:r>
      <w:r w:rsidRPr="005E0E3B">
        <w:rPr>
          <w:rFonts w:ascii="Calibri" w:eastAsia="Arial" w:hAnsi="Calibri" w:cs="Arial"/>
          <w:b/>
          <w:bCs/>
          <w:sz w:val="20"/>
          <w:szCs w:val="20"/>
        </w:rPr>
        <w:t xml:space="preserve"> for Patients Who Are and Are Not Pregnant</w:t>
      </w:r>
    </w:p>
    <w:tbl>
      <w:tblPr>
        <w:tblW w:w="490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7"/>
        <w:gridCol w:w="1130"/>
        <w:gridCol w:w="6"/>
        <w:gridCol w:w="823"/>
        <w:gridCol w:w="1137"/>
        <w:gridCol w:w="838"/>
        <w:gridCol w:w="858"/>
        <w:gridCol w:w="1111"/>
        <w:gridCol w:w="836"/>
        <w:gridCol w:w="814"/>
      </w:tblGrid>
      <w:tr w:rsidR="00F32679" w:rsidRPr="00E90BB1" w14:paraId="34BD3841" w14:textId="77777777" w:rsidTr="00F32679">
        <w:trPr>
          <w:trHeight w:val="288"/>
        </w:trPr>
        <w:tc>
          <w:tcPr>
            <w:tcW w:w="881" w:type="pct"/>
            <w:vMerge w:val="restart"/>
            <w:shd w:val="clear" w:color="auto" w:fill="365F91" w:themeFill="accent1" w:themeFillShade="BF"/>
            <w:vAlign w:val="bottom"/>
            <w:hideMark/>
          </w:tcPr>
          <w:p w14:paraId="67E065E4" w14:textId="77777777" w:rsidR="00F32679" w:rsidRPr="00E90BB1" w:rsidRDefault="00F32679" w:rsidP="00F32679">
            <w:pPr>
              <w:spacing w:after="0"/>
              <w:rPr>
                <w:b/>
                <w:bCs/>
                <w:color w:val="FFFFFF" w:themeColor="background1"/>
                <w:sz w:val="20"/>
                <w:szCs w:val="20"/>
              </w:rPr>
            </w:pPr>
            <w:r w:rsidRPr="0C206F83">
              <w:rPr>
                <w:rFonts w:ascii="Calibri" w:eastAsia="Calibri" w:hAnsi="Calibri" w:cs="Calibri"/>
                <w:b/>
                <w:bCs/>
                <w:color w:val="FFFFFF" w:themeColor="background1"/>
                <w:sz w:val="20"/>
                <w:szCs w:val="20"/>
              </w:rPr>
              <w:t>Condition</w:t>
            </w:r>
          </w:p>
        </w:tc>
        <w:tc>
          <w:tcPr>
            <w:tcW w:w="1068" w:type="pct"/>
            <w:gridSpan w:val="3"/>
            <w:shd w:val="clear" w:color="auto" w:fill="365F91" w:themeFill="accent1" w:themeFillShade="BF"/>
            <w:noWrap/>
            <w:vAlign w:val="bottom"/>
            <w:hideMark/>
          </w:tcPr>
          <w:p w14:paraId="26B1B8BE"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All IPF Admissions</w:t>
            </w:r>
          </w:p>
        </w:tc>
        <w:tc>
          <w:tcPr>
            <w:tcW w:w="1545" w:type="pct"/>
            <w:gridSpan w:val="3"/>
            <w:shd w:val="clear" w:color="auto" w:fill="365F91" w:themeFill="accent1" w:themeFillShade="BF"/>
            <w:noWrap/>
            <w:vAlign w:val="bottom"/>
            <w:hideMark/>
          </w:tcPr>
          <w:p w14:paraId="0B090D7E"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Pregnant</w:t>
            </w:r>
          </w:p>
        </w:tc>
        <w:tc>
          <w:tcPr>
            <w:tcW w:w="1506" w:type="pct"/>
            <w:gridSpan w:val="3"/>
            <w:shd w:val="clear" w:color="auto" w:fill="365F91" w:themeFill="accent1" w:themeFillShade="BF"/>
            <w:noWrap/>
            <w:vAlign w:val="bottom"/>
            <w:hideMark/>
          </w:tcPr>
          <w:p w14:paraId="755764A6"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Not Pregnant</w:t>
            </w:r>
          </w:p>
        </w:tc>
      </w:tr>
      <w:tr w:rsidR="00F32679" w:rsidRPr="00E90BB1" w14:paraId="6437B10A" w14:textId="77777777" w:rsidTr="00F32679">
        <w:trPr>
          <w:trHeight w:val="288"/>
        </w:trPr>
        <w:tc>
          <w:tcPr>
            <w:tcW w:w="881" w:type="pct"/>
            <w:vMerge/>
            <w:vAlign w:val="center"/>
            <w:hideMark/>
          </w:tcPr>
          <w:p w14:paraId="5A23EA81" w14:textId="77777777" w:rsidR="00F32679" w:rsidRPr="00E90BB1" w:rsidRDefault="00F32679" w:rsidP="00F32679">
            <w:pPr>
              <w:spacing w:after="0"/>
              <w:rPr>
                <w:b/>
                <w:color w:val="000000"/>
                <w:sz w:val="20"/>
                <w:szCs w:val="20"/>
              </w:rPr>
            </w:pPr>
          </w:p>
        </w:tc>
        <w:tc>
          <w:tcPr>
            <w:tcW w:w="616" w:type="pct"/>
            <w:shd w:val="clear" w:color="auto" w:fill="365F91" w:themeFill="accent1" w:themeFillShade="BF"/>
            <w:vAlign w:val="bottom"/>
            <w:hideMark/>
          </w:tcPr>
          <w:p w14:paraId="2EE84F59"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452" w:type="pct"/>
            <w:gridSpan w:val="2"/>
            <w:shd w:val="clear" w:color="auto" w:fill="365F91" w:themeFill="accent1" w:themeFillShade="BF"/>
            <w:vAlign w:val="bottom"/>
            <w:hideMark/>
          </w:tcPr>
          <w:p w14:paraId="2138E62C"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Rx</w:t>
            </w:r>
          </w:p>
        </w:tc>
        <w:tc>
          <w:tcPr>
            <w:tcW w:w="620" w:type="pct"/>
            <w:shd w:val="clear" w:color="auto" w:fill="365F91" w:themeFill="accent1" w:themeFillShade="BF"/>
            <w:vAlign w:val="bottom"/>
            <w:hideMark/>
          </w:tcPr>
          <w:p w14:paraId="1EE2DB7C"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457" w:type="pct"/>
            <w:shd w:val="clear" w:color="auto" w:fill="365F91" w:themeFill="accent1" w:themeFillShade="BF"/>
            <w:vAlign w:val="bottom"/>
            <w:hideMark/>
          </w:tcPr>
          <w:p w14:paraId="000AF20D"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Total</w:t>
            </w:r>
          </w:p>
        </w:tc>
        <w:tc>
          <w:tcPr>
            <w:tcW w:w="468" w:type="pct"/>
            <w:shd w:val="clear" w:color="auto" w:fill="365F91" w:themeFill="accent1" w:themeFillShade="BF"/>
            <w:vAlign w:val="bottom"/>
            <w:hideMark/>
          </w:tcPr>
          <w:p w14:paraId="3EF49392"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Rx</w:t>
            </w:r>
          </w:p>
        </w:tc>
        <w:tc>
          <w:tcPr>
            <w:tcW w:w="606" w:type="pct"/>
            <w:shd w:val="clear" w:color="auto" w:fill="365F91" w:themeFill="accent1" w:themeFillShade="BF"/>
            <w:vAlign w:val="bottom"/>
            <w:hideMark/>
          </w:tcPr>
          <w:p w14:paraId="47CE2061"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456" w:type="pct"/>
            <w:shd w:val="clear" w:color="auto" w:fill="365F91" w:themeFill="accent1" w:themeFillShade="BF"/>
            <w:vAlign w:val="bottom"/>
            <w:hideMark/>
          </w:tcPr>
          <w:p w14:paraId="49BD16A2"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Total</w:t>
            </w:r>
          </w:p>
        </w:tc>
        <w:tc>
          <w:tcPr>
            <w:tcW w:w="444" w:type="pct"/>
            <w:shd w:val="clear" w:color="auto" w:fill="365F91" w:themeFill="accent1" w:themeFillShade="BF"/>
            <w:vAlign w:val="bottom"/>
            <w:hideMark/>
          </w:tcPr>
          <w:p w14:paraId="761A262E"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Rx</w:t>
            </w:r>
          </w:p>
        </w:tc>
      </w:tr>
      <w:tr w:rsidR="00F32679" w:rsidRPr="00E90BB1" w14:paraId="460872C4" w14:textId="77777777" w:rsidTr="00F32679">
        <w:trPr>
          <w:trHeight w:val="288"/>
        </w:trPr>
        <w:tc>
          <w:tcPr>
            <w:tcW w:w="881" w:type="pct"/>
            <w:shd w:val="clear" w:color="auto" w:fill="auto"/>
            <w:vAlign w:val="bottom"/>
          </w:tcPr>
          <w:p w14:paraId="478FB010" w14:textId="77777777" w:rsidR="00F32679" w:rsidRPr="00962E86" w:rsidRDefault="00F32679" w:rsidP="00F32679">
            <w:pPr>
              <w:spacing w:after="0"/>
              <w:rPr>
                <w:color w:val="000000" w:themeColor="text1"/>
                <w:sz w:val="20"/>
                <w:szCs w:val="20"/>
              </w:rPr>
            </w:pPr>
            <w:r w:rsidRPr="0C206F83">
              <w:rPr>
                <w:color w:val="000000" w:themeColor="text1"/>
                <w:sz w:val="20"/>
                <w:szCs w:val="20"/>
              </w:rPr>
              <w:t>MDD</w:t>
            </w:r>
          </w:p>
        </w:tc>
        <w:tc>
          <w:tcPr>
            <w:tcW w:w="616" w:type="pct"/>
            <w:shd w:val="clear" w:color="auto" w:fill="auto"/>
            <w:vAlign w:val="bottom"/>
          </w:tcPr>
          <w:p w14:paraId="6E623113" w14:textId="77777777" w:rsidR="00F32679" w:rsidRPr="00E90BB1" w:rsidRDefault="00F32679" w:rsidP="00F32679">
            <w:pPr>
              <w:spacing w:after="0"/>
              <w:jc w:val="right"/>
              <w:rPr>
                <w:color w:val="000000" w:themeColor="text1"/>
                <w:sz w:val="20"/>
                <w:szCs w:val="20"/>
              </w:rPr>
            </w:pPr>
            <w:r w:rsidRPr="0C206F83">
              <w:rPr>
                <w:sz w:val="20"/>
                <w:szCs w:val="20"/>
              </w:rPr>
              <w:t>139,355</w:t>
            </w:r>
          </w:p>
        </w:tc>
        <w:tc>
          <w:tcPr>
            <w:tcW w:w="452" w:type="pct"/>
            <w:gridSpan w:val="2"/>
            <w:shd w:val="clear" w:color="auto" w:fill="auto"/>
            <w:vAlign w:val="bottom"/>
          </w:tcPr>
          <w:p w14:paraId="480188E2"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71.7</w:t>
            </w:r>
          </w:p>
        </w:tc>
        <w:tc>
          <w:tcPr>
            <w:tcW w:w="620" w:type="pct"/>
            <w:shd w:val="clear" w:color="auto" w:fill="auto"/>
            <w:vAlign w:val="bottom"/>
          </w:tcPr>
          <w:p w14:paraId="7DED1DFD" w14:textId="77777777" w:rsidR="00F32679" w:rsidRPr="00D92E16" w:rsidRDefault="00F32679" w:rsidP="00F32679">
            <w:pPr>
              <w:spacing w:after="0"/>
              <w:jc w:val="right"/>
              <w:rPr>
                <w:color w:val="000000" w:themeColor="text1"/>
                <w:sz w:val="20"/>
                <w:szCs w:val="20"/>
              </w:rPr>
            </w:pPr>
            <w:r w:rsidRPr="0C206F83">
              <w:rPr>
                <w:sz w:val="20"/>
                <w:szCs w:val="20"/>
              </w:rPr>
              <w:t>59</w:t>
            </w:r>
          </w:p>
        </w:tc>
        <w:tc>
          <w:tcPr>
            <w:tcW w:w="457" w:type="pct"/>
            <w:shd w:val="clear" w:color="auto" w:fill="auto"/>
            <w:vAlign w:val="bottom"/>
          </w:tcPr>
          <w:p w14:paraId="0CA47597" w14:textId="77777777" w:rsidR="00F32679" w:rsidRPr="00D92E16" w:rsidRDefault="00F32679" w:rsidP="00F32679">
            <w:pPr>
              <w:spacing w:after="0"/>
              <w:jc w:val="right"/>
              <w:rPr>
                <w:color w:val="000000"/>
                <w:sz w:val="20"/>
                <w:szCs w:val="20"/>
              </w:rPr>
            </w:pPr>
            <w:r w:rsidRPr="00D92E16">
              <w:rPr>
                <w:sz w:val="20"/>
                <w:szCs w:val="20"/>
              </w:rPr>
              <w:t>0.0</w:t>
            </w:r>
          </w:p>
        </w:tc>
        <w:tc>
          <w:tcPr>
            <w:tcW w:w="468" w:type="pct"/>
            <w:shd w:val="clear" w:color="auto" w:fill="auto"/>
            <w:vAlign w:val="bottom"/>
          </w:tcPr>
          <w:p w14:paraId="1C3FCCF1"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59.3</w:t>
            </w:r>
          </w:p>
        </w:tc>
        <w:tc>
          <w:tcPr>
            <w:tcW w:w="606" w:type="pct"/>
            <w:shd w:val="clear" w:color="auto" w:fill="auto"/>
            <w:vAlign w:val="bottom"/>
          </w:tcPr>
          <w:p w14:paraId="56A5FE09" w14:textId="77777777" w:rsidR="00F32679" w:rsidRPr="00D92E16" w:rsidRDefault="00F32679" w:rsidP="00F32679">
            <w:pPr>
              <w:spacing w:after="0"/>
              <w:jc w:val="right"/>
              <w:rPr>
                <w:color w:val="000000" w:themeColor="text1"/>
                <w:sz w:val="20"/>
                <w:szCs w:val="20"/>
              </w:rPr>
            </w:pPr>
            <w:r w:rsidRPr="0C206F83">
              <w:rPr>
                <w:sz w:val="20"/>
                <w:szCs w:val="20"/>
              </w:rPr>
              <w:t>139,296</w:t>
            </w:r>
          </w:p>
        </w:tc>
        <w:tc>
          <w:tcPr>
            <w:tcW w:w="456" w:type="pct"/>
            <w:shd w:val="clear" w:color="auto" w:fill="auto"/>
            <w:vAlign w:val="bottom"/>
          </w:tcPr>
          <w:p w14:paraId="390F79DC" w14:textId="77777777" w:rsidR="00F32679" w:rsidRPr="00D92E16" w:rsidRDefault="00F32679" w:rsidP="00F32679">
            <w:pPr>
              <w:spacing w:after="0"/>
              <w:jc w:val="right"/>
              <w:rPr>
                <w:color w:val="000000"/>
                <w:sz w:val="20"/>
                <w:szCs w:val="20"/>
              </w:rPr>
            </w:pPr>
            <w:r w:rsidRPr="00D92E16" w:rsidDel="003758A0">
              <w:rPr>
                <w:sz w:val="20"/>
                <w:szCs w:val="20"/>
              </w:rPr>
              <w:t>99.9</w:t>
            </w:r>
          </w:p>
        </w:tc>
        <w:tc>
          <w:tcPr>
            <w:tcW w:w="444" w:type="pct"/>
            <w:shd w:val="clear" w:color="auto" w:fill="auto"/>
            <w:vAlign w:val="bottom"/>
          </w:tcPr>
          <w:p w14:paraId="21C2B78D"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71.7</w:t>
            </w:r>
          </w:p>
        </w:tc>
      </w:tr>
      <w:tr w:rsidR="00F32679" w:rsidRPr="00E90BB1" w14:paraId="6AD99B20" w14:textId="77777777" w:rsidTr="00F32679">
        <w:trPr>
          <w:trHeight w:val="288"/>
        </w:trPr>
        <w:tc>
          <w:tcPr>
            <w:tcW w:w="881" w:type="pct"/>
            <w:shd w:val="clear" w:color="auto" w:fill="auto"/>
            <w:vAlign w:val="bottom"/>
            <w:hideMark/>
          </w:tcPr>
          <w:p w14:paraId="4D279B2D" w14:textId="77777777" w:rsidR="00F32679" w:rsidRPr="00962E86" w:rsidRDefault="00F32679" w:rsidP="00F32679">
            <w:pPr>
              <w:spacing w:after="0"/>
              <w:rPr>
                <w:color w:val="000000" w:themeColor="text1"/>
                <w:sz w:val="20"/>
                <w:szCs w:val="20"/>
              </w:rPr>
            </w:pPr>
            <w:r w:rsidRPr="0C206F83">
              <w:rPr>
                <w:rFonts w:ascii="Calibri" w:eastAsia="Calibri" w:hAnsi="Calibri" w:cs="Calibri"/>
                <w:color w:val="000000" w:themeColor="text1"/>
                <w:sz w:val="20"/>
                <w:szCs w:val="20"/>
              </w:rPr>
              <w:t>Schizophrenia</w:t>
            </w:r>
          </w:p>
        </w:tc>
        <w:tc>
          <w:tcPr>
            <w:tcW w:w="616" w:type="pct"/>
            <w:shd w:val="clear" w:color="auto" w:fill="auto"/>
            <w:vAlign w:val="bottom"/>
            <w:hideMark/>
          </w:tcPr>
          <w:p w14:paraId="0378DC40" w14:textId="77777777" w:rsidR="00F32679" w:rsidRPr="00E90BB1" w:rsidRDefault="00F32679" w:rsidP="00F32679">
            <w:pPr>
              <w:spacing w:after="0"/>
              <w:jc w:val="right"/>
              <w:rPr>
                <w:color w:val="000000" w:themeColor="text1"/>
                <w:sz w:val="20"/>
                <w:szCs w:val="20"/>
              </w:rPr>
            </w:pPr>
            <w:r w:rsidRPr="0C206F83">
              <w:rPr>
                <w:sz w:val="20"/>
                <w:szCs w:val="20"/>
              </w:rPr>
              <w:t>217,417</w:t>
            </w:r>
          </w:p>
        </w:tc>
        <w:tc>
          <w:tcPr>
            <w:tcW w:w="452" w:type="pct"/>
            <w:gridSpan w:val="2"/>
            <w:shd w:val="clear" w:color="auto" w:fill="auto"/>
            <w:vAlign w:val="bottom"/>
            <w:hideMark/>
          </w:tcPr>
          <w:p w14:paraId="4EA640FE"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75.6</w:t>
            </w:r>
          </w:p>
        </w:tc>
        <w:tc>
          <w:tcPr>
            <w:tcW w:w="620" w:type="pct"/>
            <w:shd w:val="clear" w:color="auto" w:fill="auto"/>
            <w:vAlign w:val="bottom"/>
            <w:hideMark/>
          </w:tcPr>
          <w:p w14:paraId="5B181D86" w14:textId="77777777" w:rsidR="00F32679" w:rsidRPr="00D92E16" w:rsidRDefault="00F32679" w:rsidP="00F32679">
            <w:pPr>
              <w:spacing w:after="0"/>
              <w:jc w:val="right"/>
              <w:rPr>
                <w:color w:val="000000" w:themeColor="text1"/>
                <w:sz w:val="20"/>
                <w:szCs w:val="20"/>
              </w:rPr>
            </w:pPr>
            <w:r w:rsidRPr="0C206F83">
              <w:rPr>
                <w:sz w:val="20"/>
                <w:szCs w:val="20"/>
              </w:rPr>
              <w:t>138</w:t>
            </w:r>
          </w:p>
        </w:tc>
        <w:tc>
          <w:tcPr>
            <w:tcW w:w="457" w:type="pct"/>
            <w:shd w:val="clear" w:color="auto" w:fill="auto"/>
            <w:vAlign w:val="bottom"/>
            <w:hideMark/>
          </w:tcPr>
          <w:p w14:paraId="473181EF" w14:textId="77777777" w:rsidR="00F32679" w:rsidRPr="00D92E16" w:rsidRDefault="00F32679" w:rsidP="00F32679">
            <w:pPr>
              <w:spacing w:after="0"/>
              <w:jc w:val="right"/>
              <w:rPr>
                <w:color w:val="000000"/>
                <w:sz w:val="20"/>
                <w:szCs w:val="20"/>
              </w:rPr>
            </w:pPr>
            <w:r w:rsidRPr="00D92E16">
              <w:rPr>
                <w:sz w:val="20"/>
                <w:szCs w:val="20"/>
              </w:rPr>
              <w:t>0.1</w:t>
            </w:r>
          </w:p>
        </w:tc>
        <w:tc>
          <w:tcPr>
            <w:tcW w:w="468" w:type="pct"/>
            <w:shd w:val="clear" w:color="auto" w:fill="auto"/>
            <w:vAlign w:val="bottom"/>
            <w:hideMark/>
          </w:tcPr>
          <w:p w14:paraId="51528903"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59.4</w:t>
            </w:r>
          </w:p>
        </w:tc>
        <w:tc>
          <w:tcPr>
            <w:tcW w:w="606" w:type="pct"/>
            <w:shd w:val="clear" w:color="auto" w:fill="auto"/>
            <w:vAlign w:val="bottom"/>
            <w:hideMark/>
          </w:tcPr>
          <w:p w14:paraId="665F141A" w14:textId="77777777" w:rsidR="00F32679" w:rsidRPr="00D92E16" w:rsidRDefault="00F32679" w:rsidP="00F32679">
            <w:pPr>
              <w:spacing w:after="0"/>
              <w:jc w:val="right"/>
              <w:rPr>
                <w:color w:val="000000" w:themeColor="text1"/>
                <w:sz w:val="20"/>
                <w:szCs w:val="20"/>
              </w:rPr>
            </w:pPr>
            <w:r w:rsidRPr="0C206F83">
              <w:rPr>
                <w:sz w:val="20"/>
                <w:szCs w:val="20"/>
              </w:rPr>
              <w:t>217,279</w:t>
            </w:r>
          </w:p>
        </w:tc>
        <w:tc>
          <w:tcPr>
            <w:tcW w:w="456" w:type="pct"/>
            <w:shd w:val="clear" w:color="auto" w:fill="auto"/>
            <w:vAlign w:val="bottom"/>
            <w:hideMark/>
          </w:tcPr>
          <w:p w14:paraId="68930561" w14:textId="77777777" w:rsidR="00F32679" w:rsidRPr="00D92E16" w:rsidRDefault="00F32679" w:rsidP="00F32679">
            <w:pPr>
              <w:spacing w:after="0"/>
              <w:jc w:val="right"/>
              <w:rPr>
                <w:color w:val="000000"/>
                <w:sz w:val="20"/>
                <w:szCs w:val="20"/>
              </w:rPr>
            </w:pPr>
            <w:r w:rsidRPr="00D92E16">
              <w:rPr>
                <w:sz w:val="20"/>
                <w:szCs w:val="20"/>
              </w:rPr>
              <w:t>99.9</w:t>
            </w:r>
          </w:p>
        </w:tc>
        <w:tc>
          <w:tcPr>
            <w:tcW w:w="444" w:type="pct"/>
            <w:shd w:val="clear" w:color="auto" w:fill="auto"/>
            <w:vAlign w:val="bottom"/>
            <w:hideMark/>
          </w:tcPr>
          <w:p w14:paraId="6B425591"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75.6</w:t>
            </w:r>
          </w:p>
        </w:tc>
      </w:tr>
      <w:tr w:rsidR="00F32679" w:rsidRPr="00E90BB1" w14:paraId="57AA057B" w14:textId="77777777" w:rsidTr="00F32679">
        <w:trPr>
          <w:trHeight w:val="288"/>
        </w:trPr>
        <w:tc>
          <w:tcPr>
            <w:tcW w:w="881" w:type="pct"/>
            <w:shd w:val="clear" w:color="auto" w:fill="auto"/>
            <w:vAlign w:val="bottom"/>
            <w:hideMark/>
          </w:tcPr>
          <w:p w14:paraId="392119C7" w14:textId="77777777" w:rsidR="00F32679" w:rsidRPr="00962E86" w:rsidRDefault="00F32679" w:rsidP="00F32679">
            <w:pPr>
              <w:spacing w:after="0"/>
              <w:rPr>
                <w:color w:val="000000" w:themeColor="text1"/>
                <w:sz w:val="20"/>
                <w:szCs w:val="20"/>
              </w:rPr>
            </w:pPr>
            <w:r w:rsidRPr="0C206F83">
              <w:rPr>
                <w:rFonts w:ascii="Calibri" w:eastAsia="Calibri" w:hAnsi="Calibri" w:cs="Calibri"/>
                <w:color w:val="000000" w:themeColor="text1"/>
                <w:sz w:val="20"/>
                <w:szCs w:val="20"/>
              </w:rPr>
              <w:t>Bipolar disorder</w:t>
            </w:r>
          </w:p>
        </w:tc>
        <w:tc>
          <w:tcPr>
            <w:tcW w:w="616" w:type="pct"/>
            <w:shd w:val="clear" w:color="auto" w:fill="auto"/>
            <w:vAlign w:val="bottom"/>
            <w:hideMark/>
          </w:tcPr>
          <w:p w14:paraId="45E6CA93" w14:textId="77777777" w:rsidR="00F32679" w:rsidRPr="00E90BB1" w:rsidRDefault="00F32679" w:rsidP="00F32679">
            <w:pPr>
              <w:spacing w:after="0"/>
              <w:jc w:val="right"/>
              <w:rPr>
                <w:color w:val="000000" w:themeColor="text1"/>
                <w:sz w:val="20"/>
                <w:szCs w:val="20"/>
              </w:rPr>
            </w:pPr>
            <w:r w:rsidRPr="0C206F83">
              <w:rPr>
                <w:sz w:val="20"/>
                <w:szCs w:val="20"/>
              </w:rPr>
              <w:t>132,376</w:t>
            </w:r>
          </w:p>
        </w:tc>
        <w:tc>
          <w:tcPr>
            <w:tcW w:w="452" w:type="pct"/>
            <w:gridSpan w:val="2"/>
            <w:shd w:val="clear" w:color="auto" w:fill="auto"/>
            <w:vAlign w:val="bottom"/>
            <w:hideMark/>
          </w:tcPr>
          <w:p w14:paraId="41F636BB"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75.5</w:t>
            </w:r>
          </w:p>
        </w:tc>
        <w:tc>
          <w:tcPr>
            <w:tcW w:w="620" w:type="pct"/>
            <w:shd w:val="clear" w:color="auto" w:fill="auto"/>
            <w:vAlign w:val="bottom"/>
            <w:hideMark/>
          </w:tcPr>
          <w:p w14:paraId="1D9E68CC" w14:textId="77777777" w:rsidR="00F32679" w:rsidRPr="00D92E16" w:rsidRDefault="00F32679" w:rsidP="00F32679">
            <w:pPr>
              <w:spacing w:after="0"/>
              <w:jc w:val="right"/>
              <w:rPr>
                <w:color w:val="000000" w:themeColor="text1"/>
                <w:sz w:val="20"/>
                <w:szCs w:val="20"/>
              </w:rPr>
            </w:pPr>
            <w:r w:rsidRPr="0C206F83">
              <w:rPr>
                <w:sz w:val="20"/>
                <w:szCs w:val="20"/>
              </w:rPr>
              <w:t>134</w:t>
            </w:r>
          </w:p>
        </w:tc>
        <w:tc>
          <w:tcPr>
            <w:tcW w:w="457" w:type="pct"/>
            <w:shd w:val="clear" w:color="auto" w:fill="auto"/>
            <w:vAlign w:val="bottom"/>
            <w:hideMark/>
          </w:tcPr>
          <w:p w14:paraId="61270AD0" w14:textId="77777777" w:rsidR="00F32679" w:rsidRPr="00D92E16" w:rsidRDefault="00F32679" w:rsidP="00F32679">
            <w:pPr>
              <w:spacing w:after="0"/>
              <w:jc w:val="right"/>
              <w:rPr>
                <w:color w:val="000000"/>
                <w:sz w:val="20"/>
                <w:szCs w:val="20"/>
              </w:rPr>
            </w:pPr>
            <w:r w:rsidRPr="00D92E16">
              <w:rPr>
                <w:sz w:val="20"/>
                <w:szCs w:val="20"/>
              </w:rPr>
              <w:t>0.1</w:t>
            </w:r>
          </w:p>
        </w:tc>
        <w:tc>
          <w:tcPr>
            <w:tcW w:w="468" w:type="pct"/>
            <w:shd w:val="clear" w:color="auto" w:fill="auto"/>
            <w:vAlign w:val="bottom"/>
            <w:hideMark/>
          </w:tcPr>
          <w:p w14:paraId="31D6A9F3"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61.9</w:t>
            </w:r>
          </w:p>
        </w:tc>
        <w:tc>
          <w:tcPr>
            <w:tcW w:w="606" w:type="pct"/>
            <w:shd w:val="clear" w:color="auto" w:fill="auto"/>
            <w:vAlign w:val="bottom"/>
            <w:hideMark/>
          </w:tcPr>
          <w:p w14:paraId="1342A7B2" w14:textId="77777777" w:rsidR="00F32679" w:rsidRPr="00D92E16" w:rsidRDefault="00F32679" w:rsidP="00F32679">
            <w:pPr>
              <w:spacing w:after="0"/>
              <w:jc w:val="right"/>
              <w:rPr>
                <w:color w:val="000000" w:themeColor="text1"/>
                <w:sz w:val="20"/>
                <w:szCs w:val="20"/>
              </w:rPr>
            </w:pPr>
            <w:r w:rsidRPr="0C206F83">
              <w:rPr>
                <w:sz w:val="20"/>
                <w:szCs w:val="20"/>
              </w:rPr>
              <w:t>132,242</w:t>
            </w:r>
          </w:p>
        </w:tc>
        <w:tc>
          <w:tcPr>
            <w:tcW w:w="456" w:type="pct"/>
            <w:shd w:val="clear" w:color="auto" w:fill="auto"/>
            <w:vAlign w:val="bottom"/>
            <w:hideMark/>
          </w:tcPr>
          <w:p w14:paraId="7F281806" w14:textId="77777777" w:rsidR="00F32679" w:rsidRPr="00D92E16" w:rsidRDefault="00F32679" w:rsidP="00F32679">
            <w:pPr>
              <w:spacing w:after="0"/>
              <w:jc w:val="right"/>
              <w:rPr>
                <w:color w:val="000000"/>
                <w:sz w:val="20"/>
                <w:szCs w:val="20"/>
              </w:rPr>
            </w:pPr>
            <w:r w:rsidRPr="00D92E16">
              <w:rPr>
                <w:sz w:val="20"/>
                <w:szCs w:val="20"/>
              </w:rPr>
              <w:t>99.9</w:t>
            </w:r>
          </w:p>
        </w:tc>
        <w:tc>
          <w:tcPr>
            <w:tcW w:w="444" w:type="pct"/>
            <w:shd w:val="clear" w:color="auto" w:fill="auto"/>
            <w:vAlign w:val="bottom"/>
            <w:hideMark/>
          </w:tcPr>
          <w:p w14:paraId="402E9F82"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75.5</w:t>
            </w:r>
          </w:p>
        </w:tc>
      </w:tr>
      <w:tr w:rsidR="00F32679" w:rsidRPr="00E90BB1" w14:paraId="40E5637D" w14:textId="77777777" w:rsidTr="00F32679">
        <w:trPr>
          <w:trHeight w:val="288"/>
        </w:trPr>
        <w:tc>
          <w:tcPr>
            <w:tcW w:w="881" w:type="pct"/>
            <w:shd w:val="clear" w:color="auto" w:fill="auto"/>
            <w:vAlign w:val="bottom"/>
          </w:tcPr>
          <w:p w14:paraId="30A135EC" w14:textId="77777777" w:rsidR="00F32679" w:rsidRPr="00E90BB1" w:rsidRDefault="00F32679" w:rsidP="00F32679">
            <w:pPr>
              <w:spacing w:after="0"/>
              <w:rPr>
                <w:rFonts w:ascii="Calibri" w:eastAsia="Calibri" w:hAnsi="Calibri" w:cs="Calibri"/>
                <w:b/>
                <w:bCs/>
                <w:color w:val="000000" w:themeColor="text1"/>
                <w:sz w:val="20"/>
                <w:szCs w:val="20"/>
              </w:rPr>
            </w:pPr>
            <w:r w:rsidRPr="0C206F83">
              <w:rPr>
                <w:rFonts w:ascii="Calibri" w:eastAsia="Calibri" w:hAnsi="Calibri" w:cs="Calibri"/>
                <w:b/>
                <w:bCs/>
                <w:color w:val="000000" w:themeColor="text1"/>
                <w:sz w:val="20"/>
                <w:szCs w:val="20"/>
              </w:rPr>
              <w:t>Overall</w:t>
            </w:r>
          </w:p>
        </w:tc>
        <w:tc>
          <w:tcPr>
            <w:tcW w:w="619" w:type="pct"/>
            <w:gridSpan w:val="2"/>
            <w:shd w:val="clear" w:color="auto" w:fill="auto"/>
            <w:vAlign w:val="bottom"/>
          </w:tcPr>
          <w:p w14:paraId="339E6A57" w14:textId="77777777" w:rsidR="00F32679" w:rsidRPr="00D92E16" w:rsidRDefault="00F32679" w:rsidP="00F32679">
            <w:pPr>
              <w:spacing w:after="0"/>
              <w:jc w:val="right"/>
              <w:rPr>
                <w:sz w:val="20"/>
                <w:szCs w:val="20"/>
              </w:rPr>
            </w:pPr>
            <w:r w:rsidRPr="0C206F83">
              <w:rPr>
                <w:sz w:val="20"/>
                <w:szCs w:val="20"/>
              </w:rPr>
              <w:t>489,148</w:t>
            </w:r>
          </w:p>
        </w:tc>
        <w:tc>
          <w:tcPr>
            <w:tcW w:w="449" w:type="pct"/>
            <w:shd w:val="clear" w:color="auto" w:fill="auto"/>
            <w:vAlign w:val="bottom"/>
          </w:tcPr>
          <w:p w14:paraId="5F6249A5" w14:textId="77777777" w:rsidR="00F32679" w:rsidRPr="00D92E16" w:rsidRDefault="00F32679" w:rsidP="00F32679">
            <w:pPr>
              <w:spacing w:after="0"/>
              <w:jc w:val="right"/>
              <w:rPr>
                <w:rFonts w:ascii="Calibri" w:hAnsi="Calibri"/>
                <w:color w:val="000000"/>
                <w:sz w:val="20"/>
                <w:szCs w:val="20"/>
              </w:rPr>
            </w:pPr>
            <w:r w:rsidRPr="00D92E16">
              <w:rPr>
                <w:rFonts w:ascii="Calibri" w:hAnsi="Calibri"/>
                <w:color w:val="000000"/>
                <w:sz w:val="20"/>
                <w:szCs w:val="20"/>
              </w:rPr>
              <w:t>74.5</w:t>
            </w:r>
          </w:p>
        </w:tc>
        <w:tc>
          <w:tcPr>
            <w:tcW w:w="620" w:type="pct"/>
            <w:shd w:val="clear" w:color="auto" w:fill="auto"/>
            <w:vAlign w:val="bottom"/>
          </w:tcPr>
          <w:p w14:paraId="58B02811" w14:textId="77777777" w:rsidR="00F32679" w:rsidRPr="00D92E16" w:rsidRDefault="00F32679" w:rsidP="00F32679">
            <w:pPr>
              <w:spacing w:after="0"/>
              <w:jc w:val="right"/>
              <w:rPr>
                <w:sz w:val="20"/>
                <w:szCs w:val="20"/>
              </w:rPr>
            </w:pPr>
            <w:r w:rsidRPr="0C206F83">
              <w:rPr>
                <w:sz w:val="20"/>
                <w:szCs w:val="20"/>
              </w:rPr>
              <w:t>331</w:t>
            </w:r>
          </w:p>
        </w:tc>
        <w:tc>
          <w:tcPr>
            <w:tcW w:w="457" w:type="pct"/>
            <w:shd w:val="clear" w:color="auto" w:fill="auto"/>
            <w:vAlign w:val="bottom"/>
          </w:tcPr>
          <w:p w14:paraId="78FDE7F1" w14:textId="77777777" w:rsidR="00F32679" w:rsidRPr="00D92E16" w:rsidRDefault="00F32679" w:rsidP="00F32679">
            <w:pPr>
              <w:spacing w:after="0"/>
              <w:jc w:val="right"/>
              <w:rPr>
                <w:sz w:val="20"/>
                <w:szCs w:val="20"/>
              </w:rPr>
            </w:pPr>
            <w:r w:rsidRPr="00D92E16">
              <w:rPr>
                <w:sz w:val="20"/>
                <w:szCs w:val="20"/>
              </w:rPr>
              <w:t>0.1</w:t>
            </w:r>
          </w:p>
        </w:tc>
        <w:tc>
          <w:tcPr>
            <w:tcW w:w="468" w:type="pct"/>
            <w:shd w:val="clear" w:color="auto" w:fill="auto"/>
            <w:vAlign w:val="bottom"/>
          </w:tcPr>
          <w:p w14:paraId="3FB80B9A" w14:textId="77777777" w:rsidR="00F32679" w:rsidRPr="00D92E16" w:rsidRDefault="00F32679" w:rsidP="00F32679">
            <w:pPr>
              <w:spacing w:after="0"/>
              <w:jc w:val="right"/>
              <w:rPr>
                <w:rFonts w:ascii="Calibri" w:hAnsi="Calibri"/>
                <w:color w:val="000000"/>
                <w:sz w:val="20"/>
                <w:szCs w:val="20"/>
              </w:rPr>
            </w:pPr>
            <w:r w:rsidRPr="00D92E16">
              <w:rPr>
                <w:rFonts w:ascii="Calibri" w:hAnsi="Calibri"/>
                <w:color w:val="000000"/>
                <w:sz w:val="20"/>
                <w:szCs w:val="20"/>
              </w:rPr>
              <w:t>60.4</w:t>
            </w:r>
          </w:p>
        </w:tc>
        <w:tc>
          <w:tcPr>
            <w:tcW w:w="606" w:type="pct"/>
            <w:shd w:val="clear" w:color="auto" w:fill="auto"/>
            <w:vAlign w:val="bottom"/>
          </w:tcPr>
          <w:p w14:paraId="12A1E0F3" w14:textId="77777777" w:rsidR="00F32679" w:rsidRPr="00D92E16" w:rsidRDefault="00F32679" w:rsidP="00F32679">
            <w:pPr>
              <w:spacing w:after="0"/>
              <w:jc w:val="right"/>
              <w:rPr>
                <w:sz w:val="20"/>
                <w:szCs w:val="20"/>
              </w:rPr>
            </w:pPr>
            <w:r w:rsidRPr="0C206F83">
              <w:rPr>
                <w:sz w:val="20"/>
                <w:szCs w:val="20"/>
              </w:rPr>
              <w:t>488,817</w:t>
            </w:r>
          </w:p>
        </w:tc>
        <w:tc>
          <w:tcPr>
            <w:tcW w:w="456" w:type="pct"/>
            <w:shd w:val="clear" w:color="auto" w:fill="auto"/>
            <w:vAlign w:val="bottom"/>
          </w:tcPr>
          <w:p w14:paraId="673F811F" w14:textId="77777777" w:rsidR="00F32679" w:rsidRPr="00D92E16" w:rsidRDefault="00F32679" w:rsidP="00F32679">
            <w:pPr>
              <w:spacing w:after="0"/>
              <w:jc w:val="right"/>
              <w:rPr>
                <w:sz w:val="20"/>
                <w:szCs w:val="20"/>
              </w:rPr>
            </w:pPr>
            <w:r w:rsidRPr="00D92E16">
              <w:rPr>
                <w:sz w:val="20"/>
                <w:szCs w:val="20"/>
              </w:rPr>
              <w:t>99.9</w:t>
            </w:r>
          </w:p>
        </w:tc>
        <w:tc>
          <w:tcPr>
            <w:tcW w:w="444" w:type="pct"/>
            <w:shd w:val="clear" w:color="auto" w:fill="auto"/>
            <w:vAlign w:val="bottom"/>
          </w:tcPr>
          <w:p w14:paraId="0A4980F8" w14:textId="77777777" w:rsidR="00F32679" w:rsidRPr="00D92E16" w:rsidRDefault="00F32679" w:rsidP="00F32679">
            <w:pPr>
              <w:spacing w:after="0"/>
              <w:jc w:val="right"/>
              <w:rPr>
                <w:rFonts w:ascii="Calibri" w:hAnsi="Calibri"/>
                <w:color w:val="000000"/>
                <w:sz w:val="20"/>
                <w:szCs w:val="20"/>
              </w:rPr>
            </w:pPr>
            <w:r w:rsidRPr="00D92E16">
              <w:rPr>
                <w:rFonts w:ascii="Calibri" w:hAnsi="Calibri"/>
                <w:color w:val="000000"/>
                <w:sz w:val="20"/>
                <w:szCs w:val="20"/>
              </w:rPr>
              <w:t>74.5</w:t>
            </w:r>
          </w:p>
        </w:tc>
      </w:tr>
    </w:tbl>
    <w:p w14:paraId="3B26917F" w14:textId="6CCA8D1F" w:rsidR="00F32679" w:rsidRPr="00CE176C" w:rsidRDefault="00F32679" w:rsidP="005B164E">
      <w:pPr>
        <w:pStyle w:val="BodyText"/>
        <w:ind w:left="360"/>
        <w:rPr>
          <w:b/>
          <w:bCs/>
          <w:color w:val="0000FF"/>
          <w:sz w:val="22"/>
          <w:szCs w:val="22"/>
        </w:rPr>
      </w:pPr>
    </w:p>
    <w:p w14:paraId="51A87BDE" w14:textId="77777777" w:rsidR="00F32679" w:rsidRPr="005E0E3B" w:rsidRDefault="00F32679" w:rsidP="00F32679">
      <w:pPr>
        <w:pStyle w:val="ListParagraph"/>
        <w:spacing w:before="120" w:after="0" w:line="240" w:lineRule="auto"/>
        <w:ind w:left="0"/>
        <w:rPr>
          <w:rFonts w:ascii="Calibri" w:eastAsia="Arial" w:hAnsi="Calibri" w:cs="Arial"/>
          <w:b/>
          <w:bCs/>
          <w:sz w:val="20"/>
          <w:szCs w:val="20"/>
        </w:rPr>
      </w:pPr>
      <w:r w:rsidRPr="005E0E3B">
        <w:rPr>
          <w:rFonts w:ascii="Calibri" w:eastAsia="Arial" w:hAnsi="Calibri" w:cs="Arial"/>
          <w:b/>
          <w:bCs/>
          <w:sz w:val="20"/>
          <w:szCs w:val="20"/>
        </w:rPr>
        <w:t>Table 2b3.2</w:t>
      </w:r>
      <w:r w:rsidRPr="00214F76">
        <w:rPr>
          <w:rFonts w:ascii="Calibri" w:eastAsia="Times New Roman" w:hAnsi="Calibri" w:cs="Times New Roman"/>
          <w:b/>
        </w:rPr>
        <w:t>-</w:t>
      </w:r>
      <w:r w:rsidRPr="005E0E3B">
        <w:rPr>
          <w:rFonts w:ascii="Calibri" w:eastAsia="Arial" w:hAnsi="Calibri" w:cs="Arial"/>
          <w:b/>
          <w:bCs/>
          <w:sz w:val="20"/>
          <w:szCs w:val="20"/>
        </w:rPr>
        <w:t>D. IPF Admissions with Secondary Delirium Diagnosis</w:t>
      </w:r>
    </w:p>
    <w:tbl>
      <w:tblPr>
        <w:tblW w:w="489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2"/>
        <w:gridCol w:w="1141"/>
        <w:gridCol w:w="826"/>
        <w:gridCol w:w="1135"/>
        <w:gridCol w:w="828"/>
        <w:gridCol w:w="857"/>
        <w:gridCol w:w="1104"/>
        <w:gridCol w:w="842"/>
        <w:gridCol w:w="809"/>
      </w:tblGrid>
      <w:tr w:rsidR="00F32679" w:rsidRPr="00E90BB1" w14:paraId="4977454F" w14:textId="77777777" w:rsidTr="00F32679">
        <w:trPr>
          <w:trHeight w:val="288"/>
          <w:tblHeader/>
        </w:trPr>
        <w:tc>
          <w:tcPr>
            <w:tcW w:w="881" w:type="pct"/>
            <w:vMerge w:val="restart"/>
            <w:shd w:val="clear" w:color="auto" w:fill="365F91" w:themeFill="accent1" w:themeFillShade="BF"/>
            <w:vAlign w:val="bottom"/>
            <w:hideMark/>
          </w:tcPr>
          <w:p w14:paraId="47A4DF78" w14:textId="77777777" w:rsidR="00F32679" w:rsidRPr="00E90BB1" w:rsidRDefault="00F32679" w:rsidP="00F32679">
            <w:pPr>
              <w:spacing w:after="0"/>
              <w:rPr>
                <w:b/>
                <w:bCs/>
                <w:color w:val="FFFFFF" w:themeColor="background1"/>
                <w:sz w:val="20"/>
                <w:szCs w:val="20"/>
              </w:rPr>
            </w:pPr>
            <w:r w:rsidRPr="0C206F83">
              <w:rPr>
                <w:rFonts w:ascii="Calibri" w:eastAsia="Calibri" w:hAnsi="Calibri" w:cs="Calibri"/>
                <w:b/>
                <w:bCs/>
                <w:color w:val="FFFFFF" w:themeColor="background1"/>
                <w:sz w:val="20"/>
                <w:szCs w:val="20"/>
              </w:rPr>
              <w:t>Principal Condition</w:t>
            </w:r>
          </w:p>
        </w:tc>
        <w:tc>
          <w:tcPr>
            <w:tcW w:w="1074" w:type="pct"/>
            <w:gridSpan w:val="2"/>
            <w:shd w:val="clear" w:color="auto" w:fill="365F91" w:themeFill="accent1" w:themeFillShade="BF"/>
            <w:noWrap/>
            <w:vAlign w:val="bottom"/>
            <w:hideMark/>
          </w:tcPr>
          <w:p w14:paraId="1B1DE70C"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All IPF Admissions</w:t>
            </w:r>
          </w:p>
        </w:tc>
        <w:tc>
          <w:tcPr>
            <w:tcW w:w="1540" w:type="pct"/>
            <w:gridSpan w:val="3"/>
            <w:shd w:val="clear" w:color="auto" w:fill="365F91" w:themeFill="accent1" w:themeFillShade="BF"/>
            <w:noWrap/>
            <w:vAlign w:val="bottom"/>
            <w:hideMark/>
          </w:tcPr>
          <w:p w14:paraId="653572C7"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Delirium</w:t>
            </w:r>
          </w:p>
        </w:tc>
        <w:tc>
          <w:tcPr>
            <w:tcW w:w="1505" w:type="pct"/>
            <w:gridSpan w:val="3"/>
            <w:shd w:val="clear" w:color="auto" w:fill="365F91" w:themeFill="accent1" w:themeFillShade="BF"/>
            <w:noWrap/>
            <w:vAlign w:val="bottom"/>
            <w:hideMark/>
          </w:tcPr>
          <w:p w14:paraId="4E8117B4"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No Delirium</w:t>
            </w:r>
          </w:p>
        </w:tc>
      </w:tr>
      <w:tr w:rsidR="00F32679" w:rsidRPr="00E90BB1" w14:paraId="3AE6DC38" w14:textId="77777777" w:rsidTr="00F32679">
        <w:trPr>
          <w:trHeight w:val="288"/>
          <w:tblHeader/>
        </w:trPr>
        <w:tc>
          <w:tcPr>
            <w:tcW w:w="881" w:type="pct"/>
            <w:vMerge/>
            <w:shd w:val="clear" w:color="auto" w:fill="365F91" w:themeFill="accent1" w:themeFillShade="BF"/>
            <w:hideMark/>
          </w:tcPr>
          <w:p w14:paraId="7FAAB745" w14:textId="77777777" w:rsidR="00F32679" w:rsidRPr="00E90BB1" w:rsidRDefault="00F32679" w:rsidP="00F32679">
            <w:pPr>
              <w:spacing w:after="0"/>
              <w:rPr>
                <w:b/>
                <w:color w:val="FFFFFF" w:themeColor="background1"/>
                <w:sz w:val="20"/>
                <w:szCs w:val="20"/>
              </w:rPr>
            </w:pPr>
          </w:p>
        </w:tc>
        <w:tc>
          <w:tcPr>
            <w:tcW w:w="623" w:type="pct"/>
            <w:shd w:val="clear" w:color="auto" w:fill="365F91" w:themeFill="accent1" w:themeFillShade="BF"/>
            <w:vAlign w:val="bottom"/>
            <w:hideMark/>
          </w:tcPr>
          <w:p w14:paraId="5345CE85"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451" w:type="pct"/>
            <w:shd w:val="clear" w:color="auto" w:fill="365F91" w:themeFill="accent1" w:themeFillShade="BF"/>
            <w:vAlign w:val="bottom"/>
            <w:hideMark/>
          </w:tcPr>
          <w:p w14:paraId="3810B948"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Rx</w:t>
            </w:r>
          </w:p>
        </w:tc>
        <w:tc>
          <w:tcPr>
            <w:tcW w:w="620" w:type="pct"/>
            <w:shd w:val="clear" w:color="auto" w:fill="365F91" w:themeFill="accent1" w:themeFillShade="BF"/>
            <w:vAlign w:val="bottom"/>
            <w:hideMark/>
          </w:tcPr>
          <w:p w14:paraId="74A0C762"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452" w:type="pct"/>
            <w:shd w:val="clear" w:color="auto" w:fill="365F91" w:themeFill="accent1" w:themeFillShade="BF"/>
            <w:vAlign w:val="bottom"/>
            <w:hideMark/>
          </w:tcPr>
          <w:p w14:paraId="570DFEB3"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Total</w:t>
            </w:r>
          </w:p>
        </w:tc>
        <w:tc>
          <w:tcPr>
            <w:tcW w:w="468" w:type="pct"/>
            <w:shd w:val="clear" w:color="auto" w:fill="365F91" w:themeFill="accent1" w:themeFillShade="BF"/>
            <w:vAlign w:val="bottom"/>
            <w:hideMark/>
          </w:tcPr>
          <w:p w14:paraId="4EF0FBDB"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Rx</w:t>
            </w:r>
          </w:p>
        </w:tc>
        <w:tc>
          <w:tcPr>
            <w:tcW w:w="603" w:type="pct"/>
            <w:shd w:val="clear" w:color="auto" w:fill="365F91" w:themeFill="accent1" w:themeFillShade="BF"/>
            <w:vAlign w:val="bottom"/>
            <w:hideMark/>
          </w:tcPr>
          <w:p w14:paraId="0DFAF0CE"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460" w:type="pct"/>
            <w:shd w:val="clear" w:color="auto" w:fill="365F91" w:themeFill="accent1" w:themeFillShade="BF"/>
            <w:vAlign w:val="bottom"/>
            <w:hideMark/>
          </w:tcPr>
          <w:p w14:paraId="6EF4C60E"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Total</w:t>
            </w:r>
          </w:p>
        </w:tc>
        <w:tc>
          <w:tcPr>
            <w:tcW w:w="442" w:type="pct"/>
            <w:shd w:val="clear" w:color="auto" w:fill="365F91" w:themeFill="accent1" w:themeFillShade="BF"/>
            <w:vAlign w:val="bottom"/>
            <w:hideMark/>
          </w:tcPr>
          <w:p w14:paraId="3F5F0245" w14:textId="77777777" w:rsidR="00F32679" w:rsidRPr="00E90BB1"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Rx</w:t>
            </w:r>
          </w:p>
        </w:tc>
      </w:tr>
      <w:tr w:rsidR="00F32679" w:rsidRPr="00D92E16" w14:paraId="04C3B6F1" w14:textId="77777777" w:rsidTr="00F32679">
        <w:trPr>
          <w:trHeight w:val="288"/>
        </w:trPr>
        <w:tc>
          <w:tcPr>
            <w:tcW w:w="881" w:type="pct"/>
            <w:shd w:val="clear" w:color="auto" w:fill="auto"/>
            <w:vAlign w:val="bottom"/>
            <w:hideMark/>
          </w:tcPr>
          <w:p w14:paraId="459B314D" w14:textId="77777777" w:rsidR="00F32679" w:rsidRPr="009E29EA" w:rsidRDefault="00F32679" w:rsidP="00F32679">
            <w:pPr>
              <w:spacing w:after="0"/>
              <w:rPr>
                <w:color w:val="000000" w:themeColor="text1"/>
                <w:sz w:val="20"/>
                <w:szCs w:val="20"/>
              </w:rPr>
            </w:pPr>
            <w:r w:rsidRPr="0C206F83">
              <w:rPr>
                <w:color w:val="000000" w:themeColor="text1"/>
                <w:sz w:val="20"/>
                <w:szCs w:val="20"/>
              </w:rPr>
              <w:t>MDD</w:t>
            </w:r>
          </w:p>
        </w:tc>
        <w:tc>
          <w:tcPr>
            <w:tcW w:w="623" w:type="pct"/>
            <w:shd w:val="clear" w:color="auto" w:fill="auto"/>
            <w:vAlign w:val="bottom"/>
            <w:hideMark/>
          </w:tcPr>
          <w:p w14:paraId="6DBF3275" w14:textId="77777777" w:rsidR="00F32679" w:rsidRPr="00E90BB1" w:rsidRDefault="00F32679" w:rsidP="00F32679">
            <w:pPr>
              <w:spacing w:after="0"/>
              <w:jc w:val="right"/>
              <w:rPr>
                <w:color w:val="000000" w:themeColor="text1"/>
                <w:sz w:val="20"/>
                <w:szCs w:val="20"/>
              </w:rPr>
            </w:pPr>
            <w:r w:rsidRPr="0C206F83">
              <w:rPr>
                <w:sz w:val="20"/>
                <w:szCs w:val="20"/>
              </w:rPr>
              <w:t>139,355</w:t>
            </w:r>
          </w:p>
        </w:tc>
        <w:tc>
          <w:tcPr>
            <w:tcW w:w="451" w:type="pct"/>
            <w:shd w:val="clear" w:color="auto" w:fill="auto"/>
            <w:vAlign w:val="bottom"/>
            <w:hideMark/>
          </w:tcPr>
          <w:p w14:paraId="5AFFAA63"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71.7</w:t>
            </w:r>
          </w:p>
        </w:tc>
        <w:tc>
          <w:tcPr>
            <w:tcW w:w="620" w:type="pct"/>
            <w:shd w:val="clear" w:color="auto" w:fill="auto"/>
            <w:vAlign w:val="bottom"/>
            <w:hideMark/>
          </w:tcPr>
          <w:p w14:paraId="1D3889C9" w14:textId="77777777" w:rsidR="00F32679" w:rsidRPr="00D92E16" w:rsidRDefault="00F32679" w:rsidP="00F32679">
            <w:pPr>
              <w:spacing w:after="0"/>
              <w:jc w:val="right"/>
              <w:rPr>
                <w:color w:val="000000" w:themeColor="text1"/>
                <w:sz w:val="20"/>
                <w:szCs w:val="20"/>
              </w:rPr>
            </w:pPr>
            <w:r w:rsidRPr="0C206F83">
              <w:rPr>
                <w:sz w:val="20"/>
                <w:szCs w:val="20"/>
              </w:rPr>
              <w:t>3,420</w:t>
            </w:r>
          </w:p>
        </w:tc>
        <w:tc>
          <w:tcPr>
            <w:tcW w:w="452" w:type="pct"/>
            <w:shd w:val="clear" w:color="auto" w:fill="auto"/>
            <w:vAlign w:val="bottom"/>
            <w:hideMark/>
          </w:tcPr>
          <w:p w14:paraId="1D0A9420" w14:textId="77777777" w:rsidR="00F32679" w:rsidRPr="00D92E16" w:rsidRDefault="00F32679" w:rsidP="00F32679">
            <w:pPr>
              <w:spacing w:after="0"/>
              <w:jc w:val="right"/>
              <w:rPr>
                <w:color w:val="000000"/>
                <w:sz w:val="20"/>
                <w:szCs w:val="20"/>
              </w:rPr>
            </w:pPr>
            <w:r w:rsidRPr="00D92E16">
              <w:rPr>
                <w:sz w:val="20"/>
                <w:szCs w:val="20"/>
              </w:rPr>
              <w:t>2.5</w:t>
            </w:r>
          </w:p>
        </w:tc>
        <w:tc>
          <w:tcPr>
            <w:tcW w:w="468" w:type="pct"/>
            <w:shd w:val="clear" w:color="auto" w:fill="auto"/>
            <w:vAlign w:val="bottom"/>
            <w:hideMark/>
          </w:tcPr>
          <w:p w14:paraId="39E15AA1"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66.5</w:t>
            </w:r>
          </w:p>
        </w:tc>
        <w:tc>
          <w:tcPr>
            <w:tcW w:w="603" w:type="pct"/>
            <w:shd w:val="clear" w:color="auto" w:fill="auto"/>
            <w:vAlign w:val="bottom"/>
            <w:hideMark/>
          </w:tcPr>
          <w:p w14:paraId="155EA583" w14:textId="77777777" w:rsidR="00F32679" w:rsidRPr="00D92E16" w:rsidRDefault="00F32679" w:rsidP="00F32679">
            <w:pPr>
              <w:spacing w:after="0"/>
              <w:jc w:val="right"/>
              <w:rPr>
                <w:color w:val="000000" w:themeColor="text1"/>
                <w:sz w:val="20"/>
                <w:szCs w:val="20"/>
              </w:rPr>
            </w:pPr>
            <w:r w:rsidRPr="0C206F83">
              <w:rPr>
                <w:sz w:val="20"/>
                <w:szCs w:val="20"/>
              </w:rPr>
              <w:t>135,935</w:t>
            </w:r>
          </w:p>
        </w:tc>
        <w:tc>
          <w:tcPr>
            <w:tcW w:w="460" w:type="pct"/>
            <w:shd w:val="clear" w:color="auto" w:fill="auto"/>
            <w:vAlign w:val="bottom"/>
            <w:hideMark/>
          </w:tcPr>
          <w:p w14:paraId="6B004FF4" w14:textId="77777777" w:rsidR="00F32679" w:rsidRPr="00D92E16" w:rsidRDefault="00F32679" w:rsidP="00F32679">
            <w:pPr>
              <w:spacing w:after="0"/>
              <w:jc w:val="right"/>
              <w:rPr>
                <w:color w:val="000000"/>
                <w:sz w:val="20"/>
                <w:szCs w:val="20"/>
              </w:rPr>
            </w:pPr>
            <w:r w:rsidRPr="00D92E16">
              <w:rPr>
                <w:sz w:val="20"/>
                <w:szCs w:val="20"/>
              </w:rPr>
              <w:t>97.5</w:t>
            </w:r>
          </w:p>
        </w:tc>
        <w:tc>
          <w:tcPr>
            <w:tcW w:w="442" w:type="pct"/>
            <w:shd w:val="clear" w:color="auto" w:fill="auto"/>
            <w:vAlign w:val="bottom"/>
            <w:hideMark/>
          </w:tcPr>
          <w:p w14:paraId="06083AC8"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71.8</w:t>
            </w:r>
          </w:p>
        </w:tc>
      </w:tr>
      <w:tr w:rsidR="00F32679" w:rsidRPr="00D92E16" w14:paraId="65BB6F19" w14:textId="77777777" w:rsidTr="00F32679">
        <w:trPr>
          <w:cantSplit/>
          <w:trHeight w:val="288"/>
        </w:trPr>
        <w:tc>
          <w:tcPr>
            <w:tcW w:w="881" w:type="pct"/>
            <w:shd w:val="clear" w:color="auto" w:fill="auto"/>
            <w:vAlign w:val="bottom"/>
            <w:hideMark/>
          </w:tcPr>
          <w:p w14:paraId="634DFC70" w14:textId="77777777" w:rsidR="00F32679" w:rsidRPr="009E29EA" w:rsidRDefault="00F32679" w:rsidP="00F32679">
            <w:pPr>
              <w:spacing w:after="0"/>
              <w:rPr>
                <w:color w:val="000000" w:themeColor="text1"/>
                <w:sz w:val="20"/>
                <w:szCs w:val="20"/>
              </w:rPr>
            </w:pPr>
            <w:r w:rsidRPr="0C206F83">
              <w:rPr>
                <w:rFonts w:ascii="Calibri" w:eastAsia="Calibri" w:hAnsi="Calibri" w:cs="Calibri"/>
                <w:color w:val="000000" w:themeColor="text1"/>
                <w:sz w:val="20"/>
                <w:szCs w:val="20"/>
              </w:rPr>
              <w:t>Schizophrenia</w:t>
            </w:r>
          </w:p>
        </w:tc>
        <w:tc>
          <w:tcPr>
            <w:tcW w:w="623" w:type="pct"/>
            <w:shd w:val="clear" w:color="auto" w:fill="auto"/>
            <w:vAlign w:val="bottom"/>
            <w:hideMark/>
          </w:tcPr>
          <w:p w14:paraId="41DA3A11" w14:textId="77777777" w:rsidR="00F32679" w:rsidRPr="00E90BB1" w:rsidRDefault="00F32679" w:rsidP="00F32679">
            <w:pPr>
              <w:spacing w:after="0"/>
              <w:jc w:val="right"/>
              <w:rPr>
                <w:color w:val="000000" w:themeColor="text1"/>
                <w:sz w:val="20"/>
                <w:szCs w:val="20"/>
              </w:rPr>
            </w:pPr>
            <w:r w:rsidRPr="0C206F83">
              <w:rPr>
                <w:sz w:val="20"/>
                <w:szCs w:val="20"/>
              </w:rPr>
              <w:t>217,417</w:t>
            </w:r>
          </w:p>
        </w:tc>
        <w:tc>
          <w:tcPr>
            <w:tcW w:w="451" w:type="pct"/>
            <w:shd w:val="clear" w:color="auto" w:fill="auto"/>
            <w:vAlign w:val="bottom"/>
            <w:hideMark/>
          </w:tcPr>
          <w:p w14:paraId="6BF26ECC"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75.6</w:t>
            </w:r>
          </w:p>
        </w:tc>
        <w:tc>
          <w:tcPr>
            <w:tcW w:w="620" w:type="pct"/>
            <w:shd w:val="clear" w:color="auto" w:fill="auto"/>
            <w:vAlign w:val="bottom"/>
            <w:hideMark/>
          </w:tcPr>
          <w:p w14:paraId="4E917308" w14:textId="77777777" w:rsidR="00F32679" w:rsidRPr="00D92E16" w:rsidRDefault="00F32679" w:rsidP="00F32679">
            <w:pPr>
              <w:spacing w:after="0"/>
              <w:jc w:val="right"/>
              <w:rPr>
                <w:color w:val="000000" w:themeColor="text1"/>
                <w:sz w:val="20"/>
                <w:szCs w:val="20"/>
              </w:rPr>
            </w:pPr>
            <w:r w:rsidRPr="0C206F83">
              <w:rPr>
                <w:sz w:val="20"/>
                <w:szCs w:val="20"/>
              </w:rPr>
              <w:t>3,837</w:t>
            </w:r>
          </w:p>
        </w:tc>
        <w:tc>
          <w:tcPr>
            <w:tcW w:w="452" w:type="pct"/>
            <w:shd w:val="clear" w:color="auto" w:fill="auto"/>
            <w:vAlign w:val="bottom"/>
            <w:hideMark/>
          </w:tcPr>
          <w:p w14:paraId="3CF6DB8A" w14:textId="77777777" w:rsidR="00F32679" w:rsidRPr="00D92E16" w:rsidRDefault="00F32679" w:rsidP="00F32679">
            <w:pPr>
              <w:spacing w:after="0"/>
              <w:jc w:val="right"/>
              <w:rPr>
                <w:color w:val="000000"/>
                <w:sz w:val="20"/>
                <w:szCs w:val="20"/>
              </w:rPr>
            </w:pPr>
            <w:r w:rsidRPr="00D92E16">
              <w:rPr>
                <w:sz w:val="20"/>
                <w:szCs w:val="20"/>
              </w:rPr>
              <w:t>1.8</w:t>
            </w:r>
          </w:p>
        </w:tc>
        <w:tc>
          <w:tcPr>
            <w:tcW w:w="468" w:type="pct"/>
            <w:shd w:val="clear" w:color="auto" w:fill="auto"/>
            <w:vAlign w:val="bottom"/>
            <w:hideMark/>
          </w:tcPr>
          <w:p w14:paraId="65510A9B"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71.9</w:t>
            </w:r>
          </w:p>
        </w:tc>
        <w:tc>
          <w:tcPr>
            <w:tcW w:w="603" w:type="pct"/>
            <w:shd w:val="clear" w:color="auto" w:fill="auto"/>
            <w:vAlign w:val="bottom"/>
            <w:hideMark/>
          </w:tcPr>
          <w:p w14:paraId="7110D577" w14:textId="77777777" w:rsidR="00F32679" w:rsidRPr="00D92E16" w:rsidRDefault="00F32679" w:rsidP="00F32679">
            <w:pPr>
              <w:spacing w:after="0"/>
              <w:jc w:val="right"/>
              <w:rPr>
                <w:color w:val="000000" w:themeColor="text1"/>
                <w:sz w:val="20"/>
                <w:szCs w:val="20"/>
              </w:rPr>
            </w:pPr>
            <w:r w:rsidRPr="0C206F83">
              <w:rPr>
                <w:sz w:val="20"/>
                <w:szCs w:val="20"/>
              </w:rPr>
              <w:t>213,580</w:t>
            </w:r>
          </w:p>
        </w:tc>
        <w:tc>
          <w:tcPr>
            <w:tcW w:w="460" w:type="pct"/>
            <w:shd w:val="clear" w:color="auto" w:fill="auto"/>
            <w:vAlign w:val="bottom"/>
            <w:hideMark/>
          </w:tcPr>
          <w:p w14:paraId="2DDA2B6B" w14:textId="77777777" w:rsidR="00F32679" w:rsidRPr="00D92E16" w:rsidRDefault="00F32679" w:rsidP="00F32679">
            <w:pPr>
              <w:spacing w:after="0"/>
              <w:jc w:val="right"/>
              <w:rPr>
                <w:color w:val="000000"/>
                <w:sz w:val="20"/>
                <w:szCs w:val="20"/>
              </w:rPr>
            </w:pPr>
            <w:r w:rsidRPr="00D92E16">
              <w:rPr>
                <w:sz w:val="20"/>
                <w:szCs w:val="20"/>
              </w:rPr>
              <w:t>98.2</w:t>
            </w:r>
          </w:p>
        </w:tc>
        <w:tc>
          <w:tcPr>
            <w:tcW w:w="442" w:type="pct"/>
            <w:shd w:val="clear" w:color="auto" w:fill="auto"/>
            <w:vAlign w:val="bottom"/>
            <w:hideMark/>
          </w:tcPr>
          <w:p w14:paraId="25C08502"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75.6</w:t>
            </w:r>
          </w:p>
        </w:tc>
      </w:tr>
      <w:tr w:rsidR="00F32679" w:rsidRPr="00D92E16" w14:paraId="54245DDE" w14:textId="77777777" w:rsidTr="00F32679">
        <w:trPr>
          <w:trHeight w:val="288"/>
        </w:trPr>
        <w:tc>
          <w:tcPr>
            <w:tcW w:w="881" w:type="pct"/>
            <w:shd w:val="clear" w:color="auto" w:fill="auto"/>
            <w:vAlign w:val="bottom"/>
            <w:hideMark/>
          </w:tcPr>
          <w:p w14:paraId="62A1F5F6" w14:textId="77777777" w:rsidR="00F32679" w:rsidRPr="009E29EA" w:rsidRDefault="00F32679" w:rsidP="00F32679">
            <w:pPr>
              <w:spacing w:after="0"/>
              <w:rPr>
                <w:color w:val="000000" w:themeColor="text1"/>
                <w:sz w:val="20"/>
                <w:szCs w:val="20"/>
              </w:rPr>
            </w:pPr>
            <w:r w:rsidRPr="0C206F83">
              <w:rPr>
                <w:rFonts w:ascii="Calibri" w:eastAsia="Calibri" w:hAnsi="Calibri" w:cs="Calibri"/>
                <w:color w:val="000000" w:themeColor="text1"/>
                <w:sz w:val="20"/>
                <w:szCs w:val="20"/>
              </w:rPr>
              <w:t>Bipolar disorder</w:t>
            </w:r>
          </w:p>
        </w:tc>
        <w:tc>
          <w:tcPr>
            <w:tcW w:w="623" w:type="pct"/>
            <w:shd w:val="clear" w:color="auto" w:fill="auto"/>
            <w:vAlign w:val="bottom"/>
            <w:hideMark/>
          </w:tcPr>
          <w:p w14:paraId="7A65BD13" w14:textId="77777777" w:rsidR="00F32679" w:rsidRPr="00E90BB1" w:rsidRDefault="00F32679" w:rsidP="00F32679">
            <w:pPr>
              <w:spacing w:after="0"/>
              <w:jc w:val="right"/>
              <w:rPr>
                <w:color w:val="000000" w:themeColor="text1"/>
                <w:sz w:val="20"/>
                <w:szCs w:val="20"/>
              </w:rPr>
            </w:pPr>
            <w:r w:rsidRPr="0C206F83">
              <w:rPr>
                <w:sz w:val="20"/>
                <w:szCs w:val="20"/>
              </w:rPr>
              <w:t>132,376</w:t>
            </w:r>
          </w:p>
        </w:tc>
        <w:tc>
          <w:tcPr>
            <w:tcW w:w="451" w:type="pct"/>
            <w:shd w:val="clear" w:color="auto" w:fill="auto"/>
            <w:vAlign w:val="bottom"/>
            <w:hideMark/>
          </w:tcPr>
          <w:p w14:paraId="2C137285"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75.5</w:t>
            </w:r>
          </w:p>
        </w:tc>
        <w:tc>
          <w:tcPr>
            <w:tcW w:w="620" w:type="pct"/>
            <w:shd w:val="clear" w:color="auto" w:fill="auto"/>
            <w:vAlign w:val="bottom"/>
            <w:hideMark/>
          </w:tcPr>
          <w:p w14:paraId="011D3276" w14:textId="77777777" w:rsidR="00F32679" w:rsidRPr="00D92E16" w:rsidRDefault="00F32679" w:rsidP="00F32679">
            <w:pPr>
              <w:spacing w:after="0"/>
              <w:jc w:val="right"/>
              <w:rPr>
                <w:color w:val="000000" w:themeColor="text1"/>
                <w:sz w:val="20"/>
                <w:szCs w:val="20"/>
              </w:rPr>
            </w:pPr>
            <w:r w:rsidRPr="0C206F83">
              <w:rPr>
                <w:sz w:val="20"/>
                <w:szCs w:val="20"/>
              </w:rPr>
              <w:t>2,385</w:t>
            </w:r>
          </w:p>
        </w:tc>
        <w:tc>
          <w:tcPr>
            <w:tcW w:w="452" w:type="pct"/>
            <w:shd w:val="clear" w:color="auto" w:fill="auto"/>
            <w:vAlign w:val="bottom"/>
            <w:hideMark/>
          </w:tcPr>
          <w:p w14:paraId="582579AF" w14:textId="77777777" w:rsidR="00F32679" w:rsidRPr="00D92E16" w:rsidRDefault="00F32679" w:rsidP="00F32679">
            <w:pPr>
              <w:spacing w:after="0"/>
              <w:jc w:val="right"/>
              <w:rPr>
                <w:color w:val="000000"/>
                <w:sz w:val="20"/>
                <w:szCs w:val="20"/>
              </w:rPr>
            </w:pPr>
            <w:r w:rsidRPr="00D92E16">
              <w:rPr>
                <w:sz w:val="20"/>
                <w:szCs w:val="20"/>
              </w:rPr>
              <w:t>1.8</w:t>
            </w:r>
          </w:p>
        </w:tc>
        <w:tc>
          <w:tcPr>
            <w:tcW w:w="468" w:type="pct"/>
            <w:shd w:val="clear" w:color="auto" w:fill="auto"/>
            <w:vAlign w:val="bottom"/>
            <w:hideMark/>
          </w:tcPr>
          <w:p w14:paraId="30BA1DD8"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73.2</w:t>
            </w:r>
          </w:p>
        </w:tc>
        <w:tc>
          <w:tcPr>
            <w:tcW w:w="603" w:type="pct"/>
            <w:shd w:val="clear" w:color="auto" w:fill="auto"/>
            <w:vAlign w:val="bottom"/>
            <w:hideMark/>
          </w:tcPr>
          <w:p w14:paraId="6F17C2A7" w14:textId="77777777" w:rsidR="00F32679" w:rsidRPr="00D92E16" w:rsidRDefault="00F32679" w:rsidP="00F32679">
            <w:pPr>
              <w:spacing w:after="0"/>
              <w:jc w:val="right"/>
              <w:rPr>
                <w:color w:val="000000" w:themeColor="text1"/>
                <w:sz w:val="20"/>
                <w:szCs w:val="20"/>
              </w:rPr>
            </w:pPr>
            <w:r w:rsidRPr="0C206F83">
              <w:rPr>
                <w:sz w:val="20"/>
                <w:szCs w:val="20"/>
              </w:rPr>
              <w:t>129,991</w:t>
            </w:r>
          </w:p>
        </w:tc>
        <w:tc>
          <w:tcPr>
            <w:tcW w:w="460" w:type="pct"/>
            <w:shd w:val="clear" w:color="auto" w:fill="auto"/>
            <w:vAlign w:val="bottom"/>
            <w:hideMark/>
          </w:tcPr>
          <w:p w14:paraId="7D93830A" w14:textId="77777777" w:rsidR="00F32679" w:rsidRPr="00D92E16" w:rsidRDefault="00F32679" w:rsidP="00F32679">
            <w:pPr>
              <w:spacing w:after="0"/>
              <w:jc w:val="right"/>
              <w:rPr>
                <w:color w:val="000000"/>
                <w:sz w:val="20"/>
                <w:szCs w:val="20"/>
              </w:rPr>
            </w:pPr>
            <w:r w:rsidRPr="00D92E16">
              <w:rPr>
                <w:sz w:val="20"/>
                <w:szCs w:val="20"/>
              </w:rPr>
              <w:t>98.2</w:t>
            </w:r>
          </w:p>
        </w:tc>
        <w:tc>
          <w:tcPr>
            <w:tcW w:w="442" w:type="pct"/>
            <w:shd w:val="clear" w:color="auto" w:fill="auto"/>
            <w:vAlign w:val="bottom"/>
            <w:hideMark/>
          </w:tcPr>
          <w:p w14:paraId="1F1718EF"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75.6</w:t>
            </w:r>
          </w:p>
        </w:tc>
      </w:tr>
      <w:tr w:rsidR="00F32679" w:rsidRPr="00D92E16" w14:paraId="3750E02C" w14:textId="77777777" w:rsidTr="00F32679">
        <w:trPr>
          <w:cantSplit/>
          <w:trHeight w:val="288"/>
        </w:trPr>
        <w:tc>
          <w:tcPr>
            <w:tcW w:w="881" w:type="pct"/>
            <w:shd w:val="clear" w:color="auto" w:fill="auto"/>
            <w:vAlign w:val="bottom"/>
            <w:hideMark/>
          </w:tcPr>
          <w:p w14:paraId="1231EDB6" w14:textId="77777777" w:rsidR="00F32679" w:rsidRPr="00E90BB1" w:rsidRDefault="00F32679" w:rsidP="00F32679">
            <w:pPr>
              <w:spacing w:after="0"/>
              <w:rPr>
                <w:b/>
                <w:bCs/>
                <w:color w:val="000000" w:themeColor="text1"/>
                <w:sz w:val="20"/>
                <w:szCs w:val="20"/>
              </w:rPr>
            </w:pPr>
            <w:r w:rsidRPr="0C206F83">
              <w:rPr>
                <w:rFonts w:ascii="Calibri" w:eastAsia="Calibri" w:hAnsi="Calibri" w:cs="Calibri"/>
                <w:b/>
                <w:bCs/>
                <w:color w:val="000000" w:themeColor="text1"/>
                <w:sz w:val="20"/>
                <w:szCs w:val="20"/>
              </w:rPr>
              <w:t>Overall</w:t>
            </w:r>
          </w:p>
        </w:tc>
        <w:tc>
          <w:tcPr>
            <w:tcW w:w="623" w:type="pct"/>
            <w:shd w:val="clear" w:color="auto" w:fill="auto"/>
            <w:vAlign w:val="bottom"/>
            <w:hideMark/>
          </w:tcPr>
          <w:p w14:paraId="20790D5A" w14:textId="77777777" w:rsidR="00F32679" w:rsidRPr="00E90BB1" w:rsidRDefault="00F32679" w:rsidP="00F32679">
            <w:pPr>
              <w:spacing w:after="0"/>
              <w:jc w:val="right"/>
              <w:rPr>
                <w:color w:val="000000" w:themeColor="text1"/>
                <w:sz w:val="20"/>
                <w:szCs w:val="20"/>
              </w:rPr>
            </w:pPr>
            <w:r w:rsidRPr="0C206F83">
              <w:rPr>
                <w:sz w:val="20"/>
                <w:szCs w:val="20"/>
              </w:rPr>
              <w:t>489,148</w:t>
            </w:r>
          </w:p>
        </w:tc>
        <w:tc>
          <w:tcPr>
            <w:tcW w:w="451" w:type="pct"/>
            <w:shd w:val="clear" w:color="auto" w:fill="auto"/>
            <w:vAlign w:val="bottom"/>
            <w:hideMark/>
          </w:tcPr>
          <w:p w14:paraId="5F01EBF1"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74.5</w:t>
            </w:r>
          </w:p>
        </w:tc>
        <w:tc>
          <w:tcPr>
            <w:tcW w:w="620" w:type="pct"/>
            <w:shd w:val="clear" w:color="auto" w:fill="auto"/>
            <w:vAlign w:val="bottom"/>
            <w:hideMark/>
          </w:tcPr>
          <w:p w14:paraId="67C569DE" w14:textId="77777777" w:rsidR="00F32679" w:rsidRPr="00D92E16" w:rsidRDefault="00F32679" w:rsidP="00F32679">
            <w:pPr>
              <w:spacing w:after="0"/>
              <w:jc w:val="right"/>
              <w:rPr>
                <w:color w:val="000000" w:themeColor="text1"/>
                <w:sz w:val="20"/>
                <w:szCs w:val="20"/>
              </w:rPr>
            </w:pPr>
            <w:r w:rsidRPr="0C206F83">
              <w:rPr>
                <w:sz w:val="20"/>
                <w:szCs w:val="20"/>
              </w:rPr>
              <w:t>9,642</w:t>
            </w:r>
          </w:p>
        </w:tc>
        <w:tc>
          <w:tcPr>
            <w:tcW w:w="452" w:type="pct"/>
            <w:shd w:val="clear" w:color="auto" w:fill="auto"/>
            <w:vAlign w:val="bottom"/>
            <w:hideMark/>
          </w:tcPr>
          <w:p w14:paraId="1B7B6A61" w14:textId="77777777" w:rsidR="00F32679" w:rsidRPr="00D92E16" w:rsidRDefault="00F32679" w:rsidP="00F32679">
            <w:pPr>
              <w:spacing w:after="0"/>
              <w:jc w:val="right"/>
              <w:rPr>
                <w:color w:val="000000"/>
                <w:sz w:val="20"/>
                <w:szCs w:val="20"/>
              </w:rPr>
            </w:pPr>
            <w:r w:rsidRPr="00D92E16">
              <w:rPr>
                <w:sz w:val="20"/>
                <w:szCs w:val="20"/>
              </w:rPr>
              <w:t>2.0</w:t>
            </w:r>
          </w:p>
        </w:tc>
        <w:tc>
          <w:tcPr>
            <w:tcW w:w="468" w:type="pct"/>
            <w:shd w:val="clear" w:color="auto" w:fill="auto"/>
            <w:vAlign w:val="bottom"/>
            <w:hideMark/>
          </w:tcPr>
          <w:p w14:paraId="68ACC0F6"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70.3</w:t>
            </w:r>
          </w:p>
        </w:tc>
        <w:tc>
          <w:tcPr>
            <w:tcW w:w="603" w:type="pct"/>
            <w:shd w:val="clear" w:color="auto" w:fill="auto"/>
            <w:vAlign w:val="bottom"/>
            <w:hideMark/>
          </w:tcPr>
          <w:p w14:paraId="46738046" w14:textId="77777777" w:rsidR="00F32679" w:rsidRPr="00D92E16" w:rsidRDefault="00F32679" w:rsidP="00F32679">
            <w:pPr>
              <w:spacing w:after="0"/>
              <w:jc w:val="right"/>
              <w:rPr>
                <w:color w:val="000000" w:themeColor="text1"/>
                <w:sz w:val="20"/>
                <w:szCs w:val="20"/>
              </w:rPr>
            </w:pPr>
            <w:r w:rsidRPr="0C206F83">
              <w:rPr>
                <w:sz w:val="20"/>
                <w:szCs w:val="20"/>
              </w:rPr>
              <w:t>479,506</w:t>
            </w:r>
          </w:p>
        </w:tc>
        <w:tc>
          <w:tcPr>
            <w:tcW w:w="460" w:type="pct"/>
            <w:shd w:val="clear" w:color="auto" w:fill="auto"/>
            <w:vAlign w:val="bottom"/>
            <w:hideMark/>
          </w:tcPr>
          <w:p w14:paraId="580CCE47" w14:textId="77777777" w:rsidR="00F32679" w:rsidRPr="00D92E16" w:rsidRDefault="00F32679" w:rsidP="00F32679">
            <w:pPr>
              <w:spacing w:after="0"/>
              <w:jc w:val="right"/>
              <w:rPr>
                <w:color w:val="000000"/>
                <w:sz w:val="20"/>
                <w:szCs w:val="20"/>
              </w:rPr>
            </w:pPr>
            <w:r w:rsidRPr="00D92E16">
              <w:rPr>
                <w:sz w:val="20"/>
                <w:szCs w:val="20"/>
              </w:rPr>
              <w:t>98.0</w:t>
            </w:r>
          </w:p>
        </w:tc>
        <w:tc>
          <w:tcPr>
            <w:tcW w:w="442" w:type="pct"/>
            <w:shd w:val="clear" w:color="auto" w:fill="auto"/>
            <w:vAlign w:val="bottom"/>
            <w:hideMark/>
          </w:tcPr>
          <w:p w14:paraId="7E525341" w14:textId="77777777" w:rsidR="00F32679" w:rsidRPr="00D92E16" w:rsidRDefault="00F32679" w:rsidP="00F32679">
            <w:pPr>
              <w:spacing w:after="0"/>
              <w:jc w:val="right"/>
              <w:rPr>
                <w:color w:val="000000"/>
                <w:sz w:val="20"/>
                <w:szCs w:val="20"/>
              </w:rPr>
            </w:pPr>
            <w:r w:rsidRPr="00D92E16">
              <w:rPr>
                <w:rFonts w:ascii="Calibri" w:hAnsi="Calibri"/>
                <w:color w:val="000000"/>
                <w:sz w:val="20"/>
                <w:szCs w:val="20"/>
              </w:rPr>
              <w:t>74.5</w:t>
            </w:r>
          </w:p>
        </w:tc>
      </w:tr>
    </w:tbl>
    <w:p w14:paraId="34B4BFB1" w14:textId="561658FD" w:rsidR="00F32679" w:rsidRPr="00CE176C" w:rsidRDefault="00F32679" w:rsidP="005B164E">
      <w:pPr>
        <w:pStyle w:val="BodyText"/>
        <w:keepNext/>
        <w:ind w:left="360"/>
        <w:rPr>
          <w:rFonts w:ascii="Calibri" w:hAnsi="Calibri"/>
          <w:b/>
          <w:bCs/>
          <w:color w:val="0000FF"/>
          <w:sz w:val="22"/>
          <w:szCs w:val="22"/>
        </w:rPr>
      </w:pPr>
    </w:p>
    <w:p w14:paraId="152ABCA0" w14:textId="76ED5182" w:rsidR="00F32679" w:rsidRPr="005E0E3B" w:rsidRDefault="00F32679" w:rsidP="00F32679">
      <w:pPr>
        <w:keepNext/>
        <w:spacing w:before="120" w:after="0" w:line="240" w:lineRule="auto"/>
        <w:rPr>
          <w:rFonts w:ascii="Calibri" w:eastAsia="Arial" w:hAnsi="Calibri" w:cs="Arial"/>
          <w:b/>
          <w:bCs/>
          <w:sz w:val="20"/>
          <w:szCs w:val="20"/>
        </w:rPr>
      </w:pPr>
      <w:r w:rsidRPr="007C558A">
        <w:rPr>
          <w:rFonts w:ascii="Calibri" w:eastAsia="Arial" w:hAnsi="Calibri" w:cs="Arial"/>
          <w:b/>
          <w:bCs/>
          <w:sz w:val="20"/>
          <w:szCs w:val="20"/>
        </w:rPr>
        <w:t xml:space="preserve">Table </w:t>
      </w:r>
      <w:r w:rsidRPr="007C558A">
        <w:rPr>
          <w:rFonts w:ascii="Calibri" w:eastAsia="Arial" w:hAnsi="Calibri"/>
          <w:b/>
          <w:sz w:val="20"/>
        </w:rPr>
        <w:t>2b3.2</w:t>
      </w:r>
      <w:r w:rsidRPr="00214F76">
        <w:rPr>
          <w:rFonts w:ascii="Calibri" w:eastAsia="Times New Roman" w:hAnsi="Calibri" w:cs="Times New Roman"/>
          <w:b/>
        </w:rPr>
        <w:t>-</w:t>
      </w:r>
      <w:r w:rsidRPr="007C558A">
        <w:rPr>
          <w:rFonts w:ascii="Calibri" w:eastAsia="Arial" w:hAnsi="Calibri" w:cs="Arial"/>
          <w:b/>
          <w:bCs/>
          <w:sz w:val="20"/>
          <w:szCs w:val="20"/>
        </w:rPr>
        <w:t>E. IPF</w:t>
      </w:r>
      <w:r w:rsidRPr="005E0E3B">
        <w:rPr>
          <w:rFonts w:ascii="Calibri" w:eastAsia="Arial" w:hAnsi="Calibri" w:cs="Arial"/>
          <w:b/>
          <w:bCs/>
          <w:sz w:val="20"/>
          <w:szCs w:val="20"/>
        </w:rPr>
        <w:t xml:space="preserve"> Admissions with Principal Diagnosis of Schizophrenia and Secondary Diagnosis of Dementia</w:t>
      </w:r>
    </w:p>
    <w:tbl>
      <w:tblPr>
        <w:tblW w:w="490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5"/>
        <w:gridCol w:w="1128"/>
        <w:gridCol w:w="820"/>
        <w:gridCol w:w="1135"/>
        <w:gridCol w:w="825"/>
        <w:gridCol w:w="849"/>
        <w:gridCol w:w="1111"/>
        <w:gridCol w:w="842"/>
        <w:gridCol w:w="825"/>
      </w:tblGrid>
      <w:tr w:rsidR="00F32679" w:rsidRPr="006D5260" w14:paraId="08F8507A" w14:textId="77777777" w:rsidTr="00F32679">
        <w:trPr>
          <w:trHeight w:val="288"/>
        </w:trPr>
        <w:tc>
          <w:tcPr>
            <w:tcW w:w="891" w:type="pct"/>
            <w:vMerge w:val="restart"/>
            <w:shd w:val="clear" w:color="auto" w:fill="365F91" w:themeFill="accent1" w:themeFillShade="BF"/>
            <w:vAlign w:val="bottom"/>
            <w:hideMark/>
          </w:tcPr>
          <w:p w14:paraId="2392F901" w14:textId="77777777" w:rsidR="00F32679" w:rsidRPr="00A3368A" w:rsidRDefault="00F32679" w:rsidP="00F32679">
            <w:pPr>
              <w:keepNext/>
              <w:spacing w:after="0"/>
              <w:rPr>
                <w:b/>
                <w:bCs/>
                <w:color w:val="FFFFFF" w:themeColor="background1"/>
                <w:sz w:val="20"/>
                <w:szCs w:val="20"/>
              </w:rPr>
            </w:pPr>
            <w:r w:rsidRPr="0C206F83">
              <w:rPr>
                <w:b/>
                <w:bCs/>
                <w:color w:val="FFFFFF" w:themeColor="background1"/>
                <w:sz w:val="20"/>
                <w:szCs w:val="20"/>
              </w:rPr>
              <w:t xml:space="preserve">Principal </w:t>
            </w:r>
            <w:r w:rsidRPr="0C206F83">
              <w:rPr>
                <w:rFonts w:ascii="Calibri" w:eastAsia="Calibri" w:hAnsi="Calibri" w:cs="Calibri"/>
                <w:b/>
                <w:bCs/>
                <w:color w:val="FFFFFF" w:themeColor="background1"/>
                <w:sz w:val="20"/>
                <w:szCs w:val="20"/>
              </w:rPr>
              <w:t>Condition</w:t>
            </w:r>
          </w:p>
        </w:tc>
        <w:tc>
          <w:tcPr>
            <w:tcW w:w="1062" w:type="pct"/>
            <w:gridSpan w:val="2"/>
            <w:shd w:val="clear" w:color="auto" w:fill="365F91" w:themeFill="accent1" w:themeFillShade="BF"/>
            <w:noWrap/>
            <w:vAlign w:val="bottom"/>
            <w:hideMark/>
          </w:tcPr>
          <w:p w14:paraId="58675BA7" w14:textId="77777777" w:rsidR="00F32679" w:rsidRPr="00A3368A" w:rsidRDefault="00F32679" w:rsidP="00F32679">
            <w:pPr>
              <w:keepNext/>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All IPF Admissions</w:t>
            </w:r>
          </w:p>
        </w:tc>
        <w:tc>
          <w:tcPr>
            <w:tcW w:w="1532" w:type="pct"/>
            <w:gridSpan w:val="3"/>
            <w:shd w:val="clear" w:color="auto" w:fill="365F91" w:themeFill="accent1" w:themeFillShade="BF"/>
            <w:noWrap/>
            <w:vAlign w:val="bottom"/>
            <w:hideMark/>
          </w:tcPr>
          <w:p w14:paraId="1033E9AA" w14:textId="77777777" w:rsidR="00F32679" w:rsidRPr="00A3368A" w:rsidRDefault="00F32679" w:rsidP="00F32679">
            <w:pPr>
              <w:keepNext/>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Secondary Dementia</w:t>
            </w:r>
          </w:p>
        </w:tc>
        <w:tc>
          <w:tcPr>
            <w:tcW w:w="1515" w:type="pct"/>
            <w:gridSpan w:val="3"/>
            <w:shd w:val="clear" w:color="auto" w:fill="365F91" w:themeFill="accent1" w:themeFillShade="BF"/>
            <w:noWrap/>
            <w:vAlign w:val="bottom"/>
            <w:hideMark/>
          </w:tcPr>
          <w:p w14:paraId="3297E9FD" w14:textId="77777777" w:rsidR="00F32679" w:rsidRPr="00A3368A" w:rsidRDefault="00F32679" w:rsidP="00F32679">
            <w:pPr>
              <w:keepNext/>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No Dementia</w:t>
            </w:r>
          </w:p>
        </w:tc>
      </w:tr>
      <w:tr w:rsidR="00F32679" w:rsidRPr="006D5260" w14:paraId="38398A56" w14:textId="77777777" w:rsidTr="00F32679">
        <w:trPr>
          <w:trHeight w:val="288"/>
        </w:trPr>
        <w:tc>
          <w:tcPr>
            <w:tcW w:w="891" w:type="pct"/>
            <w:vMerge/>
            <w:shd w:val="clear" w:color="auto" w:fill="365F91" w:themeFill="accent1" w:themeFillShade="BF"/>
            <w:vAlign w:val="center"/>
            <w:hideMark/>
          </w:tcPr>
          <w:p w14:paraId="39340953" w14:textId="77777777" w:rsidR="00F32679" w:rsidRPr="00A3368A" w:rsidRDefault="00F32679" w:rsidP="00F32679">
            <w:pPr>
              <w:spacing w:after="0"/>
              <w:rPr>
                <w:b/>
                <w:color w:val="FFFFFF" w:themeColor="background1"/>
                <w:sz w:val="20"/>
                <w:szCs w:val="20"/>
              </w:rPr>
            </w:pPr>
          </w:p>
        </w:tc>
        <w:tc>
          <w:tcPr>
            <w:tcW w:w="615" w:type="pct"/>
            <w:shd w:val="clear" w:color="auto" w:fill="365F91" w:themeFill="accent1" w:themeFillShade="BF"/>
            <w:vAlign w:val="bottom"/>
            <w:hideMark/>
          </w:tcPr>
          <w:p w14:paraId="1C56870D" w14:textId="77777777" w:rsidR="00F32679" w:rsidRPr="00A3368A"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447" w:type="pct"/>
            <w:shd w:val="clear" w:color="auto" w:fill="365F91" w:themeFill="accent1" w:themeFillShade="BF"/>
            <w:vAlign w:val="bottom"/>
            <w:hideMark/>
          </w:tcPr>
          <w:p w14:paraId="3E87C5A7" w14:textId="77777777" w:rsidR="00F32679" w:rsidRPr="00A3368A"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Rx</w:t>
            </w:r>
          </w:p>
        </w:tc>
        <w:tc>
          <w:tcPr>
            <w:tcW w:w="619" w:type="pct"/>
            <w:shd w:val="clear" w:color="auto" w:fill="365F91" w:themeFill="accent1" w:themeFillShade="BF"/>
            <w:vAlign w:val="bottom"/>
            <w:hideMark/>
          </w:tcPr>
          <w:p w14:paraId="79B67FE4" w14:textId="77777777" w:rsidR="00F32679" w:rsidRPr="00A3368A"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450" w:type="pct"/>
            <w:shd w:val="clear" w:color="auto" w:fill="365F91" w:themeFill="accent1" w:themeFillShade="BF"/>
            <w:vAlign w:val="bottom"/>
            <w:hideMark/>
          </w:tcPr>
          <w:p w14:paraId="69554111" w14:textId="77777777" w:rsidR="00F32679" w:rsidRPr="00A3368A"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Total</w:t>
            </w:r>
          </w:p>
        </w:tc>
        <w:tc>
          <w:tcPr>
            <w:tcW w:w="463" w:type="pct"/>
            <w:shd w:val="clear" w:color="auto" w:fill="365F91" w:themeFill="accent1" w:themeFillShade="BF"/>
            <w:vAlign w:val="bottom"/>
            <w:hideMark/>
          </w:tcPr>
          <w:p w14:paraId="06AE111B" w14:textId="77777777" w:rsidR="00F32679" w:rsidRPr="00A3368A"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Rx</w:t>
            </w:r>
          </w:p>
        </w:tc>
        <w:tc>
          <w:tcPr>
            <w:tcW w:w="606" w:type="pct"/>
            <w:shd w:val="clear" w:color="auto" w:fill="365F91" w:themeFill="accent1" w:themeFillShade="BF"/>
            <w:vAlign w:val="bottom"/>
            <w:hideMark/>
          </w:tcPr>
          <w:p w14:paraId="5ED2E9CF" w14:textId="77777777" w:rsidR="00F32679" w:rsidRPr="00A3368A"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Frequency</w:t>
            </w:r>
          </w:p>
        </w:tc>
        <w:tc>
          <w:tcPr>
            <w:tcW w:w="459" w:type="pct"/>
            <w:shd w:val="clear" w:color="auto" w:fill="365F91" w:themeFill="accent1" w:themeFillShade="BF"/>
            <w:vAlign w:val="bottom"/>
            <w:hideMark/>
          </w:tcPr>
          <w:p w14:paraId="5C60A275" w14:textId="77777777" w:rsidR="00F32679" w:rsidRPr="00A3368A"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Total</w:t>
            </w:r>
          </w:p>
        </w:tc>
        <w:tc>
          <w:tcPr>
            <w:tcW w:w="450" w:type="pct"/>
            <w:shd w:val="clear" w:color="auto" w:fill="365F91" w:themeFill="accent1" w:themeFillShade="BF"/>
            <w:vAlign w:val="bottom"/>
            <w:hideMark/>
          </w:tcPr>
          <w:p w14:paraId="024550CD" w14:textId="77777777" w:rsidR="00F32679" w:rsidRPr="00A3368A" w:rsidRDefault="00F32679" w:rsidP="00F32679">
            <w:pPr>
              <w:spacing w:after="0"/>
              <w:jc w:val="center"/>
              <w:rPr>
                <w:b/>
                <w:bCs/>
                <w:color w:val="FFFFFF" w:themeColor="background1"/>
                <w:sz w:val="20"/>
                <w:szCs w:val="20"/>
              </w:rPr>
            </w:pPr>
            <w:r w:rsidRPr="0C206F83">
              <w:rPr>
                <w:rFonts w:ascii="Calibri" w:eastAsia="Calibri" w:hAnsi="Calibri" w:cs="Calibri"/>
                <w:b/>
                <w:bCs/>
                <w:color w:val="FFFFFF" w:themeColor="background1"/>
                <w:sz w:val="20"/>
                <w:szCs w:val="20"/>
              </w:rPr>
              <w:t>% Rx</w:t>
            </w:r>
          </w:p>
        </w:tc>
      </w:tr>
      <w:tr w:rsidR="00F32679" w14:paraId="68111F9D" w14:textId="77777777" w:rsidTr="00F32679">
        <w:trPr>
          <w:trHeight w:val="288"/>
        </w:trPr>
        <w:tc>
          <w:tcPr>
            <w:tcW w:w="891" w:type="pct"/>
            <w:shd w:val="clear" w:color="auto" w:fill="auto"/>
            <w:vAlign w:val="bottom"/>
            <w:hideMark/>
          </w:tcPr>
          <w:p w14:paraId="127CD220" w14:textId="77777777" w:rsidR="00F32679" w:rsidRPr="002621F9" w:rsidRDefault="00F32679" w:rsidP="00F32679">
            <w:pPr>
              <w:spacing w:after="0"/>
              <w:rPr>
                <w:color w:val="000000" w:themeColor="text1"/>
                <w:sz w:val="20"/>
                <w:szCs w:val="20"/>
              </w:rPr>
            </w:pPr>
            <w:r w:rsidRPr="0C206F83">
              <w:rPr>
                <w:rFonts w:ascii="Calibri" w:eastAsia="Calibri" w:hAnsi="Calibri" w:cs="Calibri"/>
                <w:color w:val="000000" w:themeColor="text1"/>
                <w:sz w:val="20"/>
                <w:szCs w:val="20"/>
              </w:rPr>
              <w:t>Schizophrenia</w:t>
            </w:r>
          </w:p>
        </w:tc>
        <w:tc>
          <w:tcPr>
            <w:tcW w:w="615" w:type="pct"/>
            <w:shd w:val="clear" w:color="auto" w:fill="auto"/>
            <w:vAlign w:val="bottom"/>
            <w:hideMark/>
          </w:tcPr>
          <w:p w14:paraId="5995C7AD" w14:textId="77777777" w:rsidR="00F32679" w:rsidRPr="00A3368A" w:rsidRDefault="00F32679" w:rsidP="00F32679">
            <w:pPr>
              <w:spacing w:after="0"/>
              <w:jc w:val="right"/>
              <w:rPr>
                <w:color w:val="000000" w:themeColor="text1"/>
                <w:sz w:val="20"/>
                <w:szCs w:val="20"/>
              </w:rPr>
            </w:pPr>
            <w:r w:rsidRPr="0C206F83">
              <w:rPr>
                <w:color w:val="000000" w:themeColor="text1"/>
                <w:sz w:val="20"/>
                <w:szCs w:val="20"/>
              </w:rPr>
              <w:t>217,417</w:t>
            </w:r>
          </w:p>
        </w:tc>
        <w:tc>
          <w:tcPr>
            <w:tcW w:w="447" w:type="pct"/>
            <w:shd w:val="clear" w:color="auto" w:fill="auto"/>
            <w:vAlign w:val="bottom"/>
            <w:hideMark/>
          </w:tcPr>
          <w:p w14:paraId="621A1E93" w14:textId="77777777" w:rsidR="00F32679" w:rsidRPr="00D92E16" w:rsidRDefault="00F32679" w:rsidP="00F32679">
            <w:pPr>
              <w:spacing w:after="0"/>
              <w:jc w:val="right"/>
              <w:rPr>
                <w:color w:val="000000"/>
                <w:sz w:val="20"/>
                <w:szCs w:val="20"/>
              </w:rPr>
            </w:pPr>
            <w:r w:rsidRPr="00D92E16">
              <w:rPr>
                <w:color w:val="000000"/>
                <w:sz w:val="20"/>
                <w:szCs w:val="20"/>
              </w:rPr>
              <w:t>75.6</w:t>
            </w:r>
          </w:p>
        </w:tc>
        <w:tc>
          <w:tcPr>
            <w:tcW w:w="619" w:type="pct"/>
            <w:shd w:val="clear" w:color="auto" w:fill="auto"/>
            <w:vAlign w:val="bottom"/>
            <w:hideMark/>
          </w:tcPr>
          <w:p w14:paraId="1F13C85E" w14:textId="77777777" w:rsidR="00F32679" w:rsidRPr="00D92E16" w:rsidRDefault="00F32679" w:rsidP="00F32679">
            <w:pPr>
              <w:spacing w:after="0"/>
              <w:jc w:val="right"/>
              <w:rPr>
                <w:color w:val="000000" w:themeColor="text1"/>
                <w:sz w:val="20"/>
                <w:szCs w:val="20"/>
              </w:rPr>
            </w:pPr>
            <w:r w:rsidRPr="0C206F83">
              <w:rPr>
                <w:color w:val="000000" w:themeColor="text1"/>
                <w:sz w:val="20"/>
                <w:szCs w:val="20"/>
              </w:rPr>
              <w:t>6,971</w:t>
            </w:r>
          </w:p>
        </w:tc>
        <w:tc>
          <w:tcPr>
            <w:tcW w:w="450" w:type="pct"/>
            <w:shd w:val="clear" w:color="auto" w:fill="auto"/>
            <w:vAlign w:val="bottom"/>
            <w:hideMark/>
          </w:tcPr>
          <w:p w14:paraId="54FA8541" w14:textId="77777777" w:rsidR="00F32679" w:rsidRPr="00D92E16" w:rsidRDefault="00F32679" w:rsidP="00F32679">
            <w:pPr>
              <w:spacing w:after="0"/>
              <w:jc w:val="right"/>
              <w:rPr>
                <w:color w:val="000000"/>
                <w:sz w:val="20"/>
                <w:szCs w:val="20"/>
              </w:rPr>
            </w:pPr>
            <w:r w:rsidRPr="00D92E16">
              <w:rPr>
                <w:color w:val="000000"/>
                <w:sz w:val="20"/>
                <w:szCs w:val="20"/>
              </w:rPr>
              <w:t>3.2</w:t>
            </w:r>
          </w:p>
        </w:tc>
        <w:tc>
          <w:tcPr>
            <w:tcW w:w="463" w:type="pct"/>
            <w:shd w:val="clear" w:color="auto" w:fill="auto"/>
            <w:vAlign w:val="bottom"/>
            <w:hideMark/>
          </w:tcPr>
          <w:p w14:paraId="29D6F6EA" w14:textId="77777777" w:rsidR="00F32679" w:rsidRPr="00D92E16" w:rsidRDefault="00F32679" w:rsidP="00F32679">
            <w:pPr>
              <w:spacing w:after="0"/>
              <w:jc w:val="right"/>
              <w:rPr>
                <w:color w:val="000000"/>
                <w:sz w:val="20"/>
                <w:szCs w:val="20"/>
              </w:rPr>
            </w:pPr>
            <w:r w:rsidRPr="00D92E16">
              <w:rPr>
                <w:color w:val="000000"/>
                <w:sz w:val="20"/>
                <w:szCs w:val="20"/>
              </w:rPr>
              <w:t>65.3</w:t>
            </w:r>
          </w:p>
        </w:tc>
        <w:tc>
          <w:tcPr>
            <w:tcW w:w="606" w:type="pct"/>
            <w:shd w:val="clear" w:color="auto" w:fill="auto"/>
            <w:vAlign w:val="bottom"/>
            <w:hideMark/>
          </w:tcPr>
          <w:p w14:paraId="36CB42DA" w14:textId="77777777" w:rsidR="00F32679" w:rsidRPr="00D92E16" w:rsidRDefault="00F32679" w:rsidP="00F32679">
            <w:pPr>
              <w:spacing w:after="0"/>
              <w:jc w:val="right"/>
              <w:rPr>
                <w:color w:val="000000" w:themeColor="text1"/>
                <w:sz w:val="20"/>
                <w:szCs w:val="20"/>
              </w:rPr>
            </w:pPr>
            <w:r w:rsidRPr="0C206F83">
              <w:rPr>
                <w:color w:val="000000" w:themeColor="text1"/>
                <w:sz w:val="20"/>
                <w:szCs w:val="20"/>
              </w:rPr>
              <w:t>210,446</w:t>
            </w:r>
          </w:p>
        </w:tc>
        <w:tc>
          <w:tcPr>
            <w:tcW w:w="459" w:type="pct"/>
            <w:shd w:val="clear" w:color="auto" w:fill="auto"/>
            <w:vAlign w:val="bottom"/>
            <w:hideMark/>
          </w:tcPr>
          <w:p w14:paraId="2ED088DA" w14:textId="77777777" w:rsidR="00F32679" w:rsidRPr="00D92E16" w:rsidRDefault="00F32679" w:rsidP="00F32679">
            <w:pPr>
              <w:spacing w:after="0"/>
              <w:jc w:val="right"/>
              <w:rPr>
                <w:color w:val="000000"/>
                <w:sz w:val="20"/>
                <w:szCs w:val="20"/>
              </w:rPr>
            </w:pPr>
            <w:r w:rsidRPr="00D92E16">
              <w:rPr>
                <w:color w:val="000000"/>
                <w:sz w:val="20"/>
                <w:szCs w:val="20"/>
              </w:rPr>
              <w:t>96.8</w:t>
            </w:r>
          </w:p>
        </w:tc>
        <w:tc>
          <w:tcPr>
            <w:tcW w:w="450" w:type="pct"/>
            <w:shd w:val="clear" w:color="auto" w:fill="auto"/>
            <w:vAlign w:val="bottom"/>
            <w:hideMark/>
          </w:tcPr>
          <w:p w14:paraId="111EDD01" w14:textId="77777777" w:rsidR="00F32679" w:rsidRPr="00D92E16" w:rsidRDefault="00F32679" w:rsidP="00F32679">
            <w:pPr>
              <w:spacing w:after="0"/>
              <w:jc w:val="right"/>
              <w:rPr>
                <w:color w:val="000000"/>
                <w:sz w:val="20"/>
                <w:szCs w:val="20"/>
              </w:rPr>
            </w:pPr>
            <w:r w:rsidRPr="00D92E16">
              <w:rPr>
                <w:color w:val="000000"/>
                <w:sz w:val="20"/>
                <w:szCs w:val="20"/>
              </w:rPr>
              <w:t>75.9</w:t>
            </w:r>
          </w:p>
        </w:tc>
      </w:tr>
    </w:tbl>
    <w:p w14:paraId="058BF875" w14:textId="77777777" w:rsidR="00F32679" w:rsidRDefault="00F32679" w:rsidP="00092566">
      <w:pPr>
        <w:autoSpaceDE w:val="0"/>
        <w:autoSpaceDN w:val="0"/>
        <w:adjustRightInd w:val="0"/>
        <w:spacing w:after="0" w:line="240" w:lineRule="auto"/>
        <w:rPr>
          <w:rFonts w:cstheme="minorHAnsi"/>
          <w:bCs/>
        </w:rPr>
      </w:pPr>
    </w:p>
    <w:p w14:paraId="0CABCFE7" w14:textId="3F9F1549" w:rsidR="00092566" w:rsidRPr="009D3882" w:rsidRDefault="00092566" w:rsidP="00092566">
      <w:pPr>
        <w:autoSpaceDE w:val="0"/>
        <w:autoSpaceDN w:val="0"/>
        <w:adjustRightInd w:val="0"/>
        <w:spacing w:after="0" w:line="240" w:lineRule="auto"/>
        <w:rPr>
          <w:rFonts w:cstheme="minorHAnsi"/>
          <w:bCs/>
          <w:sz w:val="12"/>
        </w:rPr>
      </w:pPr>
    </w:p>
    <w:p w14:paraId="1532FE74" w14:textId="77777777" w:rsidR="000049FC"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p>
    <w:p w14:paraId="3C90E21A" w14:textId="77777777" w:rsidR="000049FC" w:rsidRDefault="000049FC" w:rsidP="00DB3627">
      <w:pPr>
        <w:autoSpaceDE w:val="0"/>
        <w:autoSpaceDN w:val="0"/>
        <w:adjustRightInd w:val="0"/>
        <w:spacing w:after="0" w:line="240" w:lineRule="auto"/>
        <w:rPr>
          <w:rFonts w:cstheme="minorHAnsi"/>
          <w:bCs/>
        </w:rPr>
      </w:pPr>
    </w:p>
    <w:p w14:paraId="0CABCFE8" w14:textId="66E8E78F" w:rsidR="007422FD" w:rsidRPr="005F400A" w:rsidRDefault="000049FC" w:rsidP="00DB3627">
      <w:pPr>
        <w:autoSpaceDE w:val="0"/>
        <w:autoSpaceDN w:val="0"/>
        <w:adjustRightInd w:val="0"/>
        <w:spacing w:after="0" w:line="240" w:lineRule="auto"/>
        <w:rPr>
          <w:rFonts w:cstheme="minorHAnsi"/>
          <w:bCs/>
          <w:color w:val="FF0000"/>
        </w:rPr>
      </w:pPr>
      <w:r w:rsidRPr="005F400A">
        <w:rPr>
          <w:rFonts w:cstheme="minorHAnsi"/>
          <w:bCs/>
          <w:color w:val="FF0000"/>
        </w:rPr>
        <w:t xml:space="preserve">Applying all the exclusions </w:t>
      </w:r>
      <w:r w:rsidR="005F400A" w:rsidRPr="005F400A">
        <w:rPr>
          <w:rFonts w:cstheme="minorHAnsi"/>
          <w:bCs/>
          <w:color w:val="FF0000"/>
        </w:rPr>
        <w:t>did not significantly change</w:t>
      </w:r>
      <w:r w:rsidRPr="005F400A">
        <w:rPr>
          <w:rFonts w:cstheme="minorHAnsi"/>
          <w:bCs/>
          <w:color w:val="FF0000"/>
        </w:rPr>
        <w:t xml:space="preserve"> the mean measure rate</w:t>
      </w:r>
      <w:r w:rsidR="00494019" w:rsidRPr="005F400A">
        <w:rPr>
          <w:rFonts w:cstheme="minorHAnsi"/>
          <w:bCs/>
          <w:color w:val="FF0000"/>
        </w:rPr>
        <w:t xml:space="preserve">. </w:t>
      </w:r>
      <w:r w:rsidR="005F400A" w:rsidRPr="005F400A">
        <w:rPr>
          <w:rFonts w:cstheme="minorHAnsi"/>
          <w:bCs/>
          <w:color w:val="FF0000"/>
        </w:rPr>
        <w:t>This finding is largely in keeping with testing from the initial endorsement submission, which also found similar mean scores and relatively low rates of exclusions, particularly for pregnancy and receipt of TMS. W</w:t>
      </w:r>
      <w:r w:rsidR="00494019" w:rsidRPr="005F400A">
        <w:rPr>
          <w:rFonts w:cstheme="minorHAnsi"/>
          <w:bCs/>
          <w:color w:val="FF0000"/>
        </w:rPr>
        <w:t xml:space="preserve">e believe </w:t>
      </w:r>
      <w:r w:rsidR="005F400A" w:rsidRPr="005F400A">
        <w:rPr>
          <w:rFonts w:cstheme="minorHAnsi"/>
          <w:bCs/>
          <w:color w:val="FF0000"/>
        </w:rPr>
        <w:t>these</w:t>
      </w:r>
      <w:r w:rsidR="00494019" w:rsidRPr="005F400A">
        <w:rPr>
          <w:rFonts w:cstheme="minorHAnsi"/>
          <w:bCs/>
          <w:color w:val="FF0000"/>
        </w:rPr>
        <w:t xml:space="preserve"> exclusion</w:t>
      </w:r>
      <w:r w:rsidR="005F400A" w:rsidRPr="005F400A">
        <w:rPr>
          <w:rFonts w:cstheme="minorHAnsi"/>
          <w:bCs/>
          <w:color w:val="FF0000"/>
        </w:rPr>
        <w:t>s</w:t>
      </w:r>
      <w:r w:rsidR="00494019" w:rsidRPr="005F400A">
        <w:rPr>
          <w:rFonts w:cstheme="minorHAnsi"/>
          <w:bCs/>
          <w:color w:val="FF0000"/>
        </w:rPr>
        <w:t xml:space="preserve"> should be retained as </w:t>
      </w:r>
      <w:r w:rsidR="005F400A" w:rsidRPr="005F400A">
        <w:rPr>
          <w:rFonts w:cstheme="minorHAnsi"/>
          <w:bCs/>
          <w:color w:val="FF0000"/>
        </w:rPr>
        <w:t>the clinical reasoning behind them has not changed</w:t>
      </w:r>
      <w:r w:rsidR="00494019" w:rsidRPr="005F400A">
        <w:rPr>
          <w:rFonts w:cstheme="minorHAnsi"/>
          <w:bCs/>
          <w:color w:val="FF0000"/>
        </w:rPr>
        <w:t xml:space="preserve">. </w:t>
      </w:r>
    </w:p>
    <w:p w14:paraId="1F6E8A88" w14:textId="6EC556B9" w:rsidR="00B771F6" w:rsidRDefault="00B771F6" w:rsidP="00DB3627">
      <w:pPr>
        <w:autoSpaceDE w:val="0"/>
        <w:autoSpaceDN w:val="0"/>
        <w:adjustRightInd w:val="0"/>
        <w:spacing w:after="0" w:line="240" w:lineRule="auto"/>
        <w:rPr>
          <w:rFonts w:cstheme="minorHAnsi"/>
          <w:bCs/>
          <w:color w:val="0070C0"/>
        </w:rPr>
      </w:pPr>
    </w:p>
    <w:p w14:paraId="1E35665E" w14:textId="77777777" w:rsidR="00B771F6" w:rsidRPr="00CE176C" w:rsidRDefault="00B771F6" w:rsidP="00B771F6">
      <w:pPr>
        <w:pStyle w:val="ListParagraph"/>
        <w:widowControl w:val="0"/>
        <w:numPr>
          <w:ilvl w:val="0"/>
          <w:numId w:val="34"/>
        </w:numPr>
        <w:spacing w:before="60" w:after="0" w:line="240" w:lineRule="auto"/>
        <w:ind w:left="360"/>
        <w:rPr>
          <w:rFonts w:ascii="Calibri" w:hAnsi="Calibri"/>
          <w:color w:val="0000FF"/>
        </w:rPr>
      </w:pPr>
      <w:bookmarkStart w:id="48" w:name="_Hlk44081360"/>
      <w:r w:rsidRPr="00CE176C">
        <w:rPr>
          <w:rFonts w:ascii="Calibri" w:hAnsi="Calibri"/>
          <w:b/>
          <w:bCs/>
          <w:color w:val="0000FF"/>
        </w:rPr>
        <w:t>ECT</w:t>
      </w:r>
    </w:p>
    <w:p w14:paraId="01A4F3CD" w14:textId="77777777" w:rsidR="00B771F6" w:rsidRPr="00CE176C" w:rsidRDefault="00B771F6" w:rsidP="00B771F6">
      <w:pPr>
        <w:spacing w:after="120" w:line="240" w:lineRule="auto"/>
        <w:ind w:left="360"/>
        <w:contextualSpacing/>
        <w:rPr>
          <w:rFonts w:ascii="Calibri" w:eastAsia="Arial" w:hAnsi="Calibri" w:cs="Arial"/>
          <w:color w:val="0000FF"/>
        </w:rPr>
      </w:pPr>
      <w:r w:rsidRPr="00CE176C">
        <w:rPr>
          <w:rFonts w:ascii="Calibri" w:eastAsia="Arial" w:hAnsi="Calibri" w:cs="Arial"/>
          <w:color w:val="0000FF"/>
        </w:rPr>
        <w:t>ECT procedures are used as a form of treatment in the IPF patient population (3.1%), and many patients receiving ECT filled evidence-based medications during the follow-up period. However, given that ECT may be used as an alternative when patients fail pharmacotherapy and that the medical record review showed that patients receiving ECT did not always receive an evidence-based prescription, the TEP and workgroup recommended the exclusion from the denominator of patients receiving ECT during the index admission or follow-up period.</w:t>
      </w:r>
    </w:p>
    <w:p w14:paraId="3029B62C" w14:textId="77777777" w:rsidR="00B771F6" w:rsidRPr="00CE176C" w:rsidRDefault="00B771F6" w:rsidP="00B771F6">
      <w:pPr>
        <w:pStyle w:val="BodyText"/>
        <w:numPr>
          <w:ilvl w:val="0"/>
          <w:numId w:val="34"/>
        </w:numPr>
        <w:spacing w:before="60"/>
        <w:ind w:left="360"/>
        <w:contextualSpacing/>
        <w:rPr>
          <w:rFonts w:ascii="Calibri" w:hAnsi="Calibri"/>
          <w:b/>
          <w:bCs/>
          <w:color w:val="0000FF"/>
          <w:sz w:val="22"/>
          <w:szCs w:val="22"/>
        </w:rPr>
      </w:pPr>
      <w:r w:rsidRPr="00CE176C">
        <w:rPr>
          <w:rFonts w:ascii="Calibri" w:hAnsi="Calibri"/>
          <w:b/>
          <w:bCs/>
          <w:color w:val="0000FF"/>
          <w:sz w:val="22"/>
          <w:szCs w:val="22"/>
        </w:rPr>
        <w:t>TMS</w:t>
      </w:r>
    </w:p>
    <w:p w14:paraId="37D04978" w14:textId="087DBA69" w:rsidR="00B771F6" w:rsidRDefault="00B771F6" w:rsidP="00071506">
      <w:pPr>
        <w:pStyle w:val="ListParagraph"/>
        <w:spacing w:after="120" w:line="240" w:lineRule="auto"/>
        <w:ind w:left="360"/>
        <w:rPr>
          <w:rFonts w:ascii="Calibri" w:eastAsia="Arial" w:hAnsi="Calibri" w:cs="Arial"/>
          <w:color w:val="0000FF"/>
        </w:rPr>
      </w:pPr>
      <w:r w:rsidRPr="00CE176C">
        <w:rPr>
          <w:rFonts w:ascii="Calibri" w:eastAsia="Arial" w:hAnsi="Calibri" w:cs="Arial"/>
          <w:color w:val="0000FF"/>
        </w:rPr>
        <w:t xml:space="preserve">TMS is a newer procedure and is still rare. Many patients receiving TMS also filled evidence-based medications during the follow-up period. However, since TMS may be used as an alternative when patients fail pharmacotherapy, the TEP and workgroup recommended the exclusion of patients receiving TMS during the index admission or follow-up period from the denominator. </w:t>
      </w:r>
    </w:p>
    <w:p w14:paraId="4C9F472D" w14:textId="77777777" w:rsidR="00B771F6" w:rsidRPr="00CE176C" w:rsidRDefault="00B771F6" w:rsidP="00B771F6">
      <w:pPr>
        <w:pStyle w:val="BodyText"/>
        <w:numPr>
          <w:ilvl w:val="0"/>
          <w:numId w:val="34"/>
        </w:numPr>
        <w:spacing w:before="60"/>
        <w:ind w:left="360"/>
        <w:contextualSpacing/>
        <w:rPr>
          <w:rFonts w:ascii="Calibri" w:hAnsi="Calibri"/>
          <w:b/>
          <w:bCs/>
          <w:color w:val="0000FF"/>
          <w:sz w:val="22"/>
          <w:szCs w:val="22"/>
        </w:rPr>
      </w:pPr>
      <w:r w:rsidRPr="00CE176C">
        <w:rPr>
          <w:rFonts w:ascii="Calibri" w:hAnsi="Calibri"/>
          <w:b/>
          <w:bCs/>
          <w:color w:val="0000FF"/>
          <w:sz w:val="22"/>
          <w:szCs w:val="22"/>
        </w:rPr>
        <w:lastRenderedPageBreak/>
        <w:t>Pregnancy</w:t>
      </w:r>
    </w:p>
    <w:p w14:paraId="157A673C" w14:textId="77777777" w:rsidR="00B771F6" w:rsidRPr="00CE176C" w:rsidRDefault="00B771F6" w:rsidP="00B771F6">
      <w:pPr>
        <w:spacing w:after="120" w:line="240" w:lineRule="auto"/>
        <w:ind w:left="360"/>
        <w:contextualSpacing/>
        <w:rPr>
          <w:rFonts w:ascii="Calibri" w:eastAsia="Arial" w:hAnsi="Calibri" w:cs="Arial"/>
          <w:color w:val="0000FF"/>
        </w:rPr>
      </w:pPr>
      <w:r w:rsidRPr="00CE176C">
        <w:rPr>
          <w:rFonts w:ascii="Calibri" w:eastAsia="Arial" w:hAnsi="Calibri" w:cs="Arial"/>
          <w:color w:val="0000FF"/>
        </w:rPr>
        <w:t>Pregnancy was rare in this patient population (0.1%). The results showed that pregnant patients had empirically lower rates of filling evidence-based medications within 30 days of discharge than patients who were not pregnant (60.4% compared to 74.5%), which supports the TEP and workgroup recommendations</w:t>
      </w:r>
      <w:r>
        <w:rPr>
          <w:rFonts w:ascii="Calibri" w:eastAsia="Arial" w:hAnsi="Calibri" w:cs="Arial"/>
          <w:color w:val="0000FF"/>
        </w:rPr>
        <w:t xml:space="preserve"> to exclude from the denominator</w:t>
      </w:r>
      <w:r w:rsidRPr="00CE176C">
        <w:rPr>
          <w:rFonts w:ascii="Calibri" w:eastAsia="Arial" w:hAnsi="Calibri" w:cs="Arial"/>
          <w:color w:val="0000FF"/>
        </w:rPr>
        <w:t xml:space="preserve">. Therefore, we excluded pregnant patients from the measure.  </w:t>
      </w:r>
    </w:p>
    <w:p w14:paraId="13D73321" w14:textId="77777777" w:rsidR="00B771F6" w:rsidRPr="00CE176C" w:rsidRDefault="00B771F6" w:rsidP="00B771F6">
      <w:pPr>
        <w:pStyle w:val="BodyText"/>
        <w:numPr>
          <w:ilvl w:val="0"/>
          <w:numId w:val="34"/>
        </w:numPr>
        <w:spacing w:before="60"/>
        <w:ind w:left="360"/>
        <w:contextualSpacing/>
        <w:rPr>
          <w:rFonts w:ascii="Calibri" w:hAnsi="Calibri"/>
          <w:b/>
          <w:bCs/>
          <w:color w:val="0000FF"/>
          <w:sz w:val="22"/>
          <w:szCs w:val="22"/>
        </w:rPr>
      </w:pPr>
      <w:r w:rsidRPr="00CE176C">
        <w:rPr>
          <w:rFonts w:ascii="Calibri" w:hAnsi="Calibri"/>
          <w:b/>
          <w:bCs/>
          <w:color w:val="0000FF"/>
          <w:sz w:val="22"/>
          <w:szCs w:val="22"/>
        </w:rPr>
        <w:t>Secondary diagnosis of delirium</w:t>
      </w:r>
    </w:p>
    <w:p w14:paraId="41D133A8" w14:textId="77777777" w:rsidR="00B771F6" w:rsidRPr="00CE176C" w:rsidRDefault="00B771F6" w:rsidP="00B771F6">
      <w:pPr>
        <w:spacing w:after="120" w:line="240" w:lineRule="auto"/>
        <w:ind w:left="360"/>
        <w:contextualSpacing/>
        <w:rPr>
          <w:rFonts w:ascii="Calibri" w:eastAsia="Arial" w:hAnsi="Calibri" w:cs="Arial"/>
          <w:color w:val="0000FF"/>
        </w:rPr>
      </w:pPr>
      <w:r w:rsidRPr="00CE176C">
        <w:rPr>
          <w:rFonts w:ascii="Calibri" w:eastAsia="Arial" w:hAnsi="Calibri" w:cs="Arial"/>
          <w:color w:val="0000FF"/>
        </w:rPr>
        <w:t>Patients with secondary diagnoses of delirium are rare (2.0%). The results showed that patients with delirium had empirically lower rates of filling evidence-based medications within 30 days of discharge than patients without delirium (70.3% compared to 74.5%), which supports the TEP and workgroup recommendations</w:t>
      </w:r>
      <w:r>
        <w:rPr>
          <w:rFonts w:ascii="Calibri" w:eastAsia="Arial" w:hAnsi="Calibri" w:cs="Arial"/>
          <w:color w:val="0000FF"/>
        </w:rPr>
        <w:t xml:space="preserve"> to exclude from the denominator</w:t>
      </w:r>
      <w:r w:rsidRPr="00CE176C">
        <w:rPr>
          <w:rFonts w:ascii="Calibri" w:eastAsia="Arial" w:hAnsi="Calibri" w:cs="Arial"/>
          <w:color w:val="0000FF"/>
        </w:rPr>
        <w:t xml:space="preserve">. Therefore, we excluded patients with delirium from the measure.  </w:t>
      </w:r>
    </w:p>
    <w:p w14:paraId="11B7967D" w14:textId="77777777" w:rsidR="00B771F6" w:rsidRPr="00CE176C" w:rsidRDefault="00B771F6" w:rsidP="00B771F6">
      <w:pPr>
        <w:pStyle w:val="BodyText"/>
        <w:numPr>
          <w:ilvl w:val="0"/>
          <w:numId w:val="34"/>
        </w:numPr>
        <w:spacing w:before="60"/>
        <w:ind w:left="360"/>
        <w:contextualSpacing/>
        <w:rPr>
          <w:rFonts w:ascii="Calibri" w:hAnsi="Calibri"/>
          <w:b/>
          <w:bCs/>
          <w:color w:val="0000FF"/>
          <w:sz w:val="22"/>
          <w:szCs w:val="22"/>
        </w:rPr>
      </w:pPr>
      <w:r w:rsidRPr="00CE176C">
        <w:rPr>
          <w:rFonts w:ascii="Calibri" w:hAnsi="Calibri"/>
          <w:b/>
          <w:bCs/>
          <w:color w:val="0000FF"/>
          <w:sz w:val="22"/>
          <w:szCs w:val="22"/>
        </w:rPr>
        <w:t>Principal diagnosis of schizophrenia with secondary diagnosis of dementia</w:t>
      </w:r>
    </w:p>
    <w:p w14:paraId="239CF6D0" w14:textId="4B1506D0" w:rsidR="00B771F6" w:rsidRPr="000049FC" w:rsidRDefault="00B771F6" w:rsidP="00B771F6">
      <w:pPr>
        <w:autoSpaceDE w:val="0"/>
        <w:autoSpaceDN w:val="0"/>
        <w:adjustRightInd w:val="0"/>
        <w:spacing w:after="0" w:line="240" w:lineRule="auto"/>
        <w:rPr>
          <w:rFonts w:cstheme="minorHAnsi"/>
          <w:bCs/>
          <w:color w:val="0070C0"/>
        </w:rPr>
      </w:pPr>
      <w:r w:rsidRPr="00CE176C">
        <w:rPr>
          <w:rFonts w:ascii="Calibri" w:eastAsia="Arial" w:hAnsi="Calibri" w:cs="Arial"/>
          <w:color w:val="0000FF"/>
        </w:rPr>
        <w:t>Patients with schizophrenia and secondary diagnoses of dementia were rare (3.2%). The results showed that patients with schizophrenia and a secondary diagnosis of dementia had empirically lower rates of filling evidence-based medications within 30 days of discharge than patients without dementia (65.3% compared to 75.9%), which supports the TEP and workgroup recommendations</w:t>
      </w:r>
      <w:r>
        <w:rPr>
          <w:rFonts w:ascii="Calibri" w:eastAsia="Arial" w:hAnsi="Calibri" w:cs="Arial"/>
          <w:color w:val="0000FF"/>
        </w:rPr>
        <w:t xml:space="preserve"> to exclude from the denominator</w:t>
      </w:r>
      <w:r w:rsidRPr="00CE176C">
        <w:rPr>
          <w:rFonts w:ascii="Calibri" w:eastAsia="Arial" w:hAnsi="Calibri" w:cs="Arial"/>
          <w:color w:val="0000FF"/>
        </w:rPr>
        <w:t>. Therefore, we excluded patients with schizophrenia and a secondary diagnosis of dementia from the measure.</w:t>
      </w:r>
      <w:bookmarkEnd w:id="48"/>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49BD120" w:rsidR="00AC1D8E" w:rsidRPr="0086464B" w:rsidRDefault="00092566" w:rsidP="00AC1D8E">
      <w:pPr>
        <w:autoSpaceDE w:val="0"/>
        <w:autoSpaceDN w:val="0"/>
        <w:adjustRightInd w:val="0"/>
        <w:spacing w:after="0" w:line="240" w:lineRule="auto"/>
        <w:rPr>
          <w:rFonts w:cstheme="minorHAnsi"/>
          <w:b/>
          <w:bCs/>
          <w:i/>
        </w:rPr>
      </w:pPr>
      <w:bookmarkStart w:id="49" w:name="section2b4"/>
      <w:bookmarkEnd w:id="49"/>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2EEF2B78" w:rsidR="00033038" w:rsidRPr="005232D6" w:rsidRDefault="00BF1DD7"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B12647">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777777" w:rsidR="00743E46" w:rsidRPr="005232D6" w:rsidRDefault="00BF1DD7"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BF1DD7"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BF1DD7"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0DD214F8" w14:textId="77777777" w:rsidR="004F401F" w:rsidRDefault="004F401F" w:rsidP="004F401F">
      <w:pPr>
        <w:spacing w:line="240" w:lineRule="auto"/>
        <w:contextualSpacing/>
        <w:rPr>
          <w:rFonts w:cs="Calibri"/>
          <w:bCs/>
          <w:color w:val="FF0000"/>
        </w:rPr>
      </w:pPr>
    </w:p>
    <w:p w14:paraId="0A1E352E" w14:textId="7DA0111F" w:rsidR="00AF2D68" w:rsidRDefault="00DD7D96" w:rsidP="004F401F">
      <w:pPr>
        <w:spacing w:line="240" w:lineRule="auto"/>
        <w:contextualSpacing/>
        <w:rPr>
          <w:rFonts w:cs="Calibri"/>
          <w:bCs/>
          <w:color w:val="FF0000"/>
        </w:rPr>
      </w:pPr>
      <w:r>
        <w:rPr>
          <w:rFonts w:cs="Calibri"/>
          <w:bCs/>
          <w:color w:val="FF0000"/>
        </w:rPr>
        <w:t>Not applicable.</w:t>
      </w:r>
    </w:p>
    <w:p w14:paraId="1A40070B" w14:textId="77777777" w:rsidR="004F401F" w:rsidRPr="000B50B0" w:rsidRDefault="004F401F" w:rsidP="004F401F">
      <w:pPr>
        <w:spacing w:line="240" w:lineRule="auto"/>
        <w:contextualSpacing/>
        <w:rPr>
          <w:rFonts w:cs="Calibri"/>
          <w:bCs/>
          <w:color w:val="FF0000"/>
        </w:rPr>
      </w:pPr>
    </w:p>
    <w:p w14:paraId="4478E273" w14:textId="77777777" w:rsidR="000B50B0" w:rsidRPr="00B47D27" w:rsidRDefault="000B50B0" w:rsidP="000B50B0">
      <w:pPr>
        <w:spacing w:before="60" w:after="120" w:line="240" w:lineRule="auto"/>
        <w:rPr>
          <w:rFonts w:ascii="Calibri" w:eastAsia="Calibri" w:hAnsi="Calibri" w:cs="Calibri"/>
          <w:b/>
          <w:bCs/>
          <w:color w:val="0000FF"/>
        </w:rPr>
      </w:pPr>
      <w:r w:rsidRPr="00B47D27">
        <w:rPr>
          <w:color w:val="0000FF"/>
        </w:rPr>
        <w:t>Not applicable</w:t>
      </w:r>
      <w:r>
        <w:rPr>
          <w:color w:val="0000FF"/>
        </w:rPr>
        <w:t xml:space="preserve"> because the measure is not risk adjusted.</w:t>
      </w:r>
    </w:p>
    <w:p w14:paraId="3CEECA47" w14:textId="77777777" w:rsidR="000B50B0" w:rsidRDefault="000B50B0" w:rsidP="009D3882">
      <w:pPr>
        <w:rPr>
          <w:rFonts w:cs="Calibri"/>
          <w:b/>
          <w:bCs/>
        </w:rPr>
      </w:pPr>
    </w:p>
    <w:p w14:paraId="79AFBE1D" w14:textId="77777777" w:rsidR="0033417B" w:rsidRDefault="009C7513" w:rsidP="009D3882">
      <w:pPr>
        <w:rPr>
          <w:rFonts w:cs="Calibri"/>
          <w:bCs/>
        </w:rPr>
      </w:pPr>
      <w:bookmarkStart w:id="50" w:name="_Hlk28084950"/>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bookmarkEnd w:id="50"/>
    </w:p>
    <w:p w14:paraId="01B22B04" w14:textId="7E1C9FAE" w:rsidR="000B50B0" w:rsidRDefault="00DD7D96" w:rsidP="009D3882">
      <w:pPr>
        <w:rPr>
          <w:rFonts w:cs="Calibri"/>
          <w:bCs/>
          <w:color w:val="FF0000"/>
        </w:rPr>
      </w:pPr>
      <w:r>
        <w:rPr>
          <w:rFonts w:cs="Calibri"/>
          <w:bCs/>
          <w:color w:val="FF0000"/>
        </w:rPr>
        <w:t>Not applicable.</w:t>
      </w:r>
    </w:p>
    <w:p w14:paraId="5E1D820B" w14:textId="77777777" w:rsidR="000B50B0" w:rsidRPr="00B47D27" w:rsidRDefault="000B50B0" w:rsidP="000B50B0">
      <w:pPr>
        <w:spacing w:before="60" w:after="120" w:line="240" w:lineRule="auto"/>
        <w:rPr>
          <w:color w:val="0000FF"/>
        </w:rPr>
      </w:pPr>
      <w:r w:rsidRPr="00B47D27">
        <w:rPr>
          <w:color w:val="0000FF"/>
        </w:rPr>
        <w:t>Not applicable</w:t>
      </w:r>
      <w:r>
        <w:rPr>
          <w:color w:val="0000FF"/>
        </w:rPr>
        <w:t xml:space="preserve"> because this is a process measure. </w:t>
      </w:r>
    </w:p>
    <w:p w14:paraId="0CABCFF4" w14:textId="5CBDE005" w:rsidR="009D3882" w:rsidRPr="009D3882" w:rsidRDefault="009D3882" w:rsidP="009D3882">
      <w:pPr>
        <w:rPr>
          <w:rFonts w:cstheme="minorHAnsi"/>
          <w:b/>
          <w:bCs/>
          <w:sz w:val="14"/>
        </w:rPr>
      </w:pPr>
    </w:p>
    <w:p w14:paraId="12AF74A3" w14:textId="77777777" w:rsidR="0033417B" w:rsidRDefault="009C7513" w:rsidP="00AF2D68">
      <w:pPr>
        <w:rPr>
          <w:rFonts w:cstheme="minorHAnsi"/>
          <w:bCs/>
        </w:rPr>
      </w:pPr>
      <w:r>
        <w:rPr>
          <w:rFonts w:cstheme="minorHAnsi"/>
          <w:b/>
          <w:bCs/>
        </w:rPr>
        <w:lastRenderedPageBreak/>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p>
    <w:p w14:paraId="4E9D4170" w14:textId="4231FBC9" w:rsidR="000B50B0" w:rsidRPr="000B50B0" w:rsidRDefault="00DD7D96" w:rsidP="00AF2D68">
      <w:pPr>
        <w:rPr>
          <w:rFonts w:cs="Calibri"/>
          <w:bCs/>
          <w:color w:val="FF0000"/>
        </w:rPr>
      </w:pPr>
      <w:r>
        <w:rPr>
          <w:rFonts w:cs="Calibri"/>
          <w:bCs/>
          <w:color w:val="FF0000"/>
        </w:rPr>
        <w:t>Not applicable</w:t>
      </w:r>
    </w:p>
    <w:p w14:paraId="01E4490C" w14:textId="77777777" w:rsidR="000B50B0" w:rsidRPr="00027260" w:rsidRDefault="000B50B0" w:rsidP="000B50B0">
      <w:pPr>
        <w:spacing w:before="60" w:after="120" w:line="240" w:lineRule="auto"/>
        <w:rPr>
          <w:sz w:val="4"/>
          <w:szCs w:val="4"/>
        </w:rPr>
      </w:pPr>
      <w:r w:rsidRPr="00B47D27">
        <w:rPr>
          <w:color w:val="0000FF"/>
        </w:rPr>
        <w:t>Not applicable because this measure is not risk adjusted.</w:t>
      </w:r>
      <w:r w:rsidRPr="005E0E3B">
        <w:br/>
      </w:r>
    </w:p>
    <w:p w14:paraId="0CABCFF6" w14:textId="15C556BD" w:rsidR="00001D73" w:rsidRPr="00AF2D68" w:rsidRDefault="00092566" w:rsidP="00AF2D68">
      <w:pPr>
        <w:rPr>
          <w:rFonts w:cstheme="minorHAnsi"/>
          <w:bCs/>
          <w:sz w:val="4"/>
        </w:rPr>
      </w:pPr>
      <w:r w:rsidRPr="00A25024">
        <w:rPr>
          <w:rFonts w:cstheme="minorHAnsi"/>
          <w:bCs/>
        </w:rPr>
        <w:br/>
      </w: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BF1DD7"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BF1DD7"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BF1DD7"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0CABCFF7" w14:textId="36CE3660" w:rsidR="00092566" w:rsidRDefault="009C7513" w:rsidP="00001D73">
      <w:pPr>
        <w:autoSpaceDE w:val="0"/>
        <w:autoSpaceDN w:val="0"/>
        <w:adjustRightInd w:val="0"/>
        <w:spacing w:after="0" w:line="240" w:lineRule="auto"/>
        <w:rPr>
          <w:rFonts w:cstheme="minorHAnsi"/>
          <w:b/>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r w:rsidR="00001D73">
        <w:rPr>
          <w:rFonts w:cstheme="minorHAnsi"/>
          <w:b/>
          <w:bCs/>
        </w:rPr>
        <w:br/>
      </w:r>
    </w:p>
    <w:p w14:paraId="2008D82B" w14:textId="6CB19BB4" w:rsidR="0033417B" w:rsidRPr="000B50B0" w:rsidRDefault="00DD7D96" w:rsidP="00001D73">
      <w:pPr>
        <w:autoSpaceDE w:val="0"/>
        <w:autoSpaceDN w:val="0"/>
        <w:adjustRightInd w:val="0"/>
        <w:spacing w:after="0" w:line="240" w:lineRule="auto"/>
        <w:rPr>
          <w:rFonts w:cs="Calibri"/>
          <w:bCs/>
          <w:color w:val="FF0000"/>
        </w:rPr>
      </w:pPr>
      <w:r>
        <w:rPr>
          <w:rFonts w:cs="Calibri"/>
          <w:bCs/>
          <w:color w:val="FF0000"/>
        </w:rPr>
        <w:t>Not applicable.</w:t>
      </w:r>
    </w:p>
    <w:p w14:paraId="5A401689" w14:textId="67AD6E4B" w:rsidR="000B50B0" w:rsidRDefault="000B50B0" w:rsidP="00001D73">
      <w:pPr>
        <w:autoSpaceDE w:val="0"/>
        <w:autoSpaceDN w:val="0"/>
        <w:adjustRightInd w:val="0"/>
        <w:spacing w:after="0" w:line="240" w:lineRule="auto"/>
        <w:rPr>
          <w:rFonts w:cs="Calibri"/>
          <w:bCs/>
          <w:color w:val="0070C0"/>
        </w:rPr>
      </w:pPr>
    </w:p>
    <w:p w14:paraId="0BD7DCEF" w14:textId="77777777" w:rsidR="000B50B0" w:rsidRPr="00B47D27" w:rsidRDefault="000B50B0" w:rsidP="000B50B0">
      <w:pPr>
        <w:autoSpaceDE w:val="0"/>
        <w:autoSpaceDN w:val="0"/>
        <w:adjustRightInd w:val="0"/>
        <w:spacing w:before="60" w:after="120" w:line="240" w:lineRule="auto"/>
        <w:rPr>
          <w:color w:val="0000FF"/>
        </w:rPr>
      </w:pPr>
      <w:r w:rsidRPr="00B47D27">
        <w:rPr>
          <w:color w:val="0000FF"/>
        </w:rPr>
        <w:t xml:space="preserve">Not applicable because this measure is not risk adjusted. </w:t>
      </w:r>
    </w:p>
    <w:p w14:paraId="036D1C00" w14:textId="77777777" w:rsidR="000B50B0" w:rsidRDefault="000B50B0" w:rsidP="00001D73">
      <w:pPr>
        <w:autoSpaceDE w:val="0"/>
        <w:autoSpaceDN w:val="0"/>
        <w:adjustRightInd w:val="0"/>
        <w:spacing w:after="0" w:line="240" w:lineRule="auto"/>
        <w:rPr>
          <w:rFonts w:cstheme="minorHAnsi"/>
          <w:b/>
          <w:bCs/>
        </w:rPr>
      </w:pPr>
    </w:p>
    <w:p w14:paraId="1BB35777" w14:textId="77777777" w:rsidR="0033417B" w:rsidRDefault="009C7513" w:rsidP="00001D73">
      <w:pPr>
        <w:autoSpaceDE w:val="0"/>
        <w:autoSpaceDN w:val="0"/>
        <w:adjustRightInd w:val="0"/>
        <w:spacing w:after="0" w:line="240" w:lineRule="auto"/>
        <w:rPr>
          <w:rFonts w:cstheme="minorHAnsi"/>
          <w:b/>
          <w:bCs/>
        </w:rPr>
      </w:pPr>
      <w:bookmarkStart w:id="51" w:name="_Hlk28084608"/>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112E3DC0" w14:textId="77777777" w:rsidR="0033417B" w:rsidRDefault="0033417B" w:rsidP="00001D73">
      <w:pPr>
        <w:autoSpaceDE w:val="0"/>
        <w:autoSpaceDN w:val="0"/>
        <w:adjustRightInd w:val="0"/>
        <w:spacing w:after="0" w:line="240" w:lineRule="auto"/>
        <w:rPr>
          <w:rFonts w:cstheme="minorHAnsi"/>
          <w:b/>
          <w:bCs/>
        </w:rPr>
      </w:pPr>
    </w:p>
    <w:p w14:paraId="3EF99E0C" w14:textId="0A980401" w:rsidR="0033417B" w:rsidRPr="000B50B0" w:rsidRDefault="00DD7D96" w:rsidP="00001D73">
      <w:pPr>
        <w:autoSpaceDE w:val="0"/>
        <w:autoSpaceDN w:val="0"/>
        <w:adjustRightInd w:val="0"/>
        <w:spacing w:after="0" w:line="240" w:lineRule="auto"/>
        <w:rPr>
          <w:rFonts w:cs="Calibri"/>
          <w:bCs/>
          <w:color w:val="FF0000"/>
        </w:rPr>
      </w:pPr>
      <w:r>
        <w:rPr>
          <w:rFonts w:cs="Calibri"/>
          <w:bCs/>
          <w:color w:val="FF0000"/>
        </w:rPr>
        <w:t>Not applicable.</w:t>
      </w:r>
    </w:p>
    <w:p w14:paraId="3F4A44F8" w14:textId="77777777" w:rsidR="000B50B0" w:rsidRDefault="000B50B0" w:rsidP="00001D73">
      <w:pPr>
        <w:autoSpaceDE w:val="0"/>
        <w:autoSpaceDN w:val="0"/>
        <w:adjustRightInd w:val="0"/>
        <w:spacing w:after="0" w:line="240" w:lineRule="auto"/>
        <w:rPr>
          <w:rFonts w:cs="Calibri"/>
          <w:bCs/>
          <w:color w:val="0070C0"/>
        </w:rPr>
      </w:pPr>
    </w:p>
    <w:p w14:paraId="033EBE26" w14:textId="77777777" w:rsidR="000B50B0" w:rsidRPr="00B47D27" w:rsidRDefault="000B50B0" w:rsidP="000B50B0">
      <w:pPr>
        <w:autoSpaceDE w:val="0"/>
        <w:autoSpaceDN w:val="0"/>
        <w:adjustRightInd w:val="0"/>
        <w:spacing w:before="60" w:after="120" w:line="240" w:lineRule="auto"/>
        <w:rPr>
          <w:rFonts w:cstheme="minorHAnsi"/>
          <w:b/>
          <w:bCs/>
          <w:color w:val="0000FF"/>
        </w:rPr>
      </w:pPr>
      <w:r w:rsidRPr="00B47D27">
        <w:rPr>
          <w:color w:val="0000FF"/>
        </w:rPr>
        <w:t>Not applicable because this measure is not risk adjusted.</w:t>
      </w:r>
    </w:p>
    <w:bookmarkEnd w:id="51"/>
    <w:p w14:paraId="0CABCFF9" w14:textId="77777777" w:rsidR="00C1695E" w:rsidRPr="00001D73" w:rsidRDefault="00C1695E" w:rsidP="00001D73">
      <w:pPr>
        <w:autoSpaceDE w:val="0"/>
        <w:autoSpaceDN w:val="0"/>
        <w:adjustRightInd w:val="0"/>
        <w:spacing w:after="0" w:line="240" w:lineRule="auto"/>
        <w:rPr>
          <w:rFonts w:cstheme="minorHAnsi"/>
          <w:b/>
          <w:bCs/>
        </w:rPr>
      </w:pPr>
    </w:p>
    <w:p w14:paraId="1587DEE1" w14:textId="77777777" w:rsidR="0033417B" w:rsidRDefault="009C7513" w:rsidP="00092566">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p>
    <w:p w14:paraId="3B32D0F1" w14:textId="77777777" w:rsidR="0033417B" w:rsidRDefault="0033417B" w:rsidP="00092566">
      <w:pPr>
        <w:autoSpaceDE w:val="0"/>
        <w:autoSpaceDN w:val="0"/>
        <w:adjustRightInd w:val="0"/>
        <w:spacing w:after="0" w:line="240" w:lineRule="auto"/>
        <w:rPr>
          <w:rFonts w:cstheme="minorHAnsi"/>
          <w:bCs/>
        </w:rPr>
      </w:pPr>
    </w:p>
    <w:p w14:paraId="0C084759" w14:textId="0E6547C8" w:rsidR="000B50B0" w:rsidRDefault="00DD7D96" w:rsidP="00092566">
      <w:pPr>
        <w:autoSpaceDE w:val="0"/>
        <w:autoSpaceDN w:val="0"/>
        <w:adjustRightInd w:val="0"/>
        <w:spacing w:after="0" w:line="240" w:lineRule="auto"/>
        <w:rPr>
          <w:rFonts w:cs="Calibri"/>
          <w:bCs/>
          <w:color w:val="FF0000"/>
        </w:rPr>
      </w:pPr>
      <w:r>
        <w:rPr>
          <w:rFonts w:cs="Calibri"/>
          <w:bCs/>
          <w:color w:val="FF0000"/>
        </w:rPr>
        <w:t>Not applicable.</w:t>
      </w:r>
    </w:p>
    <w:p w14:paraId="5ADBC41C" w14:textId="77777777" w:rsidR="000B50B0" w:rsidRDefault="000B50B0" w:rsidP="00092566">
      <w:pPr>
        <w:autoSpaceDE w:val="0"/>
        <w:autoSpaceDN w:val="0"/>
        <w:adjustRightInd w:val="0"/>
        <w:spacing w:after="0" w:line="240" w:lineRule="auto"/>
        <w:rPr>
          <w:rFonts w:cs="Calibri"/>
          <w:bCs/>
          <w:color w:val="FF0000"/>
        </w:rPr>
      </w:pPr>
    </w:p>
    <w:p w14:paraId="3BFF4329" w14:textId="77777777" w:rsidR="000B50B0" w:rsidRPr="00B47D27" w:rsidRDefault="000B50B0" w:rsidP="000B50B0">
      <w:pPr>
        <w:keepNext/>
        <w:autoSpaceDE w:val="0"/>
        <w:autoSpaceDN w:val="0"/>
        <w:adjustRightInd w:val="0"/>
        <w:spacing w:before="60" w:after="120" w:line="240" w:lineRule="auto"/>
        <w:rPr>
          <w:color w:val="0000FF"/>
        </w:rPr>
      </w:pPr>
      <w:r w:rsidRPr="00B47D27">
        <w:rPr>
          <w:color w:val="0000FF"/>
        </w:rPr>
        <w:t>Not applicable because this measure is not risk adjusted or stratified.</w:t>
      </w:r>
    </w:p>
    <w:p w14:paraId="0CABCFFA" w14:textId="5D29FC2C" w:rsidR="00092566" w:rsidRPr="00A25024" w:rsidRDefault="00092566" w:rsidP="00092566">
      <w:pPr>
        <w:autoSpaceDE w:val="0"/>
        <w:autoSpaceDN w:val="0"/>
        <w:adjustRightInd w:val="0"/>
        <w:spacing w:after="0" w:line="240" w:lineRule="auto"/>
        <w:rPr>
          <w:rFonts w:cstheme="minorHAnsi"/>
          <w:bCs/>
        </w:rPr>
      </w:pPr>
    </w:p>
    <w:p w14:paraId="0CABCFFB" w14:textId="78FCA6D3" w:rsidR="00E1508F" w:rsidRDefault="00001D73" w:rsidP="00092566">
      <w:pPr>
        <w:autoSpaceDE w:val="0"/>
        <w:autoSpaceDN w:val="0"/>
        <w:adjustRightInd w:val="0"/>
        <w:spacing w:after="0" w:line="240" w:lineRule="auto"/>
        <w:rPr>
          <w:rFonts w:cstheme="minorHAnsi"/>
          <w:b/>
          <w:bCs/>
        </w:rPr>
      </w:pPr>
      <w:r w:rsidRPr="00001D73">
        <w:rPr>
          <w:rFonts w:cstheme="minorHAnsi"/>
          <w:bCs/>
          <w:i/>
        </w:rPr>
        <w:lastRenderedPageBreak/>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0CABCFFC" w14:textId="77777777" w:rsidR="00743E46" w:rsidRDefault="00743E46" w:rsidP="00092566">
      <w:pPr>
        <w:autoSpaceDE w:val="0"/>
        <w:autoSpaceDN w:val="0"/>
        <w:adjustRightInd w:val="0"/>
        <w:spacing w:after="0" w:line="240" w:lineRule="auto"/>
        <w:rPr>
          <w:rFonts w:cstheme="minorHAnsi"/>
          <w:b/>
          <w:bCs/>
        </w:rPr>
      </w:pPr>
    </w:p>
    <w:p w14:paraId="5FBE3D85" w14:textId="77777777" w:rsidR="00AE2FDF" w:rsidRDefault="00743E46" w:rsidP="00092566">
      <w:pPr>
        <w:autoSpaceDE w:val="0"/>
        <w:autoSpaceDN w:val="0"/>
        <w:adjustRightInd w:val="0"/>
        <w:spacing w:after="0" w:line="240" w:lineRule="auto"/>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p>
    <w:p w14:paraId="77402F9F" w14:textId="77777777" w:rsidR="00AE2FDF" w:rsidRDefault="00AE2FDF" w:rsidP="00092566">
      <w:pPr>
        <w:autoSpaceDE w:val="0"/>
        <w:autoSpaceDN w:val="0"/>
        <w:adjustRightInd w:val="0"/>
        <w:spacing w:after="0" w:line="240" w:lineRule="auto"/>
        <w:rPr>
          <w:rFonts w:cstheme="minorHAnsi"/>
          <w:b/>
          <w:bCs/>
        </w:rPr>
      </w:pPr>
    </w:p>
    <w:p w14:paraId="42B93F07" w14:textId="163CD2F6" w:rsidR="000B50B0" w:rsidRDefault="00DD7D96" w:rsidP="00092566">
      <w:pPr>
        <w:autoSpaceDE w:val="0"/>
        <w:autoSpaceDN w:val="0"/>
        <w:adjustRightInd w:val="0"/>
        <w:spacing w:after="0" w:line="240" w:lineRule="auto"/>
        <w:rPr>
          <w:rFonts w:cs="Calibri"/>
          <w:bCs/>
          <w:color w:val="0070C0"/>
        </w:rPr>
      </w:pPr>
      <w:r>
        <w:rPr>
          <w:rFonts w:cs="Calibri"/>
          <w:bCs/>
          <w:color w:val="FF0000"/>
        </w:rPr>
        <w:t>Not applicable.</w:t>
      </w:r>
    </w:p>
    <w:p w14:paraId="025016D3" w14:textId="77777777" w:rsidR="00AE2FDF" w:rsidRDefault="00AE2FDF" w:rsidP="000B50B0">
      <w:pPr>
        <w:autoSpaceDE w:val="0"/>
        <w:autoSpaceDN w:val="0"/>
        <w:adjustRightInd w:val="0"/>
        <w:spacing w:before="60" w:after="120" w:line="240" w:lineRule="auto"/>
        <w:rPr>
          <w:color w:val="0000FF"/>
        </w:rPr>
      </w:pPr>
    </w:p>
    <w:p w14:paraId="57B3B96C" w14:textId="746FDBCC" w:rsidR="000B50B0" w:rsidRPr="00B47D27" w:rsidRDefault="000B50B0" w:rsidP="000B50B0">
      <w:pPr>
        <w:autoSpaceDE w:val="0"/>
        <w:autoSpaceDN w:val="0"/>
        <w:adjustRightInd w:val="0"/>
        <w:spacing w:before="60" w:after="120" w:line="240" w:lineRule="auto"/>
        <w:rPr>
          <w:rFonts w:cstheme="minorHAnsi"/>
          <w:b/>
          <w:bCs/>
          <w:color w:val="0000FF"/>
        </w:rPr>
      </w:pPr>
      <w:r w:rsidRPr="00B47D27">
        <w:rPr>
          <w:color w:val="0000FF"/>
        </w:rPr>
        <w:t>Not applicable because this measure is not risk adjusted.</w:t>
      </w:r>
    </w:p>
    <w:p w14:paraId="0CABCFFD" w14:textId="3F614899" w:rsidR="00001D73" w:rsidRPr="00001D73" w:rsidRDefault="00001D73" w:rsidP="00092566">
      <w:pPr>
        <w:autoSpaceDE w:val="0"/>
        <w:autoSpaceDN w:val="0"/>
        <w:adjustRightInd w:val="0"/>
        <w:spacing w:after="0" w:line="240" w:lineRule="auto"/>
        <w:rPr>
          <w:rFonts w:cstheme="minorHAnsi"/>
          <w:b/>
          <w:bCs/>
        </w:rPr>
      </w:pPr>
    </w:p>
    <w:p w14:paraId="79EFB1D9" w14:textId="77777777" w:rsidR="00AE2FDF"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w:t>
      </w:r>
    </w:p>
    <w:p w14:paraId="7CD8A4BC" w14:textId="77777777" w:rsidR="00AE2FDF" w:rsidRDefault="00AE2FDF" w:rsidP="00092566">
      <w:pPr>
        <w:autoSpaceDE w:val="0"/>
        <w:autoSpaceDN w:val="0"/>
        <w:adjustRightInd w:val="0"/>
        <w:spacing w:after="0" w:line="240" w:lineRule="auto"/>
        <w:rPr>
          <w:rFonts w:cstheme="minorHAnsi"/>
          <w:bCs/>
        </w:rPr>
      </w:pPr>
    </w:p>
    <w:p w14:paraId="0CBB996E" w14:textId="77777777" w:rsidR="00DD7D96" w:rsidRDefault="00DD7D96" w:rsidP="00DD7D96">
      <w:pPr>
        <w:autoSpaceDE w:val="0"/>
        <w:autoSpaceDN w:val="0"/>
        <w:adjustRightInd w:val="0"/>
        <w:spacing w:after="0" w:line="240" w:lineRule="auto"/>
        <w:rPr>
          <w:rFonts w:cs="Calibri"/>
          <w:bCs/>
          <w:color w:val="0070C0"/>
        </w:rPr>
      </w:pPr>
      <w:r>
        <w:rPr>
          <w:rFonts w:cs="Calibri"/>
          <w:bCs/>
          <w:color w:val="FF0000"/>
        </w:rPr>
        <w:t>Not applicable.</w:t>
      </w:r>
    </w:p>
    <w:p w14:paraId="6ACF28F7" w14:textId="77777777" w:rsidR="00AE2FDF" w:rsidRDefault="00AE2FDF" w:rsidP="00AE2FDF">
      <w:pPr>
        <w:autoSpaceDE w:val="0"/>
        <w:autoSpaceDN w:val="0"/>
        <w:adjustRightInd w:val="0"/>
        <w:spacing w:before="60" w:after="120" w:line="240" w:lineRule="auto"/>
        <w:contextualSpacing/>
        <w:rPr>
          <w:color w:val="0000FF"/>
        </w:rPr>
      </w:pPr>
    </w:p>
    <w:p w14:paraId="64C56E9A" w14:textId="1E34CDFD" w:rsidR="000B50B0" w:rsidRPr="00B47D27" w:rsidRDefault="000B50B0" w:rsidP="00AE2FDF">
      <w:pPr>
        <w:autoSpaceDE w:val="0"/>
        <w:autoSpaceDN w:val="0"/>
        <w:adjustRightInd w:val="0"/>
        <w:spacing w:before="60" w:after="120" w:line="240" w:lineRule="auto"/>
        <w:contextualSpacing/>
        <w:rPr>
          <w:rFonts w:cstheme="minorHAnsi"/>
          <w:b/>
          <w:bCs/>
          <w:color w:val="0000FF"/>
        </w:rPr>
      </w:pPr>
      <w:r w:rsidRPr="00B47D27">
        <w:rPr>
          <w:color w:val="0000FF"/>
        </w:rPr>
        <w:t>Not applicable because this measure is not risk adjusted.</w:t>
      </w:r>
    </w:p>
    <w:p w14:paraId="0CABCFFE" w14:textId="7CD40F54" w:rsidR="00001D73" w:rsidRDefault="00001D73" w:rsidP="00092566">
      <w:pPr>
        <w:autoSpaceDE w:val="0"/>
        <w:autoSpaceDN w:val="0"/>
        <w:adjustRightInd w:val="0"/>
        <w:spacing w:after="0" w:line="240" w:lineRule="auto"/>
        <w:rPr>
          <w:rFonts w:cstheme="minorHAnsi"/>
          <w:b/>
          <w:bCs/>
        </w:rPr>
      </w:pPr>
    </w:p>
    <w:p w14:paraId="47980529" w14:textId="77777777" w:rsidR="00AE2FDF" w:rsidRDefault="009C7513" w:rsidP="00092566">
      <w:pPr>
        <w:autoSpaceDE w:val="0"/>
        <w:autoSpaceDN w:val="0"/>
        <w:adjustRightInd w:val="0"/>
        <w:spacing w:after="0" w:line="240" w:lineRule="auto"/>
        <w:rPr>
          <w:rFonts w:cs="Calibri"/>
          <w:bCs/>
          <w:color w:val="0070C0"/>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p>
    <w:p w14:paraId="6FB65221" w14:textId="77777777" w:rsidR="00AE2FDF" w:rsidRDefault="00AE2FDF" w:rsidP="00092566">
      <w:pPr>
        <w:autoSpaceDE w:val="0"/>
        <w:autoSpaceDN w:val="0"/>
        <w:adjustRightInd w:val="0"/>
        <w:spacing w:after="0" w:line="240" w:lineRule="auto"/>
        <w:rPr>
          <w:rFonts w:cs="Calibri"/>
          <w:bCs/>
          <w:color w:val="0070C0"/>
        </w:rPr>
      </w:pPr>
    </w:p>
    <w:p w14:paraId="34FC9145" w14:textId="77777777" w:rsidR="00DD7D96" w:rsidRDefault="00DD7D96" w:rsidP="00DD7D96">
      <w:pPr>
        <w:autoSpaceDE w:val="0"/>
        <w:autoSpaceDN w:val="0"/>
        <w:adjustRightInd w:val="0"/>
        <w:spacing w:after="0" w:line="240" w:lineRule="auto"/>
        <w:rPr>
          <w:rFonts w:cs="Calibri"/>
          <w:bCs/>
          <w:color w:val="0070C0"/>
        </w:rPr>
      </w:pPr>
      <w:r>
        <w:rPr>
          <w:rFonts w:cs="Calibri"/>
          <w:bCs/>
          <w:color w:val="FF0000"/>
        </w:rPr>
        <w:t>Not applicable.</w:t>
      </w:r>
    </w:p>
    <w:p w14:paraId="18F35873" w14:textId="77777777" w:rsidR="00AE2FDF" w:rsidRDefault="00AE2FDF" w:rsidP="00AE2FDF">
      <w:pPr>
        <w:autoSpaceDE w:val="0"/>
        <w:autoSpaceDN w:val="0"/>
        <w:adjustRightInd w:val="0"/>
        <w:spacing w:before="60" w:after="120" w:line="240" w:lineRule="auto"/>
        <w:contextualSpacing/>
        <w:rPr>
          <w:color w:val="0000FF"/>
        </w:rPr>
      </w:pPr>
    </w:p>
    <w:p w14:paraId="4A1A2073" w14:textId="4079BA78" w:rsidR="000B50B0" w:rsidRPr="00B47D27" w:rsidRDefault="000B50B0" w:rsidP="00AE2FDF">
      <w:pPr>
        <w:autoSpaceDE w:val="0"/>
        <w:autoSpaceDN w:val="0"/>
        <w:adjustRightInd w:val="0"/>
        <w:spacing w:before="60" w:after="120" w:line="240" w:lineRule="auto"/>
        <w:contextualSpacing/>
        <w:rPr>
          <w:rFonts w:cstheme="minorHAnsi"/>
          <w:b/>
          <w:bCs/>
          <w:color w:val="0000FF"/>
        </w:rPr>
      </w:pPr>
      <w:r w:rsidRPr="00B47D27">
        <w:rPr>
          <w:color w:val="0000FF"/>
        </w:rPr>
        <w:t>Not applicable because this measure is not risk adjusted.</w:t>
      </w:r>
    </w:p>
    <w:p w14:paraId="0CABCFFF" w14:textId="310439CC" w:rsidR="00743E46" w:rsidRDefault="00743E46" w:rsidP="00092566">
      <w:pPr>
        <w:autoSpaceDE w:val="0"/>
        <w:autoSpaceDN w:val="0"/>
        <w:adjustRightInd w:val="0"/>
        <w:spacing w:after="0" w:line="240" w:lineRule="auto"/>
        <w:rPr>
          <w:rFonts w:cstheme="minorHAnsi"/>
          <w:b/>
        </w:rPr>
      </w:pPr>
    </w:p>
    <w:p w14:paraId="0CF38BF2" w14:textId="77777777" w:rsidR="00AE2FDF" w:rsidRDefault="009C7513" w:rsidP="00092566">
      <w:pPr>
        <w:autoSpaceDE w:val="0"/>
        <w:autoSpaceDN w:val="0"/>
        <w:adjustRightInd w:val="0"/>
        <w:spacing w:after="0" w:line="240" w:lineRule="auto"/>
        <w:rPr>
          <w:rFonts w:cstheme="minorHAnsi"/>
        </w:rPr>
      </w:pPr>
      <w:bookmarkStart w:id="52" w:name="question2b49"/>
      <w:bookmarkEnd w:id="52"/>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w:t>
      </w:r>
    </w:p>
    <w:p w14:paraId="6C4A4450" w14:textId="77777777" w:rsidR="00AE2FDF" w:rsidRDefault="00AE2FDF" w:rsidP="00092566">
      <w:pPr>
        <w:autoSpaceDE w:val="0"/>
        <w:autoSpaceDN w:val="0"/>
        <w:adjustRightInd w:val="0"/>
        <w:spacing w:after="0" w:line="240" w:lineRule="auto"/>
        <w:rPr>
          <w:rFonts w:cstheme="minorHAnsi"/>
        </w:rPr>
      </w:pPr>
    </w:p>
    <w:p w14:paraId="2349C1AB" w14:textId="77777777" w:rsidR="00DD7D96" w:rsidRDefault="00DD7D96" w:rsidP="00DD7D96">
      <w:pPr>
        <w:autoSpaceDE w:val="0"/>
        <w:autoSpaceDN w:val="0"/>
        <w:adjustRightInd w:val="0"/>
        <w:spacing w:after="0" w:line="240" w:lineRule="auto"/>
        <w:rPr>
          <w:rFonts w:cs="Calibri"/>
          <w:bCs/>
          <w:color w:val="0070C0"/>
        </w:rPr>
      </w:pPr>
      <w:r>
        <w:rPr>
          <w:rFonts w:cs="Calibri"/>
          <w:bCs/>
          <w:color w:val="FF0000"/>
        </w:rPr>
        <w:t>Not applicable.</w:t>
      </w:r>
    </w:p>
    <w:p w14:paraId="52600E5B" w14:textId="4A139811" w:rsidR="000B50B0" w:rsidRDefault="000B50B0" w:rsidP="00AE2FDF">
      <w:pPr>
        <w:autoSpaceDE w:val="0"/>
        <w:autoSpaceDN w:val="0"/>
        <w:adjustRightInd w:val="0"/>
        <w:spacing w:after="0" w:line="240" w:lineRule="auto"/>
        <w:contextualSpacing/>
        <w:rPr>
          <w:rFonts w:cs="Calibri"/>
          <w:bCs/>
          <w:color w:val="0070C0"/>
        </w:rPr>
      </w:pPr>
    </w:p>
    <w:p w14:paraId="433B3BEA" w14:textId="77777777" w:rsidR="000B50B0" w:rsidRPr="00B47D27" w:rsidRDefault="000B50B0" w:rsidP="00AE2FDF">
      <w:pPr>
        <w:autoSpaceDE w:val="0"/>
        <w:autoSpaceDN w:val="0"/>
        <w:adjustRightInd w:val="0"/>
        <w:spacing w:before="60" w:after="120" w:line="240" w:lineRule="auto"/>
        <w:contextualSpacing/>
        <w:rPr>
          <w:rFonts w:cstheme="minorHAnsi"/>
          <w:b/>
          <w:bCs/>
          <w:color w:val="0000FF"/>
        </w:rPr>
      </w:pPr>
      <w:r w:rsidRPr="00B47D27">
        <w:rPr>
          <w:color w:val="0000FF"/>
        </w:rPr>
        <w:t xml:space="preserve">Not applicable because this measure is </w:t>
      </w:r>
      <w:r>
        <w:rPr>
          <w:color w:val="0000FF"/>
        </w:rPr>
        <w:t>not stratified</w:t>
      </w:r>
      <w:r w:rsidRPr="00B47D27">
        <w:rPr>
          <w:color w:val="0000FF"/>
        </w:rPr>
        <w:t>.</w:t>
      </w:r>
    </w:p>
    <w:p w14:paraId="0CABD001" w14:textId="77777777" w:rsidR="00092566" w:rsidRPr="00A25024" w:rsidRDefault="00092566" w:rsidP="00092566">
      <w:pPr>
        <w:pStyle w:val="ListParagraph"/>
        <w:rPr>
          <w:rFonts w:cstheme="minorHAnsi"/>
          <w:bCs/>
        </w:rPr>
      </w:pPr>
    </w:p>
    <w:p w14:paraId="7DC171E7" w14:textId="77777777" w:rsidR="00AE2FDF"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p>
    <w:p w14:paraId="6AE9A185" w14:textId="77777777" w:rsidR="00AE2FDF" w:rsidRDefault="00AE2FDF" w:rsidP="00092566">
      <w:pPr>
        <w:autoSpaceDE w:val="0"/>
        <w:autoSpaceDN w:val="0"/>
        <w:adjustRightInd w:val="0"/>
        <w:spacing w:after="0" w:line="240" w:lineRule="auto"/>
        <w:rPr>
          <w:rFonts w:cstheme="minorHAnsi"/>
          <w:bCs/>
        </w:rPr>
      </w:pPr>
    </w:p>
    <w:p w14:paraId="66F38C81" w14:textId="77777777" w:rsidR="00DD7D96" w:rsidRDefault="00DD7D96" w:rsidP="00DD7D96">
      <w:pPr>
        <w:autoSpaceDE w:val="0"/>
        <w:autoSpaceDN w:val="0"/>
        <w:adjustRightInd w:val="0"/>
        <w:spacing w:after="0" w:line="240" w:lineRule="auto"/>
        <w:rPr>
          <w:rFonts w:cs="Calibri"/>
          <w:bCs/>
          <w:color w:val="0070C0"/>
        </w:rPr>
      </w:pPr>
      <w:r>
        <w:rPr>
          <w:rFonts w:cs="Calibri"/>
          <w:bCs/>
          <w:color w:val="FF0000"/>
        </w:rPr>
        <w:t>Not applicable.</w:t>
      </w:r>
    </w:p>
    <w:p w14:paraId="4BAF3C18" w14:textId="77777777" w:rsidR="000B50B0" w:rsidRDefault="000B50B0" w:rsidP="00092566">
      <w:pPr>
        <w:autoSpaceDE w:val="0"/>
        <w:autoSpaceDN w:val="0"/>
        <w:adjustRightInd w:val="0"/>
        <w:spacing w:after="0" w:line="240" w:lineRule="auto"/>
        <w:rPr>
          <w:rFonts w:cstheme="minorHAnsi"/>
          <w:bCs/>
        </w:rPr>
      </w:pPr>
    </w:p>
    <w:p w14:paraId="1CA13472" w14:textId="77777777" w:rsidR="000B50B0" w:rsidRPr="00B47D27" w:rsidRDefault="000B50B0" w:rsidP="000B50B0">
      <w:pPr>
        <w:autoSpaceDE w:val="0"/>
        <w:autoSpaceDN w:val="0"/>
        <w:adjustRightInd w:val="0"/>
        <w:spacing w:before="60" w:after="120" w:line="240" w:lineRule="auto"/>
        <w:rPr>
          <w:rFonts w:cstheme="minorHAnsi"/>
          <w:b/>
          <w:bCs/>
          <w:color w:val="0000FF"/>
        </w:rPr>
      </w:pPr>
      <w:r w:rsidRPr="00B47D27">
        <w:rPr>
          <w:color w:val="0000FF"/>
        </w:rPr>
        <w:t>Not applicable because this measure is not risk adjusted</w:t>
      </w:r>
      <w:r>
        <w:rPr>
          <w:color w:val="0000FF"/>
        </w:rPr>
        <w:t xml:space="preserve"> or stratified</w:t>
      </w:r>
      <w:r w:rsidRPr="00B47D27">
        <w:rPr>
          <w:color w:val="0000FF"/>
        </w:rPr>
        <w:t>.</w:t>
      </w:r>
    </w:p>
    <w:p w14:paraId="0CABD002" w14:textId="64D1E12B" w:rsidR="00092566" w:rsidRPr="00A25024" w:rsidRDefault="00092566" w:rsidP="00092566">
      <w:pPr>
        <w:autoSpaceDE w:val="0"/>
        <w:autoSpaceDN w:val="0"/>
        <w:adjustRightInd w:val="0"/>
        <w:spacing w:after="0" w:line="240" w:lineRule="auto"/>
        <w:rPr>
          <w:rFonts w:cstheme="minorHAnsi"/>
          <w:bCs/>
        </w:rPr>
      </w:pPr>
    </w:p>
    <w:p w14:paraId="0CABD003" w14:textId="77777777" w:rsidR="00092566" w:rsidRPr="00A25024" w:rsidRDefault="00092566" w:rsidP="00092566">
      <w:pPr>
        <w:spacing w:after="0" w:line="240" w:lineRule="auto"/>
        <w:rPr>
          <w:rFonts w:cstheme="minorHAnsi"/>
        </w:rPr>
      </w:pPr>
    </w:p>
    <w:p w14:paraId="257D8C2B" w14:textId="77777777" w:rsidR="00AE2FDF"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5F630BDE" w14:textId="77777777" w:rsidR="00AE2FDF" w:rsidRDefault="00AE2FDF" w:rsidP="009B1A15">
      <w:pPr>
        <w:spacing w:after="0" w:line="240" w:lineRule="auto"/>
        <w:rPr>
          <w:rFonts w:cstheme="minorHAnsi"/>
        </w:rPr>
      </w:pPr>
    </w:p>
    <w:p w14:paraId="0F0EF195" w14:textId="77777777" w:rsidR="00DD7D96" w:rsidRDefault="00DD7D96" w:rsidP="00DD7D96">
      <w:pPr>
        <w:autoSpaceDE w:val="0"/>
        <w:autoSpaceDN w:val="0"/>
        <w:adjustRightInd w:val="0"/>
        <w:spacing w:after="0" w:line="240" w:lineRule="auto"/>
        <w:rPr>
          <w:rFonts w:cs="Calibri"/>
          <w:bCs/>
          <w:color w:val="0070C0"/>
        </w:rPr>
      </w:pPr>
      <w:r>
        <w:rPr>
          <w:rFonts w:cs="Calibri"/>
          <w:bCs/>
          <w:color w:val="FF0000"/>
        </w:rPr>
        <w:t>Not applicable.</w:t>
      </w:r>
    </w:p>
    <w:p w14:paraId="0CABD005" w14:textId="62B8175E" w:rsidR="003755CB" w:rsidRDefault="003755CB" w:rsidP="00D61410">
      <w:pPr>
        <w:autoSpaceDE w:val="0"/>
        <w:autoSpaceDN w:val="0"/>
        <w:adjustRightInd w:val="0"/>
        <w:spacing w:after="0" w:line="240" w:lineRule="auto"/>
        <w:rPr>
          <w:rFonts w:cstheme="minorHAnsi"/>
          <w:b/>
          <w:bCs/>
        </w:rPr>
      </w:pPr>
    </w:p>
    <w:p w14:paraId="0D589FC5" w14:textId="77777777" w:rsidR="000B50B0" w:rsidRPr="00B47D27" w:rsidRDefault="000B50B0" w:rsidP="000B50B0">
      <w:pPr>
        <w:autoSpaceDE w:val="0"/>
        <w:autoSpaceDN w:val="0"/>
        <w:adjustRightInd w:val="0"/>
        <w:spacing w:before="60" w:after="120" w:line="240" w:lineRule="auto"/>
        <w:rPr>
          <w:rFonts w:cstheme="minorHAnsi"/>
          <w:b/>
          <w:bCs/>
          <w:color w:val="0000FF"/>
        </w:rPr>
      </w:pPr>
      <w:r w:rsidRPr="00B47D27">
        <w:rPr>
          <w:color w:val="0000FF"/>
        </w:rPr>
        <w:t>Not applicable because this measure is not risk adjusted</w:t>
      </w:r>
      <w:r>
        <w:rPr>
          <w:color w:val="0000FF"/>
        </w:rPr>
        <w:t xml:space="preserve"> or stratified</w:t>
      </w:r>
      <w:r w:rsidRPr="00B47D27">
        <w:rPr>
          <w:color w:val="0000FF"/>
        </w:rPr>
        <w:t>.</w:t>
      </w:r>
    </w:p>
    <w:p w14:paraId="4B656ECE" w14:textId="77777777" w:rsidR="000B50B0" w:rsidRDefault="000B50B0" w:rsidP="00D61410">
      <w:pPr>
        <w:autoSpaceDE w:val="0"/>
        <w:autoSpaceDN w:val="0"/>
        <w:adjustRightInd w:val="0"/>
        <w:spacing w:after="0" w:line="240" w:lineRule="auto"/>
        <w:rPr>
          <w:rFonts w:cstheme="minorHAnsi"/>
          <w:b/>
          <w:bCs/>
        </w:rPr>
      </w:pP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53" w:name="section2b5"/>
      <w:bookmarkEnd w:id="53"/>
      <w:r>
        <w:rPr>
          <w:rFonts w:cstheme="minorHAnsi"/>
          <w:b/>
          <w:bCs/>
        </w:rPr>
        <w:t>2b4</w:t>
      </w:r>
      <w:r w:rsidR="00D61410" w:rsidRPr="00A25024">
        <w:rPr>
          <w:rFonts w:cstheme="minorHAnsi"/>
          <w:b/>
          <w:bCs/>
        </w:rPr>
        <w:t>. IDENTIFICATION OF STATISTICALLY SIGNIFICANT &amp; MEANINGFUL DIFFERENCES IN PERFORMANCE</w:t>
      </w:r>
    </w:p>
    <w:p w14:paraId="0CABD008" w14:textId="4491D919"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t xml:space="preserve"> </w:t>
      </w:r>
    </w:p>
    <w:p w14:paraId="4FD09BCE" w14:textId="245EF596" w:rsidR="00A75915" w:rsidRDefault="00A75915" w:rsidP="00A75915">
      <w:pPr>
        <w:tabs>
          <w:tab w:val="left" w:pos="0"/>
        </w:tabs>
        <w:spacing w:line="240" w:lineRule="auto"/>
        <w:rPr>
          <w:rFonts w:cstheme="minorHAnsi"/>
          <w:color w:val="FF0000"/>
        </w:rPr>
      </w:pPr>
      <w:r w:rsidRPr="00715166">
        <w:rPr>
          <w:rFonts w:cstheme="minorHAnsi"/>
          <w:color w:val="FF0000"/>
        </w:rPr>
        <w:t>To examine differences in performance</w:t>
      </w:r>
      <w:r w:rsidR="004E3AD2">
        <w:rPr>
          <w:rFonts w:cstheme="minorHAnsi"/>
          <w:color w:val="FF0000"/>
        </w:rPr>
        <w:t>,</w:t>
      </w:r>
      <w:r w:rsidRPr="00715166">
        <w:rPr>
          <w:rFonts w:cstheme="minorHAnsi"/>
          <w:color w:val="FF0000"/>
        </w:rPr>
        <w:t xml:space="preserve"> we calculated measure rates</w:t>
      </w:r>
      <w:r w:rsidR="00655179" w:rsidRPr="00715166">
        <w:rPr>
          <w:rFonts w:cstheme="minorHAnsi"/>
          <w:color w:val="FF0000"/>
        </w:rPr>
        <w:t xml:space="preserve"> a</w:t>
      </w:r>
      <w:r w:rsidRPr="00715166">
        <w:rPr>
          <w:rFonts w:cstheme="minorHAnsi"/>
          <w:color w:val="FF0000"/>
        </w:rPr>
        <w:t>cross 1,</w:t>
      </w:r>
      <w:r w:rsidR="00655179" w:rsidRPr="00715166">
        <w:rPr>
          <w:rFonts w:cstheme="minorHAnsi"/>
          <w:color w:val="FF0000"/>
        </w:rPr>
        <w:t>066</w:t>
      </w:r>
      <w:r w:rsidRPr="00715166">
        <w:rPr>
          <w:rFonts w:cstheme="minorHAnsi"/>
          <w:color w:val="FF0000"/>
        </w:rPr>
        <w:t xml:space="preserve"> facilities with at least </w:t>
      </w:r>
      <w:r w:rsidR="00655179" w:rsidRPr="00715166">
        <w:rPr>
          <w:rFonts w:cstheme="minorHAnsi"/>
          <w:color w:val="FF0000"/>
        </w:rPr>
        <w:t>75</w:t>
      </w:r>
      <w:r w:rsidRPr="00715166">
        <w:rPr>
          <w:rFonts w:cstheme="minorHAnsi"/>
          <w:color w:val="FF0000"/>
        </w:rPr>
        <w:t xml:space="preserve"> discharges within </w:t>
      </w:r>
      <w:r w:rsidR="00655179" w:rsidRPr="00715166">
        <w:rPr>
          <w:rFonts w:cstheme="minorHAnsi"/>
          <w:color w:val="FF0000"/>
        </w:rPr>
        <w:t xml:space="preserve">the </w:t>
      </w:r>
      <w:r w:rsidRPr="00715166">
        <w:rPr>
          <w:rFonts w:cstheme="minorHAnsi"/>
          <w:color w:val="FF0000"/>
        </w:rPr>
        <w:t xml:space="preserve">performance period. We excluded </w:t>
      </w:r>
      <w:r w:rsidR="00655179" w:rsidRPr="00715166">
        <w:rPr>
          <w:rFonts w:cstheme="minorHAnsi"/>
          <w:color w:val="FF0000"/>
        </w:rPr>
        <w:t>facilities</w:t>
      </w:r>
      <w:r w:rsidRPr="00715166">
        <w:rPr>
          <w:rFonts w:cstheme="minorHAnsi"/>
          <w:color w:val="FF0000"/>
        </w:rPr>
        <w:t xml:space="preserve"> with </w:t>
      </w:r>
      <w:r w:rsidR="004B3AD5">
        <w:rPr>
          <w:rFonts w:cstheme="minorHAnsi"/>
          <w:color w:val="FF0000"/>
        </w:rPr>
        <w:t>&lt;</w:t>
      </w:r>
      <w:r w:rsidR="00655179" w:rsidRPr="00715166">
        <w:rPr>
          <w:rFonts w:cstheme="minorHAnsi"/>
          <w:color w:val="FF0000"/>
        </w:rPr>
        <w:t>75</w:t>
      </w:r>
      <w:r w:rsidRPr="00715166">
        <w:rPr>
          <w:rFonts w:cstheme="minorHAnsi"/>
          <w:color w:val="FF0000"/>
        </w:rPr>
        <w:t xml:space="preserve"> discharges </w:t>
      </w:r>
      <w:r w:rsidR="00A765FF">
        <w:rPr>
          <w:rFonts w:cstheme="minorHAnsi"/>
          <w:color w:val="FF0000"/>
        </w:rPr>
        <w:t>because</w:t>
      </w:r>
      <w:r w:rsidR="00A765FF" w:rsidRPr="00715166">
        <w:rPr>
          <w:rFonts w:cstheme="minorHAnsi"/>
          <w:color w:val="FF0000"/>
        </w:rPr>
        <w:t xml:space="preserve"> </w:t>
      </w:r>
      <w:r w:rsidRPr="00715166">
        <w:rPr>
          <w:rFonts w:cstheme="minorHAnsi"/>
          <w:color w:val="FF0000"/>
        </w:rPr>
        <w:t xml:space="preserve">estimates for </w:t>
      </w:r>
      <w:r w:rsidR="00655179" w:rsidRPr="00715166">
        <w:rPr>
          <w:rFonts w:cstheme="minorHAnsi"/>
          <w:color w:val="FF0000"/>
        </w:rPr>
        <w:t>facilities</w:t>
      </w:r>
      <w:r w:rsidRPr="00715166">
        <w:rPr>
          <w:rFonts w:cstheme="minorHAnsi"/>
          <w:color w:val="FF0000"/>
        </w:rPr>
        <w:t xml:space="preserve"> with fewer cases are less reliable. </w:t>
      </w:r>
      <w:r w:rsidR="00655179" w:rsidRPr="00715166">
        <w:rPr>
          <w:rFonts w:cstheme="minorHAnsi"/>
          <w:color w:val="FF0000"/>
        </w:rPr>
        <w:t>We computed a</w:t>
      </w:r>
      <w:r w:rsidRPr="00715166">
        <w:rPr>
          <w:rFonts w:cstheme="minorHAnsi"/>
          <w:color w:val="FF0000"/>
        </w:rPr>
        <w:t xml:space="preserve"> confidence interval for each facility’s </w:t>
      </w:r>
      <w:r w:rsidR="00655179" w:rsidRPr="00715166">
        <w:rPr>
          <w:rFonts w:cstheme="minorHAnsi"/>
          <w:color w:val="FF0000"/>
        </w:rPr>
        <w:t>rate</w:t>
      </w:r>
      <w:r w:rsidRPr="00715166">
        <w:rPr>
          <w:rFonts w:cstheme="minorHAnsi"/>
          <w:color w:val="FF0000"/>
        </w:rPr>
        <w:t xml:space="preserve"> and if it did not contain the </w:t>
      </w:r>
      <w:r w:rsidR="00655179" w:rsidRPr="00715166">
        <w:rPr>
          <w:rFonts w:cstheme="minorHAnsi"/>
          <w:color w:val="FF0000"/>
        </w:rPr>
        <w:t>mean Medication Continuation rate</w:t>
      </w:r>
      <w:r w:rsidRPr="00715166">
        <w:rPr>
          <w:rFonts w:cstheme="minorHAnsi"/>
          <w:color w:val="FF0000"/>
        </w:rPr>
        <w:t xml:space="preserve"> across all facilities, the facility was identified as better or worse than average.</w:t>
      </w:r>
    </w:p>
    <w:p w14:paraId="3EA0281B" w14:textId="77777777" w:rsidR="00715166" w:rsidRPr="00B47D27" w:rsidRDefault="00715166" w:rsidP="00715166">
      <w:pPr>
        <w:pStyle w:val="Style1a"/>
        <w:spacing w:before="60" w:after="120"/>
        <w:ind w:left="0" w:firstLine="0"/>
        <w:rPr>
          <w:rFonts w:ascii="Calibri" w:eastAsia="Calibri" w:hAnsi="Calibri" w:cs="Calibri"/>
          <w:color w:val="0000FF"/>
          <w:sz w:val="22"/>
          <w:szCs w:val="22"/>
        </w:rPr>
      </w:pPr>
      <w:r w:rsidRPr="00B47D27">
        <w:rPr>
          <w:rFonts w:ascii="Calibri" w:eastAsia="Calibri" w:hAnsi="Calibri" w:cs="Calibri"/>
          <w:color w:val="0000FF"/>
          <w:sz w:val="22"/>
          <w:szCs w:val="22"/>
        </w:rPr>
        <w:t xml:space="preserve">To evaluate whether there is currently a performance gap and variation in performance across facilities, we applied all inclusion and exclusion criteria to calculate facility-level measure scores. We observed the distribution of medication continuation rates and the difference between IPFs in the 90th percentile of performance and IPFs in the 10th percentile. To identify statistically significant differences in performance, we calculated 95% confidence intervals (95% CI) around the measure scores for each IPF and compared the 95% CI to the national medication continuation rate across all IPFs. If the confidence intervals did not overlap with the national medication continuation rate, the difference was considered statistically significant. </w:t>
      </w:r>
    </w:p>
    <w:p w14:paraId="2A4262AF" w14:textId="77777777" w:rsidR="00A75915" w:rsidRPr="00A25024" w:rsidRDefault="00A75915" w:rsidP="00D61410">
      <w:pPr>
        <w:autoSpaceDE w:val="0"/>
        <w:autoSpaceDN w:val="0"/>
        <w:adjustRightInd w:val="0"/>
        <w:spacing w:after="0" w:line="240" w:lineRule="auto"/>
        <w:rPr>
          <w:rFonts w:cstheme="minorHAnsi"/>
          <w:bCs/>
        </w:rPr>
      </w:pPr>
    </w:p>
    <w:p w14:paraId="0A473BB4" w14:textId="1512D5E2" w:rsidR="00A75915"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p>
    <w:p w14:paraId="6352DE9B" w14:textId="12684531" w:rsidR="00A75915" w:rsidRPr="003A3DF6" w:rsidRDefault="00A75915" w:rsidP="00A75915">
      <w:pPr>
        <w:autoSpaceDE w:val="0"/>
        <w:autoSpaceDN w:val="0"/>
        <w:adjustRightInd w:val="0"/>
        <w:spacing w:after="0" w:line="240" w:lineRule="auto"/>
        <w:rPr>
          <w:rFonts w:cstheme="minorHAnsi"/>
          <w:bCs/>
          <w:color w:val="FF0000"/>
        </w:rPr>
      </w:pPr>
      <w:r w:rsidRPr="003A3DF6">
        <w:rPr>
          <w:rFonts w:cstheme="minorHAnsi"/>
          <w:color w:val="FF0000"/>
        </w:rPr>
        <w:t>Based on 1,</w:t>
      </w:r>
      <w:r w:rsidR="00F41484" w:rsidRPr="003A3DF6">
        <w:rPr>
          <w:rFonts w:cstheme="minorHAnsi"/>
          <w:color w:val="FF0000"/>
        </w:rPr>
        <w:t xml:space="preserve">066 </w:t>
      </w:r>
      <w:r w:rsidRPr="003A3DF6">
        <w:rPr>
          <w:rFonts w:cstheme="minorHAnsi"/>
          <w:color w:val="FF0000"/>
        </w:rPr>
        <w:t xml:space="preserve">facilities with at least </w:t>
      </w:r>
      <w:r w:rsidR="00F41484" w:rsidRPr="003A3DF6">
        <w:rPr>
          <w:rFonts w:cstheme="minorHAnsi"/>
          <w:color w:val="FF0000"/>
        </w:rPr>
        <w:t>75</w:t>
      </w:r>
      <w:r w:rsidRPr="003A3DF6">
        <w:rPr>
          <w:rFonts w:cstheme="minorHAnsi"/>
          <w:color w:val="FF0000"/>
        </w:rPr>
        <w:t xml:space="preserve"> discharges, the </w:t>
      </w:r>
      <w:r w:rsidR="00F41484" w:rsidRPr="003A3DF6">
        <w:rPr>
          <w:rFonts w:cstheme="minorHAnsi"/>
          <w:color w:val="FF0000"/>
        </w:rPr>
        <w:t>Medication Continuation</w:t>
      </w:r>
      <w:r w:rsidRPr="003A3DF6">
        <w:rPr>
          <w:rFonts w:cstheme="minorHAnsi"/>
          <w:color w:val="FF0000"/>
        </w:rPr>
        <w:t xml:space="preserve"> measure rates in our sample ranged from </w:t>
      </w:r>
      <w:r w:rsidR="00341BB4">
        <w:rPr>
          <w:rFonts w:cstheme="minorHAnsi"/>
          <w:color w:val="FF0000"/>
        </w:rPr>
        <w:t>34.8</w:t>
      </w:r>
      <w:r w:rsidR="00341BB4" w:rsidRPr="003A3DF6">
        <w:rPr>
          <w:rFonts w:cstheme="minorHAnsi"/>
          <w:color w:val="FF0000"/>
        </w:rPr>
        <w:t xml:space="preserve">% to </w:t>
      </w:r>
      <w:r w:rsidR="00341BB4">
        <w:rPr>
          <w:rFonts w:cstheme="minorHAnsi"/>
          <w:color w:val="FF0000"/>
        </w:rPr>
        <w:t>94.3</w:t>
      </w:r>
      <w:r w:rsidR="00341BB4" w:rsidRPr="003A3DF6">
        <w:rPr>
          <w:rFonts w:cstheme="minorHAnsi"/>
          <w:color w:val="FF0000"/>
        </w:rPr>
        <w:t xml:space="preserve">% (with a median of </w:t>
      </w:r>
      <w:r w:rsidR="004303DA">
        <w:rPr>
          <w:rFonts w:cstheme="minorHAnsi"/>
          <w:color w:val="FF0000"/>
        </w:rPr>
        <w:t>7</w:t>
      </w:r>
      <w:r w:rsidR="00341BB4">
        <w:rPr>
          <w:rFonts w:cstheme="minorHAnsi"/>
          <w:color w:val="FF0000"/>
        </w:rPr>
        <w:t>6.2</w:t>
      </w:r>
      <w:r w:rsidR="00341BB4" w:rsidRPr="003A3DF6">
        <w:rPr>
          <w:rFonts w:cstheme="minorHAnsi"/>
          <w:color w:val="FF0000"/>
        </w:rPr>
        <w:t xml:space="preserve">%). Fifty percent of facilities fell within the interquartile range of </w:t>
      </w:r>
      <w:r w:rsidR="00341BB4">
        <w:rPr>
          <w:rFonts w:cstheme="minorHAnsi"/>
          <w:color w:val="FF0000"/>
        </w:rPr>
        <w:t>70.1</w:t>
      </w:r>
      <w:r w:rsidR="00341BB4" w:rsidRPr="003A3DF6">
        <w:rPr>
          <w:rFonts w:cstheme="minorHAnsi"/>
          <w:color w:val="FF0000"/>
        </w:rPr>
        <w:t xml:space="preserve">% and </w:t>
      </w:r>
      <w:r w:rsidR="00341BB4">
        <w:rPr>
          <w:rFonts w:cstheme="minorHAnsi"/>
          <w:color w:val="FF0000"/>
        </w:rPr>
        <w:t>81.9</w:t>
      </w:r>
      <w:r w:rsidR="00341BB4" w:rsidRPr="003A3DF6">
        <w:rPr>
          <w:rFonts w:cstheme="minorHAnsi"/>
          <w:color w:val="FF0000"/>
        </w:rPr>
        <w:t xml:space="preserve">%. </w:t>
      </w:r>
      <w:r w:rsidRPr="003A3DF6">
        <w:rPr>
          <w:rFonts w:cstheme="minorHAnsi"/>
          <w:color w:val="FF0000"/>
        </w:rPr>
        <w:t>Thus, there is substantial variation in measure scores across facilities.</w:t>
      </w:r>
    </w:p>
    <w:p w14:paraId="4AD4DDEE" w14:textId="77777777" w:rsidR="00A75915" w:rsidRPr="003A3DF6" w:rsidRDefault="00A75915" w:rsidP="00D61410">
      <w:pPr>
        <w:autoSpaceDE w:val="0"/>
        <w:autoSpaceDN w:val="0"/>
        <w:adjustRightInd w:val="0"/>
        <w:spacing w:after="0" w:line="240" w:lineRule="auto"/>
        <w:rPr>
          <w:rFonts w:cstheme="minorHAnsi"/>
          <w:bCs/>
          <w:color w:val="FF0000"/>
        </w:rPr>
      </w:pPr>
    </w:p>
    <w:p w14:paraId="1C45AD62" w14:textId="4A6557D3" w:rsidR="00A75915" w:rsidRPr="003A3DF6" w:rsidRDefault="00A75915" w:rsidP="00A75915">
      <w:pPr>
        <w:tabs>
          <w:tab w:val="left" w:pos="0"/>
        </w:tabs>
        <w:rPr>
          <w:rFonts w:cstheme="minorHAnsi"/>
          <w:b/>
          <w:color w:val="FF0000"/>
        </w:rPr>
      </w:pPr>
      <w:r w:rsidRPr="003A3DF6">
        <w:rPr>
          <w:rFonts w:cstheme="minorHAnsi"/>
          <w:b/>
          <w:color w:val="FF0000"/>
        </w:rPr>
        <w:t>Table</w:t>
      </w:r>
      <w:r w:rsidR="00EB4E37" w:rsidRPr="003A3DF6">
        <w:rPr>
          <w:rFonts w:cstheme="minorHAnsi"/>
          <w:b/>
          <w:color w:val="FF0000"/>
        </w:rPr>
        <w:t xml:space="preserve"> </w:t>
      </w:r>
      <w:r w:rsidR="00341BB4" w:rsidRPr="00341BB4">
        <w:rPr>
          <w:rFonts w:cstheme="minorHAnsi"/>
          <w:b/>
          <w:bCs/>
          <w:color w:val="FF0000"/>
        </w:rPr>
        <w:t>2b4.2</w:t>
      </w:r>
      <w:r w:rsidR="00341BB4">
        <w:rPr>
          <w:rFonts w:cstheme="minorHAnsi"/>
          <w:b/>
          <w:bCs/>
          <w:color w:val="FF0000"/>
        </w:rPr>
        <w:t>-A</w:t>
      </w:r>
      <w:r w:rsidRPr="003A3DF6">
        <w:rPr>
          <w:rFonts w:cstheme="minorHAnsi"/>
          <w:b/>
          <w:color w:val="FF0000"/>
        </w:rPr>
        <w:t xml:space="preserve">. </w:t>
      </w:r>
      <w:r w:rsidR="00786B78" w:rsidRPr="003A3DF6">
        <w:rPr>
          <w:rFonts w:cstheme="minorHAnsi"/>
          <w:b/>
          <w:color w:val="FF0000"/>
        </w:rPr>
        <w:t>Distribution of the Medication Continuation measure rates</w:t>
      </w:r>
    </w:p>
    <w:tbl>
      <w:tblPr>
        <w:tblW w:w="9343"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58"/>
        <w:gridCol w:w="978"/>
        <w:gridCol w:w="764"/>
        <w:gridCol w:w="764"/>
        <w:gridCol w:w="764"/>
        <w:gridCol w:w="764"/>
        <w:gridCol w:w="918"/>
        <w:gridCol w:w="764"/>
        <w:gridCol w:w="764"/>
        <w:gridCol w:w="987"/>
        <w:gridCol w:w="718"/>
      </w:tblGrid>
      <w:tr w:rsidR="001327AA" w:rsidRPr="002942A6" w14:paraId="5D18B9D7" w14:textId="77777777" w:rsidTr="001327AA">
        <w:trPr>
          <w:trHeight w:val="222"/>
          <w:jc w:val="center"/>
        </w:trPr>
        <w:tc>
          <w:tcPr>
            <w:tcW w:w="1158" w:type="dxa"/>
            <w:shd w:val="clear" w:color="auto" w:fill="7F7F7F" w:themeFill="text1" w:themeFillTint="80"/>
            <w:noWrap/>
            <w:vAlign w:val="center"/>
            <w:hideMark/>
          </w:tcPr>
          <w:p w14:paraId="3D1C862D" w14:textId="77777777" w:rsidR="001327AA" w:rsidRPr="00F260F5" w:rsidRDefault="001327AA" w:rsidP="001327AA">
            <w:pPr>
              <w:spacing w:line="240" w:lineRule="auto"/>
              <w:rPr>
                <w:rFonts w:ascii="Calibri" w:hAnsi="Calibri" w:cs="Calibri"/>
                <w:b/>
                <w:color w:val="FFFFFF" w:themeColor="background1"/>
                <w:szCs w:val="18"/>
              </w:rPr>
            </w:pPr>
            <w:r w:rsidRPr="00F260F5">
              <w:rPr>
                <w:rFonts w:ascii="Calibri" w:hAnsi="Calibri" w:cs="Calibri"/>
                <w:b/>
                <w:color w:val="FFFFFF" w:themeColor="background1"/>
                <w:szCs w:val="18"/>
              </w:rPr>
              <w:t>Measure</w:t>
            </w:r>
          </w:p>
        </w:tc>
        <w:tc>
          <w:tcPr>
            <w:tcW w:w="978" w:type="dxa"/>
            <w:shd w:val="clear" w:color="auto" w:fill="7F7F7F" w:themeFill="text1" w:themeFillTint="80"/>
            <w:noWrap/>
            <w:vAlign w:val="center"/>
            <w:hideMark/>
          </w:tcPr>
          <w:p w14:paraId="0A544956" w14:textId="77C44F6D" w:rsidR="001327AA" w:rsidRPr="00F260F5" w:rsidRDefault="001327AA" w:rsidP="00A75915">
            <w:pPr>
              <w:tabs>
                <w:tab w:val="left" w:pos="0"/>
              </w:tabs>
              <w:spacing w:line="240" w:lineRule="auto"/>
              <w:rPr>
                <w:rFonts w:ascii="Calibri" w:hAnsi="Calibri" w:cs="Calibri"/>
                <w:b/>
                <w:color w:val="FFFFFF" w:themeColor="background1"/>
                <w:szCs w:val="18"/>
              </w:rPr>
            </w:pPr>
            <w:r w:rsidRPr="00F260F5">
              <w:rPr>
                <w:rFonts w:ascii="Calibri" w:hAnsi="Calibri" w:cs="Calibri"/>
                <w:b/>
                <w:color w:val="FFFFFF" w:themeColor="background1"/>
                <w:szCs w:val="18"/>
              </w:rPr>
              <w:t>Number of facilities</w:t>
            </w:r>
          </w:p>
        </w:tc>
        <w:tc>
          <w:tcPr>
            <w:tcW w:w="764" w:type="dxa"/>
            <w:shd w:val="clear" w:color="auto" w:fill="7F7F7F" w:themeFill="text1" w:themeFillTint="80"/>
            <w:noWrap/>
            <w:vAlign w:val="center"/>
            <w:hideMark/>
          </w:tcPr>
          <w:p w14:paraId="5E8E2BAD" w14:textId="4F7BC619" w:rsidR="001327AA" w:rsidRPr="00F260F5" w:rsidRDefault="001327AA" w:rsidP="00A75915">
            <w:pPr>
              <w:tabs>
                <w:tab w:val="left" w:pos="0"/>
              </w:tabs>
              <w:spacing w:line="240" w:lineRule="auto"/>
              <w:rPr>
                <w:rFonts w:ascii="Calibri" w:hAnsi="Calibri" w:cs="Calibri"/>
                <w:b/>
                <w:color w:val="FFFFFF" w:themeColor="background1"/>
                <w:szCs w:val="18"/>
              </w:rPr>
            </w:pPr>
            <w:r w:rsidRPr="00F260F5">
              <w:rPr>
                <w:rFonts w:ascii="Calibri" w:hAnsi="Calibri" w:cs="Calibri"/>
                <w:b/>
                <w:color w:val="FFFFFF" w:themeColor="background1"/>
                <w:szCs w:val="18"/>
              </w:rPr>
              <w:t>Mean rate</w:t>
            </w:r>
          </w:p>
        </w:tc>
        <w:tc>
          <w:tcPr>
            <w:tcW w:w="764" w:type="dxa"/>
            <w:shd w:val="clear" w:color="auto" w:fill="7F7F7F" w:themeFill="text1" w:themeFillTint="80"/>
            <w:noWrap/>
            <w:vAlign w:val="center"/>
            <w:hideMark/>
          </w:tcPr>
          <w:p w14:paraId="0F2E77F9" w14:textId="368172FD" w:rsidR="001327AA" w:rsidRPr="00F260F5" w:rsidRDefault="001327AA" w:rsidP="00A75915">
            <w:pPr>
              <w:tabs>
                <w:tab w:val="left" w:pos="0"/>
              </w:tabs>
              <w:spacing w:line="240" w:lineRule="auto"/>
              <w:rPr>
                <w:rFonts w:ascii="Calibri" w:hAnsi="Calibri" w:cs="Calibri"/>
                <w:b/>
                <w:color w:val="FFFFFF" w:themeColor="background1"/>
                <w:szCs w:val="18"/>
              </w:rPr>
            </w:pPr>
            <w:r w:rsidRPr="00F260F5">
              <w:rPr>
                <w:rFonts w:ascii="Calibri" w:hAnsi="Calibri" w:cs="Calibri"/>
                <w:b/>
                <w:color w:val="FFFFFF" w:themeColor="background1"/>
                <w:szCs w:val="18"/>
              </w:rPr>
              <w:t xml:space="preserve">Min </w:t>
            </w:r>
          </w:p>
        </w:tc>
        <w:tc>
          <w:tcPr>
            <w:tcW w:w="764" w:type="dxa"/>
            <w:shd w:val="clear" w:color="auto" w:fill="7F7F7F" w:themeFill="text1" w:themeFillTint="80"/>
            <w:noWrap/>
            <w:vAlign w:val="center"/>
            <w:hideMark/>
          </w:tcPr>
          <w:p w14:paraId="6BC24161" w14:textId="61B19322" w:rsidR="001327AA" w:rsidRPr="00F260F5" w:rsidRDefault="001327AA" w:rsidP="00A75915">
            <w:pPr>
              <w:tabs>
                <w:tab w:val="left" w:pos="0"/>
              </w:tabs>
              <w:spacing w:line="240" w:lineRule="auto"/>
              <w:rPr>
                <w:rFonts w:ascii="Calibri" w:hAnsi="Calibri" w:cs="Calibri"/>
                <w:b/>
                <w:color w:val="FFFFFF" w:themeColor="background1"/>
                <w:szCs w:val="18"/>
              </w:rPr>
            </w:pPr>
            <w:r>
              <w:rPr>
                <w:rFonts w:ascii="Calibri" w:hAnsi="Calibri" w:cs="Calibri"/>
                <w:b/>
                <w:color w:val="FFFFFF" w:themeColor="background1"/>
                <w:szCs w:val="18"/>
              </w:rPr>
              <w:t>10</w:t>
            </w:r>
            <w:r w:rsidRPr="00F260F5">
              <w:rPr>
                <w:rFonts w:ascii="Calibri" w:hAnsi="Calibri" w:cs="Calibri"/>
                <w:b/>
                <w:color w:val="FFFFFF" w:themeColor="background1"/>
                <w:szCs w:val="18"/>
              </w:rPr>
              <w:t>th Pct.</w:t>
            </w:r>
          </w:p>
        </w:tc>
        <w:tc>
          <w:tcPr>
            <w:tcW w:w="764" w:type="dxa"/>
            <w:shd w:val="clear" w:color="auto" w:fill="7F7F7F" w:themeFill="text1" w:themeFillTint="80"/>
            <w:noWrap/>
            <w:vAlign w:val="center"/>
            <w:hideMark/>
          </w:tcPr>
          <w:p w14:paraId="0F6C696C" w14:textId="36A2D752" w:rsidR="001327AA" w:rsidRPr="00F260F5" w:rsidRDefault="001327AA" w:rsidP="00A75915">
            <w:pPr>
              <w:tabs>
                <w:tab w:val="left" w:pos="0"/>
              </w:tabs>
              <w:spacing w:line="240" w:lineRule="auto"/>
              <w:rPr>
                <w:rFonts w:ascii="Calibri" w:hAnsi="Calibri" w:cs="Calibri"/>
                <w:b/>
                <w:color w:val="FFFFFF" w:themeColor="background1"/>
                <w:szCs w:val="18"/>
              </w:rPr>
            </w:pPr>
            <w:r w:rsidRPr="00F260F5">
              <w:rPr>
                <w:rFonts w:ascii="Calibri" w:hAnsi="Calibri" w:cs="Calibri"/>
                <w:b/>
                <w:color w:val="FFFFFF" w:themeColor="background1"/>
                <w:szCs w:val="18"/>
              </w:rPr>
              <w:t>25th Pct.</w:t>
            </w:r>
          </w:p>
        </w:tc>
        <w:tc>
          <w:tcPr>
            <w:tcW w:w="918" w:type="dxa"/>
            <w:shd w:val="clear" w:color="auto" w:fill="7F7F7F" w:themeFill="text1" w:themeFillTint="80"/>
            <w:noWrap/>
            <w:vAlign w:val="center"/>
            <w:hideMark/>
          </w:tcPr>
          <w:p w14:paraId="4D151E1D" w14:textId="019DFB8A" w:rsidR="001327AA" w:rsidRPr="00F260F5" w:rsidRDefault="001327AA" w:rsidP="00A75915">
            <w:pPr>
              <w:tabs>
                <w:tab w:val="left" w:pos="0"/>
              </w:tabs>
              <w:spacing w:line="240" w:lineRule="auto"/>
              <w:rPr>
                <w:rFonts w:ascii="Calibri" w:hAnsi="Calibri" w:cs="Calibri"/>
                <w:b/>
                <w:color w:val="FFFFFF" w:themeColor="background1"/>
                <w:szCs w:val="18"/>
              </w:rPr>
            </w:pPr>
            <w:r w:rsidRPr="00F260F5">
              <w:rPr>
                <w:rFonts w:ascii="Calibri" w:hAnsi="Calibri" w:cs="Calibri"/>
                <w:b/>
                <w:color w:val="FFFFFF" w:themeColor="background1"/>
                <w:szCs w:val="18"/>
              </w:rPr>
              <w:t>M</w:t>
            </w:r>
            <w:r>
              <w:rPr>
                <w:rFonts w:ascii="Calibri" w:hAnsi="Calibri" w:cs="Calibri"/>
                <w:b/>
                <w:color w:val="FFFFFF" w:themeColor="background1"/>
                <w:szCs w:val="18"/>
              </w:rPr>
              <w:t>edian</w:t>
            </w:r>
          </w:p>
        </w:tc>
        <w:tc>
          <w:tcPr>
            <w:tcW w:w="764" w:type="dxa"/>
            <w:shd w:val="clear" w:color="auto" w:fill="7F7F7F" w:themeFill="text1" w:themeFillTint="80"/>
            <w:noWrap/>
            <w:vAlign w:val="center"/>
            <w:hideMark/>
          </w:tcPr>
          <w:p w14:paraId="3E311C1F" w14:textId="19FB961A" w:rsidR="001327AA" w:rsidRPr="00F260F5" w:rsidRDefault="001327AA" w:rsidP="00A75915">
            <w:pPr>
              <w:tabs>
                <w:tab w:val="left" w:pos="0"/>
              </w:tabs>
              <w:spacing w:line="240" w:lineRule="auto"/>
              <w:rPr>
                <w:rFonts w:ascii="Calibri" w:hAnsi="Calibri" w:cs="Calibri"/>
                <w:b/>
                <w:color w:val="FFFFFF" w:themeColor="background1"/>
                <w:szCs w:val="18"/>
              </w:rPr>
            </w:pPr>
            <w:r w:rsidRPr="00F260F5">
              <w:rPr>
                <w:rFonts w:ascii="Calibri" w:hAnsi="Calibri" w:cs="Calibri"/>
                <w:b/>
                <w:color w:val="FFFFFF" w:themeColor="background1"/>
                <w:szCs w:val="18"/>
              </w:rPr>
              <w:t>75th Pct.</w:t>
            </w:r>
          </w:p>
        </w:tc>
        <w:tc>
          <w:tcPr>
            <w:tcW w:w="764" w:type="dxa"/>
            <w:shd w:val="clear" w:color="auto" w:fill="7F7F7F" w:themeFill="text1" w:themeFillTint="80"/>
            <w:noWrap/>
            <w:vAlign w:val="center"/>
            <w:hideMark/>
          </w:tcPr>
          <w:p w14:paraId="02C03EC9" w14:textId="0BE5BE45" w:rsidR="001327AA" w:rsidRPr="00F260F5" w:rsidRDefault="001327AA" w:rsidP="00A75915">
            <w:pPr>
              <w:tabs>
                <w:tab w:val="left" w:pos="0"/>
              </w:tabs>
              <w:spacing w:line="240" w:lineRule="auto"/>
              <w:rPr>
                <w:rFonts w:ascii="Calibri" w:hAnsi="Calibri" w:cs="Calibri"/>
                <w:b/>
                <w:color w:val="FFFFFF" w:themeColor="background1"/>
                <w:szCs w:val="18"/>
              </w:rPr>
            </w:pPr>
            <w:r>
              <w:rPr>
                <w:rFonts w:ascii="Calibri" w:hAnsi="Calibri" w:cs="Calibri"/>
                <w:b/>
                <w:color w:val="FFFFFF" w:themeColor="background1"/>
                <w:szCs w:val="18"/>
              </w:rPr>
              <w:t>90th</w:t>
            </w:r>
            <w:r w:rsidRPr="00F260F5">
              <w:rPr>
                <w:rFonts w:ascii="Calibri" w:hAnsi="Calibri" w:cs="Calibri"/>
                <w:b/>
                <w:color w:val="FFFFFF" w:themeColor="background1"/>
                <w:szCs w:val="18"/>
              </w:rPr>
              <w:t xml:space="preserve"> Pct.</w:t>
            </w:r>
          </w:p>
        </w:tc>
        <w:tc>
          <w:tcPr>
            <w:tcW w:w="987" w:type="dxa"/>
            <w:shd w:val="clear" w:color="auto" w:fill="7F7F7F" w:themeFill="text1" w:themeFillTint="80"/>
            <w:noWrap/>
            <w:vAlign w:val="center"/>
            <w:hideMark/>
          </w:tcPr>
          <w:p w14:paraId="2EA4C566" w14:textId="77777777" w:rsidR="001327AA" w:rsidRPr="00F260F5" w:rsidRDefault="001327AA" w:rsidP="00A75915">
            <w:pPr>
              <w:tabs>
                <w:tab w:val="left" w:pos="0"/>
              </w:tabs>
              <w:spacing w:line="240" w:lineRule="auto"/>
              <w:rPr>
                <w:rFonts w:ascii="Calibri" w:hAnsi="Calibri" w:cs="Calibri"/>
                <w:b/>
                <w:color w:val="FFFFFF" w:themeColor="background1"/>
                <w:szCs w:val="18"/>
              </w:rPr>
            </w:pPr>
            <w:r w:rsidRPr="00F260F5">
              <w:rPr>
                <w:rFonts w:ascii="Calibri" w:hAnsi="Calibri" w:cs="Calibri"/>
                <w:b/>
                <w:color w:val="FFFFFF" w:themeColor="background1"/>
                <w:szCs w:val="18"/>
              </w:rPr>
              <w:t>MAX</w:t>
            </w:r>
          </w:p>
        </w:tc>
        <w:tc>
          <w:tcPr>
            <w:tcW w:w="718" w:type="dxa"/>
            <w:shd w:val="clear" w:color="auto" w:fill="7F7F7F" w:themeFill="text1" w:themeFillTint="80"/>
            <w:noWrap/>
            <w:vAlign w:val="center"/>
            <w:hideMark/>
          </w:tcPr>
          <w:p w14:paraId="02359819" w14:textId="33BAD4F4" w:rsidR="001327AA" w:rsidRPr="00F260F5" w:rsidRDefault="001327AA" w:rsidP="00A75915">
            <w:pPr>
              <w:tabs>
                <w:tab w:val="left" w:pos="0"/>
              </w:tabs>
              <w:spacing w:line="240" w:lineRule="auto"/>
              <w:rPr>
                <w:rFonts w:ascii="Calibri" w:hAnsi="Calibri" w:cs="Calibri"/>
                <w:b/>
                <w:color w:val="FFFFFF" w:themeColor="background1"/>
                <w:szCs w:val="18"/>
              </w:rPr>
            </w:pPr>
            <w:r>
              <w:rPr>
                <w:rFonts w:ascii="Calibri" w:hAnsi="Calibri" w:cs="Calibri"/>
                <w:b/>
                <w:color w:val="FFFFFF" w:themeColor="background1"/>
                <w:szCs w:val="18"/>
              </w:rPr>
              <w:t>IQR</w:t>
            </w:r>
          </w:p>
        </w:tc>
      </w:tr>
      <w:tr w:rsidR="001327AA" w:rsidRPr="002942A6" w14:paraId="294C393A" w14:textId="77777777" w:rsidTr="001327AA">
        <w:trPr>
          <w:trHeight w:val="222"/>
          <w:jc w:val="center"/>
        </w:trPr>
        <w:tc>
          <w:tcPr>
            <w:tcW w:w="1158" w:type="dxa"/>
            <w:shd w:val="clear" w:color="auto" w:fill="auto"/>
            <w:noWrap/>
            <w:vAlign w:val="center"/>
            <w:hideMark/>
          </w:tcPr>
          <w:p w14:paraId="189E673E" w14:textId="0A178A6E" w:rsidR="001327AA" w:rsidRPr="00F260F5" w:rsidRDefault="001327AA" w:rsidP="00A75915">
            <w:pPr>
              <w:tabs>
                <w:tab w:val="left" w:pos="0"/>
              </w:tabs>
              <w:spacing w:line="240" w:lineRule="auto"/>
              <w:rPr>
                <w:rFonts w:ascii="Calibri" w:hAnsi="Calibri" w:cs="Calibri"/>
                <w:color w:val="000000"/>
                <w:szCs w:val="18"/>
              </w:rPr>
            </w:pPr>
            <w:r>
              <w:rPr>
                <w:rFonts w:ascii="Calibri" w:hAnsi="Calibri" w:cs="Calibri"/>
                <w:color w:val="000000"/>
                <w:szCs w:val="18"/>
              </w:rPr>
              <w:t>F</w:t>
            </w:r>
            <w:r w:rsidRPr="00F260F5">
              <w:rPr>
                <w:rFonts w:ascii="Calibri" w:hAnsi="Calibri" w:cs="Calibri"/>
                <w:color w:val="000000"/>
                <w:szCs w:val="18"/>
              </w:rPr>
              <w:t xml:space="preserve">acilities with </w:t>
            </w:r>
            <w:r w:rsidRPr="001327AA">
              <w:rPr>
                <w:rFonts w:ascii="Calibri" w:hAnsi="Calibri" w:cs="Calibri"/>
                <w:color w:val="000000"/>
                <w:szCs w:val="18"/>
                <w:u w:val="single"/>
              </w:rPr>
              <w:t>&gt;</w:t>
            </w:r>
            <w:r w:rsidRPr="00F260F5">
              <w:rPr>
                <w:rFonts w:ascii="Calibri" w:hAnsi="Calibri" w:cs="Calibri"/>
                <w:color w:val="000000"/>
                <w:szCs w:val="18"/>
              </w:rPr>
              <w:t xml:space="preserve"> </w:t>
            </w:r>
            <w:r>
              <w:rPr>
                <w:rFonts w:ascii="Calibri" w:hAnsi="Calibri" w:cs="Calibri"/>
                <w:color w:val="000000"/>
                <w:szCs w:val="18"/>
              </w:rPr>
              <w:t>75</w:t>
            </w:r>
            <w:r w:rsidRPr="00F260F5">
              <w:rPr>
                <w:rFonts w:ascii="Calibri" w:hAnsi="Calibri" w:cs="Calibri"/>
                <w:color w:val="000000"/>
                <w:szCs w:val="18"/>
              </w:rPr>
              <w:t xml:space="preserve"> discharges</w:t>
            </w:r>
          </w:p>
        </w:tc>
        <w:tc>
          <w:tcPr>
            <w:tcW w:w="978" w:type="dxa"/>
            <w:shd w:val="clear" w:color="auto" w:fill="auto"/>
            <w:noWrap/>
            <w:vAlign w:val="center"/>
          </w:tcPr>
          <w:p w14:paraId="0FEB82DA" w14:textId="38E366D7"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1,066</w:t>
            </w:r>
          </w:p>
        </w:tc>
        <w:tc>
          <w:tcPr>
            <w:tcW w:w="764" w:type="dxa"/>
            <w:shd w:val="clear" w:color="auto" w:fill="auto"/>
            <w:noWrap/>
            <w:vAlign w:val="center"/>
          </w:tcPr>
          <w:p w14:paraId="5907AA0E" w14:textId="68029464"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75.1%</w:t>
            </w:r>
          </w:p>
        </w:tc>
        <w:tc>
          <w:tcPr>
            <w:tcW w:w="764" w:type="dxa"/>
            <w:shd w:val="clear" w:color="auto" w:fill="auto"/>
            <w:noWrap/>
            <w:vAlign w:val="center"/>
          </w:tcPr>
          <w:p w14:paraId="1613B228" w14:textId="33A547F5"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34.8%</w:t>
            </w:r>
          </w:p>
        </w:tc>
        <w:tc>
          <w:tcPr>
            <w:tcW w:w="764" w:type="dxa"/>
            <w:shd w:val="clear" w:color="auto" w:fill="auto"/>
            <w:noWrap/>
            <w:vAlign w:val="center"/>
          </w:tcPr>
          <w:p w14:paraId="65864600" w14:textId="08D61C5F"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63.4%</w:t>
            </w:r>
          </w:p>
        </w:tc>
        <w:tc>
          <w:tcPr>
            <w:tcW w:w="764" w:type="dxa"/>
            <w:shd w:val="clear" w:color="auto" w:fill="auto"/>
            <w:noWrap/>
            <w:vAlign w:val="center"/>
          </w:tcPr>
          <w:p w14:paraId="6B173E88" w14:textId="18B710A8"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70.1%</w:t>
            </w:r>
          </w:p>
        </w:tc>
        <w:tc>
          <w:tcPr>
            <w:tcW w:w="918" w:type="dxa"/>
            <w:shd w:val="clear" w:color="auto" w:fill="auto"/>
            <w:noWrap/>
            <w:vAlign w:val="center"/>
          </w:tcPr>
          <w:p w14:paraId="75C6D506" w14:textId="5922E7AF"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76.2%</w:t>
            </w:r>
          </w:p>
        </w:tc>
        <w:tc>
          <w:tcPr>
            <w:tcW w:w="764" w:type="dxa"/>
            <w:shd w:val="clear" w:color="auto" w:fill="auto"/>
            <w:noWrap/>
            <w:vAlign w:val="center"/>
          </w:tcPr>
          <w:p w14:paraId="67E73D7D" w14:textId="29E0DFA4"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81.9%</w:t>
            </w:r>
          </w:p>
        </w:tc>
        <w:tc>
          <w:tcPr>
            <w:tcW w:w="764" w:type="dxa"/>
            <w:shd w:val="clear" w:color="auto" w:fill="auto"/>
            <w:noWrap/>
            <w:vAlign w:val="center"/>
          </w:tcPr>
          <w:p w14:paraId="79F1391E" w14:textId="703B82CA"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84.7%</w:t>
            </w:r>
          </w:p>
        </w:tc>
        <w:tc>
          <w:tcPr>
            <w:tcW w:w="987" w:type="dxa"/>
            <w:shd w:val="clear" w:color="auto" w:fill="auto"/>
            <w:noWrap/>
            <w:vAlign w:val="center"/>
          </w:tcPr>
          <w:p w14:paraId="677B4746" w14:textId="728C6F72"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94.3%</w:t>
            </w:r>
          </w:p>
        </w:tc>
        <w:tc>
          <w:tcPr>
            <w:tcW w:w="718" w:type="dxa"/>
            <w:shd w:val="clear" w:color="auto" w:fill="auto"/>
            <w:noWrap/>
            <w:vAlign w:val="center"/>
          </w:tcPr>
          <w:p w14:paraId="7F6A3A51" w14:textId="2B122B8D"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0.118</w:t>
            </w:r>
          </w:p>
        </w:tc>
      </w:tr>
      <w:tr w:rsidR="001327AA" w:rsidRPr="002942A6" w14:paraId="0760B923" w14:textId="77777777" w:rsidTr="001327AA">
        <w:trPr>
          <w:trHeight w:val="222"/>
          <w:jc w:val="center"/>
        </w:trPr>
        <w:tc>
          <w:tcPr>
            <w:tcW w:w="1158" w:type="dxa"/>
            <w:shd w:val="clear" w:color="auto" w:fill="F2F2F2" w:themeFill="background1" w:themeFillShade="F2"/>
            <w:noWrap/>
            <w:vAlign w:val="center"/>
            <w:hideMark/>
          </w:tcPr>
          <w:p w14:paraId="6C3C2D06" w14:textId="683B8C21" w:rsidR="001327AA" w:rsidRPr="00F260F5" w:rsidRDefault="001327AA" w:rsidP="00A75915">
            <w:pPr>
              <w:tabs>
                <w:tab w:val="left" w:pos="0"/>
              </w:tabs>
              <w:spacing w:line="240" w:lineRule="auto"/>
              <w:rPr>
                <w:rFonts w:ascii="Calibri" w:hAnsi="Calibri" w:cs="Calibri"/>
                <w:color w:val="000000"/>
                <w:szCs w:val="18"/>
              </w:rPr>
            </w:pPr>
            <w:r>
              <w:rPr>
                <w:rFonts w:ascii="Calibri" w:hAnsi="Calibri" w:cs="Calibri"/>
                <w:color w:val="000000"/>
                <w:szCs w:val="18"/>
              </w:rPr>
              <w:t>A</w:t>
            </w:r>
            <w:r w:rsidRPr="00F260F5">
              <w:rPr>
                <w:rFonts w:ascii="Calibri" w:hAnsi="Calibri" w:cs="Calibri"/>
                <w:color w:val="000000"/>
                <w:szCs w:val="18"/>
              </w:rPr>
              <w:t>ll facilities</w:t>
            </w:r>
          </w:p>
        </w:tc>
        <w:tc>
          <w:tcPr>
            <w:tcW w:w="978" w:type="dxa"/>
            <w:shd w:val="clear" w:color="auto" w:fill="F2F2F2" w:themeFill="background1" w:themeFillShade="F2"/>
            <w:noWrap/>
            <w:vAlign w:val="center"/>
          </w:tcPr>
          <w:p w14:paraId="5B983FE8" w14:textId="504E8B56" w:rsidR="001327AA" w:rsidRPr="003F31FB" w:rsidRDefault="001327AA" w:rsidP="00A75915">
            <w:pPr>
              <w:tabs>
                <w:tab w:val="left" w:pos="0"/>
              </w:tabs>
              <w:spacing w:line="240" w:lineRule="auto"/>
              <w:jc w:val="center"/>
              <w:rPr>
                <w:rFonts w:ascii="Calibri" w:hAnsi="Calibri" w:cs="Calibri"/>
                <w:color w:val="000000"/>
                <w:szCs w:val="18"/>
              </w:rPr>
            </w:pPr>
            <w:r w:rsidRPr="003F31FB">
              <w:rPr>
                <w:rFonts w:ascii="Calibri" w:hAnsi="Calibri" w:cs="Calibri"/>
                <w:color w:val="000000"/>
                <w:szCs w:val="18"/>
              </w:rPr>
              <w:t>1,680</w:t>
            </w:r>
          </w:p>
        </w:tc>
        <w:tc>
          <w:tcPr>
            <w:tcW w:w="764" w:type="dxa"/>
            <w:shd w:val="clear" w:color="auto" w:fill="F2F2F2" w:themeFill="background1" w:themeFillShade="F2"/>
            <w:noWrap/>
            <w:vAlign w:val="center"/>
          </w:tcPr>
          <w:p w14:paraId="7AD88384" w14:textId="276DE091" w:rsidR="001327AA" w:rsidRPr="003F31FB" w:rsidRDefault="001327AA" w:rsidP="00A75915">
            <w:pPr>
              <w:tabs>
                <w:tab w:val="left" w:pos="0"/>
              </w:tabs>
              <w:spacing w:line="240" w:lineRule="auto"/>
              <w:jc w:val="center"/>
              <w:rPr>
                <w:rFonts w:ascii="Calibri" w:hAnsi="Calibri" w:cs="Calibri"/>
                <w:color w:val="000000"/>
                <w:szCs w:val="18"/>
              </w:rPr>
            </w:pPr>
            <w:r w:rsidRPr="003F31FB">
              <w:rPr>
                <w:rFonts w:ascii="Calibri" w:hAnsi="Calibri" w:cs="Calibri"/>
                <w:color w:val="000000"/>
                <w:szCs w:val="18"/>
              </w:rPr>
              <w:t>75.0%</w:t>
            </w:r>
          </w:p>
        </w:tc>
        <w:tc>
          <w:tcPr>
            <w:tcW w:w="764" w:type="dxa"/>
            <w:shd w:val="clear" w:color="auto" w:fill="F2F2F2" w:themeFill="background1" w:themeFillShade="F2"/>
            <w:noWrap/>
            <w:vAlign w:val="center"/>
          </w:tcPr>
          <w:p w14:paraId="5F3A4FCB" w14:textId="0C756175"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0.0%</w:t>
            </w:r>
          </w:p>
        </w:tc>
        <w:tc>
          <w:tcPr>
            <w:tcW w:w="764" w:type="dxa"/>
            <w:shd w:val="clear" w:color="auto" w:fill="F2F2F2" w:themeFill="background1" w:themeFillShade="F2"/>
            <w:noWrap/>
            <w:vAlign w:val="center"/>
          </w:tcPr>
          <w:p w14:paraId="2B64BF70" w14:textId="267223C5"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61.8%</w:t>
            </w:r>
          </w:p>
        </w:tc>
        <w:tc>
          <w:tcPr>
            <w:tcW w:w="764" w:type="dxa"/>
            <w:shd w:val="clear" w:color="auto" w:fill="F2F2F2" w:themeFill="background1" w:themeFillShade="F2"/>
            <w:noWrap/>
            <w:vAlign w:val="center"/>
          </w:tcPr>
          <w:p w14:paraId="4C11401D" w14:textId="6F06F173"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70.0%</w:t>
            </w:r>
          </w:p>
        </w:tc>
        <w:tc>
          <w:tcPr>
            <w:tcW w:w="918" w:type="dxa"/>
            <w:shd w:val="clear" w:color="auto" w:fill="F2F2F2" w:themeFill="background1" w:themeFillShade="F2"/>
            <w:noWrap/>
            <w:vAlign w:val="center"/>
          </w:tcPr>
          <w:p w14:paraId="4CD587F4" w14:textId="29307734"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76.8%</w:t>
            </w:r>
          </w:p>
        </w:tc>
        <w:tc>
          <w:tcPr>
            <w:tcW w:w="764" w:type="dxa"/>
            <w:shd w:val="clear" w:color="auto" w:fill="F2F2F2" w:themeFill="background1" w:themeFillShade="F2"/>
            <w:noWrap/>
            <w:vAlign w:val="center"/>
          </w:tcPr>
          <w:p w14:paraId="36CD794D" w14:textId="30E45A45"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82.6%</w:t>
            </w:r>
          </w:p>
        </w:tc>
        <w:tc>
          <w:tcPr>
            <w:tcW w:w="764" w:type="dxa"/>
            <w:shd w:val="clear" w:color="auto" w:fill="F2F2F2" w:themeFill="background1" w:themeFillShade="F2"/>
            <w:noWrap/>
            <w:vAlign w:val="center"/>
          </w:tcPr>
          <w:p w14:paraId="12ADB1E0" w14:textId="10A190DB"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87.5%</w:t>
            </w:r>
          </w:p>
        </w:tc>
        <w:tc>
          <w:tcPr>
            <w:tcW w:w="987" w:type="dxa"/>
            <w:shd w:val="clear" w:color="auto" w:fill="F2F2F2" w:themeFill="background1" w:themeFillShade="F2"/>
            <w:noWrap/>
            <w:vAlign w:val="center"/>
          </w:tcPr>
          <w:p w14:paraId="4F409CEF" w14:textId="48A7226A"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100.00%</w:t>
            </w:r>
          </w:p>
        </w:tc>
        <w:tc>
          <w:tcPr>
            <w:tcW w:w="718" w:type="dxa"/>
            <w:shd w:val="clear" w:color="auto" w:fill="F2F2F2" w:themeFill="background1" w:themeFillShade="F2"/>
            <w:noWrap/>
            <w:vAlign w:val="center"/>
          </w:tcPr>
          <w:p w14:paraId="7CD1601A" w14:textId="7AA5EB54" w:rsidR="001327AA" w:rsidRPr="003F31FB" w:rsidRDefault="001327AA" w:rsidP="00A75915">
            <w:pPr>
              <w:tabs>
                <w:tab w:val="left" w:pos="0"/>
              </w:tabs>
              <w:spacing w:line="240" w:lineRule="auto"/>
              <w:jc w:val="center"/>
              <w:rPr>
                <w:rFonts w:ascii="Calibri" w:hAnsi="Calibri" w:cs="Calibri"/>
                <w:color w:val="000000"/>
                <w:szCs w:val="18"/>
              </w:rPr>
            </w:pPr>
            <w:r>
              <w:rPr>
                <w:rFonts w:ascii="Calibri" w:hAnsi="Calibri" w:cs="Calibri"/>
                <w:color w:val="000000"/>
                <w:szCs w:val="18"/>
              </w:rPr>
              <w:t>0.126</w:t>
            </w:r>
          </w:p>
        </w:tc>
      </w:tr>
    </w:tbl>
    <w:p w14:paraId="1A6220E0" w14:textId="4CAAA2D6" w:rsidR="00A75915" w:rsidRPr="001327AA" w:rsidRDefault="00A75915" w:rsidP="001327AA">
      <w:pPr>
        <w:rPr>
          <w:rFonts w:ascii="Calibri" w:eastAsia="Calibri" w:hAnsi="Calibri" w:cs="Calibri"/>
          <w:color w:val="FF0000"/>
          <w:sz w:val="18"/>
          <w:szCs w:val="18"/>
        </w:rPr>
      </w:pPr>
      <w:r w:rsidRPr="003A3DF6">
        <w:rPr>
          <w:rFonts w:ascii="Calibri" w:eastAsia="Calibri" w:hAnsi="Calibri" w:cs="Calibri"/>
          <w:color w:val="FF0000"/>
          <w:sz w:val="18"/>
          <w:szCs w:val="18"/>
        </w:rPr>
        <w:t xml:space="preserve">Source: Mathematica analysis of Medicare </w:t>
      </w:r>
      <w:r w:rsidR="007E07FC">
        <w:rPr>
          <w:rFonts w:ascii="Calibri" w:eastAsia="Calibri" w:hAnsi="Calibri" w:cs="Calibri"/>
          <w:color w:val="FF0000"/>
          <w:sz w:val="18"/>
          <w:szCs w:val="18"/>
        </w:rPr>
        <w:t>f</w:t>
      </w:r>
      <w:r w:rsidR="007E07FC" w:rsidRPr="003A3DF6">
        <w:rPr>
          <w:rFonts w:ascii="Calibri" w:eastAsia="Calibri" w:hAnsi="Calibri" w:cs="Calibri"/>
          <w:color w:val="FF0000"/>
          <w:sz w:val="18"/>
          <w:szCs w:val="18"/>
        </w:rPr>
        <w:t>ee</w:t>
      </w:r>
      <w:r w:rsidR="007E07FC">
        <w:rPr>
          <w:rFonts w:ascii="Calibri" w:eastAsia="Calibri" w:hAnsi="Calibri" w:cs="Calibri"/>
          <w:color w:val="FF0000"/>
          <w:sz w:val="18"/>
          <w:szCs w:val="18"/>
        </w:rPr>
        <w:t>-</w:t>
      </w:r>
      <w:r w:rsidRPr="003A3DF6">
        <w:rPr>
          <w:rFonts w:ascii="Calibri" w:eastAsia="Calibri" w:hAnsi="Calibri" w:cs="Calibri"/>
          <w:color w:val="FF0000"/>
          <w:sz w:val="18"/>
          <w:szCs w:val="18"/>
        </w:rPr>
        <w:t>for</w:t>
      </w:r>
      <w:r w:rsidR="007E07FC">
        <w:rPr>
          <w:rFonts w:ascii="Calibri" w:eastAsia="Calibri" w:hAnsi="Calibri" w:cs="Calibri"/>
          <w:color w:val="FF0000"/>
          <w:sz w:val="18"/>
          <w:szCs w:val="18"/>
        </w:rPr>
        <w:t>-s</w:t>
      </w:r>
      <w:r w:rsidRPr="003A3DF6">
        <w:rPr>
          <w:rFonts w:ascii="Calibri" w:eastAsia="Calibri" w:hAnsi="Calibri" w:cs="Calibri"/>
          <w:color w:val="FF0000"/>
          <w:sz w:val="18"/>
          <w:szCs w:val="18"/>
        </w:rPr>
        <w:t xml:space="preserve">ervice (FFS) data for the </w:t>
      </w:r>
      <w:r w:rsidR="00405727" w:rsidRPr="003A3DF6">
        <w:rPr>
          <w:rFonts w:ascii="Calibri" w:eastAsia="Calibri" w:hAnsi="Calibri" w:cs="Calibri"/>
          <w:color w:val="FF0000"/>
          <w:sz w:val="18"/>
          <w:szCs w:val="18"/>
        </w:rPr>
        <w:t>July 1, 2017</w:t>
      </w:r>
      <w:r w:rsidR="007E07FC">
        <w:rPr>
          <w:rFonts w:ascii="Calibri" w:eastAsia="Calibri" w:hAnsi="Calibri" w:cs="Calibri"/>
          <w:color w:val="FF0000"/>
          <w:sz w:val="18"/>
          <w:szCs w:val="18"/>
        </w:rPr>
        <w:t>–</w:t>
      </w:r>
      <w:r w:rsidR="00405727" w:rsidRPr="003A3DF6">
        <w:rPr>
          <w:rFonts w:ascii="Calibri" w:eastAsia="Calibri" w:hAnsi="Calibri" w:cs="Calibri"/>
          <w:color w:val="FF0000"/>
          <w:sz w:val="18"/>
          <w:szCs w:val="18"/>
        </w:rPr>
        <w:t xml:space="preserve"> June 30, 2019</w:t>
      </w:r>
      <w:r w:rsidR="00EE23D6" w:rsidRPr="003A3DF6">
        <w:rPr>
          <w:rFonts w:ascii="Calibri" w:eastAsia="Calibri" w:hAnsi="Calibri" w:cs="Calibri"/>
          <w:color w:val="FF0000"/>
          <w:sz w:val="18"/>
          <w:szCs w:val="18"/>
        </w:rPr>
        <w:t xml:space="preserve"> </w:t>
      </w:r>
      <w:r w:rsidRPr="003A3DF6">
        <w:rPr>
          <w:rFonts w:ascii="Calibri" w:eastAsia="Calibri" w:hAnsi="Calibri" w:cs="Calibri"/>
          <w:color w:val="FF0000"/>
          <w:sz w:val="18"/>
          <w:szCs w:val="18"/>
        </w:rPr>
        <w:t>performance period.</w:t>
      </w:r>
    </w:p>
    <w:p w14:paraId="28C1B32C" w14:textId="77777777" w:rsidR="00786B78" w:rsidRPr="003A3DF6" w:rsidRDefault="00786B78" w:rsidP="00786B78">
      <w:pPr>
        <w:tabs>
          <w:tab w:val="left" w:pos="0"/>
        </w:tabs>
        <w:spacing w:line="240" w:lineRule="auto"/>
        <w:rPr>
          <w:rFonts w:cstheme="minorHAnsi"/>
          <w:color w:val="FF0000"/>
        </w:rPr>
      </w:pPr>
      <w:r w:rsidRPr="003A3DF6">
        <w:rPr>
          <w:rFonts w:cstheme="minorHAnsi"/>
          <w:color w:val="FF0000"/>
        </w:rPr>
        <w:lastRenderedPageBreak/>
        <w:t xml:space="preserve">Of the 1,066 facilities, </w:t>
      </w:r>
      <w:r>
        <w:rPr>
          <w:rFonts w:cstheme="minorHAnsi"/>
          <w:color w:val="FF0000"/>
        </w:rPr>
        <w:t>21</w:t>
      </w:r>
      <w:r w:rsidRPr="003A3DF6">
        <w:rPr>
          <w:rFonts w:cstheme="minorHAnsi"/>
          <w:color w:val="FF0000"/>
        </w:rPr>
        <w:t>% (N=2</w:t>
      </w:r>
      <w:r>
        <w:rPr>
          <w:rFonts w:cstheme="minorHAnsi"/>
          <w:color w:val="FF0000"/>
        </w:rPr>
        <w:t>28</w:t>
      </w:r>
      <w:r w:rsidRPr="003A3DF6">
        <w:rPr>
          <w:rFonts w:cstheme="minorHAnsi"/>
          <w:color w:val="FF0000"/>
        </w:rPr>
        <w:t xml:space="preserve">) were statistically significantly worse than average and </w:t>
      </w:r>
      <w:r>
        <w:rPr>
          <w:rFonts w:cstheme="minorHAnsi"/>
          <w:color w:val="FF0000"/>
        </w:rPr>
        <w:t>27</w:t>
      </w:r>
      <w:r w:rsidRPr="003A3DF6">
        <w:rPr>
          <w:rFonts w:cstheme="minorHAnsi"/>
          <w:color w:val="FF0000"/>
        </w:rPr>
        <w:t>% (N=</w:t>
      </w:r>
      <w:r>
        <w:rPr>
          <w:rFonts w:cstheme="minorHAnsi"/>
          <w:color w:val="FF0000"/>
        </w:rPr>
        <w:t>283</w:t>
      </w:r>
      <w:r w:rsidRPr="003A3DF6">
        <w:rPr>
          <w:rFonts w:cstheme="minorHAnsi"/>
          <w:color w:val="FF0000"/>
        </w:rPr>
        <w:t xml:space="preserve">) were better than average. </w:t>
      </w:r>
    </w:p>
    <w:p w14:paraId="75ED0F6D" w14:textId="2F82510C" w:rsidR="00A75915" w:rsidRPr="003A3DF6" w:rsidRDefault="001327AA" w:rsidP="00A75915">
      <w:pPr>
        <w:tabs>
          <w:tab w:val="left" w:pos="0"/>
        </w:tabs>
        <w:spacing w:line="240" w:lineRule="auto"/>
        <w:rPr>
          <w:rFonts w:cstheme="minorHAnsi"/>
          <w:b/>
          <w:color w:val="FF0000"/>
        </w:rPr>
      </w:pPr>
      <w:r w:rsidRPr="003A3DF6">
        <w:rPr>
          <w:rFonts w:cstheme="minorHAnsi"/>
          <w:b/>
          <w:color w:val="FF0000"/>
        </w:rPr>
        <w:t xml:space="preserve">Table </w:t>
      </w:r>
      <w:r w:rsidRPr="00341BB4">
        <w:rPr>
          <w:rFonts w:cstheme="minorHAnsi"/>
          <w:b/>
          <w:bCs/>
          <w:color w:val="FF0000"/>
        </w:rPr>
        <w:t>2b4.2</w:t>
      </w:r>
      <w:r>
        <w:rPr>
          <w:rFonts w:cstheme="minorHAnsi"/>
          <w:b/>
          <w:bCs/>
          <w:color w:val="FF0000"/>
        </w:rPr>
        <w:t>-B</w:t>
      </w:r>
      <w:r w:rsidR="00A75915" w:rsidRPr="003A3DF6">
        <w:rPr>
          <w:rFonts w:cstheme="minorHAnsi"/>
          <w:b/>
          <w:color w:val="FF0000"/>
        </w:rPr>
        <w:t>. Performance distribution of facilities on the FAPH measure relative to the sample average</w:t>
      </w:r>
    </w:p>
    <w:tbl>
      <w:tblPr>
        <w:tblW w:w="6867" w:type="dxa"/>
        <w:tblLook w:val="04A0" w:firstRow="1" w:lastRow="0" w:firstColumn="1" w:lastColumn="0" w:noHBand="0" w:noVBand="1"/>
      </w:tblPr>
      <w:tblGrid>
        <w:gridCol w:w="3420"/>
        <w:gridCol w:w="2070"/>
        <w:gridCol w:w="1377"/>
      </w:tblGrid>
      <w:tr w:rsidR="009E4193" w:rsidRPr="007C1289" w14:paraId="1E5EC38E" w14:textId="77777777" w:rsidTr="00786B78">
        <w:trPr>
          <w:trHeight w:val="285"/>
        </w:trPr>
        <w:tc>
          <w:tcPr>
            <w:tcW w:w="3420" w:type="dxa"/>
            <w:tcBorders>
              <w:top w:val="nil"/>
              <w:left w:val="single" w:sz="4" w:space="0" w:color="auto"/>
              <w:bottom w:val="nil"/>
              <w:right w:val="nil"/>
            </w:tcBorders>
            <w:shd w:val="clear" w:color="auto" w:fill="7F7F7F" w:themeFill="text1" w:themeFillTint="80"/>
            <w:vAlign w:val="center"/>
            <w:hideMark/>
          </w:tcPr>
          <w:p w14:paraId="3ADC8DCD" w14:textId="31E24760" w:rsidR="009E4193" w:rsidRPr="006C3B9F" w:rsidRDefault="009E4193" w:rsidP="00A75915">
            <w:pPr>
              <w:tabs>
                <w:tab w:val="left" w:pos="0"/>
              </w:tabs>
              <w:spacing w:line="240" w:lineRule="auto"/>
              <w:rPr>
                <w:rFonts w:cstheme="minorHAnsi"/>
                <w:color w:val="FFFFFF" w:themeColor="background1"/>
              </w:rPr>
            </w:pPr>
            <w:r>
              <w:rPr>
                <w:rFonts w:cstheme="minorHAnsi"/>
                <w:color w:val="FFFFFF" w:themeColor="background1"/>
              </w:rPr>
              <w:t>Performance group</w:t>
            </w:r>
          </w:p>
        </w:tc>
        <w:tc>
          <w:tcPr>
            <w:tcW w:w="2070" w:type="dxa"/>
            <w:tcBorders>
              <w:top w:val="nil"/>
              <w:left w:val="nil"/>
              <w:bottom w:val="nil"/>
              <w:right w:val="nil"/>
            </w:tcBorders>
            <w:shd w:val="clear" w:color="auto" w:fill="7F7F7F" w:themeFill="text1" w:themeFillTint="80"/>
            <w:noWrap/>
            <w:vAlign w:val="bottom"/>
            <w:hideMark/>
          </w:tcPr>
          <w:p w14:paraId="3A38BFD9" w14:textId="77777777" w:rsidR="009E4193" w:rsidRPr="006C3B9F" w:rsidRDefault="009E4193" w:rsidP="00A75915">
            <w:pPr>
              <w:tabs>
                <w:tab w:val="left" w:pos="0"/>
              </w:tabs>
              <w:spacing w:line="240" w:lineRule="auto"/>
              <w:rPr>
                <w:rFonts w:cstheme="minorHAnsi"/>
                <w:color w:val="FFFFFF" w:themeColor="background1"/>
              </w:rPr>
            </w:pPr>
            <w:r w:rsidRPr="006C3B9F">
              <w:rPr>
                <w:rFonts w:cstheme="minorHAnsi"/>
                <w:color w:val="FFFFFF" w:themeColor="background1"/>
              </w:rPr>
              <w:t>N and % of facilities</w:t>
            </w:r>
          </w:p>
        </w:tc>
        <w:tc>
          <w:tcPr>
            <w:tcW w:w="1377" w:type="dxa"/>
            <w:tcBorders>
              <w:top w:val="nil"/>
              <w:left w:val="nil"/>
              <w:bottom w:val="nil"/>
              <w:right w:val="nil"/>
            </w:tcBorders>
            <w:shd w:val="clear" w:color="auto" w:fill="7F7F7F" w:themeFill="text1" w:themeFillTint="80"/>
            <w:noWrap/>
            <w:vAlign w:val="bottom"/>
            <w:hideMark/>
          </w:tcPr>
          <w:p w14:paraId="2E24C186" w14:textId="764ECDDD" w:rsidR="009E4193" w:rsidRPr="006C3B9F" w:rsidRDefault="009E4193" w:rsidP="00A75915">
            <w:pPr>
              <w:tabs>
                <w:tab w:val="left" w:pos="0"/>
              </w:tabs>
              <w:spacing w:line="240" w:lineRule="auto"/>
              <w:rPr>
                <w:rFonts w:cstheme="minorHAnsi"/>
                <w:color w:val="FFFFFF" w:themeColor="background1"/>
              </w:rPr>
            </w:pPr>
            <w:r w:rsidRPr="006C3B9F">
              <w:rPr>
                <w:rFonts w:cstheme="minorHAnsi"/>
                <w:color w:val="FFFFFF" w:themeColor="background1"/>
              </w:rPr>
              <w:t>Mean</w:t>
            </w:r>
            <w:r w:rsidR="006A4721">
              <w:rPr>
                <w:rFonts w:cstheme="minorHAnsi"/>
                <w:color w:val="FFFFFF" w:themeColor="background1"/>
              </w:rPr>
              <w:t xml:space="preserve"> performance</w:t>
            </w:r>
            <w:r w:rsidRPr="006C3B9F">
              <w:rPr>
                <w:rFonts w:cstheme="minorHAnsi"/>
                <w:color w:val="FFFFFF" w:themeColor="background1"/>
              </w:rPr>
              <w:t xml:space="preserve"> rate</w:t>
            </w:r>
          </w:p>
        </w:tc>
      </w:tr>
      <w:tr w:rsidR="00786B78" w:rsidRPr="007C1289" w14:paraId="20BB6CB6" w14:textId="77777777" w:rsidTr="00786B78">
        <w:trPr>
          <w:trHeight w:val="285"/>
        </w:trPr>
        <w:tc>
          <w:tcPr>
            <w:tcW w:w="3420" w:type="dxa"/>
            <w:tcBorders>
              <w:top w:val="nil"/>
              <w:left w:val="single" w:sz="4" w:space="0" w:color="auto"/>
              <w:bottom w:val="nil"/>
              <w:right w:val="nil"/>
            </w:tcBorders>
            <w:shd w:val="clear" w:color="auto" w:fill="auto"/>
            <w:noWrap/>
            <w:vAlign w:val="bottom"/>
            <w:hideMark/>
          </w:tcPr>
          <w:p w14:paraId="3480F162" w14:textId="038CDCB8" w:rsidR="00786B78" w:rsidRPr="006C3B9F" w:rsidRDefault="00786B78" w:rsidP="00786B78">
            <w:pPr>
              <w:tabs>
                <w:tab w:val="left" w:pos="0"/>
              </w:tabs>
              <w:spacing w:line="240" w:lineRule="auto"/>
              <w:rPr>
                <w:rFonts w:cstheme="minorHAnsi"/>
                <w:color w:val="000000"/>
              </w:rPr>
            </w:pPr>
            <w:r w:rsidRPr="006C3B9F">
              <w:rPr>
                <w:rFonts w:cstheme="minorHAnsi"/>
                <w:color w:val="000000"/>
              </w:rPr>
              <w:t xml:space="preserve">Worse than the </w:t>
            </w:r>
            <w:r>
              <w:rPr>
                <w:rFonts w:cstheme="minorHAnsi"/>
                <w:color w:val="000000"/>
              </w:rPr>
              <w:t>n</w:t>
            </w:r>
            <w:r w:rsidRPr="006C3B9F">
              <w:rPr>
                <w:rFonts w:cstheme="minorHAnsi"/>
                <w:color w:val="000000"/>
              </w:rPr>
              <w:t xml:space="preserve">ational </w:t>
            </w:r>
            <w:r>
              <w:rPr>
                <w:rFonts w:cstheme="minorHAnsi"/>
                <w:color w:val="000000"/>
              </w:rPr>
              <w:t>r</w:t>
            </w:r>
            <w:r w:rsidRPr="006C3B9F">
              <w:rPr>
                <w:rFonts w:cstheme="minorHAnsi"/>
                <w:color w:val="000000"/>
              </w:rPr>
              <w:t>ate</w:t>
            </w:r>
          </w:p>
        </w:tc>
        <w:tc>
          <w:tcPr>
            <w:tcW w:w="2070" w:type="dxa"/>
            <w:tcBorders>
              <w:top w:val="nil"/>
              <w:left w:val="nil"/>
              <w:bottom w:val="nil"/>
              <w:right w:val="nil"/>
            </w:tcBorders>
            <w:shd w:val="clear" w:color="auto" w:fill="auto"/>
            <w:noWrap/>
            <w:vAlign w:val="bottom"/>
            <w:hideMark/>
          </w:tcPr>
          <w:p w14:paraId="51B90B6D" w14:textId="436399A5" w:rsidR="00786B78" w:rsidRPr="006C3B9F" w:rsidRDefault="00786B78" w:rsidP="00786B78">
            <w:pPr>
              <w:tabs>
                <w:tab w:val="left" w:pos="0"/>
              </w:tabs>
              <w:spacing w:line="240" w:lineRule="auto"/>
              <w:jc w:val="center"/>
              <w:rPr>
                <w:rFonts w:cstheme="minorHAnsi"/>
                <w:color w:val="000000"/>
              </w:rPr>
            </w:pPr>
            <w:r w:rsidRPr="00B953A6">
              <w:rPr>
                <w:rFonts w:cstheme="minorHAnsi"/>
                <w:color w:val="000000"/>
                <w:sz w:val="20"/>
                <w:szCs w:val="20"/>
              </w:rPr>
              <w:t>228 (21%)</w:t>
            </w:r>
          </w:p>
        </w:tc>
        <w:tc>
          <w:tcPr>
            <w:tcW w:w="1377" w:type="dxa"/>
            <w:tcBorders>
              <w:top w:val="nil"/>
              <w:left w:val="nil"/>
              <w:bottom w:val="nil"/>
              <w:right w:val="nil"/>
            </w:tcBorders>
            <w:shd w:val="clear" w:color="auto" w:fill="auto"/>
            <w:noWrap/>
            <w:vAlign w:val="bottom"/>
            <w:hideMark/>
          </w:tcPr>
          <w:p w14:paraId="42F831BC" w14:textId="7C24D140" w:rsidR="00786B78" w:rsidRPr="006C3B9F" w:rsidRDefault="00786B78" w:rsidP="00786B78">
            <w:pPr>
              <w:tabs>
                <w:tab w:val="left" w:pos="0"/>
              </w:tabs>
              <w:spacing w:line="240" w:lineRule="auto"/>
              <w:jc w:val="center"/>
              <w:rPr>
                <w:rFonts w:cstheme="minorHAnsi"/>
                <w:color w:val="000000"/>
              </w:rPr>
            </w:pPr>
            <w:r>
              <w:rPr>
                <w:rFonts w:cstheme="minorHAnsi"/>
                <w:color w:val="000000"/>
              </w:rPr>
              <w:t>63</w:t>
            </w:r>
            <w:r w:rsidRPr="006C3B9F">
              <w:rPr>
                <w:rFonts w:cstheme="minorHAnsi"/>
                <w:color w:val="000000"/>
              </w:rPr>
              <w:t>%</w:t>
            </w:r>
          </w:p>
        </w:tc>
      </w:tr>
      <w:tr w:rsidR="00786B78" w:rsidRPr="007C1289" w14:paraId="2976A65C" w14:textId="77777777" w:rsidTr="00786B78">
        <w:trPr>
          <w:trHeight w:val="285"/>
        </w:trPr>
        <w:tc>
          <w:tcPr>
            <w:tcW w:w="3420" w:type="dxa"/>
            <w:tcBorders>
              <w:top w:val="nil"/>
              <w:left w:val="single" w:sz="4" w:space="0" w:color="auto"/>
              <w:right w:val="nil"/>
            </w:tcBorders>
            <w:shd w:val="clear" w:color="auto" w:fill="F2F2F2" w:themeFill="background1" w:themeFillShade="F2"/>
            <w:noWrap/>
            <w:vAlign w:val="bottom"/>
            <w:hideMark/>
          </w:tcPr>
          <w:p w14:paraId="51464C5F" w14:textId="20C166BE" w:rsidR="00786B78" w:rsidRPr="006C3B9F" w:rsidRDefault="00786B78" w:rsidP="00786B78">
            <w:pPr>
              <w:tabs>
                <w:tab w:val="left" w:pos="0"/>
              </w:tabs>
              <w:spacing w:line="240" w:lineRule="auto"/>
              <w:rPr>
                <w:rFonts w:cstheme="minorHAnsi"/>
                <w:color w:val="000000"/>
              </w:rPr>
            </w:pPr>
            <w:r w:rsidRPr="006C3B9F">
              <w:rPr>
                <w:rFonts w:cstheme="minorHAnsi"/>
                <w:color w:val="000000"/>
              </w:rPr>
              <w:t xml:space="preserve">No different than the </w:t>
            </w:r>
            <w:r>
              <w:rPr>
                <w:rFonts w:cstheme="minorHAnsi"/>
                <w:color w:val="000000"/>
              </w:rPr>
              <w:t>n</w:t>
            </w:r>
            <w:r w:rsidRPr="006C3B9F">
              <w:rPr>
                <w:rFonts w:cstheme="minorHAnsi"/>
                <w:color w:val="000000"/>
              </w:rPr>
              <w:t xml:space="preserve">ational </w:t>
            </w:r>
            <w:r>
              <w:rPr>
                <w:rFonts w:cstheme="minorHAnsi"/>
                <w:color w:val="000000"/>
              </w:rPr>
              <w:t>r</w:t>
            </w:r>
            <w:r w:rsidRPr="006C3B9F">
              <w:rPr>
                <w:rFonts w:cstheme="minorHAnsi"/>
                <w:color w:val="000000"/>
              </w:rPr>
              <w:t>ate</w:t>
            </w:r>
          </w:p>
        </w:tc>
        <w:tc>
          <w:tcPr>
            <w:tcW w:w="2070" w:type="dxa"/>
            <w:tcBorders>
              <w:top w:val="nil"/>
              <w:left w:val="nil"/>
              <w:right w:val="nil"/>
            </w:tcBorders>
            <w:shd w:val="clear" w:color="auto" w:fill="F2F2F2" w:themeFill="background1" w:themeFillShade="F2"/>
            <w:noWrap/>
            <w:vAlign w:val="bottom"/>
          </w:tcPr>
          <w:p w14:paraId="10ECB294" w14:textId="260478B9" w:rsidR="00786B78" w:rsidRPr="006C3B9F" w:rsidRDefault="00786B78" w:rsidP="00786B78">
            <w:pPr>
              <w:tabs>
                <w:tab w:val="left" w:pos="0"/>
              </w:tabs>
              <w:spacing w:line="240" w:lineRule="auto"/>
              <w:jc w:val="center"/>
              <w:rPr>
                <w:rFonts w:cstheme="minorHAnsi"/>
                <w:color w:val="000000"/>
              </w:rPr>
            </w:pPr>
            <w:r w:rsidRPr="00B953A6">
              <w:rPr>
                <w:rFonts w:cstheme="minorHAnsi"/>
                <w:color w:val="000000"/>
                <w:sz w:val="20"/>
                <w:szCs w:val="20"/>
              </w:rPr>
              <w:t>555 (52%)</w:t>
            </w:r>
          </w:p>
        </w:tc>
        <w:tc>
          <w:tcPr>
            <w:tcW w:w="1377" w:type="dxa"/>
            <w:tcBorders>
              <w:top w:val="nil"/>
              <w:left w:val="nil"/>
              <w:right w:val="nil"/>
            </w:tcBorders>
            <w:shd w:val="clear" w:color="auto" w:fill="F2F2F2" w:themeFill="background1" w:themeFillShade="F2"/>
            <w:noWrap/>
            <w:vAlign w:val="bottom"/>
          </w:tcPr>
          <w:p w14:paraId="638B97FA" w14:textId="24B9A7DA" w:rsidR="00786B78" w:rsidRPr="006C3B9F" w:rsidRDefault="00786B78" w:rsidP="00786B78">
            <w:pPr>
              <w:tabs>
                <w:tab w:val="left" w:pos="0"/>
              </w:tabs>
              <w:spacing w:line="240" w:lineRule="auto"/>
              <w:jc w:val="center"/>
              <w:rPr>
                <w:rFonts w:cstheme="minorHAnsi"/>
                <w:color w:val="000000"/>
              </w:rPr>
            </w:pPr>
            <w:r>
              <w:rPr>
                <w:rFonts w:cstheme="minorHAnsi"/>
                <w:color w:val="000000"/>
              </w:rPr>
              <w:t>75%</w:t>
            </w:r>
          </w:p>
        </w:tc>
      </w:tr>
      <w:tr w:rsidR="00786B78" w:rsidRPr="007C1289" w14:paraId="2722AAED" w14:textId="77777777" w:rsidTr="00786B78">
        <w:trPr>
          <w:trHeight w:val="285"/>
        </w:trPr>
        <w:tc>
          <w:tcPr>
            <w:tcW w:w="3420" w:type="dxa"/>
            <w:tcBorders>
              <w:top w:val="nil"/>
              <w:left w:val="single" w:sz="4" w:space="0" w:color="auto"/>
              <w:bottom w:val="dotted" w:sz="4" w:space="0" w:color="auto"/>
              <w:right w:val="nil"/>
            </w:tcBorders>
            <w:shd w:val="clear" w:color="auto" w:fill="auto"/>
            <w:noWrap/>
            <w:vAlign w:val="bottom"/>
          </w:tcPr>
          <w:p w14:paraId="47D8D2EA" w14:textId="4DD17BB7" w:rsidR="00786B78" w:rsidRPr="006C3B9F" w:rsidRDefault="00786B78" w:rsidP="00786B78">
            <w:pPr>
              <w:tabs>
                <w:tab w:val="left" w:pos="0"/>
              </w:tabs>
              <w:spacing w:line="240" w:lineRule="auto"/>
              <w:rPr>
                <w:rFonts w:cstheme="minorHAnsi"/>
                <w:color w:val="000000"/>
              </w:rPr>
            </w:pPr>
            <w:r w:rsidRPr="006C3B9F">
              <w:rPr>
                <w:rFonts w:cstheme="minorHAnsi"/>
                <w:color w:val="000000"/>
              </w:rPr>
              <w:t xml:space="preserve">Better than the </w:t>
            </w:r>
            <w:r>
              <w:rPr>
                <w:rFonts w:cstheme="minorHAnsi"/>
                <w:color w:val="000000"/>
              </w:rPr>
              <w:t>n</w:t>
            </w:r>
            <w:r w:rsidRPr="006C3B9F">
              <w:rPr>
                <w:rFonts w:cstheme="minorHAnsi"/>
                <w:color w:val="000000"/>
              </w:rPr>
              <w:t xml:space="preserve">ational </w:t>
            </w:r>
            <w:r>
              <w:rPr>
                <w:rFonts w:cstheme="minorHAnsi"/>
                <w:color w:val="000000"/>
              </w:rPr>
              <w:t>r</w:t>
            </w:r>
            <w:r w:rsidRPr="006C3B9F">
              <w:rPr>
                <w:rFonts w:cstheme="minorHAnsi"/>
                <w:color w:val="000000"/>
              </w:rPr>
              <w:t>ate</w:t>
            </w:r>
          </w:p>
        </w:tc>
        <w:tc>
          <w:tcPr>
            <w:tcW w:w="2070" w:type="dxa"/>
            <w:tcBorders>
              <w:top w:val="nil"/>
              <w:left w:val="nil"/>
              <w:bottom w:val="dotted" w:sz="4" w:space="0" w:color="auto"/>
              <w:right w:val="nil"/>
            </w:tcBorders>
            <w:shd w:val="clear" w:color="auto" w:fill="auto"/>
            <w:noWrap/>
            <w:vAlign w:val="bottom"/>
          </w:tcPr>
          <w:p w14:paraId="64203D63" w14:textId="2B1A4FA8" w:rsidR="00786B78" w:rsidRPr="006C3B9F" w:rsidRDefault="00786B78" w:rsidP="00786B78">
            <w:pPr>
              <w:tabs>
                <w:tab w:val="left" w:pos="0"/>
              </w:tabs>
              <w:spacing w:line="240" w:lineRule="auto"/>
              <w:jc w:val="center"/>
              <w:rPr>
                <w:rFonts w:cstheme="minorHAnsi"/>
                <w:color w:val="000000"/>
              </w:rPr>
            </w:pPr>
            <w:r w:rsidRPr="00B953A6">
              <w:rPr>
                <w:rFonts w:cstheme="minorHAnsi"/>
                <w:color w:val="000000"/>
                <w:sz w:val="20"/>
                <w:szCs w:val="20"/>
              </w:rPr>
              <w:t>283 (27%)</w:t>
            </w:r>
          </w:p>
        </w:tc>
        <w:tc>
          <w:tcPr>
            <w:tcW w:w="1377" w:type="dxa"/>
            <w:tcBorders>
              <w:top w:val="nil"/>
              <w:left w:val="nil"/>
              <w:bottom w:val="dotted" w:sz="4" w:space="0" w:color="auto"/>
              <w:right w:val="nil"/>
            </w:tcBorders>
            <w:shd w:val="clear" w:color="auto" w:fill="auto"/>
            <w:noWrap/>
            <w:vAlign w:val="bottom"/>
          </w:tcPr>
          <w:p w14:paraId="43DFEBC3" w14:textId="2942094E" w:rsidR="00786B78" w:rsidRPr="006C3B9F" w:rsidRDefault="00786B78" w:rsidP="00786B78">
            <w:pPr>
              <w:tabs>
                <w:tab w:val="left" w:pos="0"/>
              </w:tabs>
              <w:spacing w:line="240" w:lineRule="auto"/>
              <w:jc w:val="center"/>
              <w:rPr>
                <w:rFonts w:cstheme="minorHAnsi"/>
                <w:color w:val="000000"/>
              </w:rPr>
            </w:pPr>
            <w:r>
              <w:rPr>
                <w:rFonts w:cstheme="minorHAnsi"/>
                <w:color w:val="000000"/>
              </w:rPr>
              <w:t>84%</w:t>
            </w:r>
          </w:p>
        </w:tc>
      </w:tr>
      <w:tr w:rsidR="009E4193" w:rsidRPr="007C1289" w14:paraId="44B713C8" w14:textId="77777777" w:rsidTr="00786B78">
        <w:trPr>
          <w:trHeight w:val="285"/>
        </w:trPr>
        <w:tc>
          <w:tcPr>
            <w:tcW w:w="3420" w:type="dxa"/>
            <w:tcBorders>
              <w:top w:val="dotted" w:sz="4" w:space="0" w:color="auto"/>
              <w:left w:val="single" w:sz="4" w:space="0" w:color="auto"/>
              <w:bottom w:val="single" w:sz="4" w:space="0" w:color="auto"/>
              <w:right w:val="nil"/>
            </w:tcBorders>
            <w:shd w:val="clear" w:color="auto" w:fill="F2F2F2" w:themeFill="background1" w:themeFillShade="F2"/>
            <w:noWrap/>
            <w:vAlign w:val="bottom"/>
            <w:hideMark/>
          </w:tcPr>
          <w:p w14:paraId="7804179E" w14:textId="5ED08118" w:rsidR="009E4193" w:rsidRPr="006C3B9F" w:rsidRDefault="009E4193" w:rsidP="00A75915">
            <w:pPr>
              <w:tabs>
                <w:tab w:val="left" w:pos="0"/>
              </w:tabs>
              <w:spacing w:line="240" w:lineRule="auto"/>
              <w:rPr>
                <w:rFonts w:cstheme="minorHAnsi"/>
                <w:color w:val="000000"/>
              </w:rPr>
            </w:pPr>
            <w:r w:rsidRPr="006C3B9F">
              <w:rPr>
                <w:rFonts w:cstheme="minorHAnsi"/>
                <w:color w:val="000000"/>
              </w:rPr>
              <w:t xml:space="preserve">All </w:t>
            </w:r>
            <w:r>
              <w:rPr>
                <w:rFonts w:cstheme="minorHAnsi"/>
                <w:color w:val="000000"/>
              </w:rPr>
              <w:t>IPFs</w:t>
            </w:r>
          </w:p>
        </w:tc>
        <w:tc>
          <w:tcPr>
            <w:tcW w:w="2070" w:type="dxa"/>
            <w:tcBorders>
              <w:top w:val="dotted" w:sz="4" w:space="0" w:color="auto"/>
              <w:left w:val="nil"/>
              <w:bottom w:val="single" w:sz="4" w:space="0" w:color="auto"/>
              <w:right w:val="nil"/>
            </w:tcBorders>
            <w:shd w:val="clear" w:color="auto" w:fill="F2F2F2" w:themeFill="background1" w:themeFillShade="F2"/>
            <w:noWrap/>
            <w:vAlign w:val="bottom"/>
            <w:hideMark/>
          </w:tcPr>
          <w:p w14:paraId="500AFA37" w14:textId="78DE8D46" w:rsidR="009E4193" w:rsidRPr="006C3B9F" w:rsidRDefault="00C073BB" w:rsidP="00F260F5">
            <w:pPr>
              <w:tabs>
                <w:tab w:val="left" w:pos="0"/>
              </w:tabs>
              <w:spacing w:line="240" w:lineRule="auto"/>
              <w:jc w:val="center"/>
              <w:rPr>
                <w:rFonts w:cstheme="minorHAnsi"/>
                <w:color w:val="000000"/>
              </w:rPr>
            </w:pPr>
            <w:r>
              <w:rPr>
                <w:rFonts w:cstheme="minorHAnsi"/>
                <w:color w:val="000000"/>
              </w:rPr>
              <w:t>1,066</w:t>
            </w:r>
          </w:p>
        </w:tc>
        <w:tc>
          <w:tcPr>
            <w:tcW w:w="1377" w:type="dxa"/>
            <w:tcBorders>
              <w:top w:val="dotted" w:sz="4" w:space="0" w:color="auto"/>
              <w:left w:val="nil"/>
              <w:bottom w:val="single" w:sz="4" w:space="0" w:color="auto"/>
              <w:right w:val="nil"/>
            </w:tcBorders>
            <w:shd w:val="clear" w:color="auto" w:fill="F2F2F2" w:themeFill="background1" w:themeFillShade="F2"/>
            <w:noWrap/>
            <w:vAlign w:val="bottom"/>
            <w:hideMark/>
          </w:tcPr>
          <w:p w14:paraId="502DE686" w14:textId="3837505A" w:rsidR="009E4193" w:rsidRPr="006C3B9F" w:rsidRDefault="00C073BB" w:rsidP="00F260F5">
            <w:pPr>
              <w:tabs>
                <w:tab w:val="left" w:pos="0"/>
              </w:tabs>
              <w:spacing w:line="240" w:lineRule="auto"/>
              <w:jc w:val="center"/>
              <w:rPr>
                <w:rFonts w:cstheme="minorHAnsi"/>
                <w:color w:val="000000"/>
              </w:rPr>
            </w:pPr>
            <w:r>
              <w:rPr>
                <w:rFonts w:cstheme="minorHAnsi"/>
                <w:color w:val="000000"/>
              </w:rPr>
              <w:t>75</w:t>
            </w:r>
            <w:r w:rsidR="009E4193" w:rsidRPr="006C3B9F">
              <w:rPr>
                <w:rFonts w:cstheme="minorHAnsi"/>
                <w:color w:val="000000"/>
              </w:rPr>
              <w:t>%</w:t>
            </w:r>
          </w:p>
        </w:tc>
      </w:tr>
    </w:tbl>
    <w:p w14:paraId="44FB6C2D" w14:textId="0F8394F8" w:rsidR="00405727" w:rsidRPr="003A3DF6" w:rsidRDefault="00405727" w:rsidP="00405727">
      <w:pPr>
        <w:rPr>
          <w:rFonts w:ascii="Calibri" w:eastAsia="Calibri" w:hAnsi="Calibri" w:cs="Calibri"/>
          <w:color w:val="FF0000"/>
          <w:sz w:val="18"/>
          <w:szCs w:val="18"/>
        </w:rPr>
      </w:pPr>
      <w:r w:rsidRPr="003A3DF6">
        <w:rPr>
          <w:rFonts w:ascii="Calibri" w:eastAsia="Calibri" w:hAnsi="Calibri" w:cs="Calibri"/>
          <w:color w:val="FF0000"/>
          <w:sz w:val="18"/>
          <w:szCs w:val="18"/>
        </w:rPr>
        <w:t xml:space="preserve">Source: Mathematica analysis of Medicare </w:t>
      </w:r>
      <w:r w:rsidR="007E07FC">
        <w:rPr>
          <w:rFonts w:ascii="Calibri" w:eastAsia="Calibri" w:hAnsi="Calibri" w:cs="Calibri"/>
          <w:color w:val="FF0000"/>
          <w:sz w:val="18"/>
          <w:szCs w:val="18"/>
        </w:rPr>
        <w:t>f</w:t>
      </w:r>
      <w:r w:rsidR="007E07FC" w:rsidRPr="003A3DF6">
        <w:rPr>
          <w:rFonts w:ascii="Calibri" w:eastAsia="Calibri" w:hAnsi="Calibri" w:cs="Calibri"/>
          <w:color w:val="FF0000"/>
          <w:sz w:val="18"/>
          <w:szCs w:val="18"/>
        </w:rPr>
        <w:t>ee</w:t>
      </w:r>
      <w:r w:rsidR="007E07FC">
        <w:rPr>
          <w:rFonts w:ascii="Calibri" w:eastAsia="Calibri" w:hAnsi="Calibri" w:cs="Calibri"/>
          <w:color w:val="FF0000"/>
          <w:sz w:val="18"/>
          <w:szCs w:val="18"/>
        </w:rPr>
        <w:t>-</w:t>
      </w:r>
      <w:r w:rsidR="007E07FC" w:rsidRPr="003A3DF6">
        <w:rPr>
          <w:rFonts w:ascii="Calibri" w:eastAsia="Calibri" w:hAnsi="Calibri" w:cs="Calibri"/>
          <w:color w:val="FF0000"/>
          <w:sz w:val="18"/>
          <w:szCs w:val="18"/>
        </w:rPr>
        <w:t>for</w:t>
      </w:r>
      <w:r w:rsidR="007E07FC">
        <w:rPr>
          <w:rFonts w:ascii="Calibri" w:eastAsia="Calibri" w:hAnsi="Calibri" w:cs="Calibri"/>
          <w:color w:val="FF0000"/>
          <w:sz w:val="18"/>
          <w:szCs w:val="18"/>
        </w:rPr>
        <w:t>-s</w:t>
      </w:r>
      <w:r w:rsidR="007E07FC" w:rsidRPr="003A3DF6">
        <w:rPr>
          <w:rFonts w:ascii="Calibri" w:eastAsia="Calibri" w:hAnsi="Calibri" w:cs="Calibri"/>
          <w:color w:val="FF0000"/>
          <w:sz w:val="18"/>
          <w:szCs w:val="18"/>
        </w:rPr>
        <w:t xml:space="preserve">ervice </w:t>
      </w:r>
      <w:r w:rsidRPr="003A3DF6">
        <w:rPr>
          <w:rFonts w:ascii="Calibri" w:eastAsia="Calibri" w:hAnsi="Calibri" w:cs="Calibri"/>
          <w:color w:val="FF0000"/>
          <w:sz w:val="18"/>
          <w:szCs w:val="18"/>
        </w:rPr>
        <w:t>(FFS) data for the July 1, 2017</w:t>
      </w:r>
      <w:r w:rsidR="007E07FC">
        <w:rPr>
          <w:rFonts w:ascii="Calibri" w:eastAsia="Calibri" w:hAnsi="Calibri" w:cs="Calibri"/>
          <w:color w:val="FF0000"/>
          <w:sz w:val="18"/>
          <w:szCs w:val="18"/>
        </w:rPr>
        <w:t>–</w:t>
      </w:r>
      <w:r w:rsidRPr="003A3DF6">
        <w:rPr>
          <w:rFonts w:ascii="Calibri" w:eastAsia="Calibri" w:hAnsi="Calibri" w:cs="Calibri"/>
          <w:color w:val="FF0000"/>
          <w:sz w:val="18"/>
          <w:szCs w:val="18"/>
        </w:rPr>
        <w:t xml:space="preserve">June 30, 2019, performance period. </w:t>
      </w:r>
    </w:p>
    <w:p w14:paraId="09FBCF20" w14:textId="33741C4B" w:rsidR="00A75915" w:rsidRPr="003A3DF6" w:rsidRDefault="00A75915" w:rsidP="00EE23D6">
      <w:pPr>
        <w:tabs>
          <w:tab w:val="left" w:pos="0"/>
        </w:tabs>
        <w:spacing w:line="240" w:lineRule="auto"/>
        <w:rPr>
          <w:rFonts w:ascii="Calibri" w:eastAsia="Calibri" w:hAnsi="Calibri" w:cs="Calibri"/>
          <w:color w:val="FF0000"/>
          <w:sz w:val="18"/>
          <w:szCs w:val="18"/>
        </w:rPr>
      </w:pPr>
      <w:r w:rsidRPr="003A3DF6">
        <w:rPr>
          <w:rFonts w:ascii="Calibri" w:eastAsia="Calibri" w:hAnsi="Calibri" w:cs="Calibri"/>
          <w:color w:val="FF0000"/>
          <w:sz w:val="18"/>
          <w:szCs w:val="18"/>
        </w:rPr>
        <w:t>Note: Facilities were determined as having statistically worse or better than average</w:t>
      </w:r>
      <w:r w:rsidR="00405727" w:rsidRPr="003A3DF6">
        <w:rPr>
          <w:rFonts w:ascii="Calibri" w:eastAsia="Calibri" w:hAnsi="Calibri" w:cs="Calibri"/>
          <w:color w:val="FF0000"/>
          <w:sz w:val="18"/>
          <w:szCs w:val="18"/>
        </w:rPr>
        <w:t xml:space="preserve"> performance</w:t>
      </w:r>
      <w:r w:rsidRPr="003A3DF6">
        <w:rPr>
          <w:rFonts w:ascii="Calibri" w:eastAsia="Calibri" w:hAnsi="Calibri" w:cs="Calibri"/>
          <w:color w:val="FF0000"/>
          <w:sz w:val="18"/>
          <w:szCs w:val="18"/>
        </w:rPr>
        <w:t xml:space="preserve"> if the 95</w:t>
      </w:r>
      <w:r w:rsidR="007E07FC">
        <w:rPr>
          <w:rFonts w:ascii="Calibri" w:eastAsia="Calibri" w:hAnsi="Calibri" w:cs="Calibri"/>
          <w:color w:val="FF0000"/>
          <w:sz w:val="18"/>
          <w:szCs w:val="18"/>
        </w:rPr>
        <w:t>%</w:t>
      </w:r>
      <w:r w:rsidRPr="003A3DF6">
        <w:rPr>
          <w:rFonts w:ascii="Calibri" w:eastAsia="Calibri" w:hAnsi="Calibri" w:cs="Calibri"/>
          <w:color w:val="FF0000"/>
          <w:sz w:val="18"/>
          <w:szCs w:val="18"/>
        </w:rPr>
        <w:t xml:space="preserve"> confidence interval for each facility’s measure rate did not include the national mean rate. Percentages are rounded off to</w:t>
      </w:r>
      <w:r w:rsidR="00405727" w:rsidRPr="003A3DF6">
        <w:rPr>
          <w:rFonts w:ascii="Calibri" w:eastAsia="Calibri" w:hAnsi="Calibri" w:cs="Calibri"/>
          <w:color w:val="FF0000"/>
          <w:sz w:val="18"/>
          <w:szCs w:val="18"/>
        </w:rPr>
        <w:t xml:space="preserve"> the</w:t>
      </w:r>
      <w:r w:rsidRPr="003A3DF6">
        <w:rPr>
          <w:rFonts w:ascii="Calibri" w:eastAsia="Calibri" w:hAnsi="Calibri" w:cs="Calibri"/>
          <w:color w:val="FF0000"/>
          <w:sz w:val="18"/>
          <w:szCs w:val="18"/>
        </w:rPr>
        <w:t xml:space="preserve"> nearest whole integer. </w:t>
      </w:r>
    </w:p>
    <w:p w14:paraId="0CABD00B" w14:textId="26026727" w:rsidR="00D61410" w:rsidRDefault="00D61410" w:rsidP="00D61410">
      <w:pPr>
        <w:autoSpaceDE w:val="0"/>
        <w:autoSpaceDN w:val="0"/>
        <w:adjustRightInd w:val="0"/>
        <w:spacing w:after="0" w:line="240" w:lineRule="auto"/>
        <w:rPr>
          <w:rFonts w:cstheme="minorHAnsi"/>
          <w:bCs/>
        </w:rPr>
      </w:pPr>
    </w:p>
    <w:p w14:paraId="3FB6374B" w14:textId="77777777" w:rsidR="003A3DF6" w:rsidRPr="00B47D27" w:rsidRDefault="003A3DF6" w:rsidP="003A3DF6">
      <w:pPr>
        <w:spacing w:before="60" w:after="120" w:line="240" w:lineRule="auto"/>
        <w:rPr>
          <w:rFonts w:ascii="Calibri" w:hAnsi="Calibri" w:cstheme="minorEastAsia"/>
          <w:color w:val="0000FF"/>
        </w:rPr>
      </w:pPr>
      <w:r w:rsidRPr="00B47D27">
        <w:rPr>
          <w:rFonts w:ascii="Calibri" w:hAnsi="Calibri" w:cstheme="minorEastAsia"/>
          <w:color w:val="0000FF"/>
        </w:rPr>
        <w:t xml:space="preserve">An analysis of 2013-2014 Medicare claims data indicated performance varied between high- and low-performing facilities across more than 1,600 IPFs for each of the three diagnoses </w:t>
      </w:r>
      <w:r w:rsidRPr="00B47D27">
        <w:rPr>
          <w:rFonts w:ascii="Calibri" w:hAnsi="Calibri"/>
          <w:color w:val="0000FF"/>
        </w:rPr>
        <w:t xml:space="preserve">(Table </w:t>
      </w:r>
      <w:r w:rsidRPr="00B47D27">
        <w:rPr>
          <w:rFonts w:ascii="Calibri" w:hAnsi="Calibri" w:cstheme="minorEastAsia"/>
          <w:color w:val="0000FF"/>
        </w:rPr>
        <w:t>2b5.2-A). For the combined measure score, there is about a 22 percentage point difference between the 10th and 90th percentiles (66.7%</w:t>
      </w:r>
      <w:r>
        <w:rPr>
          <w:rFonts w:ascii="Calibri" w:hAnsi="Calibri" w:cstheme="minorEastAsia"/>
          <w:color w:val="0000FF"/>
        </w:rPr>
        <w:t>–</w:t>
      </w:r>
      <w:r w:rsidRPr="00B47D27">
        <w:rPr>
          <w:rFonts w:ascii="Calibri" w:hAnsi="Calibri" w:cstheme="minorEastAsia"/>
          <w:color w:val="0000FF"/>
        </w:rPr>
        <w:t xml:space="preserve">88.3%) and a median score of 79.6%. </w:t>
      </w:r>
    </w:p>
    <w:p w14:paraId="5EAFA1DD" w14:textId="77777777" w:rsidR="00786B78" w:rsidRDefault="00786B78" w:rsidP="00786B78">
      <w:pPr>
        <w:pStyle w:val="Caption"/>
      </w:pPr>
      <w:bookmarkStart w:id="54" w:name="_Ref461999376"/>
      <w:bookmarkStart w:id="55" w:name="_Toc461786359"/>
      <w:bookmarkStart w:id="56" w:name="_Toc461788516"/>
      <w:bookmarkStart w:id="57" w:name="_Toc461789706"/>
      <w:bookmarkStart w:id="58" w:name="_Toc462065410"/>
      <w:bookmarkStart w:id="59" w:name="_Toc462148740"/>
      <w:bookmarkStart w:id="60" w:name="_Toc462222771"/>
      <w:bookmarkStart w:id="61" w:name="_Toc462225265"/>
      <w:bookmarkStart w:id="62" w:name="_Toc462226861"/>
      <w:bookmarkStart w:id="63" w:name="_Toc462232830"/>
      <w:bookmarkStart w:id="64" w:name="_Toc462232773"/>
      <w:bookmarkStart w:id="65" w:name="_Toc462382597"/>
      <w:bookmarkStart w:id="66" w:name="_Toc462403104"/>
      <w:bookmarkStart w:id="67" w:name="_Toc462661247"/>
      <w:bookmarkStart w:id="68" w:name="_Toc462825185"/>
      <w:bookmarkStart w:id="69" w:name="_Toc462829425"/>
      <w:bookmarkStart w:id="70" w:name="_Toc462840732"/>
      <w:bookmarkStart w:id="71" w:name="_Toc462847226"/>
      <w:r w:rsidRPr="007C558A">
        <w:t xml:space="preserve">Table </w:t>
      </w:r>
      <w:bookmarkEnd w:id="54"/>
      <w:r w:rsidRPr="007C558A">
        <w:t>2b5.2-A. Distribution of Facility Performance</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tbl>
      <w:tblPr>
        <w:tblpPr w:leftFromText="180" w:rightFromText="180" w:vertAnchor="text" w:tblpX="114" w:tblpY="1"/>
        <w:tblOverlap w:val="never"/>
        <w:tblW w:w="4878" w:type="pct"/>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Look w:val="0000" w:firstRow="0" w:lastRow="0" w:firstColumn="0" w:lastColumn="0" w:noHBand="0" w:noVBand="0"/>
      </w:tblPr>
      <w:tblGrid>
        <w:gridCol w:w="1517"/>
        <w:gridCol w:w="703"/>
        <w:gridCol w:w="698"/>
        <w:gridCol w:w="614"/>
        <w:gridCol w:w="616"/>
        <w:gridCol w:w="698"/>
        <w:gridCol w:w="961"/>
        <w:gridCol w:w="962"/>
        <w:gridCol w:w="899"/>
        <w:gridCol w:w="786"/>
        <w:gridCol w:w="672"/>
      </w:tblGrid>
      <w:tr w:rsidR="003A3DF6" w:rsidRPr="005D4433" w14:paraId="2F2F3E9E" w14:textId="77777777" w:rsidTr="002E0CEC">
        <w:trPr>
          <w:trHeight w:val="490"/>
        </w:trPr>
        <w:tc>
          <w:tcPr>
            <w:tcW w:w="834" w:type="pct"/>
            <w:shd w:val="clear" w:color="auto" w:fill="365F91" w:themeFill="accent1" w:themeFillShade="BF"/>
            <w:tcMar>
              <w:top w:w="144" w:type="nil"/>
              <w:right w:w="144" w:type="nil"/>
            </w:tcMar>
            <w:vAlign w:val="bottom"/>
          </w:tcPr>
          <w:p w14:paraId="1C14A599" w14:textId="77777777" w:rsidR="003A3DF6" w:rsidRPr="00AB27F7" w:rsidRDefault="003A3DF6" w:rsidP="002E0CEC">
            <w:pPr>
              <w:autoSpaceDE w:val="0"/>
              <w:autoSpaceDN w:val="0"/>
              <w:adjustRightInd w:val="0"/>
              <w:spacing w:after="0" w:line="240" w:lineRule="auto"/>
              <w:rPr>
                <w:rFonts w:ascii="Calibri" w:eastAsia="Calibri" w:hAnsi="Calibri" w:cs="Calibri"/>
                <w:color w:val="FFFFFF" w:themeColor="background1"/>
                <w:sz w:val="20"/>
                <w:szCs w:val="20"/>
              </w:rPr>
            </w:pPr>
            <w:r w:rsidRPr="00AB27F7">
              <w:rPr>
                <w:rFonts w:ascii="Calibri" w:eastAsia="Arial" w:hAnsi="Calibri" w:cs="Arial"/>
                <w:b/>
                <w:bCs/>
                <w:color w:val="FFFFFF" w:themeColor="background1"/>
                <w:sz w:val="20"/>
                <w:szCs w:val="20"/>
              </w:rPr>
              <w:t>Diagnosis</w:t>
            </w:r>
          </w:p>
        </w:tc>
        <w:tc>
          <w:tcPr>
            <w:tcW w:w="388" w:type="pct"/>
            <w:shd w:val="clear" w:color="auto" w:fill="365F91" w:themeFill="accent1" w:themeFillShade="BF"/>
            <w:tcMar>
              <w:top w:w="144" w:type="nil"/>
              <w:right w:w="144" w:type="nil"/>
            </w:tcMar>
            <w:vAlign w:val="bottom"/>
          </w:tcPr>
          <w:p w14:paraId="5F219C65" w14:textId="77777777" w:rsidR="003A3DF6" w:rsidRPr="00AB27F7" w:rsidRDefault="003A3DF6" w:rsidP="002E0CEC">
            <w:pPr>
              <w:autoSpaceDE w:val="0"/>
              <w:autoSpaceDN w:val="0"/>
              <w:adjustRightInd w:val="0"/>
              <w:spacing w:after="0" w:line="240" w:lineRule="auto"/>
              <w:jc w:val="center"/>
              <w:rPr>
                <w:rFonts w:ascii="Calibri" w:eastAsia="Calibri" w:hAnsi="Calibri" w:cs="Calibri"/>
                <w:color w:val="FFFFFF" w:themeColor="background1"/>
                <w:sz w:val="20"/>
                <w:szCs w:val="20"/>
              </w:rPr>
            </w:pPr>
            <w:r w:rsidRPr="00AB27F7">
              <w:rPr>
                <w:rFonts w:ascii="Calibri" w:eastAsia="Arial" w:hAnsi="Calibri" w:cs="Arial"/>
                <w:b/>
                <w:bCs/>
                <w:color w:val="FFFFFF" w:themeColor="background1"/>
                <w:sz w:val="20"/>
                <w:szCs w:val="20"/>
              </w:rPr>
              <w:t># IPFs</w:t>
            </w:r>
          </w:p>
        </w:tc>
        <w:tc>
          <w:tcPr>
            <w:tcW w:w="374" w:type="pct"/>
            <w:shd w:val="clear" w:color="auto" w:fill="365F91" w:themeFill="accent1" w:themeFillShade="BF"/>
            <w:tcMar>
              <w:top w:w="144" w:type="nil"/>
              <w:right w:w="144" w:type="nil"/>
            </w:tcMar>
            <w:vAlign w:val="bottom"/>
          </w:tcPr>
          <w:p w14:paraId="2779C947" w14:textId="77777777" w:rsidR="003A3DF6" w:rsidRPr="00AB27F7" w:rsidRDefault="003A3DF6" w:rsidP="002E0CEC">
            <w:pPr>
              <w:autoSpaceDE w:val="0"/>
              <w:autoSpaceDN w:val="0"/>
              <w:adjustRightInd w:val="0"/>
              <w:spacing w:after="0" w:line="240" w:lineRule="auto"/>
              <w:jc w:val="center"/>
              <w:rPr>
                <w:rFonts w:ascii="Calibri" w:eastAsia="Calibri" w:hAnsi="Calibri" w:cs="Calibri"/>
                <w:color w:val="FFFFFF" w:themeColor="background1"/>
                <w:sz w:val="20"/>
                <w:szCs w:val="20"/>
              </w:rPr>
            </w:pPr>
            <w:r w:rsidRPr="00AB27F7">
              <w:rPr>
                <w:rFonts w:ascii="Calibri" w:eastAsia="Arial" w:hAnsi="Calibri" w:cs="Arial"/>
                <w:b/>
                <w:bCs/>
                <w:color w:val="FFFFFF" w:themeColor="background1"/>
                <w:sz w:val="20"/>
                <w:szCs w:val="20"/>
              </w:rPr>
              <w:t>Mean</w:t>
            </w:r>
          </w:p>
        </w:tc>
        <w:tc>
          <w:tcPr>
            <w:tcW w:w="339" w:type="pct"/>
            <w:shd w:val="clear" w:color="auto" w:fill="365F91" w:themeFill="accent1" w:themeFillShade="BF"/>
            <w:tcMar>
              <w:top w:w="144" w:type="nil"/>
              <w:right w:w="144" w:type="nil"/>
            </w:tcMar>
            <w:vAlign w:val="bottom"/>
          </w:tcPr>
          <w:p w14:paraId="062B6291" w14:textId="77777777" w:rsidR="003A3DF6" w:rsidRPr="00AB27F7" w:rsidRDefault="003A3DF6" w:rsidP="002E0CEC">
            <w:pPr>
              <w:autoSpaceDE w:val="0"/>
              <w:autoSpaceDN w:val="0"/>
              <w:adjustRightInd w:val="0"/>
              <w:spacing w:after="0" w:line="240" w:lineRule="auto"/>
              <w:jc w:val="center"/>
              <w:rPr>
                <w:rFonts w:ascii="Calibri" w:eastAsia="Calibri" w:hAnsi="Calibri" w:cs="Calibri"/>
                <w:color w:val="FFFFFF" w:themeColor="background1"/>
                <w:sz w:val="20"/>
                <w:szCs w:val="20"/>
              </w:rPr>
            </w:pPr>
            <w:r w:rsidRPr="00AB27F7">
              <w:rPr>
                <w:rFonts w:ascii="Calibri" w:eastAsia="Arial" w:hAnsi="Calibri" w:cs="Arial"/>
                <w:b/>
                <w:bCs/>
                <w:color w:val="FFFFFF" w:themeColor="background1"/>
                <w:sz w:val="20"/>
                <w:szCs w:val="20"/>
              </w:rPr>
              <w:t>SD</w:t>
            </w:r>
          </w:p>
        </w:tc>
        <w:tc>
          <w:tcPr>
            <w:tcW w:w="340" w:type="pct"/>
            <w:shd w:val="clear" w:color="auto" w:fill="365F91" w:themeFill="accent1" w:themeFillShade="BF"/>
            <w:vAlign w:val="bottom"/>
          </w:tcPr>
          <w:p w14:paraId="497109E0" w14:textId="77777777" w:rsidR="003A3DF6" w:rsidRPr="00AB27F7" w:rsidRDefault="003A3DF6" w:rsidP="002E0CEC">
            <w:pPr>
              <w:autoSpaceDE w:val="0"/>
              <w:autoSpaceDN w:val="0"/>
              <w:adjustRightInd w:val="0"/>
              <w:spacing w:after="0" w:line="240" w:lineRule="auto"/>
              <w:jc w:val="center"/>
              <w:rPr>
                <w:rFonts w:ascii="Calibri" w:eastAsia="Arial" w:hAnsi="Calibri" w:cs="Arial"/>
                <w:b/>
                <w:bCs/>
                <w:color w:val="FFFFFF" w:themeColor="background1"/>
                <w:sz w:val="20"/>
                <w:szCs w:val="20"/>
              </w:rPr>
            </w:pPr>
            <w:r w:rsidRPr="00AB27F7">
              <w:rPr>
                <w:rFonts w:ascii="Calibri" w:eastAsia="Arial" w:hAnsi="Calibri" w:cs="Arial"/>
                <w:b/>
                <w:bCs/>
                <w:color w:val="FFFFFF" w:themeColor="background1"/>
                <w:sz w:val="20"/>
                <w:szCs w:val="20"/>
              </w:rPr>
              <w:t>Min</w:t>
            </w:r>
          </w:p>
        </w:tc>
        <w:tc>
          <w:tcPr>
            <w:tcW w:w="385" w:type="pct"/>
            <w:shd w:val="clear" w:color="auto" w:fill="365F91" w:themeFill="accent1" w:themeFillShade="BF"/>
            <w:tcMar>
              <w:top w:w="144" w:type="nil"/>
              <w:right w:w="144" w:type="nil"/>
            </w:tcMar>
            <w:vAlign w:val="bottom"/>
          </w:tcPr>
          <w:p w14:paraId="1094AEDE" w14:textId="77777777" w:rsidR="003A3DF6" w:rsidRPr="00AB27F7" w:rsidRDefault="003A3DF6" w:rsidP="002E0CEC">
            <w:pPr>
              <w:autoSpaceDE w:val="0"/>
              <w:autoSpaceDN w:val="0"/>
              <w:adjustRightInd w:val="0"/>
              <w:spacing w:after="0" w:line="240" w:lineRule="auto"/>
              <w:jc w:val="center"/>
              <w:rPr>
                <w:rFonts w:ascii="Calibri" w:eastAsia="Calibri" w:hAnsi="Calibri" w:cs="Calibri"/>
                <w:color w:val="FFFFFF" w:themeColor="background1"/>
                <w:sz w:val="20"/>
                <w:szCs w:val="20"/>
              </w:rPr>
            </w:pPr>
            <w:r w:rsidRPr="00AB27F7">
              <w:rPr>
                <w:rFonts w:ascii="Calibri" w:eastAsia="Arial" w:hAnsi="Calibri" w:cs="Arial"/>
                <w:b/>
                <w:bCs/>
                <w:color w:val="FFFFFF" w:themeColor="background1"/>
                <w:sz w:val="20"/>
                <w:szCs w:val="20"/>
              </w:rPr>
              <w:t>10th Pctl</w:t>
            </w:r>
          </w:p>
        </w:tc>
        <w:tc>
          <w:tcPr>
            <w:tcW w:w="529" w:type="pct"/>
            <w:shd w:val="clear" w:color="auto" w:fill="365F91" w:themeFill="accent1" w:themeFillShade="BF"/>
            <w:tcMar>
              <w:top w:w="144" w:type="nil"/>
              <w:right w:w="144" w:type="nil"/>
            </w:tcMar>
            <w:vAlign w:val="bottom"/>
          </w:tcPr>
          <w:p w14:paraId="330541FB" w14:textId="77777777" w:rsidR="003A3DF6" w:rsidRPr="00AB27F7" w:rsidRDefault="003A3DF6" w:rsidP="002E0CEC">
            <w:pPr>
              <w:autoSpaceDE w:val="0"/>
              <w:autoSpaceDN w:val="0"/>
              <w:adjustRightInd w:val="0"/>
              <w:spacing w:after="0" w:line="240" w:lineRule="auto"/>
              <w:jc w:val="center"/>
              <w:rPr>
                <w:rFonts w:ascii="Calibri" w:eastAsia="Calibri" w:hAnsi="Calibri" w:cs="Calibri"/>
                <w:color w:val="FFFFFF" w:themeColor="background1"/>
                <w:sz w:val="20"/>
                <w:szCs w:val="20"/>
              </w:rPr>
            </w:pPr>
            <w:r w:rsidRPr="00AB27F7">
              <w:rPr>
                <w:rFonts w:ascii="Calibri" w:eastAsia="Arial" w:hAnsi="Calibri" w:cs="Arial"/>
                <w:b/>
                <w:bCs/>
                <w:color w:val="FFFFFF" w:themeColor="background1"/>
                <w:sz w:val="20"/>
                <w:szCs w:val="20"/>
              </w:rPr>
              <w:t>Lower Quartile</w:t>
            </w:r>
          </w:p>
        </w:tc>
        <w:tc>
          <w:tcPr>
            <w:tcW w:w="529" w:type="pct"/>
            <w:shd w:val="clear" w:color="auto" w:fill="365F91" w:themeFill="accent1" w:themeFillShade="BF"/>
            <w:tcMar>
              <w:top w:w="144" w:type="nil"/>
              <w:right w:w="144" w:type="nil"/>
            </w:tcMar>
            <w:vAlign w:val="bottom"/>
          </w:tcPr>
          <w:p w14:paraId="6BC11106" w14:textId="77777777" w:rsidR="003A3DF6" w:rsidRPr="00AB27F7" w:rsidRDefault="003A3DF6" w:rsidP="002E0CEC">
            <w:pPr>
              <w:autoSpaceDE w:val="0"/>
              <w:autoSpaceDN w:val="0"/>
              <w:adjustRightInd w:val="0"/>
              <w:spacing w:after="0" w:line="240" w:lineRule="auto"/>
              <w:jc w:val="center"/>
              <w:rPr>
                <w:rFonts w:ascii="Calibri" w:eastAsia="Calibri" w:hAnsi="Calibri" w:cs="Calibri"/>
                <w:color w:val="FFFFFF" w:themeColor="background1"/>
                <w:sz w:val="20"/>
                <w:szCs w:val="20"/>
              </w:rPr>
            </w:pPr>
            <w:r w:rsidRPr="00AB27F7">
              <w:rPr>
                <w:rFonts w:ascii="Calibri" w:eastAsia="Arial" w:hAnsi="Calibri" w:cs="Arial"/>
                <w:b/>
                <w:bCs/>
                <w:color w:val="FFFFFF" w:themeColor="background1"/>
                <w:sz w:val="20"/>
                <w:szCs w:val="20"/>
              </w:rPr>
              <w:t>Median</w:t>
            </w:r>
          </w:p>
        </w:tc>
        <w:tc>
          <w:tcPr>
            <w:tcW w:w="482" w:type="pct"/>
            <w:shd w:val="clear" w:color="auto" w:fill="365F91" w:themeFill="accent1" w:themeFillShade="BF"/>
            <w:tcMar>
              <w:top w:w="144" w:type="nil"/>
              <w:right w:w="144" w:type="nil"/>
            </w:tcMar>
            <w:vAlign w:val="bottom"/>
          </w:tcPr>
          <w:p w14:paraId="68B70106" w14:textId="77777777" w:rsidR="003A3DF6" w:rsidRPr="00AB27F7" w:rsidRDefault="003A3DF6" w:rsidP="002E0CEC">
            <w:pPr>
              <w:autoSpaceDE w:val="0"/>
              <w:autoSpaceDN w:val="0"/>
              <w:adjustRightInd w:val="0"/>
              <w:spacing w:after="0" w:line="240" w:lineRule="auto"/>
              <w:jc w:val="center"/>
              <w:rPr>
                <w:rFonts w:ascii="Calibri" w:eastAsia="Calibri" w:hAnsi="Calibri" w:cs="Calibri"/>
                <w:color w:val="FFFFFF" w:themeColor="background1"/>
                <w:sz w:val="20"/>
                <w:szCs w:val="20"/>
              </w:rPr>
            </w:pPr>
            <w:r w:rsidRPr="00AB27F7">
              <w:rPr>
                <w:rFonts w:ascii="Calibri" w:eastAsia="Arial" w:hAnsi="Calibri" w:cs="Arial"/>
                <w:b/>
                <w:bCs/>
                <w:color w:val="FFFFFF" w:themeColor="background1"/>
                <w:sz w:val="20"/>
                <w:szCs w:val="20"/>
              </w:rPr>
              <w:t>Upper Quartile</w:t>
            </w:r>
          </w:p>
        </w:tc>
        <w:tc>
          <w:tcPr>
            <w:tcW w:w="433" w:type="pct"/>
            <w:shd w:val="clear" w:color="auto" w:fill="365F91" w:themeFill="accent1" w:themeFillShade="BF"/>
            <w:tcMar>
              <w:top w:w="144" w:type="nil"/>
              <w:right w:w="144" w:type="nil"/>
            </w:tcMar>
            <w:vAlign w:val="bottom"/>
          </w:tcPr>
          <w:p w14:paraId="4FAF281C" w14:textId="77777777" w:rsidR="003A3DF6" w:rsidRPr="00AB27F7" w:rsidRDefault="003A3DF6" w:rsidP="002E0CEC">
            <w:pPr>
              <w:autoSpaceDE w:val="0"/>
              <w:autoSpaceDN w:val="0"/>
              <w:adjustRightInd w:val="0"/>
              <w:spacing w:after="0" w:line="240" w:lineRule="auto"/>
              <w:jc w:val="center"/>
              <w:rPr>
                <w:rFonts w:ascii="Calibri" w:eastAsia="Calibri" w:hAnsi="Calibri" w:cs="Calibri"/>
                <w:color w:val="FFFFFF" w:themeColor="background1"/>
                <w:sz w:val="20"/>
                <w:szCs w:val="20"/>
              </w:rPr>
            </w:pPr>
            <w:r w:rsidRPr="00AB27F7">
              <w:rPr>
                <w:rFonts w:ascii="Calibri" w:eastAsia="Arial" w:hAnsi="Calibri" w:cs="Arial"/>
                <w:b/>
                <w:bCs/>
                <w:color w:val="FFFFFF" w:themeColor="background1"/>
                <w:sz w:val="20"/>
                <w:szCs w:val="20"/>
              </w:rPr>
              <w:t>90th Pctl</w:t>
            </w:r>
          </w:p>
        </w:tc>
        <w:tc>
          <w:tcPr>
            <w:tcW w:w="366" w:type="pct"/>
            <w:shd w:val="clear" w:color="auto" w:fill="365F91" w:themeFill="accent1" w:themeFillShade="BF"/>
            <w:vAlign w:val="bottom"/>
          </w:tcPr>
          <w:p w14:paraId="0DA2875A" w14:textId="77777777" w:rsidR="003A3DF6" w:rsidRPr="00AB27F7" w:rsidRDefault="003A3DF6" w:rsidP="002E0CEC">
            <w:pPr>
              <w:autoSpaceDE w:val="0"/>
              <w:autoSpaceDN w:val="0"/>
              <w:adjustRightInd w:val="0"/>
              <w:spacing w:after="0" w:line="240" w:lineRule="auto"/>
              <w:jc w:val="center"/>
              <w:rPr>
                <w:rFonts w:ascii="Calibri" w:eastAsia="Arial" w:hAnsi="Calibri" w:cs="Arial"/>
                <w:b/>
                <w:bCs/>
                <w:color w:val="FFFFFF" w:themeColor="background1"/>
                <w:sz w:val="20"/>
                <w:szCs w:val="20"/>
              </w:rPr>
            </w:pPr>
            <w:r w:rsidRPr="00AB27F7">
              <w:rPr>
                <w:rFonts w:ascii="Calibri" w:eastAsia="Arial" w:hAnsi="Calibri" w:cs="Arial"/>
                <w:b/>
                <w:bCs/>
                <w:color w:val="FFFFFF" w:themeColor="background1"/>
                <w:sz w:val="20"/>
                <w:szCs w:val="20"/>
              </w:rPr>
              <w:t>Max</w:t>
            </w:r>
          </w:p>
        </w:tc>
      </w:tr>
      <w:tr w:rsidR="003A3DF6" w:rsidRPr="005D4433" w14:paraId="23533488" w14:textId="77777777" w:rsidTr="002E0CEC">
        <w:trPr>
          <w:trHeight w:val="288"/>
        </w:trPr>
        <w:tc>
          <w:tcPr>
            <w:tcW w:w="834" w:type="pct"/>
            <w:shd w:val="clear" w:color="auto" w:fill="auto"/>
            <w:tcMar>
              <w:top w:w="144" w:type="nil"/>
              <w:right w:w="144" w:type="nil"/>
            </w:tcMar>
            <w:vAlign w:val="bottom"/>
          </w:tcPr>
          <w:p w14:paraId="428212B5" w14:textId="77777777" w:rsidR="003A3DF6" w:rsidRPr="00AB27F7" w:rsidRDefault="003A3DF6" w:rsidP="002E0CEC">
            <w:pPr>
              <w:autoSpaceDE w:val="0"/>
              <w:autoSpaceDN w:val="0"/>
              <w:adjustRightInd w:val="0"/>
              <w:spacing w:after="0"/>
              <w:rPr>
                <w:rFonts w:ascii="Calibri" w:eastAsia="Calibri" w:hAnsi="Calibri" w:cs="Calibri"/>
                <w:sz w:val="20"/>
                <w:szCs w:val="20"/>
              </w:rPr>
            </w:pPr>
            <w:r w:rsidRPr="00AB27F7">
              <w:rPr>
                <w:rFonts w:ascii="Calibri" w:eastAsia="Arial" w:hAnsi="Calibri" w:cs="Arial"/>
                <w:sz w:val="20"/>
                <w:szCs w:val="20"/>
              </w:rPr>
              <w:t>MDD</w:t>
            </w:r>
          </w:p>
        </w:tc>
        <w:tc>
          <w:tcPr>
            <w:tcW w:w="388" w:type="pct"/>
            <w:tcMar>
              <w:top w:w="144" w:type="nil"/>
              <w:right w:w="144" w:type="nil"/>
            </w:tcMar>
            <w:vAlign w:val="bottom"/>
          </w:tcPr>
          <w:p w14:paraId="13148565" w14:textId="77777777" w:rsidR="003A3DF6" w:rsidRPr="00AB27F7" w:rsidRDefault="003A3DF6" w:rsidP="002E0CEC">
            <w:pPr>
              <w:autoSpaceDE w:val="0"/>
              <w:autoSpaceDN w:val="0"/>
              <w:adjustRightInd w:val="0"/>
              <w:spacing w:after="0"/>
              <w:jc w:val="right"/>
              <w:rPr>
                <w:rFonts w:ascii="Calibri" w:eastAsia="Calibri" w:hAnsi="Calibri" w:cs="Calibri"/>
                <w:b/>
                <w:bCs/>
                <w:sz w:val="20"/>
                <w:szCs w:val="20"/>
              </w:rPr>
            </w:pPr>
            <w:r w:rsidRPr="00AB27F7">
              <w:rPr>
                <w:rFonts w:ascii="Calibri" w:eastAsia="Calibri" w:hAnsi="Calibri" w:cs="Calibri"/>
                <w:color w:val="000000" w:themeColor="text1"/>
                <w:sz w:val="20"/>
                <w:szCs w:val="20"/>
              </w:rPr>
              <w:t>1,651</w:t>
            </w:r>
          </w:p>
        </w:tc>
        <w:tc>
          <w:tcPr>
            <w:tcW w:w="374" w:type="pct"/>
            <w:tcMar>
              <w:top w:w="144" w:type="nil"/>
              <w:right w:w="144" w:type="nil"/>
            </w:tcMar>
            <w:vAlign w:val="bottom"/>
          </w:tcPr>
          <w:p w14:paraId="154E2CCA"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75.5</w:t>
            </w:r>
          </w:p>
        </w:tc>
        <w:tc>
          <w:tcPr>
            <w:tcW w:w="339" w:type="pct"/>
            <w:tcMar>
              <w:top w:w="144" w:type="nil"/>
              <w:right w:w="144" w:type="nil"/>
            </w:tcMar>
            <w:vAlign w:val="bottom"/>
          </w:tcPr>
          <w:p w14:paraId="73190497"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13.9</w:t>
            </w:r>
          </w:p>
        </w:tc>
        <w:tc>
          <w:tcPr>
            <w:tcW w:w="340" w:type="pct"/>
            <w:vAlign w:val="bottom"/>
          </w:tcPr>
          <w:p w14:paraId="21D21270" w14:textId="77777777" w:rsidR="003A3DF6" w:rsidRPr="00AB27F7" w:rsidRDefault="003A3DF6" w:rsidP="002E0CEC">
            <w:pPr>
              <w:autoSpaceDE w:val="0"/>
              <w:autoSpaceDN w:val="0"/>
              <w:adjustRightInd w:val="0"/>
              <w:spacing w:after="0"/>
              <w:jc w:val="right"/>
              <w:rPr>
                <w:rFonts w:ascii="Calibri" w:hAnsi="Calibri"/>
                <w:sz w:val="20"/>
                <w:szCs w:val="20"/>
              </w:rPr>
            </w:pPr>
            <w:r w:rsidRPr="00AB27F7">
              <w:rPr>
                <w:rFonts w:ascii="Calibri" w:hAnsi="Calibri"/>
                <w:color w:val="000000"/>
                <w:sz w:val="20"/>
                <w:szCs w:val="20"/>
              </w:rPr>
              <w:t>0.0</w:t>
            </w:r>
          </w:p>
        </w:tc>
        <w:tc>
          <w:tcPr>
            <w:tcW w:w="385" w:type="pct"/>
            <w:tcMar>
              <w:top w:w="144" w:type="nil"/>
              <w:right w:w="144" w:type="nil"/>
            </w:tcMar>
            <w:vAlign w:val="bottom"/>
          </w:tcPr>
          <w:p w14:paraId="131A16A7"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60.0</w:t>
            </w:r>
          </w:p>
        </w:tc>
        <w:tc>
          <w:tcPr>
            <w:tcW w:w="529" w:type="pct"/>
            <w:tcMar>
              <w:top w:w="144" w:type="nil"/>
              <w:right w:w="144" w:type="nil"/>
            </w:tcMar>
            <w:vAlign w:val="bottom"/>
          </w:tcPr>
          <w:p w14:paraId="6AE3AE7A"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69.6</w:t>
            </w:r>
          </w:p>
        </w:tc>
        <w:tc>
          <w:tcPr>
            <w:tcW w:w="529" w:type="pct"/>
            <w:tcMar>
              <w:top w:w="144" w:type="nil"/>
              <w:right w:w="144" w:type="nil"/>
            </w:tcMar>
            <w:vAlign w:val="bottom"/>
          </w:tcPr>
          <w:p w14:paraId="3BA965CC"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77.1</w:t>
            </w:r>
          </w:p>
        </w:tc>
        <w:tc>
          <w:tcPr>
            <w:tcW w:w="482" w:type="pct"/>
            <w:tcMar>
              <w:top w:w="144" w:type="nil"/>
              <w:right w:w="144" w:type="nil"/>
            </w:tcMar>
            <w:vAlign w:val="bottom"/>
          </w:tcPr>
          <w:p w14:paraId="6CB3171A"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83.3</w:t>
            </w:r>
          </w:p>
        </w:tc>
        <w:tc>
          <w:tcPr>
            <w:tcW w:w="433" w:type="pct"/>
            <w:tcMar>
              <w:top w:w="144" w:type="nil"/>
              <w:right w:w="144" w:type="nil"/>
            </w:tcMar>
            <w:vAlign w:val="bottom"/>
          </w:tcPr>
          <w:p w14:paraId="2D8A320A"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89.7</w:t>
            </w:r>
          </w:p>
        </w:tc>
        <w:tc>
          <w:tcPr>
            <w:tcW w:w="366" w:type="pct"/>
            <w:vAlign w:val="bottom"/>
          </w:tcPr>
          <w:p w14:paraId="29AE6B32" w14:textId="77777777" w:rsidR="003A3DF6" w:rsidRPr="00AB27F7" w:rsidRDefault="003A3DF6" w:rsidP="002E0CEC">
            <w:pPr>
              <w:autoSpaceDE w:val="0"/>
              <w:autoSpaceDN w:val="0"/>
              <w:adjustRightInd w:val="0"/>
              <w:spacing w:after="0"/>
              <w:jc w:val="right"/>
              <w:rPr>
                <w:rFonts w:ascii="Calibri" w:hAnsi="Calibri"/>
                <w:sz w:val="20"/>
                <w:szCs w:val="20"/>
              </w:rPr>
            </w:pPr>
            <w:r w:rsidRPr="00AB27F7">
              <w:rPr>
                <w:rFonts w:ascii="Calibri" w:hAnsi="Calibri"/>
                <w:color w:val="000000"/>
                <w:sz w:val="20"/>
                <w:szCs w:val="20"/>
              </w:rPr>
              <w:t>100.0</w:t>
            </w:r>
          </w:p>
        </w:tc>
      </w:tr>
      <w:tr w:rsidR="003A3DF6" w:rsidRPr="005D4433" w14:paraId="62E1123F" w14:textId="77777777" w:rsidTr="002E0CEC">
        <w:trPr>
          <w:trHeight w:val="288"/>
        </w:trPr>
        <w:tc>
          <w:tcPr>
            <w:tcW w:w="834" w:type="pct"/>
            <w:shd w:val="clear" w:color="auto" w:fill="auto"/>
            <w:tcMar>
              <w:top w:w="144" w:type="nil"/>
              <w:right w:w="144" w:type="nil"/>
            </w:tcMar>
            <w:vAlign w:val="bottom"/>
          </w:tcPr>
          <w:p w14:paraId="4A13174D" w14:textId="77777777" w:rsidR="003A3DF6" w:rsidRPr="00AB27F7" w:rsidRDefault="003A3DF6" w:rsidP="002E0CEC">
            <w:pPr>
              <w:autoSpaceDE w:val="0"/>
              <w:autoSpaceDN w:val="0"/>
              <w:adjustRightInd w:val="0"/>
              <w:spacing w:after="0"/>
              <w:rPr>
                <w:rFonts w:ascii="Calibri" w:eastAsia="Calibri" w:hAnsi="Calibri" w:cs="Calibri"/>
                <w:sz w:val="20"/>
                <w:szCs w:val="20"/>
              </w:rPr>
            </w:pPr>
            <w:r w:rsidRPr="00AB27F7">
              <w:rPr>
                <w:rFonts w:ascii="Calibri" w:eastAsia="Arial" w:hAnsi="Calibri" w:cs="Arial"/>
                <w:sz w:val="20"/>
                <w:szCs w:val="20"/>
              </w:rPr>
              <w:t>Schizophrenia</w:t>
            </w:r>
          </w:p>
        </w:tc>
        <w:tc>
          <w:tcPr>
            <w:tcW w:w="388" w:type="pct"/>
            <w:tcMar>
              <w:top w:w="144" w:type="nil"/>
              <w:right w:w="144" w:type="nil"/>
            </w:tcMar>
            <w:vAlign w:val="bottom"/>
          </w:tcPr>
          <w:p w14:paraId="5971D344" w14:textId="77777777" w:rsidR="003A3DF6" w:rsidRPr="00AB27F7" w:rsidRDefault="003A3DF6" w:rsidP="002E0CEC">
            <w:pPr>
              <w:autoSpaceDE w:val="0"/>
              <w:autoSpaceDN w:val="0"/>
              <w:adjustRightInd w:val="0"/>
              <w:spacing w:after="0"/>
              <w:jc w:val="right"/>
              <w:rPr>
                <w:rFonts w:ascii="Calibri" w:eastAsia="Calibri" w:hAnsi="Calibri" w:cs="Calibri"/>
                <w:sz w:val="20"/>
                <w:szCs w:val="20"/>
              </w:rPr>
            </w:pPr>
            <w:r w:rsidRPr="00AB27F7">
              <w:rPr>
                <w:rFonts w:ascii="Calibri" w:eastAsia="Calibri" w:hAnsi="Calibri" w:cs="Calibri"/>
                <w:color w:val="000000" w:themeColor="text1"/>
                <w:sz w:val="20"/>
                <w:szCs w:val="20"/>
              </w:rPr>
              <w:t>1,655</w:t>
            </w:r>
          </w:p>
        </w:tc>
        <w:tc>
          <w:tcPr>
            <w:tcW w:w="374" w:type="pct"/>
            <w:tcMar>
              <w:top w:w="144" w:type="nil"/>
              <w:right w:w="144" w:type="nil"/>
            </w:tcMar>
            <w:vAlign w:val="bottom"/>
          </w:tcPr>
          <w:p w14:paraId="7EC2BFED"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79.1</w:t>
            </w:r>
          </w:p>
        </w:tc>
        <w:tc>
          <w:tcPr>
            <w:tcW w:w="339" w:type="pct"/>
            <w:tcMar>
              <w:top w:w="144" w:type="nil"/>
              <w:right w:w="144" w:type="nil"/>
            </w:tcMar>
            <w:vAlign w:val="bottom"/>
          </w:tcPr>
          <w:p w14:paraId="1049DA57"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15.3</w:t>
            </w:r>
          </w:p>
        </w:tc>
        <w:tc>
          <w:tcPr>
            <w:tcW w:w="340" w:type="pct"/>
            <w:vAlign w:val="bottom"/>
          </w:tcPr>
          <w:p w14:paraId="7C49FD2A" w14:textId="77777777" w:rsidR="003A3DF6" w:rsidRPr="00AB27F7" w:rsidRDefault="003A3DF6" w:rsidP="002E0CEC">
            <w:pPr>
              <w:autoSpaceDE w:val="0"/>
              <w:autoSpaceDN w:val="0"/>
              <w:adjustRightInd w:val="0"/>
              <w:spacing w:after="0"/>
              <w:jc w:val="right"/>
              <w:rPr>
                <w:rFonts w:ascii="Calibri" w:hAnsi="Calibri"/>
                <w:sz w:val="20"/>
                <w:szCs w:val="20"/>
              </w:rPr>
            </w:pPr>
            <w:r w:rsidRPr="00AB27F7">
              <w:rPr>
                <w:rFonts w:ascii="Calibri" w:hAnsi="Calibri"/>
                <w:color w:val="000000"/>
                <w:sz w:val="20"/>
                <w:szCs w:val="20"/>
              </w:rPr>
              <w:t>0.0</w:t>
            </w:r>
          </w:p>
        </w:tc>
        <w:tc>
          <w:tcPr>
            <w:tcW w:w="385" w:type="pct"/>
            <w:tcMar>
              <w:top w:w="144" w:type="nil"/>
              <w:right w:w="144" w:type="nil"/>
            </w:tcMar>
            <w:vAlign w:val="bottom"/>
          </w:tcPr>
          <w:p w14:paraId="3D8231FD"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63.6</w:t>
            </w:r>
          </w:p>
        </w:tc>
        <w:tc>
          <w:tcPr>
            <w:tcW w:w="529" w:type="pct"/>
            <w:tcMar>
              <w:top w:w="144" w:type="nil"/>
              <w:right w:w="144" w:type="nil"/>
            </w:tcMar>
            <w:vAlign w:val="bottom"/>
          </w:tcPr>
          <w:p w14:paraId="46C488F5"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73.1</w:t>
            </w:r>
          </w:p>
        </w:tc>
        <w:tc>
          <w:tcPr>
            <w:tcW w:w="529" w:type="pct"/>
            <w:tcMar>
              <w:top w:w="144" w:type="nil"/>
              <w:right w:w="144" w:type="nil"/>
            </w:tcMar>
            <w:vAlign w:val="bottom"/>
          </w:tcPr>
          <w:p w14:paraId="7CC6F4DE"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81.5</w:t>
            </w:r>
          </w:p>
        </w:tc>
        <w:tc>
          <w:tcPr>
            <w:tcW w:w="482" w:type="pct"/>
            <w:tcMar>
              <w:top w:w="144" w:type="nil"/>
              <w:right w:w="144" w:type="nil"/>
            </w:tcMar>
            <w:vAlign w:val="bottom"/>
          </w:tcPr>
          <w:p w14:paraId="77ACEEFE"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87.9</w:t>
            </w:r>
          </w:p>
        </w:tc>
        <w:tc>
          <w:tcPr>
            <w:tcW w:w="433" w:type="pct"/>
            <w:tcMar>
              <w:top w:w="144" w:type="nil"/>
              <w:right w:w="144" w:type="nil"/>
            </w:tcMar>
            <w:vAlign w:val="bottom"/>
          </w:tcPr>
          <w:p w14:paraId="40597A56" w14:textId="77777777" w:rsidR="003A3DF6" w:rsidRPr="00AB27F7" w:rsidRDefault="003A3DF6" w:rsidP="002E0CEC">
            <w:pPr>
              <w:autoSpaceDE w:val="0"/>
              <w:autoSpaceDN w:val="0"/>
              <w:adjustRightInd w:val="0"/>
              <w:spacing w:after="0"/>
              <w:jc w:val="right"/>
              <w:rPr>
                <w:rFonts w:ascii="Calibri" w:hAnsi="Calibri"/>
                <w:color w:val="000000"/>
                <w:sz w:val="20"/>
                <w:szCs w:val="20"/>
              </w:rPr>
            </w:pPr>
            <w:r w:rsidRPr="00AB27F7">
              <w:rPr>
                <w:rFonts w:ascii="Calibri" w:hAnsi="Calibri"/>
                <w:color w:val="000000"/>
                <w:sz w:val="20"/>
                <w:szCs w:val="20"/>
              </w:rPr>
              <w:t>95.5</w:t>
            </w:r>
          </w:p>
        </w:tc>
        <w:tc>
          <w:tcPr>
            <w:tcW w:w="366" w:type="pct"/>
            <w:vAlign w:val="bottom"/>
          </w:tcPr>
          <w:p w14:paraId="43B71D05" w14:textId="77777777" w:rsidR="003A3DF6" w:rsidRPr="00AB27F7" w:rsidRDefault="003A3DF6" w:rsidP="002E0CEC">
            <w:pPr>
              <w:autoSpaceDE w:val="0"/>
              <w:autoSpaceDN w:val="0"/>
              <w:adjustRightInd w:val="0"/>
              <w:spacing w:after="0"/>
              <w:jc w:val="right"/>
              <w:rPr>
                <w:rFonts w:ascii="Calibri" w:hAnsi="Calibri"/>
                <w:sz w:val="20"/>
                <w:szCs w:val="20"/>
              </w:rPr>
            </w:pPr>
            <w:r w:rsidRPr="00AB27F7">
              <w:rPr>
                <w:rFonts w:ascii="Calibri" w:hAnsi="Calibri"/>
                <w:color w:val="000000"/>
                <w:sz w:val="20"/>
                <w:szCs w:val="20"/>
              </w:rPr>
              <w:t>100.0</w:t>
            </w:r>
          </w:p>
        </w:tc>
      </w:tr>
      <w:tr w:rsidR="003A3DF6" w:rsidRPr="005D4433" w14:paraId="082F8441" w14:textId="77777777" w:rsidTr="002E0CEC">
        <w:trPr>
          <w:trHeight w:val="288"/>
        </w:trPr>
        <w:tc>
          <w:tcPr>
            <w:tcW w:w="834" w:type="pct"/>
            <w:shd w:val="clear" w:color="auto" w:fill="auto"/>
            <w:tcMar>
              <w:top w:w="144" w:type="nil"/>
              <w:right w:w="144" w:type="nil"/>
            </w:tcMar>
            <w:vAlign w:val="bottom"/>
          </w:tcPr>
          <w:p w14:paraId="6F85D506" w14:textId="77777777" w:rsidR="003A3DF6" w:rsidRPr="00AB27F7" w:rsidRDefault="003A3DF6" w:rsidP="002E0CEC">
            <w:pPr>
              <w:autoSpaceDE w:val="0"/>
              <w:autoSpaceDN w:val="0"/>
              <w:adjustRightInd w:val="0"/>
              <w:spacing w:after="0"/>
              <w:rPr>
                <w:rFonts w:ascii="Calibri" w:eastAsia="Calibri" w:hAnsi="Calibri" w:cs="Calibri"/>
                <w:sz w:val="20"/>
                <w:szCs w:val="20"/>
              </w:rPr>
            </w:pPr>
            <w:r w:rsidRPr="00AB27F7">
              <w:rPr>
                <w:rFonts w:ascii="Calibri" w:eastAsia="Arial" w:hAnsi="Calibri" w:cs="Arial"/>
                <w:sz w:val="20"/>
                <w:szCs w:val="20"/>
              </w:rPr>
              <w:t>Bipolar disorder</w:t>
            </w:r>
          </w:p>
        </w:tc>
        <w:tc>
          <w:tcPr>
            <w:tcW w:w="388" w:type="pct"/>
            <w:tcMar>
              <w:top w:w="144" w:type="nil"/>
              <w:right w:w="144" w:type="nil"/>
            </w:tcMar>
            <w:vAlign w:val="bottom"/>
          </w:tcPr>
          <w:p w14:paraId="7C4A34B9" w14:textId="77777777" w:rsidR="003A3DF6" w:rsidRPr="00AB27F7" w:rsidRDefault="003A3DF6" w:rsidP="002E0CEC">
            <w:pPr>
              <w:autoSpaceDE w:val="0"/>
              <w:autoSpaceDN w:val="0"/>
              <w:adjustRightInd w:val="0"/>
              <w:spacing w:after="0"/>
              <w:jc w:val="right"/>
              <w:rPr>
                <w:rFonts w:ascii="Calibri" w:hAnsi="Calibri"/>
                <w:color w:val="000000" w:themeColor="text1"/>
                <w:sz w:val="20"/>
                <w:szCs w:val="20"/>
              </w:rPr>
            </w:pPr>
            <w:r w:rsidRPr="00AB27F7">
              <w:rPr>
                <w:rFonts w:ascii="Calibri" w:eastAsia="Calibri" w:hAnsi="Calibri" w:cs="Calibri"/>
                <w:color w:val="000000" w:themeColor="text1"/>
                <w:sz w:val="20"/>
                <w:szCs w:val="20"/>
              </w:rPr>
              <w:t>1,658</w:t>
            </w:r>
          </w:p>
        </w:tc>
        <w:tc>
          <w:tcPr>
            <w:tcW w:w="374" w:type="pct"/>
            <w:tcMar>
              <w:top w:w="144" w:type="nil"/>
              <w:right w:w="144" w:type="nil"/>
            </w:tcMar>
            <w:vAlign w:val="bottom"/>
          </w:tcPr>
          <w:p w14:paraId="45D58CA0" w14:textId="77777777" w:rsidR="003A3DF6" w:rsidRPr="00AB27F7" w:rsidRDefault="003A3DF6" w:rsidP="002E0CEC">
            <w:pPr>
              <w:autoSpaceDE w:val="0"/>
              <w:autoSpaceDN w:val="0"/>
              <w:adjustRightInd w:val="0"/>
              <w:spacing w:after="0"/>
              <w:jc w:val="right"/>
              <w:rPr>
                <w:rFonts w:ascii="Calibri" w:hAnsi="Calibri"/>
                <w:color w:val="000000"/>
                <w:sz w:val="20"/>
                <w:szCs w:val="20"/>
              </w:rPr>
            </w:pPr>
            <w:r w:rsidRPr="00AB27F7">
              <w:rPr>
                <w:rFonts w:ascii="Calibri" w:hAnsi="Calibri"/>
                <w:color w:val="000000"/>
                <w:sz w:val="20"/>
                <w:szCs w:val="20"/>
              </w:rPr>
              <w:t>78.3</w:t>
            </w:r>
          </w:p>
        </w:tc>
        <w:tc>
          <w:tcPr>
            <w:tcW w:w="339" w:type="pct"/>
            <w:tcMar>
              <w:top w:w="144" w:type="nil"/>
              <w:right w:w="144" w:type="nil"/>
            </w:tcMar>
            <w:vAlign w:val="bottom"/>
          </w:tcPr>
          <w:p w14:paraId="2C80B3DD" w14:textId="77777777" w:rsidR="003A3DF6" w:rsidRPr="00AB27F7" w:rsidRDefault="003A3DF6" w:rsidP="002E0CEC">
            <w:pPr>
              <w:autoSpaceDE w:val="0"/>
              <w:autoSpaceDN w:val="0"/>
              <w:adjustRightInd w:val="0"/>
              <w:spacing w:after="0"/>
              <w:jc w:val="right"/>
              <w:rPr>
                <w:rFonts w:ascii="Calibri" w:hAnsi="Calibri"/>
                <w:color w:val="000000"/>
                <w:sz w:val="20"/>
                <w:szCs w:val="20"/>
              </w:rPr>
            </w:pPr>
            <w:r w:rsidRPr="00AB27F7">
              <w:rPr>
                <w:rFonts w:ascii="Calibri" w:hAnsi="Calibri"/>
                <w:color w:val="000000"/>
                <w:sz w:val="20"/>
                <w:szCs w:val="20"/>
              </w:rPr>
              <w:t>14.4</w:t>
            </w:r>
          </w:p>
        </w:tc>
        <w:tc>
          <w:tcPr>
            <w:tcW w:w="340" w:type="pct"/>
            <w:vAlign w:val="bottom"/>
          </w:tcPr>
          <w:p w14:paraId="6080E1AD" w14:textId="77777777" w:rsidR="003A3DF6" w:rsidRPr="00AB27F7" w:rsidRDefault="003A3DF6" w:rsidP="002E0CEC">
            <w:pPr>
              <w:autoSpaceDE w:val="0"/>
              <w:autoSpaceDN w:val="0"/>
              <w:adjustRightInd w:val="0"/>
              <w:spacing w:after="0"/>
              <w:jc w:val="right"/>
              <w:rPr>
                <w:rFonts w:ascii="Calibri" w:hAnsi="Calibri"/>
                <w:color w:val="000000"/>
                <w:sz w:val="20"/>
                <w:szCs w:val="20"/>
              </w:rPr>
            </w:pPr>
            <w:r w:rsidRPr="00AB27F7">
              <w:rPr>
                <w:rFonts w:ascii="Calibri" w:hAnsi="Calibri"/>
                <w:color w:val="000000"/>
                <w:sz w:val="20"/>
                <w:szCs w:val="20"/>
              </w:rPr>
              <w:t>0.0</w:t>
            </w:r>
          </w:p>
        </w:tc>
        <w:tc>
          <w:tcPr>
            <w:tcW w:w="385" w:type="pct"/>
            <w:tcMar>
              <w:top w:w="144" w:type="nil"/>
              <w:right w:w="144" w:type="nil"/>
            </w:tcMar>
            <w:vAlign w:val="bottom"/>
          </w:tcPr>
          <w:p w14:paraId="4B5E931F" w14:textId="77777777" w:rsidR="003A3DF6" w:rsidRPr="00AB27F7" w:rsidRDefault="003A3DF6" w:rsidP="002E0CEC">
            <w:pPr>
              <w:autoSpaceDE w:val="0"/>
              <w:autoSpaceDN w:val="0"/>
              <w:adjustRightInd w:val="0"/>
              <w:spacing w:after="0"/>
              <w:jc w:val="right"/>
              <w:rPr>
                <w:rFonts w:ascii="Calibri" w:hAnsi="Calibri"/>
                <w:color w:val="000000"/>
                <w:sz w:val="20"/>
                <w:szCs w:val="20"/>
              </w:rPr>
            </w:pPr>
            <w:r w:rsidRPr="00AB27F7">
              <w:rPr>
                <w:rFonts w:ascii="Calibri" w:hAnsi="Calibri"/>
                <w:color w:val="000000"/>
                <w:sz w:val="20"/>
                <w:szCs w:val="20"/>
              </w:rPr>
              <w:t>63.9</w:t>
            </w:r>
          </w:p>
        </w:tc>
        <w:tc>
          <w:tcPr>
            <w:tcW w:w="529" w:type="pct"/>
            <w:tcMar>
              <w:top w:w="144" w:type="nil"/>
              <w:right w:w="144" w:type="nil"/>
            </w:tcMar>
            <w:vAlign w:val="bottom"/>
          </w:tcPr>
          <w:p w14:paraId="063EEDF9" w14:textId="77777777" w:rsidR="003A3DF6" w:rsidRPr="00AB27F7" w:rsidRDefault="003A3DF6" w:rsidP="002E0CEC">
            <w:pPr>
              <w:autoSpaceDE w:val="0"/>
              <w:autoSpaceDN w:val="0"/>
              <w:adjustRightInd w:val="0"/>
              <w:spacing w:after="0"/>
              <w:jc w:val="right"/>
              <w:rPr>
                <w:rFonts w:ascii="Calibri" w:hAnsi="Calibri"/>
                <w:color w:val="000000"/>
                <w:sz w:val="20"/>
                <w:szCs w:val="20"/>
              </w:rPr>
            </w:pPr>
            <w:r w:rsidRPr="00AB27F7">
              <w:rPr>
                <w:rFonts w:ascii="Calibri" w:hAnsi="Calibri"/>
                <w:color w:val="000000"/>
                <w:sz w:val="20"/>
                <w:szCs w:val="20"/>
              </w:rPr>
              <w:t>72.5</w:t>
            </w:r>
          </w:p>
        </w:tc>
        <w:tc>
          <w:tcPr>
            <w:tcW w:w="529" w:type="pct"/>
            <w:tcMar>
              <w:top w:w="144" w:type="nil"/>
              <w:right w:w="144" w:type="nil"/>
            </w:tcMar>
            <w:vAlign w:val="bottom"/>
          </w:tcPr>
          <w:p w14:paraId="373C178A" w14:textId="77777777" w:rsidR="003A3DF6" w:rsidRPr="00AB27F7" w:rsidRDefault="003A3DF6" w:rsidP="002E0CEC">
            <w:pPr>
              <w:autoSpaceDE w:val="0"/>
              <w:autoSpaceDN w:val="0"/>
              <w:adjustRightInd w:val="0"/>
              <w:spacing w:after="0"/>
              <w:jc w:val="right"/>
              <w:rPr>
                <w:rFonts w:ascii="Calibri" w:hAnsi="Calibri"/>
                <w:color w:val="000000"/>
                <w:sz w:val="20"/>
                <w:szCs w:val="20"/>
              </w:rPr>
            </w:pPr>
            <w:r w:rsidRPr="00AB27F7">
              <w:rPr>
                <w:rFonts w:ascii="Calibri" w:hAnsi="Calibri"/>
                <w:color w:val="000000"/>
                <w:sz w:val="20"/>
                <w:szCs w:val="20"/>
              </w:rPr>
              <w:t>80.0</w:t>
            </w:r>
          </w:p>
        </w:tc>
        <w:tc>
          <w:tcPr>
            <w:tcW w:w="482" w:type="pct"/>
            <w:tcMar>
              <w:top w:w="144" w:type="nil"/>
              <w:right w:w="144" w:type="nil"/>
            </w:tcMar>
            <w:vAlign w:val="bottom"/>
          </w:tcPr>
          <w:p w14:paraId="175FD7CF" w14:textId="77777777" w:rsidR="003A3DF6" w:rsidRPr="00AB27F7" w:rsidRDefault="003A3DF6" w:rsidP="002E0CEC">
            <w:pPr>
              <w:autoSpaceDE w:val="0"/>
              <w:autoSpaceDN w:val="0"/>
              <w:adjustRightInd w:val="0"/>
              <w:spacing w:after="0"/>
              <w:jc w:val="right"/>
              <w:rPr>
                <w:rFonts w:ascii="Calibri" w:hAnsi="Calibri"/>
                <w:color w:val="000000"/>
                <w:sz w:val="20"/>
                <w:szCs w:val="20"/>
              </w:rPr>
            </w:pPr>
            <w:r w:rsidRPr="00AB27F7">
              <w:rPr>
                <w:rFonts w:ascii="Calibri" w:hAnsi="Calibri"/>
                <w:color w:val="000000"/>
                <w:sz w:val="20"/>
                <w:szCs w:val="20"/>
              </w:rPr>
              <w:t>86.4</w:t>
            </w:r>
          </w:p>
        </w:tc>
        <w:tc>
          <w:tcPr>
            <w:tcW w:w="433" w:type="pct"/>
            <w:tcMar>
              <w:top w:w="144" w:type="nil"/>
              <w:right w:w="144" w:type="nil"/>
            </w:tcMar>
            <w:vAlign w:val="bottom"/>
          </w:tcPr>
          <w:p w14:paraId="52E6EF66" w14:textId="77777777" w:rsidR="003A3DF6" w:rsidRPr="00AB27F7" w:rsidRDefault="003A3DF6" w:rsidP="002E0CEC">
            <w:pPr>
              <w:autoSpaceDE w:val="0"/>
              <w:autoSpaceDN w:val="0"/>
              <w:adjustRightInd w:val="0"/>
              <w:spacing w:after="0"/>
              <w:jc w:val="right"/>
              <w:rPr>
                <w:rFonts w:ascii="Calibri" w:hAnsi="Calibri"/>
                <w:color w:val="000000"/>
                <w:sz w:val="20"/>
                <w:szCs w:val="20"/>
              </w:rPr>
            </w:pPr>
            <w:r w:rsidRPr="00AB27F7">
              <w:rPr>
                <w:rFonts w:ascii="Calibri" w:hAnsi="Calibri"/>
                <w:color w:val="000000"/>
                <w:sz w:val="20"/>
                <w:szCs w:val="20"/>
              </w:rPr>
              <w:t>93.5</w:t>
            </w:r>
          </w:p>
        </w:tc>
        <w:tc>
          <w:tcPr>
            <w:tcW w:w="366" w:type="pct"/>
            <w:vAlign w:val="bottom"/>
          </w:tcPr>
          <w:p w14:paraId="007AF5AC" w14:textId="77777777" w:rsidR="003A3DF6" w:rsidRPr="00AB27F7" w:rsidRDefault="003A3DF6" w:rsidP="002E0CEC">
            <w:pPr>
              <w:autoSpaceDE w:val="0"/>
              <w:autoSpaceDN w:val="0"/>
              <w:adjustRightInd w:val="0"/>
              <w:spacing w:after="0"/>
              <w:jc w:val="right"/>
              <w:rPr>
                <w:rFonts w:ascii="Calibri" w:hAnsi="Calibri"/>
                <w:color w:val="000000"/>
                <w:sz w:val="20"/>
                <w:szCs w:val="20"/>
              </w:rPr>
            </w:pPr>
            <w:r w:rsidRPr="00AB27F7">
              <w:rPr>
                <w:rFonts w:ascii="Calibri" w:hAnsi="Calibri"/>
                <w:color w:val="000000"/>
                <w:sz w:val="20"/>
                <w:szCs w:val="20"/>
              </w:rPr>
              <w:t>100.0</w:t>
            </w:r>
          </w:p>
        </w:tc>
      </w:tr>
      <w:tr w:rsidR="003A3DF6" w:rsidRPr="005D4433" w14:paraId="524461AA" w14:textId="77777777" w:rsidTr="002E0CEC">
        <w:trPr>
          <w:trHeight w:val="288"/>
        </w:trPr>
        <w:tc>
          <w:tcPr>
            <w:tcW w:w="834" w:type="pct"/>
            <w:shd w:val="clear" w:color="auto" w:fill="auto"/>
            <w:tcMar>
              <w:top w:w="144" w:type="nil"/>
              <w:right w:w="144" w:type="nil"/>
            </w:tcMar>
            <w:vAlign w:val="bottom"/>
          </w:tcPr>
          <w:p w14:paraId="21F17102" w14:textId="77777777" w:rsidR="003A3DF6" w:rsidRPr="00AB27F7" w:rsidRDefault="003A3DF6" w:rsidP="002E0CEC">
            <w:pPr>
              <w:autoSpaceDE w:val="0"/>
              <w:autoSpaceDN w:val="0"/>
              <w:adjustRightInd w:val="0"/>
              <w:spacing w:after="0"/>
              <w:rPr>
                <w:rFonts w:ascii="Calibri" w:eastAsia="Calibri" w:hAnsi="Calibri" w:cs="Calibri"/>
                <w:sz w:val="20"/>
                <w:szCs w:val="20"/>
              </w:rPr>
            </w:pPr>
            <w:r w:rsidRPr="00AB27F7">
              <w:rPr>
                <w:rFonts w:ascii="Calibri" w:eastAsia="Arial" w:hAnsi="Calibri" w:cs="Arial"/>
                <w:b/>
                <w:bCs/>
                <w:sz w:val="20"/>
                <w:szCs w:val="20"/>
              </w:rPr>
              <w:t>Overall</w:t>
            </w:r>
          </w:p>
        </w:tc>
        <w:tc>
          <w:tcPr>
            <w:tcW w:w="388" w:type="pct"/>
            <w:tcMar>
              <w:top w:w="144" w:type="nil"/>
              <w:right w:w="144" w:type="nil"/>
            </w:tcMar>
            <w:vAlign w:val="bottom"/>
          </w:tcPr>
          <w:p w14:paraId="46890BF7" w14:textId="77777777" w:rsidR="003A3DF6" w:rsidRPr="00AB27F7" w:rsidRDefault="003A3DF6" w:rsidP="002E0CEC">
            <w:pPr>
              <w:autoSpaceDE w:val="0"/>
              <w:autoSpaceDN w:val="0"/>
              <w:adjustRightInd w:val="0"/>
              <w:spacing w:after="0"/>
              <w:jc w:val="right"/>
              <w:rPr>
                <w:rFonts w:ascii="Calibri" w:eastAsia="Calibri" w:hAnsi="Calibri" w:cs="Calibri"/>
                <w:sz w:val="20"/>
                <w:szCs w:val="20"/>
              </w:rPr>
            </w:pPr>
            <w:r w:rsidRPr="00AB27F7">
              <w:rPr>
                <w:rFonts w:ascii="Calibri" w:eastAsia="Calibri" w:hAnsi="Calibri" w:cs="Calibri"/>
                <w:color w:val="000000" w:themeColor="text1"/>
                <w:sz w:val="20"/>
                <w:szCs w:val="20"/>
              </w:rPr>
              <w:t>1,694</w:t>
            </w:r>
          </w:p>
        </w:tc>
        <w:tc>
          <w:tcPr>
            <w:tcW w:w="374" w:type="pct"/>
            <w:tcMar>
              <w:top w:w="144" w:type="nil"/>
              <w:right w:w="144" w:type="nil"/>
            </w:tcMar>
            <w:vAlign w:val="bottom"/>
          </w:tcPr>
          <w:p w14:paraId="129CE7B3"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78.0</w:t>
            </w:r>
          </w:p>
        </w:tc>
        <w:tc>
          <w:tcPr>
            <w:tcW w:w="339" w:type="pct"/>
            <w:tcMar>
              <w:top w:w="144" w:type="nil"/>
              <w:right w:w="144" w:type="nil"/>
            </w:tcMar>
            <w:vAlign w:val="bottom"/>
          </w:tcPr>
          <w:p w14:paraId="28717B78"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11.1</w:t>
            </w:r>
          </w:p>
        </w:tc>
        <w:tc>
          <w:tcPr>
            <w:tcW w:w="340" w:type="pct"/>
            <w:vAlign w:val="bottom"/>
          </w:tcPr>
          <w:p w14:paraId="249A8256" w14:textId="77777777" w:rsidR="003A3DF6" w:rsidRPr="00AB27F7" w:rsidRDefault="003A3DF6" w:rsidP="002E0CEC">
            <w:pPr>
              <w:autoSpaceDE w:val="0"/>
              <w:autoSpaceDN w:val="0"/>
              <w:adjustRightInd w:val="0"/>
              <w:spacing w:after="0"/>
              <w:jc w:val="right"/>
              <w:rPr>
                <w:rFonts w:ascii="Calibri" w:hAnsi="Calibri"/>
                <w:sz w:val="20"/>
                <w:szCs w:val="20"/>
              </w:rPr>
            </w:pPr>
            <w:r w:rsidRPr="00AB27F7">
              <w:rPr>
                <w:rFonts w:ascii="Calibri" w:hAnsi="Calibri"/>
                <w:color w:val="000000"/>
                <w:sz w:val="20"/>
                <w:szCs w:val="20"/>
              </w:rPr>
              <w:t>0.0</w:t>
            </w:r>
          </w:p>
        </w:tc>
        <w:tc>
          <w:tcPr>
            <w:tcW w:w="385" w:type="pct"/>
            <w:tcMar>
              <w:top w:w="144" w:type="nil"/>
              <w:right w:w="144" w:type="nil"/>
            </w:tcMar>
            <w:vAlign w:val="bottom"/>
          </w:tcPr>
          <w:p w14:paraId="5686EB9E"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66.7</w:t>
            </w:r>
          </w:p>
        </w:tc>
        <w:tc>
          <w:tcPr>
            <w:tcW w:w="529" w:type="pct"/>
            <w:tcMar>
              <w:top w:w="144" w:type="nil"/>
              <w:right w:w="144" w:type="nil"/>
            </w:tcMar>
            <w:vAlign w:val="bottom"/>
          </w:tcPr>
          <w:p w14:paraId="1109E617"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73.6</w:t>
            </w:r>
          </w:p>
        </w:tc>
        <w:tc>
          <w:tcPr>
            <w:tcW w:w="529" w:type="pct"/>
            <w:tcMar>
              <w:top w:w="144" w:type="nil"/>
              <w:right w:w="144" w:type="nil"/>
            </w:tcMar>
            <w:vAlign w:val="bottom"/>
          </w:tcPr>
          <w:p w14:paraId="43CCC417"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79.6</w:t>
            </w:r>
          </w:p>
        </w:tc>
        <w:tc>
          <w:tcPr>
            <w:tcW w:w="482" w:type="pct"/>
            <w:tcMar>
              <w:top w:w="144" w:type="nil"/>
              <w:right w:w="144" w:type="nil"/>
            </w:tcMar>
            <w:vAlign w:val="bottom"/>
          </w:tcPr>
          <w:p w14:paraId="218B87FD"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84.4</w:t>
            </w:r>
          </w:p>
        </w:tc>
        <w:tc>
          <w:tcPr>
            <w:tcW w:w="433" w:type="pct"/>
            <w:tcMar>
              <w:top w:w="144" w:type="nil"/>
              <w:right w:w="144" w:type="nil"/>
            </w:tcMar>
            <w:vAlign w:val="bottom"/>
          </w:tcPr>
          <w:p w14:paraId="00ECC264" w14:textId="77777777" w:rsidR="003A3DF6" w:rsidRPr="00AB27F7" w:rsidRDefault="003A3DF6" w:rsidP="002E0CEC">
            <w:pPr>
              <w:autoSpaceDE w:val="0"/>
              <w:autoSpaceDN w:val="0"/>
              <w:adjustRightInd w:val="0"/>
              <w:spacing w:after="0"/>
              <w:jc w:val="right"/>
              <w:rPr>
                <w:rFonts w:ascii="Calibri" w:hAnsi="Calibri" w:cs="Calibri"/>
                <w:sz w:val="20"/>
                <w:szCs w:val="20"/>
              </w:rPr>
            </w:pPr>
            <w:r w:rsidRPr="00AB27F7">
              <w:rPr>
                <w:rFonts w:ascii="Calibri" w:hAnsi="Calibri"/>
                <w:color w:val="000000"/>
                <w:sz w:val="20"/>
                <w:szCs w:val="20"/>
              </w:rPr>
              <w:t>88.3</w:t>
            </w:r>
          </w:p>
        </w:tc>
        <w:tc>
          <w:tcPr>
            <w:tcW w:w="366" w:type="pct"/>
            <w:vAlign w:val="bottom"/>
          </w:tcPr>
          <w:p w14:paraId="15EA22C3" w14:textId="77777777" w:rsidR="003A3DF6" w:rsidRPr="00AB27F7" w:rsidRDefault="003A3DF6" w:rsidP="002E0CEC">
            <w:pPr>
              <w:autoSpaceDE w:val="0"/>
              <w:autoSpaceDN w:val="0"/>
              <w:adjustRightInd w:val="0"/>
              <w:spacing w:after="0"/>
              <w:jc w:val="right"/>
              <w:rPr>
                <w:rFonts w:ascii="Calibri" w:hAnsi="Calibri"/>
                <w:sz w:val="20"/>
                <w:szCs w:val="20"/>
              </w:rPr>
            </w:pPr>
            <w:r w:rsidRPr="00AB27F7">
              <w:rPr>
                <w:rFonts w:ascii="Calibri" w:hAnsi="Calibri"/>
                <w:color w:val="000000"/>
                <w:sz w:val="20"/>
                <w:szCs w:val="20"/>
              </w:rPr>
              <w:t>100.0</w:t>
            </w:r>
          </w:p>
        </w:tc>
      </w:tr>
    </w:tbl>
    <w:p w14:paraId="24639F66" w14:textId="77777777" w:rsidR="003A3DF6" w:rsidRPr="005E0E3B" w:rsidRDefault="003A3DF6" w:rsidP="003A3DF6">
      <w:pPr>
        <w:spacing w:before="120" w:after="120" w:line="240" w:lineRule="auto"/>
        <w:rPr>
          <w:spacing w:val="-1"/>
        </w:rPr>
      </w:pPr>
      <w:r w:rsidRPr="00B47D27">
        <w:rPr>
          <w:color w:val="0000FF"/>
        </w:rPr>
        <w:t>About 24% of facilities had medication continuation rates that were statistically better than the national rate, and about 13% of facilities had medication continuation rates that were statistically worse than the national rate (Table 2b5.2-B).</w:t>
      </w:r>
      <w:r w:rsidRPr="00B47D27">
        <w:rPr>
          <w:color w:val="0000FF"/>
          <w:spacing w:val="-1"/>
        </w:rPr>
        <w:t xml:space="preserve"> </w:t>
      </w:r>
    </w:p>
    <w:p w14:paraId="1CE6C5C0" w14:textId="5B7329AA" w:rsidR="003A3DF6" w:rsidRPr="003A3DF6" w:rsidRDefault="00786B78" w:rsidP="00BD4785">
      <w:pPr>
        <w:pStyle w:val="Caption"/>
      </w:pPr>
      <w:bookmarkStart w:id="72" w:name="_Ref461999389"/>
      <w:bookmarkStart w:id="73" w:name="_Toc461786360"/>
      <w:bookmarkStart w:id="74" w:name="_Toc461788517"/>
      <w:bookmarkStart w:id="75" w:name="_Toc461789707"/>
      <w:bookmarkStart w:id="76" w:name="_Toc462065411"/>
      <w:bookmarkStart w:id="77" w:name="_Toc462148741"/>
      <w:bookmarkStart w:id="78" w:name="_Toc462222772"/>
      <w:bookmarkStart w:id="79" w:name="_Toc462225266"/>
      <w:bookmarkStart w:id="80" w:name="_Toc462226862"/>
      <w:bookmarkStart w:id="81" w:name="_Toc462232831"/>
      <w:bookmarkStart w:id="82" w:name="_Toc462232774"/>
      <w:bookmarkStart w:id="83" w:name="_Toc462382598"/>
      <w:bookmarkStart w:id="84" w:name="_Toc462403105"/>
      <w:bookmarkStart w:id="85" w:name="_Toc462661248"/>
      <w:bookmarkStart w:id="86" w:name="_Toc462825186"/>
      <w:bookmarkStart w:id="87" w:name="_Toc462829426"/>
      <w:bookmarkStart w:id="88" w:name="_Toc462840733"/>
      <w:bookmarkStart w:id="89" w:name="_Toc462847227"/>
      <w:r w:rsidRPr="003A3DF6">
        <w:t xml:space="preserve">Table </w:t>
      </w:r>
      <w:bookmarkEnd w:id="72"/>
      <w:r w:rsidRPr="003A3DF6">
        <w:t>2b5.2-B. Distribution of IPFs Compared to the National Medication Continuation Rate</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tbl>
      <w:tblPr>
        <w:tblW w:w="7920" w:type="dxa"/>
        <w:tblInd w:w="108" w:type="dxa"/>
        <w:tblLayout w:type="fixed"/>
        <w:tblLook w:val="04A0" w:firstRow="1" w:lastRow="0" w:firstColumn="1" w:lastColumn="0" w:noHBand="0" w:noVBand="1"/>
      </w:tblPr>
      <w:tblGrid>
        <w:gridCol w:w="5220"/>
        <w:gridCol w:w="1350"/>
        <w:gridCol w:w="1350"/>
      </w:tblGrid>
      <w:tr w:rsidR="003A3DF6" w:rsidRPr="0074161D" w14:paraId="2AEC385B" w14:textId="77777777" w:rsidTr="002E0CEC">
        <w:trPr>
          <w:trHeight w:val="302"/>
        </w:trPr>
        <w:tc>
          <w:tcPr>
            <w:tcW w:w="5220"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bottom"/>
            <w:hideMark/>
          </w:tcPr>
          <w:p w14:paraId="5C3D2B58" w14:textId="77777777" w:rsidR="003A3DF6" w:rsidRPr="005D4433" w:rsidRDefault="003A3DF6" w:rsidP="002E0CEC">
            <w:pPr>
              <w:spacing w:after="0"/>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Performance Categorization</w:t>
            </w:r>
          </w:p>
        </w:tc>
        <w:tc>
          <w:tcPr>
            <w:tcW w:w="1350" w:type="dxa"/>
            <w:tcBorders>
              <w:top w:val="single" w:sz="4" w:space="0" w:color="auto"/>
              <w:left w:val="nil"/>
              <w:bottom w:val="single" w:sz="4" w:space="0" w:color="auto"/>
              <w:right w:val="single" w:sz="4" w:space="0" w:color="auto"/>
            </w:tcBorders>
            <w:shd w:val="clear" w:color="auto" w:fill="365F91" w:themeFill="accent1" w:themeFillShade="BF"/>
            <w:noWrap/>
            <w:vAlign w:val="bottom"/>
            <w:hideMark/>
          </w:tcPr>
          <w:p w14:paraId="31B4AB95" w14:textId="77777777" w:rsidR="003A3DF6" w:rsidRPr="005D4433" w:rsidRDefault="003A3DF6" w:rsidP="002E0CEC">
            <w:pPr>
              <w:spacing w:after="0"/>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Count IPFs</w:t>
            </w:r>
          </w:p>
        </w:tc>
        <w:tc>
          <w:tcPr>
            <w:tcW w:w="1350" w:type="dxa"/>
            <w:tcBorders>
              <w:top w:val="single" w:sz="4" w:space="0" w:color="auto"/>
              <w:left w:val="nil"/>
              <w:bottom w:val="single" w:sz="4" w:space="0" w:color="auto"/>
              <w:right w:val="single" w:sz="4" w:space="0" w:color="auto"/>
            </w:tcBorders>
            <w:shd w:val="clear" w:color="auto" w:fill="365F91" w:themeFill="accent1" w:themeFillShade="BF"/>
            <w:noWrap/>
            <w:vAlign w:val="bottom"/>
            <w:hideMark/>
          </w:tcPr>
          <w:p w14:paraId="7B273A15" w14:textId="77777777" w:rsidR="003A3DF6" w:rsidRPr="005D4433" w:rsidRDefault="003A3DF6" w:rsidP="002E0CEC">
            <w:pPr>
              <w:spacing w:after="0"/>
              <w:jc w:val="center"/>
              <w:rPr>
                <w:rFonts w:ascii="Calibri" w:eastAsia="Calibri,Times New Roman" w:hAnsi="Calibri" w:cs="Calibri,Times New Roman"/>
                <w:b/>
                <w:bCs/>
                <w:color w:val="FFFFFF" w:themeColor="background1"/>
                <w:sz w:val="20"/>
                <w:szCs w:val="20"/>
              </w:rPr>
            </w:pPr>
            <w:r w:rsidRPr="005D4433">
              <w:rPr>
                <w:rFonts w:ascii="Calibri" w:eastAsia="Calibri,Times New Roman" w:hAnsi="Calibri" w:cs="Calibri,Times New Roman"/>
                <w:b/>
                <w:bCs/>
                <w:color w:val="FFFFFF" w:themeColor="background1"/>
                <w:sz w:val="20"/>
                <w:szCs w:val="20"/>
              </w:rPr>
              <w:t>Percent IPFs</w:t>
            </w:r>
          </w:p>
        </w:tc>
      </w:tr>
      <w:tr w:rsidR="003A3DF6" w:rsidRPr="0074161D" w14:paraId="47C31A95" w14:textId="77777777" w:rsidTr="002E0CEC">
        <w:trPr>
          <w:trHeight w:val="288"/>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14:paraId="433AD74C" w14:textId="77777777" w:rsidR="003A3DF6" w:rsidRPr="005D4433" w:rsidRDefault="003A3DF6" w:rsidP="002E0CEC">
            <w:pPr>
              <w:spacing w:after="0"/>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Total IPFs</w:t>
            </w:r>
          </w:p>
        </w:tc>
        <w:tc>
          <w:tcPr>
            <w:tcW w:w="1350" w:type="dxa"/>
            <w:tcBorders>
              <w:top w:val="nil"/>
              <w:left w:val="nil"/>
              <w:bottom w:val="single" w:sz="4" w:space="0" w:color="auto"/>
              <w:right w:val="single" w:sz="4" w:space="0" w:color="auto"/>
            </w:tcBorders>
            <w:shd w:val="clear" w:color="auto" w:fill="auto"/>
            <w:noWrap/>
            <w:vAlign w:val="bottom"/>
            <w:hideMark/>
          </w:tcPr>
          <w:p w14:paraId="43624917" w14:textId="77777777" w:rsidR="003A3DF6" w:rsidRPr="005D4433" w:rsidRDefault="003A3DF6" w:rsidP="002E0CEC">
            <w:pPr>
              <w:spacing w:after="0"/>
              <w:jc w:val="right"/>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1,694</w:t>
            </w:r>
          </w:p>
        </w:tc>
        <w:tc>
          <w:tcPr>
            <w:tcW w:w="1350" w:type="dxa"/>
            <w:tcBorders>
              <w:top w:val="nil"/>
              <w:left w:val="nil"/>
              <w:bottom w:val="single" w:sz="4" w:space="0" w:color="auto"/>
              <w:right w:val="single" w:sz="4" w:space="0" w:color="auto"/>
            </w:tcBorders>
            <w:shd w:val="clear" w:color="auto" w:fill="auto"/>
            <w:noWrap/>
            <w:vAlign w:val="bottom"/>
            <w:hideMark/>
          </w:tcPr>
          <w:p w14:paraId="2C9ABFF6" w14:textId="77777777" w:rsidR="003A3DF6" w:rsidRPr="005D4433" w:rsidRDefault="003A3DF6" w:rsidP="002E0CEC">
            <w:pPr>
              <w:spacing w:after="0"/>
              <w:jc w:val="right"/>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 xml:space="preserve">100.0    </w:t>
            </w:r>
          </w:p>
        </w:tc>
      </w:tr>
      <w:tr w:rsidR="003A3DF6" w:rsidRPr="0074161D" w14:paraId="306C3BE3" w14:textId="77777777" w:rsidTr="002E0CEC">
        <w:trPr>
          <w:trHeight w:val="288"/>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14:paraId="22DF9448" w14:textId="77777777" w:rsidR="003A3DF6" w:rsidRPr="005D4433" w:rsidRDefault="003A3DF6" w:rsidP="002E0CEC">
            <w:pPr>
              <w:spacing w:after="0"/>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Better than national rate</w:t>
            </w:r>
          </w:p>
        </w:tc>
        <w:tc>
          <w:tcPr>
            <w:tcW w:w="1350" w:type="dxa"/>
            <w:tcBorders>
              <w:top w:val="nil"/>
              <w:left w:val="nil"/>
              <w:bottom w:val="single" w:sz="4" w:space="0" w:color="auto"/>
              <w:right w:val="single" w:sz="4" w:space="0" w:color="auto"/>
            </w:tcBorders>
            <w:shd w:val="clear" w:color="auto" w:fill="auto"/>
            <w:noWrap/>
            <w:vAlign w:val="bottom"/>
            <w:hideMark/>
          </w:tcPr>
          <w:p w14:paraId="764852F0" w14:textId="77777777" w:rsidR="003A3DF6" w:rsidRPr="005D4433" w:rsidRDefault="003A3DF6" w:rsidP="002E0CEC">
            <w:pPr>
              <w:spacing w:after="0"/>
              <w:jc w:val="right"/>
              <w:rPr>
                <w:rFonts w:ascii="Calibri" w:eastAsia="Calibri,Times New Roman" w:hAnsi="Calibri" w:cs="Calibri,Times New Roman"/>
                <w:color w:val="000000" w:themeColor="text1"/>
                <w:sz w:val="20"/>
                <w:szCs w:val="20"/>
              </w:rPr>
            </w:pPr>
            <w:r w:rsidRPr="005D4433">
              <w:rPr>
                <w:rFonts w:ascii="Calibri" w:eastAsia="Calibri" w:hAnsi="Calibri" w:cs="Calibri"/>
                <w:color w:val="000000" w:themeColor="text1"/>
                <w:sz w:val="20"/>
                <w:szCs w:val="20"/>
              </w:rPr>
              <w:t>399</w:t>
            </w:r>
          </w:p>
        </w:tc>
        <w:tc>
          <w:tcPr>
            <w:tcW w:w="1350" w:type="dxa"/>
            <w:tcBorders>
              <w:top w:val="nil"/>
              <w:left w:val="nil"/>
              <w:bottom w:val="single" w:sz="4" w:space="0" w:color="auto"/>
              <w:right w:val="single" w:sz="4" w:space="0" w:color="auto"/>
            </w:tcBorders>
            <w:shd w:val="clear" w:color="auto" w:fill="auto"/>
            <w:noWrap/>
            <w:vAlign w:val="bottom"/>
            <w:hideMark/>
          </w:tcPr>
          <w:p w14:paraId="4FA2B7A6" w14:textId="77777777" w:rsidR="003A3DF6" w:rsidRPr="005D4433" w:rsidRDefault="003A3DF6" w:rsidP="002E0CEC">
            <w:pPr>
              <w:spacing w:after="0"/>
              <w:jc w:val="right"/>
              <w:rPr>
                <w:rFonts w:ascii="Calibri" w:eastAsia="Times New Roman" w:hAnsi="Calibri" w:cs="Times New Roman"/>
                <w:color w:val="000000"/>
                <w:sz w:val="20"/>
                <w:szCs w:val="20"/>
              </w:rPr>
            </w:pPr>
            <w:r w:rsidRPr="005D4433">
              <w:rPr>
                <w:rFonts w:ascii="Calibri" w:hAnsi="Calibri"/>
                <w:color w:val="000000"/>
                <w:sz w:val="20"/>
                <w:szCs w:val="20"/>
              </w:rPr>
              <w:t>23.6</w:t>
            </w:r>
          </w:p>
        </w:tc>
      </w:tr>
      <w:tr w:rsidR="003A3DF6" w:rsidRPr="0074161D" w14:paraId="35B94C1E" w14:textId="77777777" w:rsidTr="002E0CEC">
        <w:trPr>
          <w:trHeight w:val="288"/>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14:paraId="43425279" w14:textId="77777777" w:rsidR="003A3DF6" w:rsidRPr="005D4433" w:rsidRDefault="003A3DF6" w:rsidP="002E0CEC">
            <w:pPr>
              <w:spacing w:after="0"/>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No different than national rate</w:t>
            </w:r>
          </w:p>
        </w:tc>
        <w:tc>
          <w:tcPr>
            <w:tcW w:w="1350" w:type="dxa"/>
            <w:tcBorders>
              <w:top w:val="nil"/>
              <w:left w:val="nil"/>
              <w:bottom w:val="single" w:sz="4" w:space="0" w:color="auto"/>
              <w:right w:val="single" w:sz="4" w:space="0" w:color="auto"/>
            </w:tcBorders>
            <w:shd w:val="clear" w:color="auto" w:fill="auto"/>
            <w:noWrap/>
            <w:vAlign w:val="bottom"/>
            <w:hideMark/>
          </w:tcPr>
          <w:p w14:paraId="6262D215" w14:textId="77777777" w:rsidR="003A3DF6" w:rsidRPr="005D4433" w:rsidRDefault="003A3DF6" w:rsidP="002E0CEC">
            <w:pPr>
              <w:spacing w:after="0"/>
              <w:jc w:val="right"/>
              <w:rPr>
                <w:rFonts w:ascii="Calibri" w:eastAsia="Calibri,Times New Roman" w:hAnsi="Calibri" w:cs="Calibri,Times New Roman"/>
                <w:color w:val="000000" w:themeColor="text1"/>
                <w:sz w:val="20"/>
                <w:szCs w:val="20"/>
              </w:rPr>
            </w:pPr>
            <w:r w:rsidRPr="005D4433">
              <w:rPr>
                <w:rFonts w:ascii="Calibri" w:eastAsia="Calibri" w:hAnsi="Calibri" w:cs="Calibri"/>
                <w:color w:val="000000" w:themeColor="text1"/>
                <w:sz w:val="20"/>
                <w:szCs w:val="20"/>
              </w:rPr>
              <w:t>572</w:t>
            </w:r>
          </w:p>
        </w:tc>
        <w:tc>
          <w:tcPr>
            <w:tcW w:w="1350" w:type="dxa"/>
            <w:tcBorders>
              <w:top w:val="nil"/>
              <w:left w:val="nil"/>
              <w:bottom w:val="single" w:sz="4" w:space="0" w:color="auto"/>
              <w:right w:val="single" w:sz="4" w:space="0" w:color="auto"/>
            </w:tcBorders>
            <w:shd w:val="clear" w:color="auto" w:fill="auto"/>
            <w:noWrap/>
            <w:vAlign w:val="bottom"/>
            <w:hideMark/>
          </w:tcPr>
          <w:p w14:paraId="04225F93" w14:textId="77777777" w:rsidR="003A3DF6" w:rsidRPr="005D4433" w:rsidRDefault="003A3DF6" w:rsidP="002E0CEC">
            <w:pPr>
              <w:spacing w:after="0"/>
              <w:jc w:val="right"/>
              <w:rPr>
                <w:rFonts w:ascii="Calibri" w:eastAsia="Times New Roman" w:hAnsi="Calibri" w:cs="Times New Roman"/>
                <w:color w:val="000000"/>
                <w:sz w:val="20"/>
                <w:szCs w:val="20"/>
              </w:rPr>
            </w:pPr>
            <w:r w:rsidRPr="005D4433">
              <w:rPr>
                <w:rFonts w:ascii="Calibri" w:hAnsi="Calibri"/>
                <w:color w:val="000000"/>
                <w:sz w:val="20"/>
                <w:szCs w:val="20"/>
              </w:rPr>
              <w:t>33.8</w:t>
            </w:r>
          </w:p>
        </w:tc>
      </w:tr>
      <w:tr w:rsidR="003A3DF6" w:rsidRPr="0074161D" w14:paraId="34753280" w14:textId="77777777" w:rsidTr="002E0CEC">
        <w:trPr>
          <w:trHeight w:val="288"/>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14:paraId="20A9D9D7" w14:textId="77777777" w:rsidR="003A3DF6" w:rsidRPr="005D4433" w:rsidRDefault="003A3DF6" w:rsidP="002E0CEC">
            <w:pPr>
              <w:spacing w:after="0"/>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Worse than national rate</w:t>
            </w:r>
          </w:p>
        </w:tc>
        <w:tc>
          <w:tcPr>
            <w:tcW w:w="1350" w:type="dxa"/>
            <w:tcBorders>
              <w:top w:val="nil"/>
              <w:left w:val="nil"/>
              <w:bottom w:val="single" w:sz="4" w:space="0" w:color="auto"/>
              <w:right w:val="single" w:sz="4" w:space="0" w:color="auto"/>
            </w:tcBorders>
            <w:shd w:val="clear" w:color="auto" w:fill="auto"/>
            <w:noWrap/>
            <w:vAlign w:val="bottom"/>
            <w:hideMark/>
          </w:tcPr>
          <w:p w14:paraId="2F16D6C3" w14:textId="77777777" w:rsidR="003A3DF6" w:rsidRPr="005D4433" w:rsidRDefault="003A3DF6" w:rsidP="002E0CEC">
            <w:pPr>
              <w:spacing w:after="0"/>
              <w:jc w:val="right"/>
              <w:rPr>
                <w:rFonts w:ascii="Calibri" w:eastAsia="Calibri,Times New Roman" w:hAnsi="Calibri" w:cs="Calibri,Times New Roman"/>
                <w:color w:val="000000" w:themeColor="text1"/>
                <w:sz w:val="20"/>
                <w:szCs w:val="20"/>
              </w:rPr>
            </w:pPr>
            <w:r w:rsidRPr="005D4433">
              <w:rPr>
                <w:rFonts w:ascii="Calibri" w:eastAsia="Calibri" w:hAnsi="Calibri" w:cs="Calibri"/>
                <w:color w:val="000000" w:themeColor="text1"/>
                <w:sz w:val="20"/>
                <w:szCs w:val="20"/>
              </w:rPr>
              <w:t>213</w:t>
            </w:r>
          </w:p>
        </w:tc>
        <w:tc>
          <w:tcPr>
            <w:tcW w:w="1350" w:type="dxa"/>
            <w:tcBorders>
              <w:top w:val="nil"/>
              <w:left w:val="nil"/>
              <w:bottom w:val="single" w:sz="4" w:space="0" w:color="auto"/>
              <w:right w:val="single" w:sz="4" w:space="0" w:color="auto"/>
            </w:tcBorders>
            <w:shd w:val="clear" w:color="auto" w:fill="auto"/>
            <w:noWrap/>
            <w:vAlign w:val="bottom"/>
            <w:hideMark/>
          </w:tcPr>
          <w:p w14:paraId="1A39BF86" w14:textId="77777777" w:rsidR="003A3DF6" w:rsidRPr="005D4433" w:rsidRDefault="003A3DF6" w:rsidP="002E0CEC">
            <w:pPr>
              <w:spacing w:after="0"/>
              <w:jc w:val="right"/>
              <w:rPr>
                <w:rFonts w:ascii="Calibri" w:eastAsia="Times New Roman" w:hAnsi="Calibri" w:cs="Times New Roman"/>
                <w:color w:val="000000"/>
                <w:sz w:val="20"/>
                <w:szCs w:val="20"/>
              </w:rPr>
            </w:pPr>
            <w:r w:rsidRPr="005D4433">
              <w:rPr>
                <w:rFonts w:ascii="Calibri" w:hAnsi="Calibri"/>
                <w:color w:val="000000"/>
                <w:sz w:val="20"/>
                <w:szCs w:val="20"/>
              </w:rPr>
              <w:t>12.6</w:t>
            </w:r>
          </w:p>
        </w:tc>
      </w:tr>
      <w:tr w:rsidR="003A3DF6" w:rsidRPr="0074161D" w14:paraId="5AEC1484" w14:textId="77777777" w:rsidTr="002E0CEC">
        <w:trPr>
          <w:trHeight w:val="288"/>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14:paraId="0F1F2288" w14:textId="77777777" w:rsidR="003A3DF6" w:rsidRPr="005D4433" w:rsidRDefault="003A3DF6" w:rsidP="002E0CEC">
            <w:pPr>
              <w:spacing w:after="0"/>
              <w:rPr>
                <w:rFonts w:ascii="Calibri" w:eastAsia="Calibri,Times New Roman" w:hAnsi="Calibri" w:cs="Calibri,Times New Roman"/>
                <w:color w:val="000000" w:themeColor="text1"/>
                <w:sz w:val="20"/>
                <w:szCs w:val="20"/>
              </w:rPr>
            </w:pPr>
            <w:r w:rsidRPr="005D4433">
              <w:rPr>
                <w:rFonts w:ascii="Calibri" w:eastAsia="Calibri,Times New Roman" w:hAnsi="Calibri" w:cs="Calibri,Times New Roman"/>
                <w:color w:val="000000" w:themeColor="text1"/>
                <w:sz w:val="20"/>
                <w:szCs w:val="20"/>
              </w:rPr>
              <w:t>Fewer than 75 discharges during the performance period</w:t>
            </w:r>
          </w:p>
        </w:tc>
        <w:tc>
          <w:tcPr>
            <w:tcW w:w="1350" w:type="dxa"/>
            <w:tcBorders>
              <w:top w:val="nil"/>
              <w:left w:val="nil"/>
              <w:bottom w:val="single" w:sz="4" w:space="0" w:color="auto"/>
              <w:right w:val="single" w:sz="4" w:space="0" w:color="auto"/>
            </w:tcBorders>
            <w:shd w:val="clear" w:color="auto" w:fill="auto"/>
            <w:noWrap/>
            <w:vAlign w:val="bottom"/>
            <w:hideMark/>
          </w:tcPr>
          <w:p w14:paraId="387C8091" w14:textId="77777777" w:rsidR="003A3DF6" w:rsidRPr="005D4433" w:rsidRDefault="003A3DF6" w:rsidP="002E0CEC">
            <w:pPr>
              <w:spacing w:after="0"/>
              <w:jc w:val="right"/>
              <w:rPr>
                <w:rFonts w:ascii="Calibri" w:eastAsia="Calibri,Times New Roman" w:hAnsi="Calibri" w:cs="Calibri,Times New Roman"/>
                <w:color w:val="000000" w:themeColor="text1"/>
                <w:sz w:val="20"/>
                <w:szCs w:val="20"/>
              </w:rPr>
            </w:pPr>
            <w:r w:rsidRPr="005D4433">
              <w:rPr>
                <w:rFonts w:ascii="Calibri" w:eastAsia="Calibri" w:hAnsi="Calibri" w:cs="Calibri"/>
                <w:color w:val="000000" w:themeColor="text1"/>
                <w:sz w:val="20"/>
                <w:szCs w:val="20"/>
              </w:rPr>
              <w:t>510</w:t>
            </w:r>
          </w:p>
        </w:tc>
        <w:tc>
          <w:tcPr>
            <w:tcW w:w="1350" w:type="dxa"/>
            <w:tcBorders>
              <w:top w:val="nil"/>
              <w:left w:val="nil"/>
              <w:bottom w:val="single" w:sz="4" w:space="0" w:color="auto"/>
              <w:right w:val="single" w:sz="4" w:space="0" w:color="auto"/>
            </w:tcBorders>
            <w:shd w:val="clear" w:color="auto" w:fill="auto"/>
            <w:noWrap/>
            <w:vAlign w:val="bottom"/>
            <w:hideMark/>
          </w:tcPr>
          <w:p w14:paraId="1B5D0741" w14:textId="77777777" w:rsidR="003A3DF6" w:rsidRPr="005D4433" w:rsidRDefault="003A3DF6" w:rsidP="002E0CEC">
            <w:pPr>
              <w:spacing w:after="0"/>
              <w:jc w:val="right"/>
              <w:rPr>
                <w:rFonts w:ascii="Calibri" w:eastAsia="Times New Roman" w:hAnsi="Calibri" w:cs="Times New Roman"/>
                <w:color w:val="000000"/>
                <w:sz w:val="20"/>
                <w:szCs w:val="20"/>
              </w:rPr>
            </w:pPr>
            <w:r w:rsidRPr="005D4433">
              <w:rPr>
                <w:rFonts w:ascii="Calibri" w:hAnsi="Calibri"/>
                <w:color w:val="000000"/>
                <w:sz w:val="20"/>
                <w:szCs w:val="20"/>
              </w:rPr>
              <w:t>30.1</w:t>
            </w:r>
          </w:p>
        </w:tc>
      </w:tr>
    </w:tbl>
    <w:p w14:paraId="453C0362" w14:textId="2A5A93A1" w:rsidR="003A3DF6" w:rsidRDefault="003A3DF6" w:rsidP="00D61410">
      <w:pPr>
        <w:autoSpaceDE w:val="0"/>
        <w:autoSpaceDN w:val="0"/>
        <w:adjustRightInd w:val="0"/>
        <w:spacing w:after="0" w:line="240" w:lineRule="auto"/>
        <w:rPr>
          <w:rFonts w:cstheme="minorHAnsi"/>
          <w:bCs/>
        </w:rPr>
      </w:pPr>
    </w:p>
    <w:p w14:paraId="6FDE56D6" w14:textId="77777777" w:rsidR="003A3DF6" w:rsidRPr="00927027" w:rsidRDefault="003A3DF6" w:rsidP="00D61410">
      <w:pPr>
        <w:autoSpaceDE w:val="0"/>
        <w:autoSpaceDN w:val="0"/>
        <w:adjustRightInd w:val="0"/>
        <w:spacing w:after="0" w:line="240" w:lineRule="auto"/>
        <w:rPr>
          <w:rFonts w:cstheme="minorHAnsi"/>
          <w:bCs/>
        </w:rPr>
      </w:pPr>
    </w:p>
    <w:p w14:paraId="0A4D4B89" w14:textId="77777777" w:rsidR="00A75915" w:rsidRDefault="009C7513" w:rsidP="00D61410">
      <w:pPr>
        <w:autoSpaceDE w:val="0"/>
        <w:autoSpaceDN w:val="0"/>
        <w:adjustRightInd w:val="0"/>
        <w:spacing w:after="0" w:line="240" w:lineRule="auto"/>
        <w:rPr>
          <w:rFonts w:cstheme="minorHAnsi"/>
          <w:bCs/>
        </w:rPr>
      </w:pPr>
      <w:r>
        <w:rPr>
          <w:rFonts w:cstheme="minorHAnsi"/>
          <w:b/>
          <w:bCs/>
        </w:rPr>
        <w:lastRenderedPageBreak/>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p>
    <w:p w14:paraId="02BA0063" w14:textId="77777777" w:rsidR="00A75915" w:rsidRDefault="00A75915" w:rsidP="00D61410">
      <w:pPr>
        <w:autoSpaceDE w:val="0"/>
        <w:autoSpaceDN w:val="0"/>
        <w:adjustRightInd w:val="0"/>
        <w:spacing w:after="0" w:line="240" w:lineRule="auto"/>
        <w:rPr>
          <w:rFonts w:cstheme="minorHAnsi"/>
          <w:bCs/>
        </w:rPr>
      </w:pPr>
    </w:p>
    <w:p w14:paraId="34AD9248" w14:textId="3AE45D5D" w:rsidR="00A75915" w:rsidRDefault="00A75915" w:rsidP="00FD466D">
      <w:pPr>
        <w:tabs>
          <w:tab w:val="left" w:pos="0"/>
        </w:tabs>
        <w:spacing w:line="240" w:lineRule="auto"/>
        <w:contextualSpacing/>
        <w:rPr>
          <w:rFonts w:cstheme="minorHAnsi"/>
          <w:color w:val="FF0000"/>
        </w:rPr>
      </w:pPr>
      <w:r w:rsidRPr="00597F1E">
        <w:rPr>
          <w:rFonts w:cstheme="minorHAnsi"/>
          <w:color w:val="FF0000"/>
        </w:rPr>
        <w:t xml:space="preserve">There was substantial variability in measure rates across facilities. The measure was also able to detect facilities with better and worse than average performance. We computed the average </w:t>
      </w:r>
      <w:r w:rsidR="00AA47AE" w:rsidRPr="00597F1E">
        <w:rPr>
          <w:rFonts w:cstheme="minorHAnsi"/>
          <w:color w:val="FF0000"/>
        </w:rPr>
        <w:t>Medication Continuation</w:t>
      </w:r>
      <w:r w:rsidRPr="00597F1E">
        <w:rPr>
          <w:rFonts w:cstheme="minorHAnsi"/>
          <w:color w:val="FF0000"/>
        </w:rPr>
        <w:t xml:space="preserve"> score for all facilities in a sample as well as a 95</w:t>
      </w:r>
      <w:r w:rsidR="007E07FC">
        <w:rPr>
          <w:rFonts w:cstheme="minorHAnsi"/>
          <w:color w:val="FF0000"/>
        </w:rPr>
        <w:t>%</w:t>
      </w:r>
      <w:r w:rsidRPr="00597F1E">
        <w:rPr>
          <w:rFonts w:cstheme="minorHAnsi"/>
          <w:color w:val="FF0000"/>
        </w:rPr>
        <w:t xml:space="preserve"> confidence interval for each facility’s score on the measure. If confidence intervals did not contain the average </w:t>
      </w:r>
      <w:r w:rsidR="00AA47AE" w:rsidRPr="00597F1E">
        <w:rPr>
          <w:rFonts w:cstheme="minorHAnsi"/>
          <w:color w:val="FF0000"/>
        </w:rPr>
        <w:t>Medication Continuation</w:t>
      </w:r>
      <w:r w:rsidRPr="00597F1E">
        <w:rPr>
          <w:rFonts w:cstheme="minorHAnsi"/>
          <w:color w:val="FF0000"/>
        </w:rPr>
        <w:t xml:space="preserve"> score, the facility was identified as better or worse than average.</w:t>
      </w:r>
    </w:p>
    <w:p w14:paraId="10AE75F7" w14:textId="0FF04206" w:rsidR="00597F1E" w:rsidRDefault="00597F1E" w:rsidP="00FD466D">
      <w:pPr>
        <w:tabs>
          <w:tab w:val="left" w:pos="0"/>
        </w:tabs>
        <w:spacing w:line="240" w:lineRule="auto"/>
        <w:contextualSpacing/>
        <w:rPr>
          <w:rFonts w:cstheme="minorHAnsi"/>
          <w:color w:val="FF0000"/>
        </w:rPr>
      </w:pPr>
    </w:p>
    <w:p w14:paraId="0CABD00C" w14:textId="4A82A1AE" w:rsidR="00D61410" w:rsidRPr="00A25024" w:rsidRDefault="00597F1E" w:rsidP="00FD466D">
      <w:pPr>
        <w:tabs>
          <w:tab w:val="left" w:pos="0"/>
        </w:tabs>
        <w:spacing w:line="240" w:lineRule="auto"/>
        <w:contextualSpacing/>
        <w:rPr>
          <w:rFonts w:cstheme="minorHAnsi"/>
          <w:bCs/>
        </w:rPr>
      </w:pPr>
      <w:r w:rsidRPr="00B47D27">
        <w:rPr>
          <w:color w:val="0000FF"/>
        </w:rPr>
        <w:t>The results indicate ample room for improvement and meaningful differences in the quality of care between the highest and lowest performing facilities.</w:t>
      </w:r>
      <w:r w:rsidR="00D61410" w:rsidRPr="00A25024">
        <w:rPr>
          <w:rFonts w:cstheme="minorHAnsi"/>
          <w:bCs/>
        </w:rPr>
        <w:br/>
      </w: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71A0DEE4" w14:textId="77777777" w:rsidR="00FD466D" w:rsidRDefault="009C7513" w:rsidP="00DB3627">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p>
    <w:p w14:paraId="19B866CB" w14:textId="77777777" w:rsidR="00FD466D" w:rsidRDefault="00FD466D" w:rsidP="00DB3627">
      <w:pPr>
        <w:autoSpaceDE w:val="0"/>
        <w:autoSpaceDN w:val="0"/>
        <w:adjustRightInd w:val="0"/>
        <w:spacing w:after="0" w:line="240" w:lineRule="auto"/>
        <w:rPr>
          <w:rFonts w:cstheme="minorHAnsi"/>
          <w:bCs/>
        </w:rPr>
      </w:pPr>
    </w:p>
    <w:p w14:paraId="2F86D87B" w14:textId="41983400" w:rsidR="00A75915" w:rsidRDefault="007E07FC" w:rsidP="00DB3627">
      <w:pPr>
        <w:autoSpaceDE w:val="0"/>
        <w:autoSpaceDN w:val="0"/>
        <w:adjustRightInd w:val="0"/>
        <w:spacing w:after="0" w:line="240" w:lineRule="auto"/>
        <w:rPr>
          <w:rFonts w:cstheme="minorHAnsi"/>
          <w:bCs/>
        </w:rPr>
      </w:pPr>
      <w:r>
        <w:rPr>
          <w:rFonts w:cstheme="minorHAnsi"/>
          <w:bCs/>
          <w:color w:val="FF0000"/>
        </w:rPr>
        <w:t>Not applicable.</w:t>
      </w:r>
    </w:p>
    <w:p w14:paraId="1D5B0AD3" w14:textId="77777777" w:rsidR="00A75915" w:rsidRDefault="00A75915" w:rsidP="00DB3627">
      <w:pPr>
        <w:autoSpaceDE w:val="0"/>
        <w:autoSpaceDN w:val="0"/>
        <w:adjustRightInd w:val="0"/>
        <w:spacing w:after="0" w:line="240" w:lineRule="auto"/>
        <w:rPr>
          <w:rFonts w:cstheme="minorHAnsi"/>
          <w:bCs/>
        </w:rPr>
      </w:pPr>
    </w:p>
    <w:p w14:paraId="48CB4B2D" w14:textId="77777777" w:rsidR="00597F1E" w:rsidRPr="00B47D27" w:rsidRDefault="00597F1E" w:rsidP="00597F1E">
      <w:pPr>
        <w:autoSpaceDE w:val="0"/>
        <w:autoSpaceDN w:val="0"/>
        <w:adjustRightInd w:val="0"/>
        <w:spacing w:before="60" w:after="120" w:line="240" w:lineRule="auto"/>
        <w:rPr>
          <w:color w:val="0000FF"/>
        </w:rPr>
      </w:pPr>
      <w:r w:rsidRPr="00B47D27">
        <w:rPr>
          <w:color w:val="0000FF"/>
        </w:rPr>
        <w:t xml:space="preserve">Not applicable because </w:t>
      </w:r>
      <w:r>
        <w:rPr>
          <w:color w:val="0000FF"/>
        </w:rPr>
        <w:t xml:space="preserve">there is </w:t>
      </w:r>
      <w:r w:rsidRPr="00B47D27">
        <w:rPr>
          <w:color w:val="0000FF"/>
        </w:rPr>
        <w:t xml:space="preserve">only one set of specifications. </w:t>
      </w:r>
    </w:p>
    <w:p w14:paraId="5616EE92" w14:textId="77777777" w:rsidR="00597F1E" w:rsidRPr="00A25024" w:rsidRDefault="00597F1E" w:rsidP="00DB3627">
      <w:pPr>
        <w:pStyle w:val="ListParagraph"/>
        <w:autoSpaceDE w:val="0"/>
        <w:autoSpaceDN w:val="0"/>
        <w:adjustRightInd w:val="0"/>
        <w:spacing w:after="0" w:line="240" w:lineRule="auto"/>
        <w:ind w:left="0"/>
        <w:rPr>
          <w:rFonts w:cstheme="minorHAnsi"/>
          <w:bCs/>
        </w:rPr>
      </w:pPr>
    </w:p>
    <w:p w14:paraId="5A2F296D" w14:textId="77777777" w:rsidR="00FD466D" w:rsidRDefault="009C7513" w:rsidP="00E1508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p>
    <w:p w14:paraId="037641E9" w14:textId="77777777" w:rsidR="00FD466D" w:rsidRDefault="00FD466D" w:rsidP="00FD466D">
      <w:pPr>
        <w:autoSpaceDE w:val="0"/>
        <w:autoSpaceDN w:val="0"/>
        <w:adjustRightInd w:val="0"/>
        <w:spacing w:after="0" w:line="240" w:lineRule="auto"/>
        <w:contextualSpacing/>
        <w:rPr>
          <w:rFonts w:cstheme="minorHAnsi"/>
          <w:bCs/>
        </w:rPr>
      </w:pPr>
    </w:p>
    <w:p w14:paraId="2D49C23E" w14:textId="5C168958" w:rsidR="00CB4324" w:rsidRDefault="007E07FC" w:rsidP="00FD466D">
      <w:pPr>
        <w:autoSpaceDE w:val="0"/>
        <w:autoSpaceDN w:val="0"/>
        <w:adjustRightInd w:val="0"/>
        <w:spacing w:after="0" w:line="240" w:lineRule="auto"/>
        <w:contextualSpacing/>
        <w:rPr>
          <w:rFonts w:cstheme="minorHAnsi"/>
          <w:bCs/>
          <w:color w:val="0070C0"/>
        </w:rPr>
      </w:pPr>
      <w:r>
        <w:rPr>
          <w:rFonts w:cstheme="minorHAnsi"/>
          <w:bCs/>
          <w:color w:val="FF0000"/>
        </w:rPr>
        <w:t>Not applicable.</w:t>
      </w:r>
    </w:p>
    <w:p w14:paraId="790C30B5" w14:textId="77777777" w:rsidR="00CB4324" w:rsidRDefault="00CB4324" w:rsidP="00FD466D">
      <w:pPr>
        <w:autoSpaceDE w:val="0"/>
        <w:autoSpaceDN w:val="0"/>
        <w:adjustRightInd w:val="0"/>
        <w:spacing w:after="0" w:line="240" w:lineRule="auto"/>
        <w:contextualSpacing/>
        <w:rPr>
          <w:rFonts w:cstheme="minorHAnsi"/>
          <w:bCs/>
          <w:color w:val="0070C0"/>
        </w:rPr>
      </w:pPr>
    </w:p>
    <w:p w14:paraId="63B599C6" w14:textId="77777777" w:rsidR="00CB4324" w:rsidRPr="00B47D27" w:rsidRDefault="00CB4324" w:rsidP="00FD466D">
      <w:pPr>
        <w:autoSpaceDE w:val="0"/>
        <w:autoSpaceDN w:val="0"/>
        <w:adjustRightInd w:val="0"/>
        <w:spacing w:before="60" w:after="120" w:line="240" w:lineRule="auto"/>
        <w:contextualSpacing/>
        <w:rPr>
          <w:color w:val="0000FF"/>
        </w:rPr>
      </w:pPr>
      <w:r w:rsidRPr="00B47D27">
        <w:rPr>
          <w:color w:val="0000FF"/>
        </w:rPr>
        <w:t>Not applicable because there is only one set of specifications.</w:t>
      </w:r>
    </w:p>
    <w:p w14:paraId="328F9121" w14:textId="77777777" w:rsidR="00FD466D" w:rsidRDefault="000F06B5" w:rsidP="00DB3627">
      <w:pPr>
        <w:autoSpaceDE w:val="0"/>
        <w:autoSpaceDN w:val="0"/>
        <w:adjustRightInd w:val="0"/>
        <w:spacing w:after="0" w:line="240" w:lineRule="auto"/>
        <w:rPr>
          <w:rFonts w:cstheme="minorHAnsi"/>
          <w:bCs/>
        </w:rPr>
      </w:pPr>
      <w:r w:rsidRPr="00A25024">
        <w:rPr>
          <w:rFonts w:cstheme="minorHAnsi"/>
          <w:bCs/>
        </w:rPr>
        <w:br/>
      </w:r>
      <w:r w:rsidR="009C7513">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p>
    <w:p w14:paraId="73773B1A" w14:textId="77777777" w:rsidR="00FD466D" w:rsidRDefault="00FD466D" w:rsidP="00DB3627">
      <w:pPr>
        <w:autoSpaceDE w:val="0"/>
        <w:autoSpaceDN w:val="0"/>
        <w:adjustRightInd w:val="0"/>
        <w:spacing w:after="0" w:line="240" w:lineRule="auto"/>
        <w:rPr>
          <w:rFonts w:cstheme="minorHAnsi"/>
          <w:bCs/>
        </w:rPr>
      </w:pPr>
    </w:p>
    <w:p w14:paraId="50E56F98" w14:textId="77777777" w:rsidR="007E07FC" w:rsidRDefault="007E07FC" w:rsidP="007E07FC">
      <w:pPr>
        <w:autoSpaceDE w:val="0"/>
        <w:autoSpaceDN w:val="0"/>
        <w:adjustRightInd w:val="0"/>
        <w:spacing w:after="0" w:line="240" w:lineRule="auto"/>
        <w:contextualSpacing/>
        <w:rPr>
          <w:rFonts w:cstheme="minorHAnsi"/>
          <w:bCs/>
          <w:color w:val="0070C0"/>
        </w:rPr>
      </w:pPr>
      <w:r>
        <w:rPr>
          <w:rFonts w:cstheme="minorHAnsi"/>
          <w:bCs/>
          <w:color w:val="FF0000"/>
        </w:rPr>
        <w:t>Not applicable.</w:t>
      </w:r>
    </w:p>
    <w:p w14:paraId="0A74FA98" w14:textId="44BE4401" w:rsidR="00CB4324" w:rsidRDefault="00CB4324" w:rsidP="00DB3627">
      <w:pPr>
        <w:autoSpaceDE w:val="0"/>
        <w:autoSpaceDN w:val="0"/>
        <w:adjustRightInd w:val="0"/>
        <w:spacing w:after="0" w:line="240" w:lineRule="auto"/>
        <w:rPr>
          <w:rFonts w:cstheme="minorHAnsi"/>
          <w:bCs/>
        </w:rPr>
      </w:pPr>
    </w:p>
    <w:p w14:paraId="5243A956" w14:textId="08C43352" w:rsidR="00CB4324" w:rsidRDefault="00CB4324" w:rsidP="00DB3627">
      <w:pPr>
        <w:autoSpaceDE w:val="0"/>
        <w:autoSpaceDN w:val="0"/>
        <w:adjustRightInd w:val="0"/>
        <w:spacing w:after="0" w:line="240" w:lineRule="auto"/>
        <w:rPr>
          <w:rFonts w:cstheme="minorHAnsi"/>
          <w:bCs/>
        </w:rPr>
      </w:pPr>
      <w:r w:rsidRPr="00B47D27">
        <w:rPr>
          <w:color w:val="0000FF"/>
        </w:rPr>
        <w:t>Not applicable because there is only one set of specifications.</w:t>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0CABD01B" w14:textId="2C74838B" w:rsidR="008F7E67" w:rsidRDefault="009C7513" w:rsidP="008F7E67">
      <w:pPr>
        <w:autoSpaceDE w:val="0"/>
        <w:autoSpaceDN w:val="0"/>
        <w:adjustRightInd w:val="0"/>
        <w:spacing w:after="0" w:line="240" w:lineRule="auto"/>
        <w:rPr>
          <w:rFonts w:cstheme="minorHAnsi"/>
          <w:bCs/>
        </w:rPr>
      </w:pPr>
      <w:bookmarkStart w:id="90" w:name="_Hlk28086922"/>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t xml:space="preserve"> </w:t>
      </w:r>
    </w:p>
    <w:p w14:paraId="6DC4DDC1" w14:textId="0F22CAAC" w:rsidR="00B12647" w:rsidRPr="00CB4324" w:rsidRDefault="00D70DD6" w:rsidP="00B12647">
      <w:pPr>
        <w:autoSpaceDE w:val="0"/>
        <w:autoSpaceDN w:val="0"/>
        <w:adjustRightInd w:val="0"/>
        <w:spacing w:after="0" w:line="240" w:lineRule="auto"/>
        <w:rPr>
          <w:color w:val="FF0000"/>
        </w:rPr>
      </w:pPr>
      <w:r w:rsidRPr="00CB4324">
        <w:rPr>
          <w:rFonts w:cstheme="minorHAnsi"/>
          <w:bCs/>
          <w:color w:val="FF0000"/>
        </w:rPr>
        <w:t>During measure</w:t>
      </w:r>
      <w:r w:rsidR="00624609" w:rsidRPr="00CB4324">
        <w:rPr>
          <w:rFonts w:cstheme="minorHAnsi"/>
          <w:bCs/>
          <w:color w:val="FF0000"/>
        </w:rPr>
        <w:t xml:space="preserve"> testing, we did not find any cases of missing or unreliable data. </w:t>
      </w:r>
      <w:r w:rsidR="00624609" w:rsidRPr="00CB4324">
        <w:rPr>
          <w:color w:val="FF0000"/>
        </w:rPr>
        <w:t>The measure uses processed claims, and we do not expect missing or unreliable data to be an issue.</w:t>
      </w:r>
    </w:p>
    <w:p w14:paraId="44C5E3C1" w14:textId="76BF3096" w:rsidR="00CB4324" w:rsidRDefault="00CB4324" w:rsidP="00B12647">
      <w:pPr>
        <w:autoSpaceDE w:val="0"/>
        <w:autoSpaceDN w:val="0"/>
        <w:adjustRightInd w:val="0"/>
        <w:spacing w:after="0" w:line="240" w:lineRule="auto"/>
        <w:rPr>
          <w:color w:val="0070C0"/>
        </w:rPr>
      </w:pPr>
    </w:p>
    <w:p w14:paraId="1FB7E3A7" w14:textId="6CA54C91" w:rsidR="00CB4324" w:rsidRPr="00E93477" w:rsidRDefault="00CB4324" w:rsidP="00B12647">
      <w:pPr>
        <w:autoSpaceDE w:val="0"/>
        <w:autoSpaceDN w:val="0"/>
        <w:adjustRightInd w:val="0"/>
        <w:spacing w:after="0" w:line="240" w:lineRule="auto"/>
        <w:rPr>
          <w:rFonts w:cstheme="minorHAnsi"/>
          <w:bCs/>
          <w:color w:val="0070C0"/>
        </w:rPr>
      </w:pPr>
      <w:r w:rsidRPr="00B47D27">
        <w:rPr>
          <w:color w:val="0000FF"/>
        </w:rPr>
        <w:t>Not applicable because this measure is based on claims data.</w:t>
      </w: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0CABD01D" w14:textId="27F68AF6"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392494ED" w14:textId="4A4D3D9B" w:rsidR="00E93477" w:rsidRPr="00CB4324" w:rsidRDefault="00624609" w:rsidP="00E93477">
      <w:pPr>
        <w:autoSpaceDE w:val="0"/>
        <w:autoSpaceDN w:val="0"/>
        <w:adjustRightInd w:val="0"/>
        <w:spacing w:after="0" w:line="240" w:lineRule="auto"/>
        <w:rPr>
          <w:color w:val="FF0000"/>
        </w:rPr>
      </w:pPr>
      <w:r w:rsidRPr="00CB4324">
        <w:rPr>
          <w:color w:val="FF0000"/>
        </w:rPr>
        <w:t xml:space="preserve">We did not </w:t>
      </w:r>
      <w:r w:rsidR="00CB4324" w:rsidRPr="00CB4324">
        <w:rPr>
          <w:color w:val="FF0000"/>
        </w:rPr>
        <w:t>find</w:t>
      </w:r>
      <w:r w:rsidRPr="00CB4324">
        <w:rPr>
          <w:color w:val="FF0000"/>
        </w:rPr>
        <w:t xml:space="preserve"> any discharges with missing data.</w:t>
      </w:r>
    </w:p>
    <w:p w14:paraId="7BC97D55" w14:textId="7BDA240E" w:rsidR="00CB4324" w:rsidRDefault="00CB4324" w:rsidP="00E93477">
      <w:pPr>
        <w:autoSpaceDE w:val="0"/>
        <w:autoSpaceDN w:val="0"/>
        <w:adjustRightInd w:val="0"/>
        <w:spacing w:after="0" w:line="240" w:lineRule="auto"/>
        <w:rPr>
          <w:color w:val="0070C0"/>
        </w:rPr>
      </w:pPr>
    </w:p>
    <w:p w14:paraId="5377C963" w14:textId="77777777" w:rsidR="00CB4324" w:rsidRPr="00B47D27" w:rsidRDefault="00CB4324" w:rsidP="00CB4324">
      <w:pPr>
        <w:autoSpaceDE w:val="0"/>
        <w:autoSpaceDN w:val="0"/>
        <w:adjustRightInd w:val="0"/>
        <w:spacing w:before="60" w:after="120" w:line="240" w:lineRule="auto"/>
        <w:rPr>
          <w:color w:val="0000FF"/>
        </w:rPr>
      </w:pPr>
      <w:r w:rsidRPr="00B47D27">
        <w:rPr>
          <w:color w:val="0000FF"/>
        </w:rPr>
        <w:t xml:space="preserve">Not applicable because this measure is based on claims data. </w:t>
      </w:r>
    </w:p>
    <w:p w14:paraId="7AA628CA" w14:textId="77777777" w:rsidR="00CB4324" w:rsidRPr="00E93477" w:rsidRDefault="00CB4324" w:rsidP="00E93477">
      <w:pPr>
        <w:autoSpaceDE w:val="0"/>
        <w:autoSpaceDN w:val="0"/>
        <w:adjustRightInd w:val="0"/>
        <w:spacing w:after="0" w:line="240" w:lineRule="auto"/>
        <w:rPr>
          <w:rFonts w:cstheme="minorHAnsi"/>
          <w:bCs/>
          <w:color w:val="0070C0"/>
        </w:rPr>
      </w:pPr>
    </w:p>
    <w:p w14:paraId="0CABD01E" w14:textId="77777777" w:rsidR="008F7E67" w:rsidRPr="00E1508F" w:rsidRDefault="008F7E67"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bookmarkEnd w:id="90"/>
    <w:p w14:paraId="0CABD020" w14:textId="4B721B1E" w:rsidR="00BA053B" w:rsidRDefault="00BA053B">
      <w:pPr>
        <w:autoSpaceDE w:val="0"/>
        <w:autoSpaceDN w:val="0"/>
        <w:adjustRightInd w:val="0"/>
        <w:spacing w:after="0" w:line="240" w:lineRule="auto"/>
        <w:rPr>
          <w:rFonts w:cstheme="minorHAnsi"/>
          <w:bCs/>
        </w:rPr>
      </w:pPr>
    </w:p>
    <w:p w14:paraId="738731A0" w14:textId="30CB3860" w:rsidR="00E93477" w:rsidRPr="00CB4324" w:rsidRDefault="00E93477">
      <w:pPr>
        <w:autoSpaceDE w:val="0"/>
        <w:autoSpaceDN w:val="0"/>
        <w:adjustRightInd w:val="0"/>
        <w:spacing w:after="0" w:line="240" w:lineRule="auto"/>
        <w:rPr>
          <w:rFonts w:cstheme="minorHAnsi"/>
          <w:bCs/>
          <w:color w:val="FF0000"/>
        </w:rPr>
      </w:pPr>
      <w:r w:rsidRPr="00CB4324">
        <w:rPr>
          <w:rFonts w:cstheme="minorHAnsi"/>
          <w:bCs/>
          <w:color w:val="FF0000"/>
        </w:rPr>
        <w:t>Missing data are not a problem given that the measure uses processed claims.</w:t>
      </w:r>
    </w:p>
    <w:p w14:paraId="7F3E8FC4" w14:textId="1E1E4AB1" w:rsidR="00CB4324" w:rsidRDefault="00CB4324">
      <w:pPr>
        <w:autoSpaceDE w:val="0"/>
        <w:autoSpaceDN w:val="0"/>
        <w:adjustRightInd w:val="0"/>
        <w:spacing w:after="0" w:line="240" w:lineRule="auto"/>
        <w:rPr>
          <w:rFonts w:cstheme="minorHAnsi"/>
          <w:bCs/>
          <w:color w:val="0070C0"/>
        </w:rPr>
      </w:pPr>
    </w:p>
    <w:p w14:paraId="0B241EC7" w14:textId="0A1F342A" w:rsidR="00CB4324" w:rsidRPr="00F777FD" w:rsidRDefault="00CB4324" w:rsidP="00F777FD">
      <w:pPr>
        <w:autoSpaceDE w:val="0"/>
        <w:autoSpaceDN w:val="0"/>
        <w:adjustRightInd w:val="0"/>
        <w:spacing w:before="60" w:after="120" w:line="240" w:lineRule="auto"/>
        <w:rPr>
          <w:color w:val="0000FF"/>
        </w:rPr>
      </w:pPr>
      <w:r w:rsidRPr="00B47D27">
        <w:rPr>
          <w:color w:val="0000FF"/>
        </w:rPr>
        <w:t xml:space="preserve">Not applicable because this measure is based on claims data. </w:t>
      </w:r>
    </w:p>
    <w:sectPr w:rsidR="00CB4324" w:rsidRPr="00F777FD" w:rsidSect="008505D1">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552EF" w14:textId="77777777" w:rsidR="00D153CF" w:rsidRDefault="00D153CF" w:rsidP="005C73CA">
      <w:pPr>
        <w:spacing w:after="0" w:line="240" w:lineRule="auto"/>
      </w:pPr>
      <w:r>
        <w:separator/>
      </w:r>
    </w:p>
  </w:endnote>
  <w:endnote w:type="continuationSeparator" w:id="0">
    <w:p w14:paraId="2D07BC0C" w14:textId="77777777" w:rsidR="00D153CF" w:rsidRDefault="00D153CF"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Times New Roman">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Times New Roman">
    <w:altName w:val="Times New Roman"/>
    <w:panose1 w:val="00000000000000000000"/>
    <w:charset w:val="00"/>
    <w:family w:val="roman"/>
    <w:notTrueType/>
    <w:pitch w:val="default"/>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52CF119A" w:rsidR="00D153CF" w:rsidRDefault="00D153CF">
    <w:pPr>
      <w:pStyle w:val="Footer"/>
    </w:pPr>
    <w:r>
      <w:t>Version 7.1 9/6/2017</w:t>
    </w:r>
    <w:r>
      <w:ptab w:relativeTo="margin" w:alignment="right" w:leader="none"/>
    </w:r>
    <w:r>
      <w:fldChar w:fldCharType="begin"/>
    </w:r>
    <w:r>
      <w:instrText xml:space="preserve"> PAGE   \* MERGEFORMAT </w:instrText>
    </w:r>
    <w:r>
      <w:fldChar w:fldCharType="separate"/>
    </w:r>
    <w:r>
      <w:rPr>
        <w:noProof/>
      </w:rPr>
      <w:t>17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BBC21D" w14:textId="77777777" w:rsidR="00D153CF" w:rsidRDefault="00D153CF" w:rsidP="005C73CA">
      <w:pPr>
        <w:spacing w:after="0" w:line="240" w:lineRule="auto"/>
      </w:pPr>
      <w:r>
        <w:separator/>
      </w:r>
    </w:p>
  </w:footnote>
  <w:footnote w:type="continuationSeparator" w:id="0">
    <w:p w14:paraId="56667356" w14:textId="77777777" w:rsidR="00D153CF" w:rsidRDefault="00D153CF"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D153CF" w:rsidRPr="00105D8B" w:rsidRDefault="00D153CF"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8C3654"/>
    <w:multiLevelType w:val="hybridMultilevel"/>
    <w:tmpl w:val="CC46368A"/>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8EA7B11"/>
    <w:multiLevelType w:val="hybridMultilevel"/>
    <w:tmpl w:val="48C62388"/>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6B0681D"/>
    <w:multiLevelType w:val="hybridMultilevel"/>
    <w:tmpl w:val="947CF268"/>
    <w:lvl w:ilvl="0" w:tplc="0409000F">
      <w:start w:val="1"/>
      <w:numFmt w:val="decimal"/>
      <w:lvlText w:val="%1."/>
      <w:lvlJc w:val="left"/>
      <w:pPr>
        <w:ind w:left="720" w:hanging="360"/>
      </w:pPr>
      <w:rPr>
        <w:rFonts w:hint="default"/>
        <w:b/>
        <w:i w:val="0"/>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87966A3"/>
    <w:multiLevelType w:val="hybridMultilevel"/>
    <w:tmpl w:val="7D4EB5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96E7F41"/>
    <w:multiLevelType w:val="hybridMultilevel"/>
    <w:tmpl w:val="8EEC89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6C4A12FC"/>
    <w:multiLevelType w:val="hybridMultilevel"/>
    <w:tmpl w:val="48C62388"/>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1D3C1C"/>
    <w:multiLevelType w:val="hybridMultilevel"/>
    <w:tmpl w:val="6A886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43793D"/>
    <w:multiLevelType w:val="hybridMultilevel"/>
    <w:tmpl w:val="BE80CFD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6"/>
  </w:num>
  <w:num w:numId="2">
    <w:abstractNumId w:val="15"/>
  </w:num>
  <w:num w:numId="3">
    <w:abstractNumId w:val="4"/>
  </w:num>
  <w:num w:numId="4">
    <w:abstractNumId w:val="7"/>
  </w:num>
  <w:num w:numId="5">
    <w:abstractNumId w:val="3"/>
  </w:num>
  <w:num w:numId="6">
    <w:abstractNumId w:val="2"/>
  </w:num>
  <w:num w:numId="7">
    <w:abstractNumId w:val="5"/>
  </w:num>
  <w:num w:numId="8">
    <w:abstractNumId w:val="25"/>
  </w:num>
  <w:num w:numId="9">
    <w:abstractNumId w:val="14"/>
  </w:num>
  <w:num w:numId="10">
    <w:abstractNumId w:val="30"/>
  </w:num>
  <w:num w:numId="11">
    <w:abstractNumId w:val="16"/>
  </w:num>
  <w:num w:numId="12">
    <w:abstractNumId w:val="28"/>
  </w:num>
  <w:num w:numId="13">
    <w:abstractNumId w:val="23"/>
  </w:num>
  <w:num w:numId="14">
    <w:abstractNumId w:val="23"/>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2"/>
  </w:num>
  <w:num w:numId="16">
    <w:abstractNumId w:val="10"/>
  </w:num>
  <w:num w:numId="17">
    <w:abstractNumId w:val="29"/>
  </w:num>
  <w:num w:numId="18">
    <w:abstractNumId w:val="27"/>
  </w:num>
  <w:num w:numId="19">
    <w:abstractNumId w:val="26"/>
  </w:num>
  <w:num w:numId="20">
    <w:abstractNumId w:val="20"/>
  </w:num>
  <w:num w:numId="21">
    <w:abstractNumId w:val="24"/>
  </w:num>
  <w:num w:numId="22">
    <w:abstractNumId w:val="19"/>
  </w:num>
  <w:num w:numId="23">
    <w:abstractNumId w:val="8"/>
  </w:num>
  <w:num w:numId="24">
    <w:abstractNumId w:val="18"/>
  </w:num>
  <w:num w:numId="25">
    <w:abstractNumId w:val="17"/>
  </w:num>
  <w:num w:numId="26">
    <w:abstractNumId w:val="33"/>
  </w:num>
  <w:num w:numId="27">
    <w:abstractNumId w:val="0"/>
  </w:num>
  <w:num w:numId="28">
    <w:abstractNumId w:val="12"/>
  </w:num>
  <w:num w:numId="29">
    <w:abstractNumId w:val="21"/>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32"/>
  </w:num>
  <w:num w:numId="33">
    <w:abstractNumId w:val="9"/>
  </w:num>
  <w:num w:numId="34">
    <w:abstractNumId w:val="1"/>
  </w:num>
  <w:num w:numId="35">
    <w:abstractNumId w:val="13"/>
  </w:num>
  <w:num w:numId="36">
    <w:abstractNumId w:val="35"/>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3A"/>
    <w:rsid w:val="00001D73"/>
    <w:rsid w:val="00003469"/>
    <w:rsid w:val="000049FC"/>
    <w:rsid w:val="0001094F"/>
    <w:rsid w:val="00021170"/>
    <w:rsid w:val="0002128B"/>
    <w:rsid w:val="00024DFD"/>
    <w:rsid w:val="00025447"/>
    <w:rsid w:val="000265CB"/>
    <w:rsid w:val="00026D95"/>
    <w:rsid w:val="00027AB8"/>
    <w:rsid w:val="000309DD"/>
    <w:rsid w:val="00031414"/>
    <w:rsid w:val="00033038"/>
    <w:rsid w:val="00033D63"/>
    <w:rsid w:val="0003436F"/>
    <w:rsid w:val="000414E8"/>
    <w:rsid w:val="00041BD7"/>
    <w:rsid w:val="0004593A"/>
    <w:rsid w:val="00050A3E"/>
    <w:rsid w:val="00051E1C"/>
    <w:rsid w:val="00052A6F"/>
    <w:rsid w:val="00053F02"/>
    <w:rsid w:val="0005612B"/>
    <w:rsid w:val="000574AB"/>
    <w:rsid w:val="0006147A"/>
    <w:rsid w:val="0006234F"/>
    <w:rsid w:val="00065200"/>
    <w:rsid w:val="00066EF9"/>
    <w:rsid w:val="00071506"/>
    <w:rsid w:val="00071B85"/>
    <w:rsid w:val="00071C13"/>
    <w:rsid w:val="000775F8"/>
    <w:rsid w:val="00080CF7"/>
    <w:rsid w:val="00084FF1"/>
    <w:rsid w:val="000851B2"/>
    <w:rsid w:val="00092566"/>
    <w:rsid w:val="00092A8D"/>
    <w:rsid w:val="00092F9D"/>
    <w:rsid w:val="000968F8"/>
    <w:rsid w:val="00097012"/>
    <w:rsid w:val="000B032A"/>
    <w:rsid w:val="000B2DF7"/>
    <w:rsid w:val="000B3880"/>
    <w:rsid w:val="000B50B0"/>
    <w:rsid w:val="000B7D57"/>
    <w:rsid w:val="000C036D"/>
    <w:rsid w:val="000C0FF8"/>
    <w:rsid w:val="000C22A2"/>
    <w:rsid w:val="000D2722"/>
    <w:rsid w:val="000D4EE0"/>
    <w:rsid w:val="000D7948"/>
    <w:rsid w:val="000D7C84"/>
    <w:rsid w:val="000E2837"/>
    <w:rsid w:val="000E4E13"/>
    <w:rsid w:val="000E78F6"/>
    <w:rsid w:val="000F034A"/>
    <w:rsid w:val="000F06B5"/>
    <w:rsid w:val="000F1B7A"/>
    <w:rsid w:val="000F2541"/>
    <w:rsid w:val="000F39E9"/>
    <w:rsid w:val="00104B45"/>
    <w:rsid w:val="00105D8B"/>
    <w:rsid w:val="0011342F"/>
    <w:rsid w:val="00115103"/>
    <w:rsid w:val="001202E9"/>
    <w:rsid w:val="00122905"/>
    <w:rsid w:val="0012454F"/>
    <w:rsid w:val="00125273"/>
    <w:rsid w:val="0012575E"/>
    <w:rsid w:val="001257D4"/>
    <w:rsid w:val="00127C06"/>
    <w:rsid w:val="001327AA"/>
    <w:rsid w:val="001400C2"/>
    <w:rsid w:val="00142A9C"/>
    <w:rsid w:val="00145149"/>
    <w:rsid w:val="00145D4F"/>
    <w:rsid w:val="001465E3"/>
    <w:rsid w:val="0014773C"/>
    <w:rsid w:val="00170834"/>
    <w:rsid w:val="001720AE"/>
    <w:rsid w:val="0017402A"/>
    <w:rsid w:val="00175F74"/>
    <w:rsid w:val="0017696D"/>
    <w:rsid w:val="001848FC"/>
    <w:rsid w:val="00192525"/>
    <w:rsid w:val="00193553"/>
    <w:rsid w:val="00193F21"/>
    <w:rsid w:val="00195ABA"/>
    <w:rsid w:val="0019601B"/>
    <w:rsid w:val="001969C5"/>
    <w:rsid w:val="001A6CDD"/>
    <w:rsid w:val="001C0F2D"/>
    <w:rsid w:val="001C12EE"/>
    <w:rsid w:val="001C5FFB"/>
    <w:rsid w:val="001C7B02"/>
    <w:rsid w:val="001D5722"/>
    <w:rsid w:val="001E4DD4"/>
    <w:rsid w:val="001E69DC"/>
    <w:rsid w:val="001F169D"/>
    <w:rsid w:val="001F1DA1"/>
    <w:rsid w:val="001F29A0"/>
    <w:rsid w:val="001F6F93"/>
    <w:rsid w:val="001F745F"/>
    <w:rsid w:val="001F7A20"/>
    <w:rsid w:val="00204B1F"/>
    <w:rsid w:val="0021054A"/>
    <w:rsid w:val="0021195A"/>
    <w:rsid w:val="002120A0"/>
    <w:rsid w:val="00213383"/>
    <w:rsid w:val="002139D5"/>
    <w:rsid w:val="00220250"/>
    <w:rsid w:val="002217F9"/>
    <w:rsid w:val="00222444"/>
    <w:rsid w:val="0022691B"/>
    <w:rsid w:val="00232163"/>
    <w:rsid w:val="00233315"/>
    <w:rsid w:val="002376F8"/>
    <w:rsid w:val="002408E4"/>
    <w:rsid w:val="00241591"/>
    <w:rsid w:val="00247A1D"/>
    <w:rsid w:val="00250B4F"/>
    <w:rsid w:val="00251E52"/>
    <w:rsid w:val="00255803"/>
    <w:rsid w:val="0025762F"/>
    <w:rsid w:val="002609EC"/>
    <w:rsid w:val="00275563"/>
    <w:rsid w:val="0028114D"/>
    <w:rsid w:val="00282264"/>
    <w:rsid w:val="002833F3"/>
    <w:rsid w:val="00287649"/>
    <w:rsid w:val="00287E84"/>
    <w:rsid w:val="00290410"/>
    <w:rsid w:val="00291B97"/>
    <w:rsid w:val="0029286C"/>
    <w:rsid w:val="0029300E"/>
    <w:rsid w:val="002932E7"/>
    <w:rsid w:val="00295A95"/>
    <w:rsid w:val="002A4D9E"/>
    <w:rsid w:val="002A7476"/>
    <w:rsid w:val="002A7E23"/>
    <w:rsid w:val="002B0642"/>
    <w:rsid w:val="002B0C3A"/>
    <w:rsid w:val="002B2116"/>
    <w:rsid w:val="002B2D9B"/>
    <w:rsid w:val="002B5016"/>
    <w:rsid w:val="002B6886"/>
    <w:rsid w:val="002B742C"/>
    <w:rsid w:val="002B7F4D"/>
    <w:rsid w:val="002C285C"/>
    <w:rsid w:val="002C63F0"/>
    <w:rsid w:val="002C6C9D"/>
    <w:rsid w:val="002C7BE4"/>
    <w:rsid w:val="002D417D"/>
    <w:rsid w:val="002D5369"/>
    <w:rsid w:val="002D5E5D"/>
    <w:rsid w:val="002E0CEC"/>
    <w:rsid w:val="002E78A0"/>
    <w:rsid w:val="002F2687"/>
    <w:rsid w:val="002F48E1"/>
    <w:rsid w:val="002F4F3B"/>
    <w:rsid w:val="00301D0D"/>
    <w:rsid w:val="0030273D"/>
    <w:rsid w:val="00304C86"/>
    <w:rsid w:val="00304CB9"/>
    <w:rsid w:val="003059EB"/>
    <w:rsid w:val="00307DED"/>
    <w:rsid w:val="00310855"/>
    <w:rsid w:val="00310AFB"/>
    <w:rsid w:val="003116AC"/>
    <w:rsid w:val="003133C9"/>
    <w:rsid w:val="00313D02"/>
    <w:rsid w:val="00315567"/>
    <w:rsid w:val="00317CDE"/>
    <w:rsid w:val="003222FA"/>
    <w:rsid w:val="00330144"/>
    <w:rsid w:val="0033090F"/>
    <w:rsid w:val="0033417B"/>
    <w:rsid w:val="00334329"/>
    <w:rsid w:val="00341BB4"/>
    <w:rsid w:val="00343A05"/>
    <w:rsid w:val="00345CBA"/>
    <w:rsid w:val="00346245"/>
    <w:rsid w:val="00350100"/>
    <w:rsid w:val="00355603"/>
    <w:rsid w:val="00356267"/>
    <w:rsid w:val="00356BAD"/>
    <w:rsid w:val="00357579"/>
    <w:rsid w:val="00357DDE"/>
    <w:rsid w:val="003605B4"/>
    <w:rsid w:val="003613AD"/>
    <w:rsid w:val="003627AC"/>
    <w:rsid w:val="00366914"/>
    <w:rsid w:val="00372FE3"/>
    <w:rsid w:val="003755C4"/>
    <w:rsid w:val="003755CB"/>
    <w:rsid w:val="0037667F"/>
    <w:rsid w:val="00377D5B"/>
    <w:rsid w:val="00383F85"/>
    <w:rsid w:val="00387BA1"/>
    <w:rsid w:val="00394015"/>
    <w:rsid w:val="003A306C"/>
    <w:rsid w:val="003A3DF6"/>
    <w:rsid w:val="003A7DE7"/>
    <w:rsid w:val="003B1006"/>
    <w:rsid w:val="003B1E6C"/>
    <w:rsid w:val="003C5CE0"/>
    <w:rsid w:val="003C5F11"/>
    <w:rsid w:val="003D294B"/>
    <w:rsid w:val="003D6401"/>
    <w:rsid w:val="003D7E7E"/>
    <w:rsid w:val="003E1863"/>
    <w:rsid w:val="003F31FB"/>
    <w:rsid w:val="003F5813"/>
    <w:rsid w:val="0040510B"/>
    <w:rsid w:val="00405727"/>
    <w:rsid w:val="0041349A"/>
    <w:rsid w:val="0041606D"/>
    <w:rsid w:val="00416962"/>
    <w:rsid w:val="004206A8"/>
    <w:rsid w:val="00424476"/>
    <w:rsid w:val="00425E03"/>
    <w:rsid w:val="004303DA"/>
    <w:rsid w:val="004348CC"/>
    <w:rsid w:val="00436327"/>
    <w:rsid w:val="00440821"/>
    <w:rsid w:val="00445614"/>
    <w:rsid w:val="00445AC3"/>
    <w:rsid w:val="00450C58"/>
    <w:rsid w:val="00464A44"/>
    <w:rsid w:val="004658FF"/>
    <w:rsid w:val="00466BFC"/>
    <w:rsid w:val="0047213C"/>
    <w:rsid w:val="00473281"/>
    <w:rsid w:val="00474ED7"/>
    <w:rsid w:val="004756E1"/>
    <w:rsid w:val="0048008A"/>
    <w:rsid w:val="00483E94"/>
    <w:rsid w:val="00484120"/>
    <w:rsid w:val="004853A0"/>
    <w:rsid w:val="00494019"/>
    <w:rsid w:val="004953D1"/>
    <w:rsid w:val="00496B5F"/>
    <w:rsid w:val="004A2305"/>
    <w:rsid w:val="004A2E10"/>
    <w:rsid w:val="004A5E06"/>
    <w:rsid w:val="004A7745"/>
    <w:rsid w:val="004B17FF"/>
    <w:rsid w:val="004B1BA0"/>
    <w:rsid w:val="004B3AD5"/>
    <w:rsid w:val="004B6CEE"/>
    <w:rsid w:val="004C2443"/>
    <w:rsid w:val="004C498F"/>
    <w:rsid w:val="004C5D29"/>
    <w:rsid w:val="004C61FD"/>
    <w:rsid w:val="004C681A"/>
    <w:rsid w:val="004D0968"/>
    <w:rsid w:val="004D0FD6"/>
    <w:rsid w:val="004D4D8A"/>
    <w:rsid w:val="004E357F"/>
    <w:rsid w:val="004E3AD2"/>
    <w:rsid w:val="004F401F"/>
    <w:rsid w:val="004F68EE"/>
    <w:rsid w:val="005038D5"/>
    <w:rsid w:val="0050519D"/>
    <w:rsid w:val="00507D3E"/>
    <w:rsid w:val="00511BA4"/>
    <w:rsid w:val="005149E7"/>
    <w:rsid w:val="00522F56"/>
    <w:rsid w:val="005232D6"/>
    <w:rsid w:val="005333CC"/>
    <w:rsid w:val="005363F1"/>
    <w:rsid w:val="00537C1B"/>
    <w:rsid w:val="00542F13"/>
    <w:rsid w:val="0055007C"/>
    <w:rsid w:val="00554922"/>
    <w:rsid w:val="00555282"/>
    <w:rsid w:val="005560E7"/>
    <w:rsid w:val="005612CC"/>
    <w:rsid w:val="00563029"/>
    <w:rsid w:val="00567D12"/>
    <w:rsid w:val="00570234"/>
    <w:rsid w:val="00575AF7"/>
    <w:rsid w:val="00576062"/>
    <w:rsid w:val="0058143B"/>
    <w:rsid w:val="00581F3C"/>
    <w:rsid w:val="00586519"/>
    <w:rsid w:val="0058672D"/>
    <w:rsid w:val="00587622"/>
    <w:rsid w:val="00590085"/>
    <w:rsid w:val="0059559F"/>
    <w:rsid w:val="00597F1E"/>
    <w:rsid w:val="005A4634"/>
    <w:rsid w:val="005A49FF"/>
    <w:rsid w:val="005A6379"/>
    <w:rsid w:val="005A7634"/>
    <w:rsid w:val="005B164E"/>
    <w:rsid w:val="005B1C0C"/>
    <w:rsid w:val="005B6F04"/>
    <w:rsid w:val="005C0447"/>
    <w:rsid w:val="005C3175"/>
    <w:rsid w:val="005C739F"/>
    <w:rsid w:val="005C73CA"/>
    <w:rsid w:val="005D4768"/>
    <w:rsid w:val="005E2CAB"/>
    <w:rsid w:val="005E429E"/>
    <w:rsid w:val="005F400A"/>
    <w:rsid w:val="00600719"/>
    <w:rsid w:val="00601ED4"/>
    <w:rsid w:val="006028DC"/>
    <w:rsid w:val="006030BC"/>
    <w:rsid w:val="0060461E"/>
    <w:rsid w:val="006049BC"/>
    <w:rsid w:val="00605F2E"/>
    <w:rsid w:val="00612866"/>
    <w:rsid w:val="00616EB5"/>
    <w:rsid w:val="00624609"/>
    <w:rsid w:val="006254B6"/>
    <w:rsid w:val="006269D4"/>
    <w:rsid w:val="006327D8"/>
    <w:rsid w:val="0064070A"/>
    <w:rsid w:val="00642D08"/>
    <w:rsid w:val="00643A01"/>
    <w:rsid w:val="00650B0B"/>
    <w:rsid w:val="00651D44"/>
    <w:rsid w:val="00655179"/>
    <w:rsid w:val="006574D2"/>
    <w:rsid w:val="00657909"/>
    <w:rsid w:val="00663563"/>
    <w:rsid w:val="006637C2"/>
    <w:rsid w:val="006676D4"/>
    <w:rsid w:val="00675535"/>
    <w:rsid w:val="006772C5"/>
    <w:rsid w:val="00680ACE"/>
    <w:rsid w:val="00681359"/>
    <w:rsid w:val="0069157C"/>
    <w:rsid w:val="0069253D"/>
    <w:rsid w:val="006946F0"/>
    <w:rsid w:val="00695184"/>
    <w:rsid w:val="00696262"/>
    <w:rsid w:val="006A4721"/>
    <w:rsid w:val="006B690D"/>
    <w:rsid w:val="006C0A0D"/>
    <w:rsid w:val="006C3A4F"/>
    <w:rsid w:val="006C4845"/>
    <w:rsid w:val="006D2C98"/>
    <w:rsid w:val="006D49D1"/>
    <w:rsid w:val="006D5536"/>
    <w:rsid w:val="006D6BC1"/>
    <w:rsid w:val="006E2BFC"/>
    <w:rsid w:val="006E5C57"/>
    <w:rsid w:val="006F0AD2"/>
    <w:rsid w:val="006F22A5"/>
    <w:rsid w:val="006F32B7"/>
    <w:rsid w:val="006F660A"/>
    <w:rsid w:val="00702C73"/>
    <w:rsid w:val="00706B7F"/>
    <w:rsid w:val="00713394"/>
    <w:rsid w:val="00715166"/>
    <w:rsid w:val="00724677"/>
    <w:rsid w:val="00725AC2"/>
    <w:rsid w:val="00732880"/>
    <w:rsid w:val="007416B9"/>
    <w:rsid w:val="007422FD"/>
    <w:rsid w:val="00743E46"/>
    <w:rsid w:val="0074624D"/>
    <w:rsid w:val="00746815"/>
    <w:rsid w:val="00747C45"/>
    <w:rsid w:val="00756FDB"/>
    <w:rsid w:val="00761C78"/>
    <w:rsid w:val="007629B6"/>
    <w:rsid w:val="007665BF"/>
    <w:rsid w:val="00770350"/>
    <w:rsid w:val="00771B2A"/>
    <w:rsid w:val="007757CE"/>
    <w:rsid w:val="00775800"/>
    <w:rsid w:val="00777BE2"/>
    <w:rsid w:val="00784A69"/>
    <w:rsid w:val="0078553B"/>
    <w:rsid w:val="00786B78"/>
    <w:rsid w:val="00786C61"/>
    <w:rsid w:val="00790D8E"/>
    <w:rsid w:val="0079180E"/>
    <w:rsid w:val="007950CC"/>
    <w:rsid w:val="0079538B"/>
    <w:rsid w:val="007961B8"/>
    <w:rsid w:val="00797624"/>
    <w:rsid w:val="007A047F"/>
    <w:rsid w:val="007A2EA5"/>
    <w:rsid w:val="007A4828"/>
    <w:rsid w:val="007A4DDF"/>
    <w:rsid w:val="007B093D"/>
    <w:rsid w:val="007B2069"/>
    <w:rsid w:val="007C04A1"/>
    <w:rsid w:val="007C21FA"/>
    <w:rsid w:val="007C23A0"/>
    <w:rsid w:val="007C28CE"/>
    <w:rsid w:val="007C7CF1"/>
    <w:rsid w:val="007D0F5D"/>
    <w:rsid w:val="007D13B1"/>
    <w:rsid w:val="007D264A"/>
    <w:rsid w:val="007D4351"/>
    <w:rsid w:val="007D7019"/>
    <w:rsid w:val="007E07FC"/>
    <w:rsid w:val="007E18DB"/>
    <w:rsid w:val="007E30A9"/>
    <w:rsid w:val="007E67C8"/>
    <w:rsid w:val="007E6F1C"/>
    <w:rsid w:val="007E7FA7"/>
    <w:rsid w:val="0080077F"/>
    <w:rsid w:val="00804C69"/>
    <w:rsid w:val="00805E22"/>
    <w:rsid w:val="0080711D"/>
    <w:rsid w:val="0080799D"/>
    <w:rsid w:val="0081434E"/>
    <w:rsid w:val="008155CD"/>
    <w:rsid w:val="00816566"/>
    <w:rsid w:val="0082363D"/>
    <w:rsid w:val="0082690B"/>
    <w:rsid w:val="00833325"/>
    <w:rsid w:val="00837DF7"/>
    <w:rsid w:val="00840A41"/>
    <w:rsid w:val="00840E05"/>
    <w:rsid w:val="00842F3C"/>
    <w:rsid w:val="008505D1"/>
    <w:rsid w:val="00854CD4"/>
    <w:rsid w:val="00855158"/>
    <w:rsid w:val="008576A9"/>
    <w:rsid w:val="00857EE8"/>
    <w:rsid w:val="008634E2"/>
    <w:rsid w:val="0086464B"/>
    <w:rsid w:val="008647FC"/>
    <w:rsid w:val="00864CA8"/>
    <w:rsid w:val="00865E2D"/>
    <w:rsid w:val="00870E6C"/>
    <w:rsid w:val="008750E4"/>
    <w:rsid w:val="00875846"/>
    <w:rsid w:val="00884486"/>
    <w:rsid w:val="008871A9"/>
    <w:rsid w:val="008916BA"/>
    <w:rsid w:val="00892176"/>
    <w:rsid w:val="008A1DB7"/>
    <w:rsid w:val="008A403A"/>
    <w:rsid w:val="008A4C13"/>
    <w:rsid w:val="008B604D"/>
    <w:rsid w:val="008C0D80"/>
    <w:rsid w:val="008C1583"/>
    <w:rsid w:val="008C54A9"/>
    <w:rsid w:val="008E67C3"/>
    <w:rsid w:val="008F288A"/>
    <w:rsid w:val="008F589F"/>
    <w:rsid w:val="008F76A9"/>
    <w:rsid w:val="008F7E67"/>
    <w:rsid w:val="00900DBF"/>
    <w:rsid w:val="009031B8"/>
    <w:rsid w:val="0090425C"/>
    <w:rsid w:val="009048B9"/>
    <w:rsid w:val="00904E91"/>
    <w:rsid w:val="0091096D"/>
    <w:rsid w:val="00911FA4"/>
    <w:rsid w:val="00915886"/>
    <w:rsid w:val="0091668D"/>
    <w:rsid w:val="009214DC"/>
    <w:rsid w:val="00922D72"/>
    <w:rsid w:val="0092318E"/>
    <w:rsid w:val="00925270"/>
    <w:rsid w:val="00927027"/>
    <w:rsid w:val="009344BA"/>
    <w:rsid w:val="00946CE0"/>
    <w:rsid w:val="00946E61"/>
    <w:rsid w:val="0094741C"/>
    <w:rsid w:val="00947F78"/>
    <w:rsid w:val="00950C9E"/>
    <w:rsid w:val="00953234"/>
    <w:rsid w:val="00954691"/>
    <w:rsid w:val="00961EAF"/>
    <w:rsid w:val="00961F5B"/>
    <w:rsid w:val="0096278F"/>
    <w:rsid w:val="009674D5"/>
    <w:rsid w:val="00971A0C"/>
    <w:rsid w:val="009726E1"/>
    <w:rsid w:val="00972A04"/>
    <w:rsid w:val="00977591"/>
    <w:rsid w:val="00980E75"/>
    <w:rsid w:val="0098750A"/>
    <w:rsid w:val="00992330"/>
    <w:rsid w:val="00992F9F"/>
    <w:rsid w:val="00994BE0"/>
    <w:rsid w:val="00997101"/>
    <w:rsid w:val="009A0E9E"/>
    <w:rsid w:val="009A25B1"/>
    <w:rsid w:val="009A4608"/>
    <w:rsid w:val="009A5ABB"/>
    <w:rsid w:val="009A6A57"/>
    <w:rsid w:val="009A70BF"/>
    <w:rsid w:val="009B0997"/>
    <w:rsid w:val="009B1A15"/>
    <w:rsid w:val="009B4AC5"/>
    <w:rsid w:val="009B5BD2"/>
    <w:rsid w:val="009C0852"/>
    <w:rsid w:val="009C13CA"/>
    <w:rsid w:val="009C28FA"/>
    <w:rsid w:val="009C32C6"/>
    <w:rsid w:val="009C665F"/>
    <w:rsid w:val="009C7513"/>
    <w:rsid w:val="009D3882"/>
    <w:rsid w:val="009D7E38"/>
    <w:rsid w:val="009E095B"/>
    <w:rsid w:val="009E1846"/>
    <w:rsid w:val="009E1D40"/>
    <w:rsid w:val="009E4193"/>
    <w:rsid w:val="009E78FF"/>
    <w:rsid w:val="009F1097"/>
    <w:rsid w:val="009F162A"/>
    <w:rsid w:val="00A01494"/>
    <w:rsid w:val="00A107F4"/>
    <w:rsid w:val="00A121A0"/>
    <w:rsid w:val="00A154B1"/>
    <w:rsid w:val="00A16627"/>
    <w:rsid w:val="00A22FA9"/>
    <w:rsid w:val="00A25024"/>
    <w:rsid w:val="00A259BF"/>
    <w:rsid w:val="00A30F14"/>
    <w:rsid w:val="00A35F8F"/>
    <w:rsid w:val="00A402C6"/>
    <w:rsid w:val="00A41377"/>
    <w:rsid w:val="00A4263D"/>
    <w:rsid w:val="00A509B8"/>
    <w:rsid w:val="00A52285"/>
    <w:rsid w:val="00A5275C"/>
    <w:rsid w:val="00A52AB9"/>
    <w:rsid w:val="00A5497E"/>
    <w:rsid w:val="00A6210B"/>
    <w:rsid w:val="00A64EBF"/>
    <w:rsid w:val="00A67264"/>
    <w:rsid w:val="00A672B3"/>
    <w:rsid w:val="00A71200"/>
    <w:rsid w:val="00A71D7D"/>
    <w:rsid w:val="00A7323A"/>
    <w:rsid w:val="00A75915"/>
    <w:rsid w:val="00A765FF"/>
    <w:rsid w:val="00A831B4"/>
    <w:rsid w:val="00A9022E"/>
    <w:rsid w:val="00A97798"/>
    <w:rsid w:val="00AA1516"/>
    <w:rsid w:val="00AA47AE"/>
    <w:rsid w:val="00AA5213"/>
    <w:rsid w:val="00AA65A6"/>
    <w:rsid w:val="00AB37ED"/>
    <w:rsid w:val="00AB7175"/>
    <w:rsid w:val="00AC1D8E"/>
    <w:rsid w:val="00AC48FA"/>
    <w:rsid w:val="00AC5CFC"/>
    <w:rsid w:val="00AD0240"/>
    <w:rsid w:val="00AD36A9"/>
    <w:rsid w:val="00AD4137"/>
    <w:rsid w:val="00AD4449"/>
    <w:rsid w:val="00AD52B2"/>
    <w:rsid w:val="00AE2FDF"/>
    <w:rsid w:val="00AE4672"/>
    <w:rsid w:val="00AE57CB"/>
    <w:rsid w:val="00AF2D68"/>
    <w:rsid w:val="00B00C47"/>
    <w:rsid w:val="00B037BA"/>
    <w:rsid w:val="00B12647"/>
    <w:rsid w:val="00B14E74"/>
    <w:rsid w:val="00B150B3"/>
    <w:rsid w:val="00B1562E"/>
    <w:rsid w:val="00B158D1"/>
    <w:rsid w:val="00B20139"/>
    <w:rsid w:val="00B218DA"/>
    <w:rsid w:val="00B22706"/>
    <w:rsid w:val="00B26B13"/>
    <w:rsid w:val="00B33889"/>
    <w:rsid w:val="00B342FA"/>
    <w:rsid w:val="00B37CB4"/>
    <w:rsid w:val="00B43758"/>
    <w:rsid w:val="00B53E8B"/>
    <w:rsid w:val="00B54D66"/>
    <w:rsid w:val="00B57D18"/>
    <w:rsid w:val="00B57F93"/>
    <w:rsid w:val="00B6246A"/>
    <w:rsid w:val="00B67A89"/>
    <w:rsid w:val="00B711EA"/>
    <w:rsid w:val="00B757E3"/>
    <w:rsid w:val="00B767A1"/>
    <w:rsid w:val="00B771F6"/>
    <w:rsid w:val="00B774D2"/>
    <w:rsid w:val="00B8015A"/>
    <w:rsid w:val="00B8260E"/>
    <w:rsid w:val="00B82A57"/>
    <w:rsid w:val="00B83D23"/>
    <w:rsid w:val="00BA053B"/>
    <w:rsid w:val="00BA2B0A"/>
    <w:rsid w:val="00BA5310"/>
    <w:rsid w:val="00BB35AE"/>
    <w:rsid w:val="00BB3DF6"/>
    <w:rsid w:val="00BC03A1"/>
    <w:rsid w:val="00BC0D25"/>
    <w:rsid w:val="00BD2505"/>
    <w:rsid w:val="00BD4785"/>
    <w:rsid w:val="00BE592D"/>
    <w:rsid w:val="00BE7DC6"/>
    <w:rsid w:val="00BF1DD7"/>
    <w:rsid w:val="00BF52B0"/>
    <w:rsid w:val="00BF55B1"/>
    <w:rsid w:val="00BF5697"/>
    <w:rsid w:val="00C03307"/>
    <w:rsid w:val="00C03C61"/>
    <w:rsid w:val="00C073BB"/>
    <w:rsid w:val="00C14CCC"/>
    <w:rsid w:val="00C1695E"/>
    <w:rsid w:val="00C203E6"/>
    <w:rsid w:val="00C2296B"/>
    <w:rsid w:val="00C22C1C"/>
    <w:rsid w:val="00C33B3D"/>
    <w:rsid w:val="00C33F2E"/>
    <w:rsid w:val="00C34936"/>
    <w:rsid w:val="00C34C14"/>
    <w:rsid w:val="00C355B9"/>
    <w:rsid w:val="00C37EF1"/>
    <w:rsid w:val="00C401C4"/>
    <w:rsid w:val="00C409D7"/>
    <w:rsid w:val="00C41209"/>
    <w:rsid w:val="00C41680"/>
    <w:rsid w:val="00C60A25"/>
    <w:rsid w:val="00C765C5"/>
    <w:rsid w:val="00C775CE"/>
    <w:rsid w:val="00C822CD"/>
    <w:rsid w:val="00C82479"/>
    <w:rsid w:val="00C867F0"/>
    <w:rsid w:val="00C871A7"/>
    <w:rsid w:val="00C95C24"/>
    <w:rsid w:val="00C96C83"/>
    <w:rsid w:val="00C9787E"/>
    <w:rsid w:val="00CA0344"/>
    <w:rsid w:val="00CA06D8"/>
    <w:rsid w:val="00CA11EA"/>
    <w:rsid w:val="00CA345A"/>
    <w:rsid w:val="00CB4324"/>
    <w:rsid w:val="00CB49FF"/>
    <w:rsid w:val="00CB6E91"/>
    <w:rsid w:val="00CB7DA7"/>
    <w:rsid w:val="00CC02CF"/>
    <w:rsid w:val="00CC086A"/>
    <w:rsid w:val="00CC5FC9"/>
    <w:rsid w:val="00CD0E24"/>
    <w:rsid w:val="00CD0F66"/>
    <w:rsid w:val="00CD364B"/>
    <w:rsid w:val="00CD50C4"/>
    <w:rsid w:val="00CD7873"/>
    <w:rsid w:val="00CD7C8A"/>
    <w:rsid w:val="00CE23B8"/>
    <w:rsid w:val="00CE284E"/>
    <w:rsid w:val="00CE3669"/>
    <w:rsid w:val="00CE4F76"/>
    <w:rsid w:val="00CE50D7"/>
    <w:rsid w:val="00CF2587"/>
    <w:rsid w:val="00CF4CBE"/>
    <w:rsid w:val="00D00344"/>
    <w:rsid w:val="00D153CF"/>
    <w:rsid w:val="00D16598"/>
    <w:rsid w:val="00D1741D"/>
    <w:rsid w:val="00D1754D"/>
    <w:rsid w:val="00D17CC1"/>
    <w:rsid w:val="00D21729"/>
    <w:rsid w:val="00D2223F"/>
    <w:rsid w:val="00D274A4"/>
    <w:rsid w:val="00D277AF"/>
    <w:rsid w:val="00D31163"/>
    <w:rsid w:val="00D320B1"/>
    <w:rsid w:val="00D33AFD"/>
    <w:rsid w:val="00D36489"/>
    <w:rsid w:val="00D369E9"/>
    <w:rsid w:val="00D42195"/>
    <w:rsid w:val="00D434A1"/>
    <w:rsid w:val="00D43BE5"/>
    <w:rsid w:val="00D50704"/>
    <w:rsid w:val="00D5760A"/>
    <w:rsid w:val="00D606CC"/>
    <w:rsid w:val="00D61410"/>
    <w:rsid w:val="00D70DD6"/>
    <w:rsid w:val="00D768EB"/>
    <w:rsid w:val="00D8181D"/>
    <w:rsid w:val="00D94508"/>
    <w:rsid w:val="00D95280"/>
    <w:rsid w:val="00D968D8"/>
    <w:rsid w:val="00DA563D"/>
    <w:rsid w:val="00DA7277"/>
    <w:rsid w:val="00DB3627"/>
    <w:rsid w:val="00DB3703"/>
    <w:rsid w:val="00DB3C52"/>
    <w:rsid w:val="00DB4724"/>
    <w:rsid w:val="00DB6944"/>
    <w:rsid w:val="00DB6B2C"/>
    <w:rsid w:val="00DB6D8A"/>
    <w:rsid w:val="00DC4746"/>
    <w:rsid w:val="00DC4DEE"/>
    <w:rsid w:val="00DD266A"/>
    <w:rsid w:val="00DD554A"/>
    <w:rsid w:val="00DD7D96"/>
    <w:rsid w:val="00DE7149"/>
    <w:rsid w:val="00DF2D90"/>
    <w:rsid w:val="00DF4C40"/>
    <w:rsid w:val="00DF6A99"/>
    <w:rsid w:val="00E0314C"/>
    <w:rsid w:val="00E03E0A"/>
    <w:rsid w:val="00E053AB"/>
    <w:rsid w:val="00E1508F"/>
    <w:rsid w:val="00E17E91"/>
    <w:rsid w:val="00E2506C"/>
    <w:rsid w:val="00E261DF"/>
    <w:rsid w:val="00E27240"/>
    <w:rsid w:val="00E27EDD"/>
    <w:rsid w:val="00E30584"/>
    <w:rsid w:val="00E310B9"/>
    <w:rsid w:val="00E342D3"/>
    <w:rsid w:val="00E37E1B"/>
    <w:rsid w:val="00E424B2"/>
    <w:rsid w:val="00E562C0"/>
    <w:rsid w:val="00E57FAF"/>
    <w:rsid w:val="00E672D6"/>
    <w:rsid w:val="00E76024"/>
    <w:rsid w:val="00E83723"/>
    <w:rsid w:val="00E84286"/>
    <w:rsid w:val="00E856A2"/>
    <w:rsid w:val="00E90017"/>
    <w:rsid w:val="00E93477"/>
    <w:rsid w:val="00E967AD"/>
    <w:rsid w:val="00E96884"/>
    <w:rsid w:val="00E96914"/>
    <w:rsid w:val="00EA5435"/>
    <w:rsid w:val="00EA5F47"/>
    <w:rsid w:val="00EB11E9"/>
    <w:rsid w:val="00EB2E34"/>
    <w:rsid w:val="00EB455E"/>
    <w:rsid w:val="00EB4E37"/>
    <w:rsid w:val="00EC17C3"/>
    <w:rsid w:val="00EC1DEE"/>
    <w:rsid w:val="00EC79DE"/>
    <w:rsid w:val="00ED2344"/>
    <w:rsid w:val="00ED3BA1"/>
    <w:rsid w:val="00ED4ACE"/>
    <w:rsid w:val="00EE23D6"/>
    <w:rsid w:val="00EE4D35"/>
    <w:rsid w:val="00EF2DA7"/>
    <w:rsid w:val="00F1412B"/>
    <w:rsid w:val="00F14A92"/>
    <w:rsid w:val="00F15BFA"/>
    <w:rsid w:val="00F20E54"/>
    <w:rsid w:val="00F260F5"/>
    <w:rsid w:val="00F2707B"/>
    <w:rsid w:val="00F32679"/>
    <w:rsid w:val="00F34FAB"/>
    <w:rsid w:val="00F3741C"/>
    <w:rsid w:val="00F41484"/>
    <w:rsid w:val="00F435AA"/>
    <w:rsid w:val="00F5738A"/>
    <w:rsid w:val="00F576F8"/>
    <w:rsid w:val="00F612D4"/>
    <w:rsid w:val="00F624C6"/>
    <w:rsid w:val="00F66D96"/>
    <w:rsid w:val="00F7389E"/>
    <w:rsid w:val="00F74549"/>
    <w:rsid w:val="00F777FD"/>
    <w:rsid w:val="00F77F1D"/>
    <w:rsid w:val="00F87CCB"/>
    <w:rsid w:val="00FA48C7"/>
    <w:rsid w:val="00FA62C1"/>
    <w:rsid w:val="00FA7E89"/>
    <w:rsid w:val="00FB1DEA"/>
    <w:rsid w:val="00FB51FB"/>
    <w:rsid w:val="00FB73C1"/>
    <w:rsid w:val="00FB7CBF"/>
    <w:rsid w:val="00FC0CD8"/>
    <w:rsid w:val="00FC5630"/>
    <w:rsid w:val="00FD466D"/>
    <w:rsid w:val="00FD4701"/>
    <w:rsid w:val="00FE5AB7"/>
    <w:rsid w:val="00FE7CE0"/>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40510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2C63F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ed List Level 1,Numbered List"/>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aliases w:val="t"/>
    <w:basedOn w:val="Normal"/>
    <w:link w:val="CommentTextChar"/>
    <w:uiPriority w:val="99"/>
    <w:unhideWhenUsed/>
    <w:rsid w:val="002376F8"/>
    <w:pPr>
      <w:spacing w:line="240" w:lineRule="auto"/>
    </w:pPr>
    <w:rPr>
      <w:sz w:val="20"/>
      <w:szCs w:val="20"/>
    </w:rPr>
  </w:style>
  <w:style w:type="character" w:customStyle="1" w:styleId="CommentTextChar">
    <w:name w:val="Comment Text Char"/>
    <w:aliases w:val="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uiPriority w:val="99"/>
    <w:qFormat/>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qFormat/>
    <w:rsid w:val="00145149"/>
    <w:rPr>
      <w:rFonts w:cs="Times New Roman"/>
      <w:vertAlign w:val="superscript"/>
    </w:rPr>
  </w:style>
  <w:style w:type="character" w:customStyle="1" w:styleId="ListParagraphChar">
    <w:name w:val="List Paragraph Char"/>
    <w:aliases w:val="Bulleted List Level 1 Char,Numbered List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table" w:customStyle="1" w:styleId="TableGrid1">
    <w:name w:val="Table Grid1"/>
    <w:basedOn w:val="TableNormal"/>
    <w:next w:val="TableGrid"/>
    <w:uiPriority w:val="59"/>
    <w:rsid w:val="00DB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SS">
    <w:name w:val="NormalSS"/>
    <w:basedOn w:val="Normal"/>
    <w:link w:val="NormalSSChar"/>
    <w:qFormat/>
    <w:rsid w:val="0040510B"/>
    <w:pPr>
      <w:spacing w:after="240" w:line="240" w:lineRule="auto"/>
      <w:ind w:firstLine="432"/>
    </w:pPr>
    <w:rPr>
      <w:rFonts w:ascii="Times New Roman" w:eastAsia="Times New Roman" w:hAnsi="Times New Roman" w:cs="Times New Roman"/>
      <w:sz w:val="24"/>
      <w:szCs w:val="20"/>
    </w:rPr>
  </w:style>
  <w:style w:type="paragraph" w:customStyle="1" w:styleId="TableSourceCaption">
    <w:name w:val="Table Source_Caption"/>
    <w:qFormat/>
    <w:rsid w:val="0040510B"/>
    <w:pPr>
      <w:tabs>
        <w:tab w:val="left" w:pos="792"/>
      </w:tabs>
      <w:spacing w:before="60" w:after="0" w:line="240" w:lineRule="auto"/>
      <w:ind w:left="792" w:hanging="792"/>
    </w:pPr>
    <w:rPr>
      <w:rFonts w:ascii="Arial" w:eastAsia="Times New Roman" w:hAnsi="Arial" w:cs="Times New Roman"/>
      <w:sz w:val="18"/>
      <w:szCs w:val="20"/>
    </w:rPr>
  </w:style>
  <w:style w:type="paragraph" w:customStyle="1" w:styleId="H3Alpha">
    <w:name w:val="H3_Alpha"/>
    <w:basedOn w:val="Heading2"/>
    <w:next w:val="NormalSS"/>
    <w:link w:val="H3AlphaChar"/>
    <w:qFormat/>
    <w:rsid w:val="0040510B"/>
    <w:pPr>
      <w:keepLines w:val="0"/>
      <w:tabs>
        <w:tab w:val="left" w:pos="432"/>
      </w:tabs>
      <w:spacing w:before="0" w:after="120" w:line="240" w:lineRule="auto"/>
      <w:ind w:left="432" w:hanging="432"/>
      <w:outlineLvl w:val="2"/>
    </w:pPr>
    <w:rPr>
      <w:rFonts w:ascii="Arial Black" w:eastAsia="Times New Roman" w:hAnsi="Arial Black" w:cs="Times New Roman"/>
      <w:szCs w:val="20"/>
    </w:rPr>
  </w:style>
  <w:style w:type="character" w:customStyle="1" w:styleId="H3AlphaChar">
    <w:name w:val="H3_Alpha Char"/>
    <w:basedOn w:val="Heading2Char"/>
    <w:link w:val="H3Alpha"/>
    <w:rsid w:val="0040510B"/>
    <w:rPr>
      <w:rFonts w:ascii="Arial Black" w:eastAsia="Times New Roman" w:hAnsi="Arial Black" w:cs="Times New Roman"/>
      <w:color w:val="365F91" w:themeColor="accent1" w:themeShade="BF"/>
      <w:sz w:val="26"/>
      <w:szCs w:val="20"/>
    </w:rPr>
  </w:style>
  <w:style w:type="character" w:customStyle="1" w:styleId="NormalSSChar">
    <w:name w:val="NormalSS Char"/>
    <w:basedOn w:val="DefaultParagraphFont"/>
    <w:link w:val="NormalSS"/>
    <w:rsid w:val="0040510B"/>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semiHidden/>
    <w:rsid w:val="0040510B"/>
    <w:rPr>
      <w:rFonts w:asciiTheme="majorHAnsi" w:eastAsiaTheme="majorEastAsia" w:hAnsiTheme="majorHAnsi" w:cstheme="majorBidi"/>
      <w:color w:val="365F91" w:themeColor="accent1" w:themeShade="BF"/>
      <w:sz w:val="26"/>
      <w:szCs w:val="26"/>
    </w:rPr>
  </w:style>
  <w:style w:type="character" w:styleId="Emphasis">
    <w:name w:val="Emphasis"/>
    <w:basedOn w:val="DefaultParagraphFont"/>
    <w:uiPriority w:val="20"/>
    <w:qFormat/>
    <w:rsid w:val="00445614"/>
    <w:rPr>
      <w:i/>
      <w:iCs/>
    </w:rPr>
  </w:style>
  <w:style w:type="paragraph" w:customStyle="1" w:styleId="Default">
    <w:name w:val="Default"/>
    <w:basedOn w:val="Normal"/>
    <w:rsid w:val="00233315"/>
    <w:pPr>
      <w:autoSpaceDE w:val="0"/>
      <w:autoSpaceDN w:val="0"/>
      <w:spacing w:after="0" w:line="240" w:lineRule="auto"/>
    </w:pPr>
    <w:rPr>
      <w:rFonts w:ascii="Calibri" w:eastAsiaTheme="minorHAnsi" w:hAnsi="Calibri" w:cs="Calibri"/>
      <w:color w:val="000000"/>
      <w:sz w:val="24"/>
      <w:szCs w:val="24"/>
    </w:rPr>
  </w:style>
  <w:style w:type="character" w:customStyle="1" w:styleId="UnresolvedMention1">
    <w:name w:val="Unresolved Mention1"/>
    <w:basedOn w:val="DefaultParagraphFont"/>
    <w:uiPriority w:val="99"/>
    <w:semiHidden/>
    <w:unhideWhenUsed/>
    <w:rsid w:val="00084FF1"/>
    <w:rPr>
      <w:color w:val="605E5C"/>
      <w:shd w:val="clear" w:color="auto" w:fill="E1DFDD"/>
    </w:rPr>
  </w:style>
  <w:style w:type="paragraph" w:styleId="BodyText">
    <w:name w:val="Body Text"/>
    <w:basedOn w:val="Normal"/>
    <w:link w:val="BodyTextChar"/>
    <w:uiPriority w:val="1"/>
    <w:qFormat/>
    <w:rsid w:val="00F32679"/>
    <w:pPr>
      <w:widowControl w:val="0"/>
      <w:spacing w:before="120" w:after="0" w:line="240" w:lineRule="auto"/>
      <w:ind w:left="1296" w:right="-72"/>
    </w:pPr>
    <w:rPr>
      <w:color w:val="000000" w:themeColor="text1"/>
      <w:sz w:val="24"/>
      <w:szCs w:val="24"/>
    </w:rPr>
  </w:style>
  <w:style w:type="character" w:customStyle="1" w:styleId="BodyTextChar">
    <w:name w:val="Body Text Char"/>
    <w:basedOn w:val="DefaultParagraphFont"/>
    <w:link w:val="BodyText"/>
    <w:uiPriority w:val="1"/>
    <w:rsid w:val="00F32679"/>
    <w:rPr>
      <w:color w:val="000000" w:themeColor="text1"/>
      <w:sz w:val="24"/>
      <w:szCs w:val="24"/>
    </w:rPr>
  </w:style>
  <w:style w:type="paragraph" w:styleId="Caption">
    <w:name w:val="caption"/>
    <w:basedOn w:val="Normal"/>
    <w:next w:val="Normal"/>
    <w:autoRedefine/>
    <w:unhideWhenUsed/>
    <w:qFormat/>
    <w:rsid w:val="00BD4785"/>
    <w:pPr>
      <w:keepNext/>
      <w:spacing w:before="120" w:after="0" w:line="240" w:lineRule="auto"/>
    </w:pPr>
    <w:rPr>
      <w:color w:val="0000FF"/>
    </w:rPr>
  </w:style>
  <w:style w:type="paragraph" w:styleId="Quote">
    <w:name w:val="Quote"/>
    <w:basedOn w:val="Normal"/>
    <w:next w:val="Normal"/>
    <w:link w:val="QuoteChar"/>
    <w:uiPriority w:val="29"/>
    <w:qFormat/>
    <w:rsid w:val="00D606CC"/>
    <w:pPr>
      <w:widowControl w:val="0"/>
      <w:spacing w:before="200" w:after="160" w:line="240" w:lineRule="auto"/>
      <w:ind w:left="864" w:right="864"/>
      <w:jc w:val="center"/>
    </w:pPr>
    <w:rPr>
      <w:rFonts w:eastAsiaTheme="minorHAnsi"/>
      <w:i/>
      <w:iCs/>
      <w:color w:val="404040" w:themeColor="text1" w:themeTint="BF"/>
    </w:rPr>
  </w:style>
  <w:style w:type="character" w:customStyle="1" w:styleId="QuoteChar">
    <w:name w:val="Quote Char"/>
    <w:basedOn w:val="DefaultParagraphFont"/>
    <w:link w:val="Quote"/>
    <w:uiPriority w:val="29"/>
    <w:rsid w:val="00D606CC"/>
    <w:rPr>
      <w:rFonts w:eastAsiaTheme="minorHAnsi"/>
      <w:i/>
      <w:iCs/>
      <w:color w:val="404040" w:themeColor="text1" w:themeTint="BF"/>
    </w:rPr>
  </w:style>
  <w:style w:type="character" w:customStyle="1" w:styleId="Heading3Char">
    <w:name w:val="Heading 3 Char"/>
    <w:basedOn w:val="DefaultParagraphFont"/>
    <w:link w:val="Heading3"/>
    <w:uiPriority w:val="9"/>
    <w:semiHidden/>
    <w:rsid w:val="002C63F0"/>
    <w:rPr>
      <w:rFonts w:asciiTheme="majorHAnsi" w:eastAsiaTheme="majorEastAsia" w:hAnsiTheme="majorHAnsi" w:cstheme="majorBidi"/>
      <w:color w:val="243F60" w:themeColor="accent1" w:themeShade="7F"/>
      <w:sz w:val="24"/>
      <w:szCs w:val="24"/>
    </w:rPr>
  </w:style>
  <w:style w:type="paragraph" w:customStyle="1" w:styleId="Style1a">
    <w:name w:val="Style1a"/>
    <w:basedOn w:val="NormalWeb"/>
    <w:uiPriority w:val="1"/>
    <w:qFormat/>
    <w:rsid w:val="00715166"/>
    <w:pPr>
      <w:spacing w:before="0" w:beforeAutospacing="0" w:after="0" w:afterAutospacing="0"/>
      <w:ind w:left="1440" w:hanging="450"/>
    </w:pPr>
    <w:rPr>
      <w:rFonts w:asciiTheme="minorHAnsi" w:eastAsiaTheme="minorEastAsia" w:hAnsiTheme="minorHAnsi" w:cstheme="minorBidi"/>
      <w:color w:val="000000" w:themeColor="text1"/>
      <w:sz w:val="20"/>
    </w:rPr>
  </w:style>
  <w:style w:type="character" w:styleId="UnresolvedMention">
    <w:name w:val="Unresolved Mention"/>
    <w:basedOn w:val="DefaultParagraphFont"/>
    <w:uiPriority w:val="99"/>
    <w:semiHidden/>
    <w:unhideWhenUsed/>
    <w:rsid w:val="00680A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262428">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876358726">
      <w:bodyDiv w:val="1"/>
      <w:marLeft w:val="0"/>
      <w:marRight w:val="0"/>
      <w:marTop w:val="0"/>
      <w:marBottom w:val="0"/>
      <w:divBdr>
        <w:top w:val="none" w:sz="0" w:space="0" w:color="auto"/>
        <w:left w:val="none" w:sz="0" w:space="0" w:color="auto"/>
        <w:bottom w:val="none" w:sz="0" w:space="0" w:color="auto"/>
        <w:right w:val="none" w:sz="0" w:space="0" w:color="auto"/>
      </w:divBdr>
    </w:div>
    <w:div w:id="1284456540">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626082826">
      <w:bodyDiv w:val="1"/>
      <w:marLeft w:val="0"/>
      <w:marRight w:val="0"/>
      <w:marTop w:val="0"/>
      <w:marBottom w:val="0"/>
      <w:divBdr>
        <w:top w:val="none" w:sz="0" w:space="0" w:color="auto"/>
        <w:left w:val="none" w:sz="0" w:space="0" w:color="auto"/>
        <w:bottom w:val="none" w:sz="0" w:space="0" w:color="auto"/>
        <w:right w:val="none" w:sz="0" w:space="0" w:color="auto"/>
      </w:divBdr>
    </w:div>
    <w:div w:id="1683051404">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3105/wjma.v5.i4.103" TargetMode="External"/><Relationship Id="rId18" Type="http://schemas.openxmlformats.org/officeDocument/2006/relationships/hyperlink" Target="https://doi.org/10.1176/appi.ps.60.2.157"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doi.org/10.1097/SLA.0000000000003592" TargetMode="External"/><Relationship Id="rId17" Type="http://schemas.openxmlformats.org/officeDocument/2006/relationships/hyperlink" Target="https://doi.org/10.1177/2045125318804364" TargetMode="External"/><Relationship Id="rId2" Type="http://schemas.openxmlformats.org/officeDocument/2006/relationships/customXml" Target="../customXml/item2.xml"/><Relationship Id="rId16" Type="http://schemas.openxmlformats.org/officeDocument/2006/relationships/hyperlink" Target="https://doi.org/10.1177/2045125312474019"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doi.org/10.1097/JCP.0000000000000523"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doi.org/10.2147/PPA.S12465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i.org/10.4088/JCP.v66n0517"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Times New Roman">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Times New Roman">
    <w:altName w:val="Times New Roman"/>
    <w:panose1 w:val="00000000000000000000"/>
    <w:charset w:val="00"/>
    <w:family w:val="roman"/>
    <w:notTrueType/>
    <w:pitch w:val="default"/>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121"/>
    <w:rsid w:val="000166F5"/>
    <w:rsid w:val="00021F89"/>
    <w:rsid w:val="000319D7"/>
    <w:rsid w:val="00055B87"/>
    <w:rsid w:val="0006242D"/>
    <w:rsid w:val="000A145E"/>
    <w:rsid w:val="00127222"/>
    <w:rsid w:val="001736D7"/>
    <w:rsid w:val="00190AF4"/>
    <w:rsid w:val="00223FA3"/>
    <w:rsid w:val="00252DE9"/>
    <w:rsid w:val="002A288F"/>
    <w:rsid w:val="002C65A7"/>
    <w:rsid w:val="002F052A"/>
    <w:rsid w:val="002F1792"/>
    <w:rsid w:val="00301E79"/>
    <w:rsid w:val="00350176"/>
    <w:rsid w:val="003840F0"/>
    <w:rsid w:val="00407347"/>
    <w:rsid w:val="00437537"/>
    <w:rsid w:val="00470370"/>
    <w:rsid w:val="004D785E"/>
    <w:rsid w:val="0051068E"/>
    <w:rsid w:val="00513FC9"/>
    <w:rsid w:val="0053654E"/>
    <w:rsid w:val="00610196"/>
    <w:rsid w:val="00632A7E"/>
    <w:rsid w:val="00632AB6"/>
    <w:rsid w:val="00635571"/>
    <w:rsid w:val="00730B33"/>
    <w:rsid w:val="00772B2A"/>
    <w:rsid w:val="007C672A"/>
    <w:rsid w:val="007D4368"/>
    <w:rsid w:val="00822666"/>
    <w:rsid w:val="00823ECC"/>
    <w:rsid w:val="00826796"/>
    <w:rsid w:val="00866C97"/>
    <w:rsid w:val="009017AE"/>
    <w:rsid w:val="00917FF9"/>
    <w:rsid w:val="009C542D"/>
    <w:rsid w:val="00A01A18"/>
    <w:rsid w:val="00A95183"/>
    <w:rsid w:val="00AB4AF7"/>
    <w:rsid w:val="00AD7C4F"/>
    <w:rsid w:val="00B445F5"/>
    <w:rsid w:val="00B56141"/>
    <w:rsid w:val="00BD40CB"/>
    <w:rsid w:val="00C362A2"/>
    <w:rsid w:val="00C90121"/>
    <w:rsid w:val="00C956CE"/>
    <w:rsid w:val="00C96E73"/>
    <w:rsid w:val="00CA0B64"/>
    <w:rsid w:val="00CA1FE8"/>
    <w:rsid w:val="00CA344F"/>
    <w:rsid w:val="00D1676E"/>
    <w:rsid w:val="00D351B4"/>
    <w:rsid w:val="00DC0246"/>
    <w:rsid w:val="00DE0AAE"/>
    <w:rsid w:val="00E00890"/>
    <w:rsid w:val="00E6518A"/>
    <w:rsid w:val="00EC1B7E"/>
    <w:rsid w:val="00F540AB"/>
    <w:rsid w:val="00F915BA"/>
    <w:rsid w:val="00FD2F85"/>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F806FAEF75828429537B839A810231A" ma:contentTypeVersion="9" ma:contentTypeDescription="Create a new document." ma:contentTypeScope="" ma:versionID="d80566469c296eba24174d0027c73893">
  <xsd:schema xmlns:xsd="http://www.w3.org/2001/XMLSchema" xmlns:xs="http://www.w3.org/2001/XMLSchema" xmlns:p="http://schemas.microsoft.com/office/2006/metadata/properties" xmlns:ns3="1fe145cb-1b1d-407a-b614-7a0e4ea362dc" targetNamespace="http://schemas.microsoft.com/office/2006/metadata/properties" ma:root="true" ma:fieldsID="1310b946bbef9ce6d4dc8e51d09cc542" ns3:_="">
    <xsd:import namespace="1fe145cb-1b1d-407a-b614-7a0e4ea362d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e145cb-1b1d-407a-b614-7a0e4ea362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D700C901-3C40-4C03-AF30-8401D54B3554}">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infopath/2007/PartnerControls"/>
    <ds:schemaRef ds:uri="http://www.w3.org/XML/1998/namespace"/>
    <ds:schemaRef ds:uri="1fe145cb-1b1d-407a-b614-7a0e4ea362dc"/>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0946276B-B45A-4254-81A6-49B5A4684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e145cb-1b1d-407a-b614-7a0e4ea362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77D212-CABF-4546-880E-C1624D55F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11293</Words>
  <Characters>64372</Characters>
  <Application>Microsoft Office Word</Application>
  <DocSecurity>0</DocSecurity>
  <Lines>536</Lines>
  <Paragraphs>151</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75514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Jason Smoot</cp:lastModifiedBy>
  <cp:revision>2</cp:revision>
  <dcterms:created xsi:type="dcterms:W3CDTF">2020-08-02T18:40:00Z</dcterms:created>
  <dcterms:modified xsi:type="dcterms:W3CDTF">2020-08-02T18:40:00Z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0x010100FF806FAEF75828429537B839A810231A</vt:lpwstr>
  </property>
</Properties>
</file>