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69E74" w14:textId="6211D38E" w:rsidR="001A2284" w:rsidRPr="00D87585" w:rsidRDefault="008909CD" w:rsidP="00D87585">
      <w:pPr>
        <w:pStyle w:val="Title"/>
        <w:spacing w:after="120"/>
        <w:jc w:val="center"/>
        <w:rPr>
          <w:rFonts w:ascii="Arial" w:hAnsi="Arial" w:cs="Arial"/>
          <w:sz w:val="28"/>
          <w:szCs w:val="28"/>
        </w:rPr>
      </w:pPr>
      <w:bookmarkStart w:id="0" w:name="_GoBack"/>
      <w:bookmarkEnd w:id="0"/>
      <w:r w:rsidRPr="00D87585">
        <w:rPr>
          <w:rFonts w:ascii="Arial" w:hAnsi="Arial" w:cs="Arial"/>
          <w:sz w:val="28"/>
          <w:szCs w:val="28"/>
        </w:rPr>
        <w:t>Template</w:t>
      </w:r>
    </w:p>
    <w:p w14:paraId="2349CC9E" w14:textId="77777777" w:rsidR="00BD2120" w:rsidRPr="000156AE" w:rsidRDefault="00BD2120" w:rsidP="00D87585">
      <w:pPr>
        <w:pStyle w:val="Subtitle"/>
      </w:pPr>
      <w:r w:rsidRPr="000156AE">
        <w:t>Peer Reviewed Journal Article Requirement</w:t>
      </w:r>
    </w:p>
    <w:p w14:paraId="27A8C0E1" w14:textId="1991480F" w:rsidR="00BD2120" w:rsidRPr="000156AE" w:rsidRDefault="00BD2120" w:rsidP="00D87585">
      <w:pPr>
        <w:spacing w:line="240" w:lineRule="auto"/>
        <w:rPr>
          <w:rFonts w:ascii="Arial" w:hAnsi="Arial" w:cs="Arial"/>
        </w:rPr>
      </w:pPr>
      <w:r w:rsidRPr="000156AE">
        <w:rPr>
          <w:rFonts w:ascii="Arial" w:hAnsi="Arial" w:cs="Arial"/>
        </w:rPr>
        <w:t>Section 101(c)(1) of the MACRA requires submission of new measures for publication in applicable specialty-appropriate, peer-reviewed journals</w:t>
      </w:r>
      <w:r w:rsidR="000D38B8">
        <w:rPr>
          <w:rFonts w:ascii="Arial" w:hAnsi="Arial" w:cs="Arial"/>
        </w:rPr>
        <w:t xml:space="preserve"> prior to implementing in MIPS</w:t>
      </w:r>
      <w:r w:rsidRPr="000156AE">
        <w:rPr>
          <w:rFonts w:ascii="Arial" w:hAnsi="Arial" w:cs="Arial"/>
        </w:rPr>
        <w:t xml:space="preserve">. These measures will be submitted </w:t>
      </w:r>
      <w:r w:rsidR="002449AA">
        <w:rPr>
          <w:rFonts w:ascii="Arial" w:hAnsi="Arial" w:cs="Arial"/>
        </w:rPr>
        <w:t xml:space="preserve">by CMS, </w:t>
      </w:r>
      <w:r w:rsidR="007B0045" w:rsidRPr="000156AE">
        <w:rPr>
          <w:rFonts w:ascii="Arial" w:hAnsi="Arial" w:cs="Arial"/>
        </w:rPr>
        <w:t xml:space="preserve">to a journal(s) </w:t>
      </w:r>
      <w:r w:rsidRPr="000156AE">
        <w:rPr>
          <w:rFonts w:ascii="Arial" w:hAnsi="Arial" w:cs="Arial"/>
        </w:rPr>
        <w:t xml:space="preserve">before including </w:t>
      </w:r>
      <w:r w:rsidR="007B0045" w:rsidRPr="000156AE">
        <w:rPr>
          <w:rFonts w:ascii="Arial" w:hAnsi="Arial" w:cs="Arial"/>
        </w:rPr>
        <w:t>any new measure</w:t>
      </w:r>
      <w:r w:rsidRPr="000156AE">
        <w:rPr>
          <w:rFonts w:ascii="Arial" w:hAnsi="Arial" w:cs="Arial"/>
        </w:rPr>
        <w:t xml:space="preserve"> in the final list of annual clinical quality measures (CQM) under MIPS.</w:t>
      </w:r>
      <w:r w:rsidR="00DD5758">
        <w:rPr>
          <w:rFonts w:ascii="Arial" w:hAnsi="Arial" w:cs="Arial"/>
        </w:rPr>
        <w:t xml:space="preserve"> </w:t>
      </w:r>
      <w:r w:rsidRPr="000156AE">
        <w:rPr>
          <w:rFonts w:ascii="Arial" w:hAnsi="Arial" w:cs="Arial"/>
        </w:rPr>
        <w:t xml:space="preserve">The measure owner shall provide the required information for article submission under the MACRA per CMS “Call for Measures” submission process. </w:t>
      </w:r>
    </w:p>
    <w:p w14:paraId="0FFC3A94" w14:textId="3B4348E9" w:rsidR="00BD2120" w:rsidRPr="00DD5758" w:rsidRDefault="00BD2120" w:rsidP="00BD2120">
      <w:pPr>
        <w:rPr>
          <w:rFonts w:ascii="Arial" w:hAnsi="Arial" w:cs="Arial"/>
        </w:rPr>
      </w:pPr>
      <w:r w:rsidRPr="000156AE">
        <w:rPr>
          <w:rFonts w:ascii="Arial" w:hAnsi="Arial" w:cs="Arial"/>
        </w:rPr>
        <w:t>Measure owners submitting measures into JIRA must complete the required information</w:t>
      </w:r>
      <w:r w:rsidR="005D7582" w:rsidRPr="000156AE">
        <w:rPr>
          <w:rFonts w:ascii="Arial" w:hAnsi="Arial" w:cs="Arial"/>
        </w:rPr>
        <w:t xml:space="preserve"> by </w:t>
      </w:r>
      <w:r w:rsidR="00FC510D" w:rsidRPr="000156AE">
        <w:rPr>
          <w:rFonts w:ascii="Arial" w:hAnsi="Arial" w:cs="Arial"/>
        </w:rPr>
        <w:t xml:space="preserve">the </w:t>
      </w:r>
      <w:r w:rsidR="002449AA" w:rsidRPr="000156AE">
        <w:rPr>
          <w:rFonts w:ascii="Arial" w:hAnsi="Arial" w:cs="Arial"/>
        </w:rPr>
        <w:t>Call for Measures</w:t>
      </w:r>
      <w:r w:rsidR="002449AA" w:rsidRPr="000156AE" w:rsidDel="002449AA">
        <w:rPr>
          <w:rFonts w:ascii="Arial" w:hAnsi="Arial" w:cs="Arial"/>
        </w:rPr>
        <w:t xml:space="preserve"> </w:t>
      </w:r>
      <w:r w:rsidR="00FC510D" w:rsidRPr="000156AE">
        <w:rPr>
          <w:rFonts w:ascii="Arial" w:hAnsi="Arial" w:cs="Arial"/>
        </w:rPr>
        <w:t>deadline</w:t>
      </w:r>
      <w:r w:rsidR="005C731D" w:rsidRPr="000156AE">
        <w:rPr>
          <w:rFonts w:ascii="Arial" w:hAnsi="Arial" w:cs="Arial"/>
        </w:rPr>
        <w:t>.</w:t>
      </w:r>
      <w:r w:rsidR="00300FD4" w:rsidRPr="000156AE">
        <w:rPr>
          <w:rFonts w:ascii="Arial" w:hAnsi="Arial" w:cs="Arial"/>
        </w:rPr>
        <w:t xml:space="preserve"> Some of the information requested below may be listed in </w:t>
      </w:r>
      <w:r w:rsidR="002704D1" w:rsidRPr="000156AE">
        <w:rPr>
          <w:rFonts w:ascii="Arial" w:hAnsi="Arial" w:cs="Arial"/>
        </w:rPr>
        <w:t xml:space="preserve">specific </w:t>
      </w:r>
      <w:r w:rsidR="00300FD4" w:rsidRPr="000156AE">
        <w:rPr>
          <w:rFonts w:ascii="Arial" w:hAnsi="Arial" w:cs="Arial"/>
        </w:rPr>
        <w:t xml:space="preserve">fields </w:t>
      </w:r>
      <w:r w:rsidR="002704D1" w:rsidRPr="000156AE">
        <w:rPr>
          <w:rFonts w:ascii="Arial" w:hAnsi="Arial" w:cs="Arial"/>
        </w:rPr>
        <w:t>in the</w:t>
      </w:r>
      <w:r w:rsidR="00300FD4" w:rsidRPr="000156AE">
        <w:rPr>
          <w:rFonts w:ascii="Arial" w:hAnsi="Arial" w:cs="Arial"/>
        </w:rPr>
        <w:t xml:space="preserve"> JIRA</w:t>
      </w:r>
      <w:r w:rsidR="002704D1" w:rsidRPr="000156AE">
        <w:rPr>
          <w:rFonts w:ascii="Arial" w:hAnsi="Arial" w:cs="Arial"/>
        </w:rPr>
        <w:t xml:space="preserve"> tool</w:t>
      </w:r>
      <w:r w:rsidR="002E5674">
        <w:rPr>
          <w:rFonts w:ascii="Arial" w:hAnsi="Arial" w:cs="Arial"/>
        </w:rPr>
        <w:t>;</w:t>
      </w:r>
      <w:r w:rsidR="00300FD4" w:rsidRPr="000156AE">
        <w:rPr>
          <w:rFonts w:ascii="Arial" w:hAnsi="Arial" w:cs="Arial"/>
        </w:rPr>
        <w:t xml:space="preserve"> however</w:t>
      </w:r>
      <w:r w:rsidR="002E5674">
        <w:rPr>
          <w:rFonts w:ascii="Arial" w:hAnsi="Arial" w:cs="Arial"/>
        </w:rPr>
        <w:t>,</w:t>
      </w:r>
      <w:r w:rsidR="00300FD4" w:rsidRPr="000156AE">
        <w:rPr>
          <w:rFonts w:ascii="Arial" w:hAnsi="Arial" w:cs="Arial"/>
        </w:rPr>
        <w:t xml:space="preserve"> to ensure that CMS has all of the necessary information</w:t>
      </w:r>
      <w:r w:rsidR="002449AA">
        <w:rPr>
          <w:rFonts w:ascii="Arial" w:hAnsi="Arial" w:cs="Arial"/>
        </w:rPr>
        <w:t xml:space="preserve"> and to avoid delays in the evaluation of your submission</w:t>
      </w:r>
      <w:r w:rsidR="00300FD4" w:rsidRPr="000156AE">
        <w:rPr>
          <w:rFonts w:ascii="Arial" w:hAnsi="Arial" w:cs="Arial"/>
        </w:rPr>
        <w:t xml:space="preserve">, please </w:t>
      </w:r>
      <w:r w:rsidR="002449AA">
        <w:rPr>
          <w:rFonts w:ascii="Arial" w:hAnsi="Arial" w:cs="Arial"/>
        </w:rPr>
        <w:t xml:space="preserve">fully complete this form </w:t>
      </w:r>
      <w:r w:rsidR="00300FD4" w:rsidRPr="000156AE">
        <w:rPr>
          <w:rFonts w:ascii="Arial" w:hAnsi="Arial" w:cs="Arial"/>
        </w:rPr>
        <w:t xml:space="preserve">as an attached </w:t>
      </w:r>
      <w:r w:rsidR="00AB3D59">
        <w:rPr>
          <w:rFonts w:ascii="Arial" w:hAnsi="Arial" w:cs="Arial"/>
        </w:rPr>
        <w:t>W</w:t>
      </w:r>
      <w:r w:rsidR="00AB3D59" w:rsidRPr="000156AE">
        <w:rPr>
          <w:rFonts w:ascii="Arial" w:hAnsi="Arial" w:cs="Arial"/>
        </w:rPr>
        <w:t xml:space="preserve">ord </w:t>
      </w:r>
      <w:r w:rsidR="00300FD4" w:rsidRPr="000156AE">
        <w:rPr>
          <w:rFonts w:ascii="Arial" w:hAnsi="Arial" w:cs="Arial"/>
        </w:rPr>
        <w:t>document</w:t>
      </w:r>
      <w:r w:rsidR="00545F9F" w:rsidRPr="000156AE">
        <w:rPr>
          <w:rFonts w:ascii="Arial" w:hAnsi="Arial" w:cs="Arial"/>
        </w:rPr>
        <w:t xml:space="preserve"> in JIRA</w:t>
      </w:r>
      <w:r w:rsidR="00300FD4" w:rsidRPr="000156AE">
        <w:rPr>
          <w:rFonts w:ascii="Arial" w:hAnsi="Arial" w:cs="Arial"/>
        </w:rPr>
        <w:t>.</w:t>
      </w:r>
      <w:r w:rsidR="005C731D" w:rsidRPr="000156AE">
        <w:rPr>
          <w:rFonts w:ascii="Arial" w:hAnsi="Arial" w:cs="Arial"/>
        </w:rPr>
        <w:t xml:space="preserve"> </w:t>
      </w:r>
      <w:r w:rsidR="002449AA">
        <w:rPr>
          <w:rFonts w:ascii="Arial" w:hAnsi="Arial" w:cs="Arial"/>
        </w:rPr>
        <w:t xml:space="preserve">The information in JIRA must be consistent with the information below. </w:t>
      </w:r>
      <w:r w:rsidR="005C731D" w:rsidRPr="000156AE">
        <w:rPr>
          <w:rFonts w:ascii="Arial" w:hAnsi="Arial" w:cs="Arial"/>
        </w:rPr>
        <w:t>This includes, but is not limited to:</w:t>
      </w:r>
    </w:p>
    <w:p w14:paraId="1B2179A8" w14:textId="4353FB7C" w:rsidR="00A5570B" w:rsidRDefault="00A5570B" w:rsidP="00300FD4">
      <w:pPr>
        <w:spacing w:after="0" w:line="240" w:lineRule="auto"/>
        <w:jc w:val="center"/>
        <w:rPr>
          <w:rFonts w:ascii="Arial" w:hAnsi="Arial" w:cs="Arial"/>
          <w:b/>
          <w:i/>
        </w:rPr>
      </w:pPr>
      <w:r w:rsidRPr="00A5570B">
        <w:rPr>
          <w:rFonts w:ascii="Arial" w:hAnsi="Arial" w:cs="Arial"/>
          <w:b/>
          <w:i/>
        </w:rPr>
        <w:t xml:space="preserve">Clinician Group Hospital-wide All-cause Unplanned Readmission Measure </w:t>
      </w:r>
    </w:p>
    <w:p w14:paraId="7E4E453D" w14:textId="77777777" w:rsidR="00300FD4" w:rsidRPr="00DD5758" w:rsidRDefault="00300FD4" w:rsidP="004E4440">
      <w:pPr>
        <w:ind w:firstLine="720"/>
        <w:rPr>
          <w:rFonts w:ascii="Arial" w:hAnsi="Arial" w:cs="Arial"/>
          <w:b/>
        </w:rPr>
      </w:pPr>
      <w:r w:rsidRPr="00DD5758">
        <w:rPr>
          <w:rFonts w:ascii="Arial" w:hAnsi="Arial" w:cs="Arial"/>
          <w:b/>
          <w:i/>
          <w:noProof/>
        </w:rPr>
        <mc:AlternateContent>
          <mc:Choice Requires="wps">
            <w:drawing>
              <wp:inline distT="0" distB="0" distL="0" distR="0" wp14:anchorId="7EEAE8C7" wp14:editId="6BEC858B">
                <wp:extent cx="5019675" cy="1714500"/>
                <wp:effectExtent l="0" t="0" r="28575" b="19050"/>
                <wp:docPr id="217" name="Text Box 2" descr="Indicates measure owner, measure developer, and measure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714500"/>
                        </a:xfrm>
                        <a:prstGeom prst="rect">
                          <a:avLst/>
                        </a:prstGeom>
                        <a:solidFill>
                          <a:srgbClr val="FFFFFF"/>
                        </a:solidFill>
                        <a:ln w="9525">
                          <a:solidFill>
                            <a:srgbClr val="000000"/>
                          </a:solidFill>
                          <a:miter lim="800000"/>
                          <a:headEnd/>
                          <a:tailEnd/>
                        </a:ln>
                      </wps:spPr>
                      <wps:txbx>
                        <w:txbxContent>
                          <w:p w14:paraId="019D0F2F" w14:textId="77777777" w:rsidR="00BE12A5" w:rsidRDefault="00300FD4" w:rsidP="00300FD4">
                            <w:pPr>
                              <w:spacing w:after="0" w:line="240" w:lineRule="auto"/>
                              <w:rPr>
                                <w:i/>
                              </w:rPr>
                            </w:pPr>
                            <w:r w:rsidRPr="006500F5">
                              <w:rPr>
                                <w:b/>
                                <w:sz w:val="24"/>
                                <w:szCs w:val="24"/>
                              </w:rPr>
                              <w:t>Measure Owner</w:t>
                            </w:r>
                            <w:r w:rsidRPr="000156AE">
                              <w:rPr>
                                <w:b/>
                                <w:sz w:val="24"/>
                                <w:szCs w:val="24"/>
                              </w:rPr>
                              <w:t>:</w:t>
                            </w:r>
                            <w:r w:rsidRPr="000156AE">
                              <w:rPr>
                                <w:b/>
                              </w:rPr>
                              <w:t xml:space="preserve"> </w:t>
                            </w:r>
                            <w:r w:rsidR="00BE12A5">
                              <w:rPr>
                                <w:i/>
                              </w:rPr>
                              <w:t xml:space="preserve">Centers for Medicare &amp; Medicaid Services </w:t>
                            </w:r>
                          </w:p>
                          <w:p w14:paraId="0832BC35" w14:textId="51CEDC17" w:rsidR="00300FD4" w:rsidRPr="000156AE" w:rsidRDefault="00300FD4" w:rsidP="00300FD4">
                            <w:pPr>
                              <w:spacing w:after="0" w:line="240" w:lineRule="auto"/>
                            </w:pPr>
                            <w:r w:rsidRPr="000156AE">
                              <w:rPr>
                                <w:b/>
                                <w:sz w:val="24"/>
                                <w:szCs w:val="24"/>
                              </w:rPr>
                              <w:t>Measure Developer:</w:t>
                            </w:r>
                            <w:r w:rsidRPr="000156AE">
                              <w:rPr>
                                <w:b/>
                              </w:rPr>
                              <w:t xml:space="preserve"> </w:t>
                            </w:r>
                            <w:r w:rsidR="00BE12A5">
                              <w:rPr>
                                <w:i/>
                              </w:rPr>
                              <w:t xml:space="preserve">Yale New Haven Health Services Corporation/Center for Outcomes Research and Evaluation </w:t>
                            </w:r>
                          </w:p>
                          <w:p w14:paraId="1D6AF4C7" w14:textId="68C663C1" w:rsidR="00300FD4" w:rsidRPr="000156AE" w:rsidRDefault="00300FD4" w:rsidP="00300FD4">
                            <w:pPr>
                              <w:spacing w:after="0" w:line="240" w:lineRule="auto"/>
                              <w:rPr>
                                <w:b/>
                                <w:sz w:val="24"/>
                                <w:szCs w:val="24"/>
                              </w:rPr>
                            </w:pPr>
                            <w:r w:rsidRPr="000156AE">
                              <w:rPr>
                                <w:b/>
                                <w:sz w:val="24"/>
                                <w:szCs w:val="24"/>
                              </w:rPr>
                              <w:t>Description:</w:t>
                            </w:r>
                            <w:r w:rsidR="00A5570B">
                              <w:rPr>
                                <w:b/>
                                <w:sz w:val="24"/>
                                <w:szCs w:val="24"/>
                              </w:rPr>
                              <w:t xml:space="preserve"> </w:t>
                            </w:r>
                            <w:r w:rsidR="00A5570B" w:rsidRPr="003B772A">
                              <w:rPr>
                                <w:rFonts w:ascii="Calibri" w:eastAsia="Times New Roman" w:hAnsi="Calibri" w:cs="Times New Roman"/>
                                <w:color w:val="000000"/>
                                <w:sz w:val="18"/>
                                <w:szCs w:val="18"/>
                              </w:rPr>
                              <w:t xml:space="preserve">This measure is a re-specified version of the measure, “risk-adjusted readmission rate (RARR) of unplanned readmission within 30 days of hospital discharge for any condition” (NQF </w:t>
                            </w:r>
                            <w:r w:rsidR="00A5570B" w:rsidRPr="003C0C9B">
                              <w:rPr>
                                <w:rFonts w:ascii="Calibri" w:eastAsia="Times New Roman" w:hAnsi="Calibri" w:cs="Times New Roman"/>
                                <w:color w:val="000000"/>
                                <w:sz w:val="18"/>
                                <w:szCs w:val="18"/>
                              </w:rPr>
                              <w:t>1789</w:t>
                            </w:r>
                            <w:r w:rsidR="00A5570B" w:rsidRPr="003B772A">
                              <w:rPr>
                                <w:rFonts w:ascii="Calibri" w:eastAsia="Times New Roman" w:hAnsi="Calibri" w:cs="Times New Roman"/>
                                <w:color w:val="000000"/>
                                <w:sz w:val="18"/>
                                <w:szCs w:val="18"/>
                              </w:rPr>
                              <w:t xml:space="preserve">), which was developed for patients 65 years and older using Medicare claims. This re-specified measure attributes outcomes to MIPS participating clinician groups and assesses each </w:t>
                            </w:r>
                            <w:r w:rsidR="001700F4">
                              <w:rPr>
                                <w:rFonts w:ascii="Calibri" w:eastAsia="Times New Roman" w:hAnsi="Calibri" w:cs="Times New Roman"/>
                                <w:color w:val="000000"/>
                                <w:sz w:val="18"/>
                                <w:szCs w:val="18"/>
                              </w:rPr>
                              <w:t>group’s</w:t>
                            </w:r>
                            <w:r w:rsidR="001700F4" w:rsidRPr="003B772A">
                              <w:rPr>
                                <w:rFonts w:ascii="Calibri" w:eastAsia="Times New Roman" w:hAnsi="Calibri" w:cs="Times New Roman"/>
                                <w:color w:val="000000"/>
                                <w:sz w:val="18"/>
                                <w:szCs w:val="18"/>
                              </w:rPr>
                              <w:t xml:space="preserve"> </w:t>
                            </w:r>
                            <w:r w:rsidR="00A5570B">
                              <w:rPr>
                                <w:rFonts w:ascii="Calibri" w:eastAsia="Times New Roman" w:hAnsi="Calibri" w:cs="Times New Roman"/>
                                <w:color w:val="000000"/>
                                <w:sz w:val="18"/>
                                <w:szCs w:val="18"/>
                              </w:rPr>
                              <w:t>readmission</w:t>
                            </w:r>
                            <w:r w:rsidR="00A5570B" w:rsidRPr="003B772A">
                              <w:rPr>
                                <w:rFonts w:ascii="Calibri" w:eastAsia="Times New Roman" w:hAnsi="Calibri" w:cs="Times New Roman"/>
                                <w:color w:val="000000"/>
                                <w:sz w:val="18"/>
                                <w:szCs w:val="18"/>
                              </w:rPr>
                              <w:t xml:space="preserve"> rate</w:t>
                            </w:r>
                            <w:r w:rsidR="00A5570B">
                              <w:rPr>
                                <w:rFonts w:ascii="Calibri" w:eastAsia="Times New Roman" w:hAnsi="Calibri" w:cs="Times New Roman"/>
                                <w:color w:val="000000"/>
                                <w:sz w:val="18"/>
                                <w:szCs w:val="18"/>
                              </w:rPr>
                              <w:t>.</w:t>
                            </w:r>
                            <w:r w:rsidR="00A5570B" w:rsidRPr="003B772A">
                              <w:rPr>
                                <w:rFonts w:ascii="Calibri" w:eastAsia="Times New Roman" w:hAnsi="Calibri" w:cs="Times New Roman"/>
                                <w:color w:val="000000"/>
                                <w:sz w:val="18"/>
                                <w:szCs w:val="18"/>
                              </w:rPr>
                              <w:t xml:space="preserve"> The measure comprises a single summary score, derived from the results of 5 models, 1 for each of the following specialty cohorts (groups of discharge condition categories [CC] or procedure categories): medicine, surgery/gynecology, cardiorespiratory, cardiovascular, and neurology</w:t>
                            </w:r>
                            <w:r w:rsidR="00A5570B">
                              <w:rPr>
                                <w:rFonts w:ascii="Calibri" w:eastAsia="Times New Roman" w:hAnsi="Calibri" w:cs="Times New Roman"/>
                                <w:color w:val="000000"/>
                                <w:sz w:val="18"/>
                                <w:szCs w:val="18"/>
                              </w:rPr>
                              <w:t>.</w:t>
                            </w:r>
                          </w:p>
                          <w:p w14:paraId="2B3D40A0" w14:textId="77777777" w:rsidR="00300FD4" w:rsidRDefault="00300FD4" w:rsidP="00300FD4">
                            <w:pPr>
                              <w:spacing w:after="0" w:line="240" w:lineRule="auto"/>
                              <w:rPr>
                                <w:b/>
                              </w:rPr>
                            </w:pPr>
                          </w:p>
                          <w:p w14:paraId="67E4F4CB" w14:textId="77777777" w:rsidR="00300FD4" w:rsidRPr="006500F5" w:rsidRDefault="00300FD4" w:rsidP="00300FD4">
                            <w:pPr>
                              <w:spacing w:after="0" w:line="240" w:lineRule="auto"/>
                              <w:rPr>
                                <w:b/>
                              </w:rPr>
                            </w:pPr>
                          </w:p>
                        </w:txbxContent>
                      </wps:txbx>
                      <wps:bodyPr rot="0" vert="horz" wrap="square" lIns="91440" tIns="45720" rIns="91440" bIns="45720" anchor="t" anchorCtr="0">
                        <a:noAutofit/>
                      </wps:bodyPr>
                    </wps:wsp>
                  </a:graphicData>
                </a:graphic>
              </wp:inline>
            </w:drawing>
          </mc:Choice>
          <mc:Fallback>
            <w:pict>
              <v:shapetype w14:anchorId="7EEAE8C7" id="_x0000_t202" coordsize="21600,21600" o:spt="202" path="m,l,21600r21600,l21600,xe">
                <v:stroke joinstyle="miter"/>
                <v:path gradientshapeok="t" o:connecttype="rect"/>
              </v:shapetype>
              <v:shape id="Text Box 2" o:spid="_x0000_s1026" type="#_x0000_t202" alt="Indicates measure owner, measure developer, and measure description" style="width:395.2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">
                <v:textbox>
                  <w:txbxContent>
                    <w:p w14:paraId="019D0F2F" w14:textId="77777777" w:rsidR="00BE12A5" w:rsidRDefault="00300FD4" w:rsidP="00300FD4">
                      <w:pPr>
                        <w:spacing w:after="0" w:line="240" w:lineRule="auto"/>
                        <w:rPr>
                          <w:i/>
                        </w:rPr>
                      </w:pPr>
                      <w:r w:rsidRPr="006500F5">
                        <w:rPr>
                          <w:b/>
                          <w:sz w:val="24"/>
                          <w:szCs w:val="24"/>
                        </w:rPr>
                        <w:t>Measure Owner</w:t>
                      </w:r>
                      <w:r w:rsidRPr="000156AE">
                        <w:rPr>
                          <w:b/>
                          <w:sz w:val="24"/>
                          <w:szCs w:val="24"/>
                        </w:rPr>
                        <w:t>:</w:t>
                      </w:r>
                      <w:r w:rsidRPr="000156AE">
                        <w:rPr>
                          <w:b/>
                        </w:rPr>
                        <w:t xml:space="preserve"> </w:t>
                      </w:r>
                      <w:r w:rsidR="00BE12A5">
                        <w:rPr>
                          <w:i/>
                        </w:rPr>
                        <w:t xml:space="preserve">Centers for Medicare &amp; Medicaid Services </w:t>
                      </w:r>
                    </w:p>
                    <w:p w14:paraId="0832BC35" w14:textId="51CEDC17" w:rsidR="00300FD4" w:rsidRPr="000156AE" w:rsidRDefault="00300FD4" w:rsidP="00300FD4">
                      <w:pPr>
                        <w:spacing w:after="0" w:line="240" w:lineRule="auto"/>
                      </w:pPr>
                      <w:r w:rsidRPr="000156AE">
                        <w:rPr>
                          <w:b/>
                          <w:sz w:val="24"/>
                          <w:szCs w:val="24"/>
                        </w:rPr>
                        <w:t>Measure Developer:</w:t>
                      </w:r>
                      <w:r w:rsidRPr="000156AE">
                        <w:rPr>
                          <w:b/>
                        </w:rPr>
                        <w:t xml:space="preserve"> </w:t>
                      </w:r>
                      <w:r w:rsidR="00BE12A5">
                        <w:rPr>
                          <w:i/>
                        </w:rPr>
                        <w:t xml:space="preserve">Yale New Haven Health Services Corporation/Center for Outcomes Research and Evaluation </w:t>
                      </w:r>
                    </w:p>
                    <w:p w14:paraId="1D6AF4C7" w14:textId="68C663C1" w:rsidR="00300FD4" w:rsidRPr="000156AE" w:rsidRDefault="00300FD4" w:rsidP="00300FD4">
                      <w:pPr>
                        <w:spacing w:after="0" w:line="240" w:lineRule="auto"/>
                        <w:rPr>
                          <w:b/>
                          <w:sz w:val="24"/>
                          <w:szCs w:val="24"/>
                        </w:rPr>
                      </w:pPr>
                      <w:r w:rsidRPr="000156AE">
                        <w:rPr>
                          <w:b/>
                          <w:sz w:val="24"/>
                          <w:szCs w:val="24"/>
                        </w:rPr>
                        <w:t>Description:</w:t>
                      </w:r>
                      <w:r w:rsidR="00A5570B">
                        <w:rPr>
                          <w:b/>
                          <w:sz w:val="24"/>
                          <w:szCs w:val="24"/>
                        </w:rPr>
                        <w:t xml:space="preserve"> </w:t>
                      </w:r>
                      <w:r w:rsidR="00A5570B" w:rsidRPr="003B772A">
                        <w:rPr>
                          <w:rFonts w:ascii="Calibri" w:eastAsia="Times New Roman" w:hAnsi="Calibri" w:cs="Times New Roman"/>
                          <w:color w:val="000000"/>
                          <w:sz w:val="18"/>
                          <w:szCs w:val="18"/>
                        </w:rPr>
                        <w:t xml:space="preserve">This measure is a re-specified version of the measure, “risk-adjusted readmission rate (RARR) of unplanned readmission within 30 days of hospital discharge for any condition” (NQF </w:t>
                      </w:r>
                      <w:r w:rsidR="00A5570B" w:rsidRPr="003C0C9B">
                        <w:rPr>
                          <w:rFonts w:ascii="Calibri" w:eastAsia="Times New Roman" w:hAnsi="Calibri" w:cs="Times New Roman"/>
                          <w:color w:val="000000"/>
                          <w:sz w:val="18"/>
                          <w:szCs w:val="18"/>
                        </w:rPr>
                        <w:t>1789</w:t>
                      </w:r>
                      <w:r w:rsidR="00A5570B" w:rsidRPr="003B772A">
                        <w:rPr>
                          <w:rFonts w:ascii="Calibri" w:eastAsia="Times New Roman" w:hAnsi="Calibri" w:cs="Times New Roman"/>
                          <w:color w:val="000000"/>
                          <w:sz w:val="18"/>
                          <w:szCs w:val="18"/>
                        </w:rPr>
                        <w:t xml:space="preserve">), which was developed for patients 65 years and older using Medicare claims. This re-specified measure attributes outcomes to MIPS participating clinician groups and assesses each </w:t>
                      </w:r>
                      <w:r w:rsidR="001700F4">
                        <w:rPr>
                          <w:rFonts w:ascii="Calibri" w:eastAsia="Times New Roman" w:hAnsi="Calibri" w:cs="Times New Roman"/>
                          <w:color w:val="000000"/>
                          <w:sz w:val="18"/>
                          <w:szCs w:val="18"/>
                        </w:rPr>
                        <w:t>group’s</w:t>
                      </w:r>
                      <w:r w:rsidR="001700F4" w:rsidRPr="003B772A">
                        <w:rPr>
                          <w:rFonts w:ascii="Calibri" w:eastAsia="Times New Roman" w:hAnsi="Calibri" w:cs="Times New Roman"/>
                          <w:color w:val="000000"/>
                          <w:sz w:val="18"/>
                          <w:szCs w:val="18"/>
                        </w:rPr>
                        <w:t xml:space="preserve"> </w:t>
                      </w:r>
                      <w:r w:rsidR="00A5570B">
                        <w:rPr>
                          <w:rFonts w:ascii="Calibri" w:eastAsia="Times New Roman" w:hAnsi="Calibri" w:cs="Times New Roman"/>
                          <w:color w:val="000000"/>
                          <w:sz w:val="18"/>
                          <w:szCs w:val="18"/>
                        </w:rPr>
                        <w:t>readmission</w:t>
                      </w:r>
                      <w:r w:rsidR="00A5570B" w:rsidRPr="003B772A">
                        <w:rPr>
                          <w:rFonts w:ascii="Calibri" w:eastAsia="Times New Roman" w:hAnsi="Calibri" w:cs="Times New Roman"/>
                          <w:color w:val="000000"/>
                          <w:sz w:val="18"/>
                          <w:szCs w:val="18"/>
                        </w:rPr>
                        <w:t xml:space="preserve"> rate</w:t>
                      </w:r>
                      <w:r w:rsidR="00A5570B">
                        <w:rPr>
                          <w:rFonts w:ascii="Calibri" w:eastAsia="Times New Roman" w:hAnsi="Calibri" w:cs="Times New Roman"/>
                          <w:color w:val="000000"/>
                          <w:sz w:val="18"/>
                          <w:szCs w:val="18"/>
                        </w:rPr>
                        <w:t>.</w:t>
                      </w:r>
                      <w:r w:rsidR="00A5570B" w:rsidRPr="003B772A">
                        <w:rPr>
                          <w:rFonts w:ascii="Calibri" w:eastAsia="Times New Roman" w:hAnsi="Calibri" w:cs="Times New Roman"/>
                          <w:color w:val="000000"/>
                          <w:sz w:val="18"/>
                          <w:szCs w:val="18"/>
                        </w:rPr>
                        <w:t xml:space="preserve"> The measure comprises a single summary score, derived from the results of 5 models, 1 for each of the following specialty cohorts (groups of discharge condition categories [CC] or procedure categories): medicine, surgery/gynecology, cardiorespiratory, cardiovascular, and neurology</w:t>
                      </w:r>
                      <w:r w:rsidR="00A5570B">
                        <w:rPr>
                          <w:rFonts w:ascii="Calibri" w:eastAsia="Times New Roman" w:hAnsi="Calibri" w:cs="Times New Roman"/>
                          <w:color w:val="000000"/>
                          <w:sz w:val="18"/>
                          <w:szCs w:val="18"/>
                        </w:rPr>
                        <w:t>.</w:t>
                      </w:r>
                    </w:p>
                    <w:p w14:paraId="2B3D40A0" w14:textId="77777777" w:rsidR="00300FD4" w:rsidRDefault="00300FD4" w:rsidP="00300FD4">
                      <w:pPr>
                        <w:spacing w:after="0" w:line="240" w:lineRule="auto"/>
                        <w:rPr>
                          <w:b/>
                        </w:rPr>
                      </w:pPr>
                    </w:p>
                    <w:p w14:paraId="67E4F4CB" w14:textId="77777777" w:rsidR="00300FD4" w:rsidRPr="006500F5" w:rsidRDefault="00300FD4" w:rsidP="00300FD4">
                      <w:pPr>
                        <w:spacing w:after="0" w:line="240" w:lineRule="auto"/>
                        <w:rPr>
                          <w:b/>
                        </w:rPr>
                      </w:pPr>
                    </w:p>
                  </w:txbxContent>
                </v:textbox>
                <w10:anchorlock/>
              </v:shape>
            </w:pict>
          </mc:Fallback>
        </mc:AlternateContent>
      </w:r>
    </w:p>
    <w:p w14:paraId="29D1EEBF" w14:textId="77777777" w:rsidR="00300FD4" w:rsidRPr="00DD5758" w:rsidRDefault="00300FD4" w:rsidP="00300FD4">
      <w:pPr>
        <w:pStyle w:val="ListParagraph"/>
        <w:numPr>
          <w:ilvl w:val="0"/>
          <w:numId w:val="1"/>
        </w:numPr>
        <w:rPr>
          <w:rFonts w:ascii="Arial" w:hAnsi="Arial" w:cs="Arial"/>
          <w:b/>
        </w:rPr>
      </w:pPr>
      <w:r w:rsidRPr="00DD5758">
        <w:rPr>
          <w:rFonts w:ascii="Arial" w:hAnsi="Arial" w:cs="Arial"/>
          <w:b/>
        </w:rPr>
        <w:t>Statement</w:t>
      </w:r>
    </w:p>
    <w:p w14:paraId="75C0D047" w14:textId="77777777" w:rsidR="00300FD4" w:rsidRPr="00DD5758" w:rsidRDefault="00300FD4" w:rsidP="00300FD4">
      <w:pPr>
        <w:pStyle w:val="ListParagraph"/>
        <w:numPr>
          <w:ilvl w:val="0"/>
          <w:numId w:val="3"/>
        </w:numPr>
        <w:rPr>
          <w:rFonts w:ascii="Arial" w:hAnsi="Arial" w:cs="Arial"/>
          <w:i/>
        </w:rPr>
      </w:pPr>
      <w:r w:rsidRPr="00DD5758">
        <w:rPr>
          <w:rFonts w:ascii="Arial" w:hAnsi="Arial" w:cs="Arial"/>
          <w:i/>
        </w:rPr>
        <w:t>Background (Why is this measure important?)</w:t>
      </w:r>
    </w:p>
    <w:p w14:paraId="01032B28" w14:textId="024E0B60" w:rsidR="00300FD4" w:rsidRPr="0064342F" w:rsidRDefault="00300FD4" w:rsidP="00300FD4">
      <w:pPr>
        <w:pStyle w:val="ListParagraph"/>
        <w:numPr>
          <w:ilvl w:val="0"/>
          <w:numId w:val="3"/>
        </w:numPr>
        <w:contextualSpacing w:val="0"/>
        <w:rPr>
          <w:rFonts w:ascii="Arial" w:hAnsi="Arial" w:cs="Arial"/>
        </w:rPr>
      </w:pPr>
      <w:r w:rsidRPr="00DD5758">
        <w:rPr>
          <w:rFonts w:ascii="Arial" w:hAnsi="Arial" w:cs="Arial"/>
          <w:i/>
        </w:rPr>
        <w:t>Environmental Scan (Are there existing measures in this area?)</w:t>
      </w:r>
    </w:p>
    <w:p w14:paraId="12A1F4F9" w14:textId="3F3BCC7C" w:rsidR="004208C6" w:rsidRPr="004208C6" w:rsidRDefault="004208C6" w:rsidP="004208C6">
      <w:pPr>
        <w:pStyle w:val="ListParagraph"/>
        <w:ind w:left="270"/>
        <w:rPr>
          <w:rFonts w:ascii="Arial" w:hAnsi="Arial" w:cs="Arial"/>
          <w:vertAlign w:val="superscript"/>
        </w:rPr>
      </w:pPr>
      <w:r w:rsidRPr="004208C6">
        <w:rPr>
          <w:rFonts w:ascii="Arial" w:hAnsi="Arial" w:cs="Arial"/>
        </w:rPr>
        <w:t xml:space="preserve">Readmission after discharge has been recognized for over a decade as both a quality and a resource concern. Jencks et. al. estimated that readmissions within 30 days of discharge cost Medicare </w:t>
      </w:r>
      <w:r>
        <w:rPr>
          <w:rFonts w:ascii="Arial" w:hAnsi="Arial" w:cs="Arial"/>
        </w:rPr>
        <w:t>more than $17 billion annually.</w:t>
      </w:r>
      <w:r>
        <w:rPr>
          <w:rFonts w:ascii="Arial" w:hAnsi="Arial" w:cs="Arial"/>
          <w:vertAlign w:val="superscript"/>
        </w:rPr>
        <w:t>1</w:t>
      </w:r>
      <w:r w:rsidRPr="004208C6">
        <w:rPr>
          <w:rFonts w:ascii="Arial" w:hAnsi="Arial" w:cs="Arial"/>
        </w:rPr>
        <w:t xml:space="preserve"> A 2006 Commonwealth Fund report estimated if national readmission rates were lowered to the levels achieved by the top-performing regions, Medicare would save $1.9 billion annually.</w:t>
      </w:r>
      <w:r>
        <w:rPr>
          <w:rFonts w:ascii="Arial" w:hAnsi="Arial" w:cs="Arial"/>
          <w:vertAlign w:val="superscript"/>
        </w:rPr>
        <w:t>2</w:t>
      </w:r>
      <w:r w:rsidRPr="004208C6">
        <w:rPr>
          <w:rFonts w:ascii="Arial" w:hAnsi="Arial" w:cs="Arial"/>
        </w:rPr>
        <w:t xml:space="preserve"> Consequently, there has been a national effort to address rates of readmission for patients of all ages and conditions. As a part of this effort, </w:t>
      </w:r>
      <w:r w:rsidR="00D57629">
        <w:rPr>
          <w:rFonts w:ascii="Arial" w:hAnsi="Arial" w:cs="Arial"/>
        </w:rPr>
        <w:t>the Centers for Medicare and Medicaid Services (</w:t>
      </w:r>
      <w:r w:rsidRPr="004208C6">
        <w:rPr>
          <w:rFonts w:ascii="Arial" w:hAnsi="Arial" w:cs="Arial"/>
        </w:rPr>
        <w:t>CMS</w:t>
      </w:r>
      <w:r w:rsidR="00D57629">
        <w:rPr>
          <w:rFonts w:ascii="Arial" w:hAnsi="Arial" w:cs="Arial"/>
        </w:rPr>
        <w:t>)</w:t>
      </w:r>
      <w:r w:rsidRPr="004208C6">
        <w:rPr>
          <w:rFonts w:ascii="Arial" w:hAnsi="Arial" w:cs="Arial"/>
        </w:rPr>
        <w:t xml:space="preserve"> publicly reports risk-standardized hospital-wide, all</w:t>
      </w:r>
      <w:r w:rsidR="00C95C03">
        <w:rPr>
          <w:rFonts w:ascii="Arial" w:hAnsi="Arial" w:cs="Arial"/>
        </w:rPr>
        <w:t>-</w:t>
      </w:r>
      <w:r w:rsidRPr="004208C6">
        <w:rPr>
          <w:rFonts w:ascii="Arial" w:hAnsi="Arial" w:cs="Arial"/>
        </w:rPr>
        <w:t>cause readmission rates using a measure which includes most hospital discharges.</w:t>
      </w:r>
      <w:r>
        <w:rPr>
          <w:rFonts w:ascii="Arial" w:hAnsi="Arial" w:cs="Arial"/>
          <w:vertAlign w:val="superscript"/>
        </w:rPr>
        <w:t>3</w:t>
      </w:r>
      <w:r w:rsidR="00242596">
        <w:rPr>
          <w:rFonts w:ascii="Arial" w:hAnsi="Arial" w:cs="Arial"/>
          <w:vertAlign w:val="superscript"/>
        </w:rPr>
        <w:t>-4</w:t>
      </w:r>
    </w:p>
    <w:p w14:paraId="07170D30" w14:textId="225B6605" w:rsidR="0064342F" w:rsidRDefault="004208C6" w:rsidP="00D57629">
      <w:pPr>
        <w:pStyle w:val="ListParagraph"/>
        <w:ind w:left="270"/>
        <w:contextualSpacing w:val="0"/>
        <w:rPr>
          <w:rFonts w:ascii="Arial" w:hAnsi="Arial" w:cs="Arial"/>
        </w:rPr>
      </w:pPr>
      <w:r>
        <w:rPr>
          <w:rFonts w:ascii="Arial" w:hAnsi="Arial" w:cs="Arial"/>
        </w:rPr>
        <w:t>Th</w:t>
      </w:r>
      <w:r w:rsidR="00436531">
        <w:rPr>
          <w:rFonts w:ascii="Arial" w:hAnsi="Arial" w:cs="Arial"/>
        </w:rPr>
        <w:t>e</w:t>
      </w:r>
      <w:r w:rsidRPr="004208C6">
        <w:rPr>
          <w:rFonts w:ascii="Arial" w:hAnsi="Arial" w:cs="Arial"/>
        </w:rPr>
        <w:t xml:space="preserve"> existing </w:t>
      </w:r>
      <w:r w:rsidR="00D57629">
        <w:rPr>
          <w:rFonts w:ascii="Arial" w:hAnsi="Arial" w:cs="Arial"/>
        </w:rPr>
        <w:t>hospital wide readmission (</w:t>
      </w:r>
      <w:r w:rsidRPr="004208C6">
        <w:rPr>
          <w:rFonts w:ascii="Arial" w:hAnsi="Arial" w:cs="Arial"/>
        </w:rPr>
        <w:t>HWR</w:t>
      </w:r>
      <w:r w:rsidR="00D57629">
        <w:rPr>
          <w:rFonts w:ascii="Arial" w:hAnsi="Arial" w:cs="Arial"/>
        </w:rPr>
        <w:t>)</w:t>
      </w:r>
      <w:r w:rsidRPr="004208C6">
        <w:rPr>
          <w:rFonts w:ascii="Arial" w:hAnsi="Arial" w:cs="Arial"/>
        </w:rPr>
        <w:t xml:space="preserve"> measure, which provides a broad assessment of the quality of care at hospitals, reflects in part the quality of clinician care in the hospital, in that inpatient clinicians are integral to inpatient care and the transition to an outpatient setting. </w:t>
      </w:r>
      <w:r w:rsidR="000227E6">
        <w:rPr>
          <w:rFonts w:ascii="Arial" w:hAnsi="Arial" w:cs="Arial"/>
        </w:rPr>
        <w:t>At the same time, t</w:t>
      </w:r>
      <w:r w:rsidRPr="004208C6">
        <w:rPr>
          <w:rFonts w:ascii="Arial" w:hAnsi="Arial" w:cs="Arial"/>
        </w:rPr>
        <w:t xml:space="preserve">his </w:t>
      </w:r>
      <w:r w:rsidR="00242596" w:rsidRPr="004208C6">
        <w:rPr>
          <w:rFonts w:ascii="Arial" w:hAnsi="Arial" w:cs="Arial"/>
        </w:rPr>
        <w:t>measure may</w:t>
      </w:r>
      <w:r w:rsidRPr="004208C6">
        <w:rPr>
          <w:rFonts w:ascii="Arial" w:hAnsi="Arial" w:cs="Arial"/>
        </w:rPr>
        <w:t xml:space="preserve"> </w:t>
      </w:r>
      <w:r w:rsidR="000227E6">
        <w:rPr>
          <w:rFonts w:ascii="Arial" w:hAnsi="Arial" w:cs="Arial"/>
        </w:rPr>
        <w:t xml:space="preserve">also </w:t>
      </w:r>
      <w:r w:rsidRPr="004208C6">
        <w:rPr>
          <w:rFonts w:ascii="Arial" w:hAnsi="Arial" w:cs="Arial"/>
        </w:rPr>
        <w:t xml:space="preserve">reflect the quality of </w:t>
      </w:r>
      <w:r w:rsidR="000227E6">
        <w:rPr>
          <w:rFonts w:ascii="Arial" w:hAnsi="Arial" w:cs="Arial"/>
        </w:rPr>
        <w:t>outpatient</w:t>
      </w:r>
      <w:r w:rsidR="000227E6" w:rsidRPr="004208C6">
        <w:rPr>
          <w:rFonts w:ascii="Arial" w:hAnsi="Arial" w:cs="Arial"/>
        </w:rPr>
        <w:t xml:space="preserve"> </w:t>
      </w:r>
      <w:r w:rsidRPr="004208C6">
        <w:rPr>
          <w:rFonts w:ascii="Arial" w:hAnsi="Arial" w:cs="Arial"/>
        </w:rPr>
        <w:t xml:space="preserve">care, in that </w:t>
      </w:r>
      <w:r w:rsidR="000227E6">
        <w:rPr>
          <w:rFonts w:ascii="Arial" w:hAnsi="Arial" w:cs="Arial"/>
        </w:rPr>
        <w:t>outpatient</w:t>
      </w:r>
      <w:r w:rsidRPr="004208C6">
        <w:rPr>
          <w:rFonts w:ascii="Arial" w:hAnsi="Arial" w:cs="Arial"/>
        </w:rPr>
        <w:t xml:space="preserve"> clinicians may influence whether patients return to an acute care setting. </w:t>
      </w:r>
      <w:r w:rsidR="00D57629">
        <w:rPr>
          <w:rFonts w:ascii="Arial" w:hAnsi="Arial" w:cs="Arial"/>
        </w:rPr>
        <w:t xml:space="preserve">This suggests that it would be </w:t>
      </w:r>
      <w:r w:rsidR="00242596">
        <w:rPr>
          <w:rFonts w:ascii="Arial" w:hAnsi="Arial" w:cs="Arial"/>
        </w:rPr>
        <w:t xml:space="preserve">useful </w:t>
      </w:r>
      <w:r w:rsidRPr="004208C6">
        <w:rPr>
          <w:rFonts w:ascii="Arial" w:hAnsi="Arial" w:cs="Arial"/>
        </w:rPr>
        <w:t xml:space="preserve">to </w:t>
      </w:r>
      <w:r w:rsidR="00D57629">
        <w:rPr>
          <w:rFonts w:ascii="Arial" w:hAnsi="Arial" w:cs="Arial"/>
        </w:rPr>
        <w:t>implement and report a readmission measure which attributes readmission outcomes to groups of these clinician</w:t>
      </w:r>
      <w:r w:rsidR="00436531">
        <w:rPr>
          <w:rFonts w:ascii="Arial" w:hAnsi="Arial" w:cs="Arial"/>
        </w:rPr>
        <w:t>s</w:t>
      </w:r>
      <w:r w:rsidR="00D57629">
        <w:rPr>
          <w:rFonts w:ascii="Arial" w:hAnsi="Arial" w:cs="Arial"/>
        </w:rPr>
        <w:t xml:space="preserve">, rather than the hospital from which the patient is discharged. For this reason, CMS has proposed reporting a </w:t>
      </w:r>
      <w:r w:rsidRPr="004208C6">
        <w:rPr>
          <w:rFonts w:ascii="Arial" w:hAnsi="Arial" w:cs="Arial"/>
        </w:rPr>
        <w:t>hospital-wide, all-cause readmission measure for use in assessing the quality of clinician group care</w:t>
      </w:r>
      <w:r w:rsidR="00D57629">
        <w:rPr>
          <w:rFonts w:ascii="Arial" w:hAnsi="Arial" w:cs="Arial"/>
        </w:rPr>
        <w:t xml:space="preserve"> that is adapted from the existing HWR measure</w:t>
      </w:r>
      <w:r w:rsidRPr="004208C6">
        <w:rPr>
          <w:rFonts w:ascii="Arial" w:hAnsi="Arial" w:cs="Arial"/>
        </w:rPr>
        <w:t xml:space="preserve">. The adapted measure is intended for use in MIPS, part of the Quality Payment Program, to assess the performance of eligible clinician (EC) groups. </w:t>
      </w:r>
      <w:r w:rsidR="00D57629">
        <w:rPr>
          <w:rFonts w:ascii="Arial" w:hAnsi="Arial" w:cs="Arial"/>
        </w:rPr>
        <w:t>Though t</w:t>
      </w:r>
      <w:r w:rsidRPr="004208C6">
        <w:rPr>
          <w:rFonts w:ascii="Arial" w:hAnsi="Arial" w:cs="Arial"/>
        </w:rPr>
        <w:t>here is currently a version of the hospital-level HWR measure in use under MIPS</w:t>
      </w:r>
      <w:r w:rsidR="00D57629">
        <w:rPr>
          <w:rFonts w:ascii="Arial" w:hAnsi="Arial" w:cs="Arial"/>
        </w:rPr>
        <w:t>, it does not attribute the outcome to inpatient clinicians</w:t>
      </w:r>
      <w:r w:rsidRPr="004208C6">
        <w:rPr>
          <w:rFonts w:ascii="Arial" w:hAnsi="Arial" w:cs="Arial"/>
        </w:rPr>
        <w:t xml:space="preserve">. </w:t>
      </w:r>
    </w:p>
    <w:p w14:paraId="042CFAC5" w14:textId="2995532D" w:rsidR="004208C6" w:rsidRDefault="004208C6" w:rsidP="00436531">
      <w:pPr>
        <w:pStyle w:val="ListParagraph"/>
        <w:numPr>
          <w:ilvl w:val="0"/>
          <w:numId w:val="12"/>
        </w:numPr>
        <w:ind w:left="630" w:hanging="360"/>
        <w:rPr>
          <w:rFonts w:ascii="Arial" w:hAnsi="Arial" w:cs="Arial"/>
        </w:rPr>
      </w:pPr>
      <w:r w:rsidRPr="004208C6">
        <w:rPr>
          <w:rFonts w:ascii="Arial" w:hAnsi="Arial" w:cs="Arial"/>
        </w:rPr>
        <w:t>Jencks SF, Williams MV, Coleman EA. Rehospitalizations among patients in the Medicare fee-for-service program. N Engl J Med. 2009;360(14):1418-1428.</w:t>
      </w:r>
    </w:p>
    <w:p w14:paraId="34CC25B3" w14:textId="157168E6" w:rsidR="004208C6" w:rsidRDefault="004208C6" w:rsidP="00436531">
      <w:pPr>
        <w:pStyle w:val="ListParagraph"/>
        <w:spacing w:after="0" w:line="240" w:lineRule="auto"/>
        <w:ind w:left="634" w:hanging="360"/>
        <w:contextualSpacing w:val="0"/>
        <w:rPr>
          <w:rFonts w:ascii="Arial" w:hAnsi="Arial" w:cs="Arial"/>
        </w:rPr>
      </w:pPr>
      <w:r>
        <w:rPr>
          <w:rFonts w:ascii="Arial" w:hAnsi="Arial" w:cs="Arial"/>
        </w:rPr>
        <w:lastRenderedPageBreak/>
        <w:t>2</w:t>
      </w:r>
      <w:r w:rsidRPr="004208C6">
        <w:rPr>
          <w:rFonts w:ascii="Arial" w:hAnsi="Arial" w:cs="Arial"/>
        </w:rPr>
        <w:t>.</w:t>
      </w:r>
      <w:r w:rsidRPr="004208C6">
        <w:rPr>
          <w:rFonts w:ascii="Arial" w:hAnsi="Arial" w:cs="Arial"/>
        </w:rPr>
        <w:tab/>
        <w:t>Schoen C, How S. The Commonwealth Fund Commission on a High Performance Health System, Why Not the Best? Results from a National Scorecard on U.S. Health System Performance. The Commonwealth Fund. Sept 2006.</w:t>
      </w:r>
    </w:p>
    <w:p w14:paraId="2778BCA2" w14:textId="77777777" w:rsidR="004208C6" w:rsidRPr="004208C6" w:rsidRDefault="004208C6" w:rsidP="00436531">
      <w:pPr>
        <w:pStyle w:val="ListParagraph"/>
        <w:ind w:left="630" w:hanging="360"/>
        <w:rPr>
          <w:rFonts w:ascii="Arial" w:hAnsi="Arial" w:cs="Arial"/>
        </w:rPr>
      </w:pPr>
      <w:r>
        <w:rPr>
          <w:rFonts w:ascii="Arial" w:hAnsi="Arial" w:cs="Arial"/>
        </w:rPr>
        <w:t>3</w:t>
      </w:r>
      <w:r w:rsidRPr="004208C6">
        <w:rPr>
          <w:rFonts w:ascii="Arial" w:hAnsi="Arial" w:cs="Arial"/>
        </w:rPr>
        <w:t>.</w:t>
      </w:r>
      <w:r w:rsidRPr="004208C6">
        <w:rPr>
          <w:rFonts w:ascii="Arial" w:hAnsi="Arial" w:cs="Arial"/>
        </w:rPr>
        <w:tab/>
        <w:t>Simoes J, Grady JN, DeBuhr J, et al. 2017 All-Cause Hospital-Wide Measure Updates and Specifications Report; Version 6.0. Mar 2017; https://www.qualitynet.org/dcs/ContentServer?c=Page&amp;pagename=QnetPublic%2FPage%2FQnetTier3&amp;cid=1228774371008.</w:t>
      </w:r>
    </w:p>
    <w:p w14:paraId="65495373" w14:textId="2D600E38" w:rsidR="00242596" w:rsidRPr="00DD5758" w:rsidRDefault="00242596" w:rsidP="00436531">
      <w:pPr>
        <w:pStyle w:val="ListParagraph"/>
        <w:ind w:left="630" w:hanging="360"/>
        <w:contextualSpacing w:val="0"/>
        <w:rPr>
          <w:rFonts w:ascii="Arial" w:hAnsi="Arial" w:cs="Arial"/>
        </w:rPr>
      </w:pPr>
      <w:r>
        <w:rPr>
          <w:rFonts w:ascii="Arial" w:hAnsi="Arial" w:cs="Arial"/>
        </w:rPr>
        <w:t xml:space="preserve">4.   </w:t>
      </w:r>
      <w:bookmarkStart w:id="1" w:name="_Hlk8376443"/>
      <w:r w:rsidRPr="00242596">
        <w:rPr>
          <w:rFonts w:ascii="Arial" w:hAnsi="Arial" w:cs="Arial"/>
        </w:rPr>
        <w:t>Horwitz LI, Partovian C, Lin Z, Grady JN, Herrin J, Conover M, Montague J, Dillaway C, Bartczak K, Suter LG, Ross JS, Bernheim SM, Krumholz HM, Drye EE</w:t>
      </w:r>
      <w:r>
        <w:rPr>
          <w:rFonts w:ascii="Arial" w:hAnsi="Arial" w:cs="Arial"/>
        </w:rPr>
        <w:t xml:space="preserve">. </w:t>
      </w:r>
      <w:r w:rsidRPr="00242596">
        <w:rPr>
          <w:rFonts w:ascii="Arial" w:hAnsi="Arial" w:cs="Arial"/>
        </w:rPr>
        <w:t>Development and use of an administrative claims measure for profiling hospital-wide performance on 30-day unplanned readmission.</w:t>
      </w:r>
      <w:r>
        <w:rPr>
          <w:rFonts w:ascii="Arial" w:hAnsi="Arial" w:cs="Arial"/>
        </w:rPr>
        <w:t xml:space="preserve"> </w:t>
      </w:r>
      <w:r w:rsidRPr="00242596">
        <w:rPr>
          <w:rFonts w:ascii="Arial" w:hAnsi="Arial" w:cs="Arial"/>
        </w:rPr>
        <w:t>Ann Intern Med. 2014 Nov 18;161(10 Suppl):S66-75. doi: 10.7326/M13-3000.</w:t>
      </w:r>
      <w:bookmarkEnd w:id="1"/>
    </w:p>
    <w:p w14:paraId="708AB3DC" w14:textId="61070FBB" w:rsidR="00300FD4" w:rsidRPr="00DD5758" w:rsidRDefault="00300FD4" w:rsidP="00300FD4">
      <w:pPr>
        <w:pStyle w:val="ListParagraph"/>
        <w:numPr>
          <w:ilvl w:val="0"/>
          <w:numId w:val="1"/>
        </w:numPr>
        <w:rPr>
          <w:rFonts w:ascii="Arial" w:hAnsi="Arial" w:cs="Arial"/>
          <w:b/>
        </w:rPr>
      </w:pPr>
      <w:r w:rsidRPr="00DD5758">
        <w:rPr>
          <w:rFonts w:ascii="Arial" w:hAnsi="Arial" w:cs="Arial"/>
          <w:b/>
        </w:rPr>
        <w:t>Gap Analysis</w:t>
      </w:r>
    </w:p>
    <w:p w14:paraId="1422F516" w14:textId="793A735D" w:rsidR="00300FD4" w:rsidRPr="00DD5758" w:rsidRDefault="007E7FDE" w:rsidP="00300FD4">
      <w:pPr>
        <w:pStyle w:val="ListParagraph"/>
        <w:numPr>
          <w:ilvl w:val="0"/>
          <w:numId w:val="2"/>
        </w:numPr>
        <w:rPr>
          <w:rFonts w:ascii="Arial" w:hAnsi="Arial" w:cs="Arial"/>
          <w:i/>
        </w:rPr>
      </w:pPr>
      <w:r>
        <w:rPr>
          <w:rFonts w:ascii="Arial" w:hAnsi="Arial" w:cs="Arial"/>
          <w:i/>
        </w:rPr>
        <w:t xml:space="preserve">Provide </w:t>
      </w:r>
      <w:r w:rsidR="00300FD4" w:rsidRPr="00DD5758">
        <w:rPr>
          <w:rFonts w:ascii="Arial" w:hAnsi="Arial" w:cs="Arial"/>
          <w:i/>
        </w:rPr>
        <w:t xml:space="preserve">Evidence for </w:t>
      </w:r>
      <w:r w:rsidR="002E5674">
        <w:rPr>
          <w:rFonts w:ascii="Arial" w:hAnsi="Arial" w:cs="Arial"/>
          <w:i/>
        </w:rPr>
        <w:t xml:space="preserve">the </w:t>
      </w:r>
      <w:r w:rsidR="00300FD4" w:rsidRPr="00DD5758">
        <w:rPr>
          <w:rFonts w:ascii="Arial" w:hAnsi="Arial" w:cs="Arial"/>
          <w:i/>
        </w:rPr>
        <w:t>Measure (What are the gaps and opportunities to improve care?)</w:t>
      </w:r>
    </w:p>
    <w:p w14:paraId="1C2111B4" w14:textId="77777777" w:rsidR="00300FD4" w:rsidRPr="00DD5758" w:rsidRDefault="00300FD4" w:rsidP="00300FD4">
      <w:pPr>
        <w:pStyle w:val="ListParagraph"/>
        <w:numPr>
          <w:ilvl w:val="0"/>
          <w:numId w:val="2"/>
        </w:numPr>
        <w:rPr>
          <w:rFonts w:ascii="Arial" w:hAnsi="Arial" w:cs="Arial"/>
          <w:i/>
        </w:rPr>
      </w:pPr>
      <w:r w:rsidRPr="00DD5758">
        <w:rPr>
          <w:rFonts w:ascii="Arial" w:hAnsi="Arial" w:cs="Arial"/>
          <w:i/>
        </w:rPr>
        <w:t>Expected Outcome (Patient care/patient health improvements, cost savings)</w:t>
      </w:r>
    </w:p>
    <w:p w14:paraId="3BB0EF85" w14:textId="56C9CC84" w:rsidR="00300FD4" w:rsidRDefault="00300FD4" w:rsidP="00300FD4">
      <w:pPr>
        <w:pStyle w:val="ListParagraph"/>
        <w:numPr>
          <w:ilvl w:val="0"/>
          <w:numId w:val="2"/>
        </w:numPr>
        <w:contextualSpacing w:val="0"/>
        <w:rPr>
          <w:rFonts w:ascii="Arial" w:hAnsi="Arial" w:cs="Arial"/>
          <w:i/>
        </w:rPr>
      </w:pPr>
      <w:r w:rsidRPr="00BF6DE9">
        <w:rPr>
          <w:rFonts w:ascii="Arial" w:hAnsi="Arial" w:cs="Arial"/>
          <w:i/>
        </w:rPr>
        <w:t xml:space="preserve">Recommendation for </w:t>
      </w:r>
      <w:r w:rsidR="002E5674">
        <w:rPr>
          <w:rFonts w:ascii="Arial" w:hAnsi="Arial" w:cs="Arial"/>
          <w:i/>
        </w:rPr>
        <w:t xml:space="preserve">the </w:t>
      </w:r>
      <w:r w:rsidRPr="00BF6DE9">
        <w:rPr>
          <w:rFonts w:ascii="Arial" w:hAnsi="Arial" w:cs="Arial"/>
          <w:i/>
        </w:rPr>
        <w:t>Measure (Is it based on a study, consensus opinion, USPSTF recommendation etc.?)</w:t>
      </w:r>
    </w:p>
    <w:p w14:paraId="4BCB78A6" w14:textId="77777777" w:rsidR="009C68B1" w:rsidRPr="009C68B1" w:rsidRDefault="009C68B1" w:rsidP="009C68B1">
      <w:pPr>
        <w:pStyle w:val="ListParagraph"/>
        <w:ind w:left="270"/>
        <w:rPr>
          <w:rFonts w:ascii="Arial" w:hAnsi="Arial" w:cs="Arial"/>
        </w:rPr>
      </w:pPr>
      <w:r w:rsidRPr="009C68B1">
        <w:rPr>
          <w:rFonts w:ascii="Arial" w:hAnsi="Arial" w:cs="Arial"/>
        </w:rPr>
        <w:t xml:space="preserve">Hospital readmission, for any reason, is disruptive to patients and caregivers, costly to the healthcare system, and puts patients at additional risk of hospital-acquired infections and complications. Readmissions are also a major source of patient and family stress and may contribute substantially to loss of functional ability, particularly in older patients. Some readmissions are unavoidable and result from inevitable progression of disease or worsening of chronic conditions. However, readmissions may also result from poor quality of care or inadequate transitional or post-discharge care. </w:t>
      </w:r>
    </w:p>
    <w:p w14:paraId="54DE7A0D" w14:textId="405D66AA" w:rsidR="009C68B1" w:rsidRPr="009C68B1" w:rsidRDefault="009C68B1" w:rsidP="00C7256F">
      <w:pPr>
        <w:pStyle w:val="ListParagraph"/>
        <w:ind w:left="274"/>
        <w:rPr>
          <w:rFonts w:ascii="Arial" w:hAnsi="Arial" w:cs="Arial"/>
        </w:rPr>
      </w:pPr>
      <w:r w:rsidRPr="009C68B1">
        <w:rPr>
          <w:rFonts w:ascii="Arial" w:hAnsi="Arial" w:cs="Arial"/>
        </w:rPr>
        <w:t>Transitional care includes effective discharge planning, transfer of information at the time of discharge, patient assessment and education, and coordination of care and monitoring in the post-discharge period. Numerous studies have found an association between quality of inpatient or transitional care and early (typically 30-day) readmission rates for a wide range of conditions.</w:t>
      </w:r>
      <w:r w:rsidRPr="009C68B1">
        <w:rPr>
          <w:rFonts w:ascii="Arial" w:hAnsi="Arial" w:cs="Arial"/>
          <w:vertAlign w:val="superscript"/>
        </w:rPr>
        <w:t>1-8</w:t>
      </w:r>
      <w:r w:rsidRPr="009C68B1">
        <w:rPr>
          <w:rFonts w:ascii="Arial" w:hAnsi="Arial" w:cs="Arial"/>
        </w:rPr>
        <w:t xml:space="preserve"> Randomized controlled trials have shown that improvement in the following areas can directly reduce readmission rates: quality of care during the initial admission; improvement in communication with patients, their caregivers, and their clinicians; patient education; pre-discharge assessment; and coordination of care after discharge.</w:t>
      </w:r>
      <w:r w:rsidRPr="009C68B1">
        <w:rPr>
          <w:rFonts w:ascii="Arial" w:hAnsi="Arial" w:cs="Arial"/>
          <w:vertAlign w:val="superscript"/>
        </w:rPr>
        <w:t>9-17</w:t>
      </w:r>
      <w:r w:rsidRPr="009C68B1">
        <w:rPr>
          <w:rFonts w:ascii="Arial" w:hAnsi="Arial" w:cs="Arial"/>
        </w:rPr>
        <w:t xml:space="preserve"> Successful randomized trials have reduced 30-day readmission rates by 20-40%.</w:t>
      </w:r>
      <w:r w:rsidRPr="009C68B1">
        <w:rPr>
          <w:rFonts w:ascii="Arial" w:hAnsi="Arial" w:cs="Arial"/>
          <w:vertAlign w:val="superscript"/>
        </w:rPr>
        <w:t xml:space="preserve">18 </w:t>
      </w:r>
      <w:r w:rsidR="009478D2">
        <w:rPr>
          <w:rFonts w:ascii="Arial" w:hAnsi="Arial" w:cs="Arial"/>
          <w:vertAlign w:val="superscript"/>
        </w:rPr>
        <w:t xml:space="preserve"> </w:t>
      </w:r>
      <w:r w:rsidRPr="009C68B1">
        <w:rPr>
          <w:rFonts w:ascii="Arial" w:hAnsi="Arial" w:cs="Arial"/>
        </w:rPr>
        <w:t>Widespread application of these clinical trial interventions to general practice has also been encouraging. Since 2008, Medicare Quality Improvement Organizations have been funded to focus on care transitions by applying lessons learned from clinical trials.</w:t>
      </w:r>
      <w:r w:rsidR="009478D2" w:rsidRPr="009C68B1">
        <w:rPr>
          <w:rFonts w:ascii="Arial" w:hAnsi="Arial" w:cs="Arial"/>
          <w:vertAlign w:val="superscript"/>
        </w:rPr>
        <w:t>14</w:t>
      </w:r>
      <w:r w:rsidRPr="009C68B1">
        <w:rPr>
          <w:rFonts w:ascii="Arial" w:hAnsi="Arial" w:cs="Arial"/>
        </w:rPr>
        <w:t xml:space="preserve"> Several have been notably successful in reducing readmissions within 30 days.</w:t>
      </w:r>
      <w:r w:rsidRPr="009C68B1">
        <w:rPr>
          <w:rFonts w:ascii="Arial" w:hAnsi="Arial" w:cs="Arial"/>
          <w:vertAlign w:val="superscript"/>
        </w:rPr>
        <w:t>19</w:t>
      </w:r>
      <w:r w:rsidRPr="009C68B1">
        <w:rPr>
          <w:rFonts w:ascii="Arial" w:hAnsi="Arial" w:cs="Arial"/>
        </w:rPr>
        <w:t xml:space="preserve"> Many of these study interventions involved enhanced clinician involvement and indicate a key role for clinicians in reducing readmissions.</w:t>
      </w:r>
      <w:r w:rsidRPr="009C68B1">
        <w:rPr>
          <w:rFonts w:ascii="Arial" w:hAnsi="Arial" w:cs="Arial"/>
          <w:vertAlign w:val="superscript"/>
        </w:rPr>
        <w:t>9-17</w:t>
      </w:r>
    </w:p>
    <w:p w14:paraId="0B5662CE" w14:textId="0B6A265B" w:rsidR="009C68B1" w:rsidRPr="009C68B1" w:rsidRDefault="009C68B1" w:rsidP="009C68B1">
      <w:pPr>
        <w:pStyle w:val="ListParagraph"/>
        <w:ind w:left="270"/>
        <w:rPr>
          <w:rFonts w:ascii="Arial" w:hAnsi="Arial" w:cs="Arial"/>
        </w:rPr>
      </w:pPr>
      <w:r w:rsidRPr="009C68B1">
        <w:rPr>
          <w:rFonts w:ascii="Arial" w:hAnsi="Arial" w:cs="Arial"/>
        </w:rPr>
        <w:t xml:space="preserve">Despite these demonstrated successful interventions, the overall national readmission rate remains high, with a within 30-day readmission following </w:t>
      </w:r>
      <w:r w:rsidR="00436531">
        <w:rPr>
          <w:rFonts w:ascii="Arial" w:hAnsi="Arial" w:cs="Arial"/>
        </w:rPr>
        <w:t xml:space="preserve">discharge of </w:t>
      </w:r>
      <w:r w:rsidRPr="009C68B1">
        <w:rPr>
          <w:rFonts w:ascii="Arial" w:hAnsi="Arial" w:cs="Arial"/>
        </w:rPr>
        <w:t>over 15%</w:t>
      </w:r>
      <w:r w:rsidR="00436531">
        <w:rPr>
          <w:rFonts w:ascii="Arial" w:hAnsi="Arial" w:cs="Arial"/>
        </w:rPr>
        <w:t>.</w:t>
      </w:r>
      <w:r w:rsidR="00242596">
        <w:rPr>
          <w:rFonts w:ascii="Arial" w:hAnsi="Arial" w:cs="Arial"/>
          <w:vertAlign w:val="superscript"/>
        </w:rPr>
        <w:t>20</w:t>
      </w:r>
      <w:r w:rsidRPr="009C68B1">
        <w:rPr>
          <w:rFonts w:ascii="Arial" w:hAnsi="Arial" w:cs="Arial"/>
        </w:rPr>
        <w:t xml:space="preserve"> Moreover, we show that </w:t>
      </w:r>
      <w:r w:rsidR="00563CE4" w:rsidRPr="00D8237F">
        <w:rPr>
          <w:rFonts w:ascii="Arial" w:eastAsia="MS Mincho" w:hAnsi="Arial" w:cs="Arial"/>
        </w:rPr>
        <w:t>Risk Adjusted Readmission Rate</w:t>
      </w:r>
      <w:r w:rsidR="00563CE4" w:rsidDel="00563CE4">
        <w:rPr>
          <w:rFonts w:ascii="Arial" w:hAnsi="Arial" w:cs="Arial"/>
        </w:rPr>
        <w:t xml:space="preserve"> </w:t>
      </w:r>
      <w:r w:rsidR="009478D2">
        <w:rPr>
          <w:rFonts w:ascii="Arial" w:hAnsi="Arial" w:cs="Arial"/>
        </w:rPr>
        <w:t>s (</w:t>
      </w:r>
      <w:r w:rsidRPr="009C68B1">
        <w:rPr>
          <w:rFonts w:ascii="Arial" w:hAnsi="Arial" w:cs="Arial"/>
        </w:rPr>
        <w:t>RARRs</w:t>
      </w:r>
      <w:r w:rsidR="009478D2">
        <w:rPr>
          <w:rFonts w:ascii="Arial" w:hAnsi="Arial" w:cs="Arial"/>
        </w:rPr>
        <w:t>)</w:t>
      </w:r>
      <w:r w:rsidRPr="009C68B1">
        <w:rPr>
          <w:rFonts w:ascii="Arial" w:hAnsi="Arial" w:cs="Arial"/>
        </w:rPr>
        <w:t xml:space="preserve"> range from 7% to 25% for </w:t>
      </w:r>
      <w:r w:rsidR="002D74AD">
        <w:rPr>
          <w:rFonts w:ascii="Arial" w:hAnsi="Arial" w:cs="Arial"/>
        </w:rPr>
        <w:t>EC</w:t>
      </w:r>
      <w:r w:rsidRPr="009C68B1">
        <w:rPr>
          <w:rFonts w:ascii="Arial" w:hAnsi="Arial" w:cs="Arial"/>
        </w:rPr>
        <w:t xml:space="preserve"> groups for 2015-16. Both the high baseline rate and the variability across providers speak to the need for a quality measure to prompt greater care improvement. Given that studies have shown readmissions within 30 days to be related to quality of care, that interventions, including those utilizing clinicians, have been able to reduce 30-day readmission rates for a variety of specific conditions, and that high and variable clinician-level readmission rates indicate opportunity for improvement, we sought to develop measure of all-cause, all-condition 30-day unplanned readmission at the clinician</w:t>
      </w:r>
      <w:r w:rsidR="00463C36">
        <w:rPr>
          <w:rFonts w:ascii="Arial" w:hAnsi="Arial" w:cs="Arial"/>
        </w:rPr>
        <w:t xml:space="preserve"> </w:t>
      </w:r>
      <w:r w:rsidRPr="009C68B1">
        <w:rPr>
          <w:rFonts w:ascii="Arial" w:hAnsi="Arial" w:cs="Arial"/>
        </w:rPr>
        <w:t>group level.</w:t>
      </w:r>
    </w:p>
    <w:p w14:paraId="0C193A40" w14:textId="27658C4F" w:rsidR="00463C36" w:rsidRDefault="00463C36">
      <w:pPr>
        <w:rPr>
          <w:rFonts w:ascii="Arial" w:hAnsi="Arial" w:cs="Arial"/>
        </w:rPr>
      </w:pPr>
      <w:r>
        <w:rPr>
          <w:rFonts w:ascii="Arial" w:hAnsi="Arial" w:cs="Arial"/>
        </w:rPr>
        <w:br w:type="page"/>
      </w:r>
    </w:p>
    <w:p w14:paraId="7DC478E7" w14:textId="77777777" w:rsidR="009C68B1" w:rsidRPr="009C68B1" w:rsidRDefault="009C68B1" w:rsidP="009C68B1">
      <w:pPr>
        <w:pStyle w:val="ListParagraph"/>
        <w:ind w:left="270"/>
        <w:rPr>
          <w:rFonts w:ascii="Arial" w:hAnsi="Arial" w:cs="Arial"/>
        </w:rPr>
      </w:pPr>
    </w:p>
    <w:p w14:paraId="44D3C3AE" w14:textId="77777777" w:rsidR="00563CE4" w:rsidRDefault="00563CE4" w:rsidP="009C68B1">
      <w:pPr>
        <w:pStyle w:val="ListParagraph"/>
        <w:ind w:left="270"/>
        <w:rPr>
          <w:rFonts w:ascii="Arial" w:hAnsi="Arial" w:cs="Arial"/>
        </w:rPr>
      </w:pPr>
    </w:p>
    <w:p w14:paraId="1F314629" w14:textId="77777777" w:rsidR="00563CE4" w:rsidRDefault="00563CE4" w:rsidP="009C68B1">
      <w:pPr>
        <w:pStyle w:val="ListParagraph"/>
        <w:ind w:left="270"/>
        <w:rPr>
          <w:rFonts w:ascii="Arial" w:hAnsi="Arial" w:cs="Arial"/>
        </w:rPr>
      </w:pPr>
    </w:p>
    <w:p w14:paraId="3EDC72AE" w14:textId="0B06CE9E" w:rsidR="009C68B1" w:rsidRPr="009C68B1" w:rsidRDefault="009C68B1" w:rsidP="009C68B1">
      <w:pPr>
        <w:pStyle w:val="ListParagraph"/>
        <w:ind w:left="270"/>
        <w:rPr>
          <w:rFonts w:ascii="Arial" w:hAnsi="Arial" w:cs="Arial"/>
        </w:rPr>
      </w:pPr>
      <w:r w:rsidRPr="009C68B1">
        <w:rPr>
          <w:rFonts w:ascii="Arial" w:hAnsi="Arial" w:cs="Arial"/>
        </w:rPr>
        <w:t>References:</w:t>
      </w:r>
    </w:p>
    <w:p w14:paraId="2A28575A" w14:textId="77777777" w:rsidR="009C68B1" w:rsidRPr="009C68B1" w:rsidRDefault="009C68B1" w:rsidP="009C68B1">
      <w:pPr>
        <w:pStyle w:val="ListParagraph"/>
        <w:ind w:left="270"/>
        <w:rPr>
          <w:rFonts w:ascii="Arial" w:hAnsi="Arial" w:cs="Arial"/>
        </w:rPr>
      </w:pPr>
    </w:p>
    <w:p w14:paraId="68ABDEE0" w14:textId="5F3712D2" w:rsidR="009C68B1" w:rsidRPr="009C68B1" w:rsidRDefault="009C68B1" w:rsidP="00563CE4">
      <w:pPr>
        <w:pStyle w:val="ListParagraph"/>
        <w:numPr>
          <w:ilvl w:val="1"/>
          <w:numId w:val="1"/>
        </w:numPr>
        <w:tabs>
          <w:tab w:val="left" w:pos="720"/>
        </w:tabs>
        <w:ind w:left="630"/>
        <w:rPr>
          <w:rFonts w:ascii="Arial" w:hAnsi="Arial" w:cs="Arial"/>
        </w:rPr>
      </w:pPr>
      <w:r w:rsidRPr="009C68B1">
        <w:rPr>
          <w:rFonts w:ascii="Arial" w:hAnsi="Arial" w:cs="Arial"/>
        </w:rPr>
        <w:t>Frankl SE, Breeling JL, L. G. Preventability of emergent hospital readmission American Journal of</w:t>
      </w:r>
      <w:r w:rsidR="009478D2">
        <w:rPr>
          <w:rFonts w:ascii="Arial" w:hAnsi="Arial" w:cs="Arial"/>
        </w:rPr>
        <w:t xml:space="preserve"> </w:t>
      </w:r>
      <w:r w:rsidRPr="009C68B1">
        <w:rPr>
          <w:rFonts w:ascii="Arial" w:hAnsi="Arial" w:cs="Arial"/>
        </w:rPr>
        <w:t>Medicine. Jun 1991;90(6):667-674.</w:t>
      </w:r>
    </w:p>
    <w:p w14:paraId="15E157AB" w14:textId="1326206F" w:rsidR="009C68B1" w:rsidRPr="009C68B1" w:rsidRDefault="009C68B1" w:rsidP="00563CE4">
      <w:pPr>
        <w:pStyle w:val="ListParagraph"/>
        <w:numPr>
          <w:ilvl w:val="1"/>
          <w:numId w:val="1"/>
        </w:numPr>
        <w:ind w:left="630"/>
        <w:rPr>
          <w:rFonts w:ascii="Arial" w:hAnsi="Arial" w:cs="Arial"/>
        </w:rPr>
      </w:pPr>
      <w:r w:rsidRPr="009C68B1">
        <w:rPr>
          <w:rFonts w:ascii="Arial" w:hAnsi="Arial" w:cs="Arial"/>
        </w:rPr>
        <w:t>Corrigan J, Martin J. Identification of factors associated with hospital readmission and development of a predictive model. Health Services Research. Apr 1992;27(1):81-101.</w:t>
      </w:r>
    </w:p>
    <w:p w14:paraId="1E1123AB" w14:textId="38B6FFB1" w:rsidR="009C68B1" w:rsidRPr="009C68B1" w:rsidRDefault="009C68B1" w:rsidP="00563CE4">
      <w:pPr>
        <w:pStyle w:val="ListParagraph"/>
        <w:numPr>
          <w:ilvl w:val="1"/>
          <w:numId w:val="1"/>
        </w:numPr>
        <w:ind w:left="630"/>
        <w:rPr>
          <w:rFonts w:ascii="Arial" w:hAnsi="Arial" w:cs="Arial"/>
        </w:rPr>
      </w:pPr>
      <w:r w:rsidRPr="009C68B1">
        <w:rPr>
          <w:rFonts w:ascii="Arial" w:hAnsi="Arial" w:cs="Arial"/>
        </w:rPr>
        <w:t>Oddone E, Weinberger M, Horner M, et al. Classifying general medicine readmissions. Are they preventable? Veterans Affairs Cooperative Studies in Health Services Group on Primary Care and Hospital Readmissions. Journal of General Internal Medicine. Oct 1996;11(10):597-607.</w:t>
      </w:r>
    </w:p>
    <w:p w14:paraId="09DB13AB" w14:textId="5F7BFA12" w:rsidR="009C68B1" w:rsidRPr="009C68B1" w:rsidRDefault="009C68B1" w:rsidP="00563CE4">
      <w:pPr>
        <w:pStyle w:val="ListParagraph"/>
        <w:numPr>
          <w:ilvl w:val="1"/>
          <w:numId w:val="1"/>
        </w:numPr>
        <w:ind w:left="630"/>
        <w:rPr>
          <w:rFonts w:ascii="Arial" w:hAnsi="Arial" w:cs="Arial"/>
        </w:rPr>
      </w:pPr>
      <w:r w:rsidRPr="009C68B1">
        <w:rPr>
          <w:rFonts w:ascii="Arial" w:hAnsi="Arial" w:cs="Arial"/>
        </w:rPr>
        <w:t>Ashton C, Del Junco DJ, Souchek J, Wray N, Mansyur C. The association between the quality of inpatient care and early readmission: a meta-analysis of the evidence. Med Care. Oct 1997;35(10):1044-1059.</w:t>
      </w:r>
    </w:p>
    <w:p w14:paraId="52773E24" w14:textId="32357D66" w:rsidR="009C68B1" w:rsidRPr="009C68B1" w:rsidRDefault="009C68B1" w:rsidP="00563CE4">
      <w:pPr>
        <w:pStyle w:val="ListParagraph"/>
        <w:numPr>
          <w:ilvl w:val="1"/>
          <w:numId w:val="1"/>
        </w:numPr>
        <w:ind w:left="630" w:hanging="450"/>
        <w:rPr>
          <w:rFonts w:ascii="Arial" w:hAnsi="Arial" w:cs="Arial"/>
        </w:rPr>
      </w:pPr>
      <w:r w:rsidRPr="009C68B1">
        <w:rPr>
          <w:rFonts w:ascii="Arial" w:hAnsi="Arial" w:cs="Arial"/>
        </w:rPr>
        <w:t>Benbassat J, Taragin M. Hospital readmissions as a measure of quality of health care: advantages and limitations. Archives of Internal Medicine. Apr 24, 2000;160(8):1074-1081.</w:t>
      </w:r>
    </w:p>
    <w:p w14:paraId="3245F7AE" w14:textId="49188B5E" w:rsidR="009C68B1" w:rsidRPr="009C68B1" w:rsidRDefault="009C68B1" w:rsidP="00563CE4">
      <w:pPr>
        <w:pStyle w:val="ListParagraph"/>
        <w:numPr>
          <w:ilvl w:val="1"/>
          <w:numId w:val="1"/>
        </w:numPr>
        <w:ind w:left="630" w:hanging="450"/>
        <w:rPr>
          <w:rFonts w:ascii="Arial" w:hAnsi="Arial" w:cs="Arial"/>
        </w:rPr>
      </w:pPr>
      <w:r w:rsidRPr="009C68B1">
        <w:rPr>
          <w:rFonts w:ascii="Arial" w:hAnsi="Arial" w:cs="Arial"/>
        </w:rPr>
        <w:t>Courtney EDJ, Ankrett S, McCollum PT. 28-Day emergency surgical re-admission rates asa clinical indicator of performance. Annals of the Royal College of Surgeons of England. Mar 2003;85(2):75-78.</w:t>
      </w:r>
    </w:p>
    <w:p w14:paraId="24A5BAB2" w14:textId="4DA782C5" w:rsidR="009C68B1" w:rsidRPr="009C68B1" w:rsidRDefault="009C68B1" w:rsidP="00563CE4">
      <w:pPr>
        <w:pStyle w:val="ListParagraph"/>
        <w:numPr>
          <w:ilvl w:val="1"/>
          <w:numId w:val="1"/>
        </w:numPr>
        <w:ind w:left="630" w:hanging="450"/>
        <w:rPr>
          <w:rFonts w:ascii="Arial" w:hAnsi="Arial" w:cs="Arial"/>
        </w:rPr>
      </w:pPr>
      <w:r w:rsidRPr="009C68B1">
        <w:rPr>
          <w:rFonts w:ascii="Arial" w:hAnsi="Arial" w:cs="Arial"/>
        </w:rPr>
        <w:t>Halfon P, Eggli Y, Pr, et al. Validation of the potentially avoidable hospital readmission rate as a routine indicator of the quality of hospital care. Medical Care. Nov 2006;44(11):972-981.</w:t>
      </w:r>
    </w:p>
    <w:p w14:paraId="39A08344" w14:textId="2E508F71" w:rsidR="009C68B1" w:rsidRPr="009C68B1" w:rsidRDefault="009C68B1" w:rsidP="00563CE4">
      <w:pPr>
        <w:pStyle w:val="ListParagraph"/>
        <w:numPr>
          <w:ilvl w:val="1"/>
          <w:numId w:val="1"/>
        </w:numPr>
        <w:ind w:left="630" w:hanging="450"/>
        <w:rPr>
          <w:rFonts w:ascii="Arial" w:hAnsi="Arial" w:cs="Arial"/>
        </w:rPr>
      </w:pPr>
      <w:r w:rsidRPr="009C68B1">
        <w:rPr>
          <w:rFonts w:ascii="Arial" w:hAnsi="Arial" w:cs="Arial"/>
        </w:rPr>
        <w:t>Hernandez AF, Greiner MA, Fonarow GC, et al. Relationship between early physician follow-up and 30-day readmission among Medicare beneficiaries hospitalized for heart failure. JAMA. May 5, 2010;303(17):1716-1722.</w:t>
      </w:r>
    </w:p>
    <w:p w14:paraId="57D48488" w14:textId="639BADA7" w:rsidR="009C68B1" w:rsidRPr="009C68B1" w:rsidRDefault="009C68B1" w:rsidP="00563CE4">
      <w:pPr>
        <w:pStyle w:val="ListParagraph"/>
        <w:numPr>
          <w:ilvl w:val="1"/>
          <w:numId w:val="1"/>
        </w:numPr>
        <w:ind w:left="630" w:hanging="450"/>
        <w:rPr>
          <w:rFonts w:ascii="Arial" w:hAnsi="Arial" w:cs="Arial"/>
        </w:rPr>
      </w:pPr>
      <w:r w:rsidRPr="009C68B1">
        <w:rPr>
          <w:rFonts w:ascii="Arial" w:hAnsi="Arial" w:cs="Arial"/>
        </w:rPr>
        <w:t>Naylor M, Brooten D, Jones R, Lavizzo-Mourey R, Mezey M, Pauly M. Comprehensive discharge planning for the hospitalized elderly. A randomized clinical trial. Ann Intern Med. Jun 15 1994;120(12):999-1006.</w:t>
      </w:r>
    </w:p>
    <w:p w14:paraId="40452700" w14:textId="6661C412" w:rsidR="009C68B1" w:rsidRPr="009C68B1" w:rsidRDefault="009C68B1" w:rsidP="00563CE4">
      <w:pPr>
        <w:pStyle w:val="ListParagraph"/>
        <w:numPr>
          <w:ilvl w:val="1"/>
          <w:numId w:val="1"/>
        </w:numPr>
        <w:ind w:left="630" w:hanging="450"/>
        <w:rPr>
          <w:rFonts w:ascii="Arial" w:hAnsi="Arial" w:cs="Arial"/>
        </w:rPr>
      </w:pPr>
      <w:r w:rsidRPr="009C68B1">
        <w:rPr>
          <w:rFonts w:ascii="Arial" w:hAnsi="Arial" w:cs="Arial"/>
        </w:rPr>
        <w:t>Naylor MD, Brooten D, Campbell R, et al. Comprehensive discharge planning and home follow-up of hospitalized elders: a randomized clinical trial. JAMA. 1999;281(7):613-620.</w:t>
      </w:r>
    </w:p>
    <w:p w14:paraId="75F628D3" w14:textId="4FABCFAA" w:rsidR="009C68B1" w:rsidRPr="009C68B1" w:rsidRDefault="009C68B1" w:rsidP="00563CE4">
      <w:pPr>
        <w:pStyle w:val="ListParagraph"/>
        <w:numPr>
          <w:ilvl w:val="1"/>
          <w:numId w:val="1"/>
        </w:numPr>
        <w:ind w:left="630" w:hanging="450"/>
        <w:rPr>
          <w:rFonts w:ascii="Arial" w:hAnsi="Arial" w:cs="Arial"/>
        </w:rPr>
      </w:pPr>
      <w:r w:rsidRPr="009C68B1">
        <w:rPr>
          <w:rFonts w:ascii="Arial" w:hAnsi="Arial" w:cs="Arial"/>
        </w:rPr>
        <w:t>Krumholz HM, Amatruda J, Smith GL, et al. Randomized trial of an education and support intervention to prevent readmission of patients with heart failure. Journal of the American College of Cardiology. Jan 2, 2002;39(1):83-89.</w:t>
      </w:r>
    </w:p>
    <w:p w14:paraId="49430CB9" w14:textId="0D4A8088" w:rsidR="009C68B1" w:rsidRPr="009C68B1" w:rsidRDefault="009C68B1" w:rsidP="00563CE4">
      <w:pPr>
        <w:pStyle w:val="ListParagraph"/>
        <w:numPr>
          <w:ilvl w:val="1"/>
          <w:numId w:val="1"/>
        </w:numPr>
        <w:ind w:left="630" w:hanging="450"/>
        <w:rPr>
          <w:rFonts w:ascii="Arial" w:hAnsi="Arial" w:cs="Arial"/>
        </w:rPr>
      </w:pPr>
      <w:r w:rsidRPr="009C68B1">
        <w:rPr>
          <w:rFonts w:ascii="Arial" w:hAnsi="Arial" w:cs="Arial"/>
        </w:rPr>
        <w:t>van Walraven C, Seth R, Austin PC, Laupacis A. Effect of discharge summary availability during post-discharge visits on hospital readmission. Journal of General Internal Medicine. Mar 2002;17(3):186-192.</w:t>
      </w:r>
    </w:p>
    <w:p w14:paraId="77CDF4A6" w14:textId="7E3197BA" w:rsidR="009C68B1" w:rsidRPr="009C68B1" w:rsidRDefault="009C68B1" w:rsidP="00563CE4">
      <w:pPr>
        <w:pStyle w:val="ListParagraph"/>
        <w:numPr>
          <w:ilvl w:val="1"/>
          <w:numId w:val="1"/>
        </w:numPr>
        <w:ind w:left="630" w:hanging="450"/>
        <w:rPr>
          <w:rFonts w:ascii="Arial" w:hAnsi="Arial" w:cs="Arial"/>
        </w:rPr>
      </w:pPr>
      <w:r w:rsidRPr="009C68B1">
        <w:rPr>
          <w:rFonts w:ascii="Arial" w:hAnsi="Arial" w:cs="Arial"/>
        </w:rPr>
        <w:t>Conley RR, Kelly DL, Love RC, McMahon RP. Rehospitalization risk with second-generation and depot antipsychotics. Annals of Clinical Psychiatry. Mar2003;15(1):23-31.</w:t>
      </w:r>
    </w:p>
    <w:p w14:paraId="40F5813B" w14:textId="4F96AEDC" w:rsidR="009C68B1" w:rsidRPr="009C68B1" w:rsidRDefault="009C68B1" w:rsidP="00563CE4">
      <w:pPr>
        <w:pStyle w:val="ListParagraph"/>
        <w:numPr>
          <w:ilvl w:val="1"/>
          <w:numId w:val="1"/>
        </w:numPr>
        <w:ind w:left="630" w:hanging="450"/>
        <w:rPr>
          <w:rFonts w:ascii="Arial" w:hAnsi="Arial" w:cs="Arial"/>
        </w:rPr>
      </w:pPr>
      <w:r w:rsidRPr="009C68B1">
        <w:rPr>
          <w:rFonts w:ascii="Arial" w:hAnsi="Arial" w:cs="Arial"/>
        </w:rPr>
        <w:t>Coleman EA, Smith JD, Frank JC, Min S-J, Parry C, Kramer AM. Preparing patients and caregivers to participate in care delivered across settings: The Care Transitions Intervention. Journal of the American Geriatrics Society. Nov 2004;52(11):1817-1825.</w:t>
      </w:r>
    </w:p>
    <w:p w14:paraId="2C742BA0" w14:textId="62BF042A" w:rsidR="009C68B1" w:rsidRPr="009C68B1" w:rsidRDefault="009C68B1" w:rsidP="00563CE4">
      <w:pPr>
        <w:pStyle w:val="ListParagraph"/>
        <w:numPr>
          <w:ilvl w:val="1"/>
          <w:numId w:val="1"/>
        </w:numPr>
        <w:ind w:left="630" w:hanging="450"/>
        <w:rPr>
          <w:rFonts w:ascii="Arial" w:hAnsi="Arial" w:cs="Arial"/>
        </w:rPr>
      </w:pPr>
      <w:r w:rsidRPr="009C68B1">
        <w:rPr>
          <w:rFonts w:ascii="Arial" w:hAnsi="Arial" w:cs="Arial"/>
        </w:rPr>
        <w:t>Phillips CO, Wright SM, Kern DE, Singa RM, Shepperd S, Rubin HR. Comprehensive discharge planning with postdischarge support for older patients with congestive heart failure: a meta-analysis. JAMA. Mar 17, 2004;291(11):1358-1367.</w:t>
      </w:r>
    </w:p>
    <w:p w14:paraId="2DD96AEA" w14:textId="550F9BB8" w:rsidR="009C68B1" w:rsidRPr="009C68B1" w:rsidRDefault="009C68B1" w:rsidP="00563CE4">
      <w:pPr>
        <w:pStyle w:val="ListParagraph"/>
        <w:numPr>
          <w:ilvl w:val="1"/>
          <w:numId w:val="1"/>
        </w:numPr>
        <w:ind w:left="630" w:hanging="450"/>
        <w:rPr>
          <w:rFonts w:ascii="Arial" w:hAnsi="Arial" w:cs="Arial"/>
        </w:rPr>
      </w:pPr>
      <w:r w:rsidRPr="009C68B1">
        <w:rPr>
          <w:rFonts w:ascii="Arial" w:hAnsi="Arial" w:cs="Arial"/>
        </w:rPr>
        <w:t>Jovicic A, Holroyd-Leduc JM, Straus SE. Effects of self-management intervention on health outcomes of patients with heart failure: a systematic review of randomized controlled trials. BMC Cardiovasc Disord. 2006; 6:43.</w:t>
      </w:r>
    </w:p>
    <w:p w14:paraId="2EB27040" w14:textId="52D5C13A" w:rsidR="009C68B1" w:rsidRPr="009C68B1" w:rsidRDefault="009C68B1" w:rsidP="00563CE4">
      <w:pPr>
        <w:pStyle w:val="ListParagraph"/>
        <w:numPr>
          <w:ilvl w:val="1"/>
          <w:numId w:val="1"/>
        </w:numPr>
        <w:ind w:left="630" w:hanging="450"/>
        <w:rPr>
          <w:rFonts w:ascii="Arial" w:hAnsi="Arial" w:cs="Arial"/>
        </w:rPr>
      </w:pPr>
      <w:r w:rsidRPr="009C68B1">
        <w:rPr>
          <w:rFonts w:ascii="Arial" w:hAnsi="Arial" w:cs="Arial"/>
        </w:rPr>
        <w:t>Garasen H, Windspoll R, Johnsen R. Intermediate care at a community hospital as an alternative to prolonged general hospital care for elderly patients: a randomised controlled trial. BMC Public Health. 2007; 7:69.</w:t>
      </w:r>
    </w:p>
    <w:p w14:paraId="3C06D534" w14:textId="6D62B0AC" w:rsidR="009C68B1" w:rsidRPr="009C68B1" w:rsidRDefault="009C68B1" w:rsidP="00563CE4">
      <w:pPr>
        <w:pStyle w:val="ListParagraph"/>
        <w:numPr>
          <w:ilvl w:val="1"/>
          <w:numId w:val="1"/>
        </w:numPr>
        <w:ind w:left="630" w:hanging="450"/>
        <w:rPr>
          <w:rFonts w:ascii="Arial" w:hAnsi="Arial" w:cs="Arial"/>
        </w:rPr>
      </w:pPr>
      <w:r w:rsidRPr="009C68B1">
        <w:rPr>
          <w:rFonts w:ascii="Arial" w:hAnsi="Arial" w:cs="Arial"/>
        </w:rPr>
        <w:t>Leppin AL, Gionfriddo MR, Kessler M, etal. Preventing 30-day hospital readmissions: a systematic review and meta-analysis of randomized trials. JAMA Intern Med. 2014;174(7):1095-1107.</w:t>
      </w:r>
    </w:p>
    <w:p w14:paraId="16B7D579" w14:textId="7E20B82F" w:rsidR="009C68B1" w:rsidRDefault="009C68B1" w:rsidP="00563CE4">
      <w:pPr>
        <w:pStyle w:val="ListParagraph"/>
        <w:numPr>
          <w:ilvl w:val="1"/>
          <w:numId w:val="1"/>
        </w:numPr>
        <w:spacing w:after="0" w:line="240" w:lineRule="auto"/>
        <w:ind w:left="633" w:hanging="446"/>
        <w:contextualSpacing w:val="0"/>
        <w:rPr>
          <w:rFonts w:ascii="Arial" w:hAnsi="Arial" w:cs="Arial"/>
        </w:rPr>
      </w:pPr>
      <w:r w:rsidRPr="009C68B1">
        <w:rPr>
          <w:rFonts w:ascii="Arial" w:hAnsi="Arial" w:cs="Arial"/>
        </w:rPr>
        <w:t xml:space="preserve">CFMC. CFfMC. Care Transitions QIOSC. 2010; </w:t>
      </w:r>
      <w:hyperlink r:id="rId11" w:history="1">
        <w:r w:rsidR="00242596" w:rsidRPr="00420557">
          <w:rPr>
            <w:rStyle w:val="Hyperlink"/>
            <w:rFonts w:ascii="Arial" w:hAnsi="Arial" w:cs="Arial"/>
            <w:sz w:val="22"/>
          </w:rPr>
          <w:t>http://www.cfmc.org/caretransitions/</w:t>
        </w:r>
      </w:hyperlink>
      <w:r w:rsidRPr="009C68B1">
        <w:rPr>
          <w:rFonts w:ascii="Arial" w:hAnsi="Arial" w:cs="Arial"/>
        </w:rPr>
        <w:t>.</w:t>
      </w:r>
    </w:p>
    <w:p w14:paraId="21BDC532" w14:textId="4846CD19" w:rsidR="00242596" w:rsidRPr="009C68B1" w:rsidRDefault="00242596" w:rsidP="00563CE4">
      <w:pPr>
        <w:pStyle w:val="ListParagraph"/>
        <w:numPr>
          <w:ilvl w:val="1"/>
          <w:numId w:val="1"/>
        </w:numPr>
        <w:ind w:left="630" w:hanging="450"/>
        <w:contextualSpacing w:val="0"/>
        <w:rPr>
          <w:rFonts w:ascii="Arial" w:hAnsi="Arial" w:cs="Arial"/>
        </w:rPr>
      </w:pPr>
      <w:r w:rsidRPr="00242596">
        <w:rPr>
          <w:rFonts w:ascii="Arial" w:hAnsi="Arial" w:cs="Arial"/>
        </w:rPr>
        <w:lastRenderedPageBreak/>
        <w:t>Horwitz LI, Partovian C, Lin Z, Grady JN, Herrin J, Conover M, Montague J, Dillaway C, Bartczak K, Suter LG, Ross JS, Bernheim SM, Krumholz HM, Drye EE. Development and use of an administrative claims measure for profiling hospital-wide performance on 30-day unplanned readmission. Ann Intern Med. 2014 Nov 18;161(10 Suppl):S66-75. doi: 10.7326/M13-3000.</w:t>
      </w:r>
    </w:p>
    <w:p w14:paraId="24A80C95" w14:textId="5C9FCAE7" w:rsidR="00300FD4" w:rsidRPr="00BF6DE9" w:rsidRDefault="00300FD4" w:rsidP="00300FD4">
      <w:pPr>
        <w:pStyle w:val="ListParagraph"/>
        <w:numPr>
          <w:ilvl w:val="0"/>
          <w:numId w:val="1"/>
        </w:numPr>
        <w:rPr>
          <w:rFonts w:ascii="Arial" w:hAnsi="Arial" w:cs="Arial"/>
        </w:rPr>
      </w:pPr>
      <w:r w:rsidRPr="00BF6DE9">
        <w:rPr>
          <w:rFonts w:ascii="Arial" w:hAnsi="Arial" w:cs="Arial"/>
          <w:b/>
        </w:rPr>
        <w:t>Reliability/Validity</w:t>
      </w:r>
    </w:p>
    <w:p w14:paraId="25F98AE0" w14:textId="105D78DD" w:rsidR="001121DA" w:rsidRPr="002449AA" w:rsidRDefault="007E7FDE" w:rsidP="002449AA">
      <w:pPr>
        <w:pStyle w:val="ListParagraph"/>
        <w:numPr>
          <w:ilvl w:val="0"/>
          <w:numId w:val="11"/>
        </w:numPr>
        <w:ind w:left="1170" w:hanging="450"/>
        <w:rPr>
          <w:rFonts w:ascii="Arial" w:hAnsi="Arial" w:cs="Arial"/>
          <w:i/>
        </w:rPr>
      </w:pPr>
      <w:r w:rsidRPr="002449AA">
        <w:rPr>
          <w:rFonts w:ascii="Arial" w:hAnsi="Arial" w:cs="Arial"/>
          <w:i/>
        </w:rPr>
        <w:t xml:space="preserve">What testing has been performed at the clinician level? Please provide testing results including the N value, Bonnie test case results, correlation coefficient and any other pertinent information or values to be considered. </w:t>
      </w:r>
      <w:r w:rsidR="000E39A3">
        <w:rPr>
          <w:rFonts w:ascii="Arial" w:hAnsi="Arial" w:cs="Arial"/>
          <w:i/>
        </w:rPr>
        <w:t xml:space="preserve"> </w:t>
      </w:r>
    </w:p>
    <w:p w14:paraId="3EDF09AD" w14:textId="715167BF" w:rsidR="007E7FDE" w:rsidRPr="002449AA" w:rsidRDefault="007E7FDE" w:rsidP="002449AA">
      <w:pPr>
        <w:pStyle w:val="ListParagraph"/>
        <w:numPr>
          <w:ilvl w:val="0"/>
          <w:numId w:val="10"/>
        </w:numPr>
        <w:ind w:firstLine="450"/>
        <w:rPr>
          <w:rFonts w:ascii="Arial" w:hAnsi="Arial" w:cs="Arial"/>
          <w:i/>
        </w:rPr>
      </w:pPr>
      <w:r w:rsidRPr="002449AA">
        <w:rPr>
          <w:rFonts w:ascii="Arial" w:hAnsi="Arial" w:cs="Arial"/>
        </w:rPr>
        <w:t>Reliability Testing Results:</w:t>
      </w:r>
    </w:p>
    <w:p w14:paraId="04ADC8FD" w14:textId="550B809A" w:rsidR="007E7FDE" w:rsidRPr="002449AA" w:rsidRDefault="007E7FDE" w:rsidP="002449AA">
      <w:pPr>
        <w:pStyle w:val="ListParagraph"/>
        <w:numPr>
          <w:ilvl w:val="0"/>
          <w:numId w:val="10"/>
        </w:numPr>
        <w:ind w:firstLine="450"/>
        <w:rPr>
          <w:rFonts w:ascii="Arial" w:hAnsi="Arial" w:cs="Arial"/>
        </w:rPr>
      </w:pPr>
      <w:r w:rsidRPr="002449AA">
        <w:rPr>
          <w:rFonts w:ascii="Arial" w:hAnsi="Arial" w:cs="Arial"/>
        </w:rPr>
        <w:t>Validity Testing Results, clinician sites:</w:t>
      </w:r>
    </w:p>
    <w:p w14:paraId="154CC8CC" w14:textId="366D04B4" w:rsidR="007E7FDE" w:rsidRPr="00BF6DE9" w:rsidRDefault="007E7FDE" w:rsidP="002449AA">
      <w:pPr>
        <w:pStyle w:val="ListParagraph"/>
        <w:numPr>
          <w:ilvl w:val="0"/>
          <w:numId w:val="10"/>
        </w:numPr>
        <w:ind w:firstLine="450"/>
        <w:rPr>
          <w:rFonts w:ascii="Arial" w:hAnsi="Arial" w:cs="Arial"/>
          <w:i/>
        </w:rPr>
      </w:pPr>
      <w:r w:rsidRPr="00BF6DE9">
        <w:rPr>
          <w:rFonts w:ascii="Arial" w:hAnsi="Arial" w:cs="Arial"/>
          <w:i/>
        </w:rPr>
        <w:t>Exclusion frequency:</w:t>
      </w:r>
    </w:p>
    <w:p w14:paraId="2E6A377E" w14:textId="2350C3DA" w:rsidR="00300FD4" w:rsidRPr="00BF6DE9" w:rsidRDefault="007E7FDE" w:rsidP="002449AA">
      <w:pPr>
        <w:pStyle w:val="ListParagraph"/>
        <w:numPr>
          <w:ilvl w:val="0"/>
          <w:numId w:val="11"/>
        </w:numPr>
        <w:tabs>
          <w:tab w:val="left" w:pos="1080"/>
        </w:tabs>
        <w:ind w:left="1170" w:hanging="450"/>
        <w:rPr>
          <w:rFonts w:ascii="Arial" w:hAnsi="Arial" w:cs="Arial"/>
          <w:b/>
        </w:rPr>
      </w:pPr>
      <w:r w:rsidRPr="00BF6DE9">
        <w:rPr>
          <w:rFonts w:ascii="Arial" w:hAnsi="Arial" w:cs="Arial"/>
          <w:i/>
        </w:rPr>
        <w:t>What were the minimum sample sizes used for reliability results?</w:t>
      </w:r>
      <w:r w:rsidRPr="00BF6DE9">
        <w:rPr>
          <w:rFonts w:ascii="Arial" w:hAnsi="Arial" w:cs="Arial"/>
        </w:rPr>
        <w:t xml:space="preserve"> </w:t>
      </w:r>
      <w:r w:rsidR="00300FD4" w:rsidRPr="00BF6DE9">
        <w:rPr>
          <w:rFonts w:ascii="Arial" w:hAnsi="Arial" w:cs="Arial"/>
          <w:b/>
        </w:rPr>
        <w:t>Other Information</w:t>
      </w:r>
    </w:p>
    <w:p w14:paraId="3BDF9BA4" w14:textId="53907538" w:rsidR="00300FD4" w:rsidRPr="00BF6DE9" w:rsidRDefault="00300FD4" w:rsidP="00300FD4">
      <w:pPr>
        <w:pStyle w:val="ListParagraph"/>
        <w:numPr>
          <w:ilvl w:val="0"/>
          <w:numId w:val="9"/>
        </w:numPr>
        <w:ind w:left="1440"/>
        <w:rPr>
          <w:rFonts w:ascii="Arial" w:hAnsi="Arial" w:cs="Arial"/>
          <w:i/>
        </w:rPr>
      </w:pPr>
      <w:r w:rsidRPr="00BF6DE9">
        <w:rPr>
          <w:rFonts w:ascii="Arial" w:hAnsi="Arial" w:cs="Arial"/>
          <w:i/>
        </w:rPr>
        <w:t>Is it risk adjusted?</w:t>
      </w:r>
      <w:r w:rsidR="007E7FDE" w:rsidRPr="00BF6DE9">
        <w:rPr>
          <w:rFonts w:ascii="Arial" w:hAnsi="Arial" w:cs="Arial"/>
          <w:i/>
        </w:rPr>
        <w:t xml:space="preserve"> If so, how?</w:t>
      </w:r>
    </w:p>
    <w:p w14:paraId="0C62A545" w14:textId="794A7DE1" w:rsidR="00300FD4" w:rsidRDefault="007E7FDE" w:rsidP="00300FD4">
      <w:pPr>
        <w:pStyle w:val="ListParagraph"/>
        <w:numPr>
          <w:ilvl w:val="0"/>
          <w:numId w:val="6"/>
        </w:numPr>
        <w:ind w:left="1440"/>
        <w:contextualSpacing w:val="0"/>
        <w:rPr>
          <w:rFonts w:ascii="Arial" w:hAnsi="Arial" w:cs="Arial"/>
          <w:i/>
        </w:rPr>
      </w:pPr>
      <w:r w:rsidRPr="00BF6DE9">
        <w:rPr>
          <w:rFonts w:ascii="Arial" w:hAnsi="Arial" w:cs="Arial"/>
          <w:i/>
        </w:rPr>
        <w:t>What benchmarking information is available</w:t>
      </w:r>
      <w:r w:rsidR="00300FD4" w:rsidRPr="00BF6DE9">
        <w:rPr>
          <w:rFonts w:ascii="Arial" w:hAnsi="Arial" w:cs="Arial"/>
          <w:i/>
        </w:rPr>
        <w:t>?</w:t>
      </w:r>
    </w:p>
    <w:p w14:paraId="639CA0C3" w14:textId="674B33C3" w:rsidR="002635DB" w:rsidRDefault="002635DB" w:rsidP="00C7256F">
      <w:pPr>
        <w:pStyle w:val="ListParagraph"/>
        <w:ind w:left="270"/>
        <w:rPr>
          <w:rFonts w:ascii="Arial" w:hAnsi="Arial" w:cs="Arial"/>
        </w:rPr>
      </w:pPr>
      <w:r>
        <w:rPr>
          <w:rFonts w:ascii="Arial" w:hAnsi="Arial" w:cs="Arial"/>
        </w:rPr>
        <w:t>T</w:t>
      </w:r>
      <w:r w:rsidRPr="002635DB">
        <w:rPr>
          <w:rFonts w:ascii="Arial" w:hAnsi="Arial" w:cs="Arial"/>
        </w:rPr>
        <w:t xml:space="preserve">he provider-level reliability for </w:t>
      </w:r>
      <w:r w:rsidR="005C03B2">
        <w:rPr>
          <w:rFonts w:ascii="Arial" w:hAnsi="Arial" w:cs="Arial"/>
        </w:rPr>
        <w:t>EC</w:t>
      </w:r>
      <w:r w:rsidR="005C03B2" w:rsidRPr="002635DB">
        <w:rPr>
          <w:rFonts w:ascii="Arial" w:hAnsi="Arial" w:cs="Arial"/>
        </w:rPr>
        <w:t xml:space="preserve"> </w:t>
      </w:r>
      <w:r w:rsidRPr="002635DB">
        <w:rPr>
          <w:rFonts w:ascii="Arial" w:hAnsi="Arial" w:cs="Arial"/>
        </w:rPr>
        <w:t>groups</w:t>
      </w:r>
      <w:r>
        <w:rPr>
          <w:rFonts w:ascii="Arial" w:hAnsi="Arial" w:cs="Arial"/>
        </w:rPr>
        <w:t xml:space="preserve"> was estimated</w:t>
      </w:r>
      <w:r w:rsidR="000E39A3">
        <w:rPr>
          <w:rFonts w:ascii="Arial" w:hAnsi="Arial" w:cs="Arial"/>
        </w:rPr>
        <w:t xml:space="preserve"> </w:t>
      </w:r>
      <w:r w:rsidR="0078656A">
        <w:rPr>
          <w:rFonts w:ascii="Arial" w:hAnsi="Arial" w:cs="Arial"/>
        </w:rPr>
        <w:t xml:space="preserve">using </w:t>
      </w:r>
      <w:r w:rsidR="0078656A" w:rsidRPr="002635DB">
        <w:rPr>
          <w:rFonts w:ascii="Arial" w:hAnsi="Arial" w:cs="Arial"/>
        </w:rPr>
        <w:t>“</w:t>
      </w:r>
      <w:r w:rsidRPr="002635DB">
        <w:rPr>
          <w:rFonts w:ascii="Arial" w:hAnsi="Arial" w:cs="Arial"/>
        </w:rPr>
        <w:t xml:space="preserve">unit” reliability, that is, the reliability with which individual units (here, </w:t>
      </w:r>
      <w:r w:rsidR="00825191">
        <w:rPr>
          <w:rFonts w:ascii="Arial" w:hAnsi="Arial" w:cs="Arial"/>
        </w:rPr>
        <w:t>EC</w:t>
      </w:r>
      <w:r w:rsidR="00825191" w:rsidRPr="002635DB">
        <w:rPr>
          <w:rFonts w:ascii="Arial" w:hAnsi="Arial" w:cs="Arial"/>
        </w:rPr>
        <w:t xml:space="preserve"> </w:t>
      </w:r>
      <w:r w:rsidRPr="002635DB">
        <w:rPr>
          <w:rFonts w:ascii="Arial" w:hAnsi="Arial" w:cs="Arial"/>
        </w:rPr>
        <w:t>groups) are measured. This is because the reliability of any one entity’s measure score will vary depending on the number of index admissions attributed. Entities with higher volume will tend to have more reliable scores, while those with lower volume will tend to have less reliable scores. Specifically, we use the formula presented by Adams et al</w:t>
      </w:r>
      <w:r>
        <w:rPr>
          <w:rFonts w:ascii="Arial" w:hAnsi="Arial" w:cs="Arial"/>
          <w:vertAlign w:val="superscript"/>
        </w:rPr>
        <w:t>1</w:t>
      </w:r>
      <w:r w:rsidRPr="002635DB">
        <w:rPr>
          <w:rFonts w:ascii="Arial" w:hAnsi="Arial" w:cs="Arial"/>
        </w:rPr>
        <w:t>, to calculate provider-level signal-to-noise reliability. For each measured entity (</w:t>
      </w:r>
      <w:r w:rsidR="00825191">
        <w:rPr>
          <w:rFonts w:ascii="Arial" w:hAnsi="Arial" w:cs="Arial"/>
        </w:rPr>
        <w:t>EC</w:t>
      </w:r>
      <w:r w:rsidRPr="002635DB">
        <w:rPr>
          <w:rFonts w:ascii="Arial" w:hAnsi="Arial" w:cs="Arial"/>
        </w:rPr>
        <w:t xml:space="preserve"> group) the ratio of</w:t>
      </w:r>
      <w:r w:rsidR="00151945">
        <w:rPr>
          <w:rFonts w:ascii="Arial" w:hAnsi="Arial" w:cs="Arial"/>
        </w:rPr>
        <w:t xml:space="preserve"> between entity variance (signal) to total variance (</w:t>
      </w:r>
      <w:r w:rsidR="0078656A">
        <w:rPr>
          <w:rFonts w:ascii="Arial" w:hAnsi="Arial" w:cs="Arial"/>
        </w:rPr>
        <w:t>noise)</w:t>
      </w:r>
      <w:r w:rsidR="0078656A" w:rsidRPr="002635DB">
        <w:rPr>
          <w:rFonts w:ascii="Arial" w:hAnsi="Arial" w:cs="Arial"/>
        </w:rPr>
        <w:t xml:space="preserve"> </w:t>
      </w:r>
      <w:r w:rsidR="0078656A" w:rsidRPr="00563CE4">
        <w:rPr>
          <w:rFonts w:ascii="Arial" w:hAnsi="Arial" w:cs="Arial"/>
          <w:iCs/>
          <w:szCs w:val="20"/>
        </w:rPr>
        <w:t>was</w:t>
      </w:r>
      <w:r w:rsidRPr="002635DB">
        <w:rPr>
          <w:rFonts w:ascii="Arial" w:hAnsi="Arial" w:cs="Arial"/>
          <w:iCs/>
          <w:szCs w:val="20"/>
        </w:rPr>
        <w:t xml:space="preserve"> calculated</w:t>
      </w:r>
      <w:r w:rsidRPr="002635DB">
        <w:rPr>
          <w:rFonts w:ascii="Arial" w:hAnsi="Arial" w:cs="Arial"/>
        </w:rPr>
        <w:t xml:space="preserve">. </w:t>
      </w:r>
      <w:r>
        <w:rPr>
          <w:rFonts w:ascii="Arial" w:hAnsi="Arial" w:cs="Arial"/>
        </w:rPr>
        <w:t>T</w:t>
      </w:r>
      <w:r w:rsidRPr="002635DB">
        <w:rPr>
          <w:rFonts w:ascii="Arial" w:hAnsi="Arial" w:cs="Arial"/>
        </w:rPr>
        <w:t xml:space="preserve">he distribution of these values for each of the </w:t>
      </w:r>
      <w:r w:rsidR="00563CE4">
        <w:rPr>
          <w:rFonts w:ascii="Arial" w:hAnsi="Arial" w:cs="Arial"/>
        </w:rPr>
        <w:t>five</w:t>
      </w:r>
      <w:r w:rsidRPr="002635DB">
        <w:rPr>
          <w:rFonts w:ascii="Arial" w:hAnsi="Arial" w:cs="Arial"/>
        </w:rPr>
        <w:t xml:space="preserve"> specialty cohorts and all entities with at least 25 attributed index admissions in the cohort</w:t>
      </w:r>
      <w:r>
        <w:rPr>
          <w:rFonts w:ascii="Arial" w:hAnsi="Arial" w:cs="Arial"/>
        </w:rPr>
        <w:t xml:space="preserve"> are summarized below.</w:t>
      </w:r>
    </w:p>
    <w:p w14:paraId="354608DC" w14:textId="77777777" w:rsidR="002635DB" w:rsidRDefault="002635DB" w:rsidP="00C7256F">
      <w:pPr>
        <w:pStyle w:val="ListParagraph"/>
        <w:ind w:left="270"/>
        <w:rPr>
          <w:rFonts w:ascii="Arial" w:hAnsi="Arial" w:cs="Arial"/>
        </w:rPr>
      </w:pPr>
    </w:p>
    <w:p w14:paraId="52EFB369" w14:textId="2BEF84FF" w:rsidR="002635DB" w:rsidRPr="002635DB" w:rsidRDefault="002635DB" w:rsidP="00C7256F">
      <w:pPr>
        <w:pStyle w:val="ListParagraph"/>
        <w:ind w:left="270"/>
        <w:rPr>
          <w:rFonts w:ascii="Arial" w:hAnsi="Arial" w:cs="Arial"/>
          <w:bCs/>
          <w:u w:val="single"/>
        </w:rPr>
      </w:pPr>
      <w:r w:rsidRPr="002635DB">
        <w:rPr>
          <w:rFonts w:ascii="Arial" w:hAnsi="Arial" w:cs="Arial"/>
          <w:bCs/>
          <w:u w:val="single"/>
        </w:rPr>
        <w:t xml:space="preserve">Clinician </w:t>
      </w:r>
      <w:r w:rsidR="00981DD8">
        <w:rPr>
          <w:rFonts w:ascii="Arial" w:hAnsi="Arial" w:cs="Arial"/>
          <w:bCs/>
          <w:u w:val="single"/>
        </w:rPr>
        <w:t xml:space="preserve">Group </w:t>
      </w:r>
      <w:r w:rsidRPr="002635DB">
        <w:rPr>
          <w:rFonts w:ascii="Arial" w:hAnsi="Arial" w:cs="Arial"/>
          <w:bCs/>
          <w:u w:val="single"/>
        </w:rPr>
        <w:t xml:space="preserve">Level Reliability/Measure Score Reliability Results </w:t>
      </w:r>
    </w:p>
    <w:p w14:paraId="6E0AC006" w14:textId="77777777" w:rsidR="002635DB" w:rsidRPr="002635DB" w:rsidRDefault="002635DB" w:rsidP="00C7256F">
      <w:pPr>
        <w:pStyle w:val="ListParagraph"/>
        <w:ind w:left="270"/>
        <w:rPr>
          <w:rFonts w:ascii="Arial" w:hAnsi="Arial" w:cs="Arial"/>
          <w:bCs/>
        </w:rPr>
      </w:pPr>
    </w:p>
    <w:p w14:paraId="118EBC9E" w14:textId="5B635866" w:rsidR="002635DB" w:rsidRPr="002635DB" w:rsidRDefault="002635DB" w:rsidP="00C7256F">
      <w:pPr>
        <w:pStyle w:val="ListParagraph"/>
        <w:ind w:left="270"/>
        <w:rPr>
          <w:rFonts w:ascii="Arial" w:hAnsi="Arial" w:cs="Arial"/>
          <w:bCs/>
        </w:rPr>
      </w:pPr>
      <w:r w:rsidRPr="002635DB">
        <w:rPr>
          <w:rFonts w:ascii="Arial" w:hAnsi="Arial" w:cs="Arial"/>
          <w:bCs/>
        </w:rPr>
        <w:t xml:space="preserve">Mean </w:t>
      </w:r>
      <w:r w:rsidR="000C5DFF">
        <w:rPr>
          <w:rFonts w:ascii="Arial" w:hAnsi="Arial" w:cs="Arial"/>
          <w:bCs/>
        </w:rPr>
        <w:t>s</w:t>
      </w:r>
      <w:r w:rsidRPr="002635DB">
        <w:rPr>
          <w:rFonts w:ascii="Arial" w:hAnsi="Arial" w:cs="Arial"/>
          <w:bCs/>
        </w:rPr>
        <w:t>ignal to noise ratio at clinical group level</w:t>
      </w:r>
    </w:p>
    <w:p w14:paraId="2BE6A3F6" w14:textId="77777777" w:rsidR="002635DB" w:rsidRPr="002635DB" w:rsidRDefault="002635DB" w:rsidP="00C7256F">
      <w:pPr>
        <w:pStyle w:val="ListParagraph"/>
        <w:ind w:left="270"/>
        <w:rPr>
          <w:rFonts w:ascii="Arial" w:hAnsi="Arial" w:cs="Arial"/>
          <w:bCs/>
        </w:rPr>
      </w:pPr>
      <w:r w:rsidRPr="002635DB">
        <w:rPr>
          <w:rFonts w:ascii="Arial" w:hAnsi="Arial" w:cs="Arial"/>
          <w:bCs/>
        </w:rPr>
        <w:tab/>
        <w:t>Cardiorespiratory   Neurology   Medicine   Cardiovascular   Surgical   Average</w:t>
      </w:r>
    </w:p>
    <w:p w14:paraId="4A2CCE70" w14:textId="7AD11332" w:rsidR="002635DB" w:rsidRPr="002635DB" w:rsidRDefault="002635DB" w:rsidP="00C7256F">
      <w:pPr>
        <w:pStyle w:val="ListParagraph"/>
        <w:ind w:left="270"/>
        <w:rPr>
          <w:rFonts w:ascii="Arial" w:hAnsi="Arial" w:cs="Arial"/>
          <w:bCs/>
        </w:rPr>
      </w:pPr>
      <w:r w:rsidRPr="002635DB">
        <w:rPr>
          <w:rFonts w:ascii="Arial" w:hAnsi="Arial" w:cs="Arial"/>
          <w:bCs/>
        </w:rPr>
        <w:t>Mean</w:t>
      </w:r>
      <w:r w:rsidRPr="002635DB">
        <w:rPr>
          <w:rFonts w:ascii="Arial" w:hAnsi="Arial" w:cs="Arial"/>
          <w:bCs/>
        </w:rPr>
        <w:tab/>
      </w:r>
      <w:r w:rsidR="00563CE4">
        <w:rPr>
          <w:rFonts w:ascii="Arial" w:hAnsi="Arial" w:cs="Arial"/>
          <w:bCs/>
        </w:rPr>
        <w:t xml:space="preserve">    </w:t>
      </w:r>
      <w:r w:rsidRPr="002635DB">
        <w:rPr>
          <w:rFonts w:ascii="Arial" w:hAnsi="Arial" w:cs="Arial"/>
          <w:bCs/>
        </w:rPr>
        <w:t>0.55</w:t>
      </w:r>
      <w:r w:rsidRPr="002635DB">
        <w:rPr>
          <w:rFonts w:ascii="Arial" w:hAnsi="Arial" w:cs="Arial"/>
          <w:bCs/>
        </w:rPr>
        <w:tab/>
        <w:t xml:space="preserve">            </w:t>
      </w:r>
      <w:r w:rsidR="00563CE4">
        <w:rPr>
          <w:rFonts w:ascii="Arial" w:hAnsi="Arial" w:cs="Arial"/>
          <w:bCs/>
        </w:rPr>
        <w:t xml:space="preserve">  </w:t>
      </w:r>
      <w:r w:rsidRPr="002635DB">
        <w:rPr>
          <w:rFonts w:ascii="Arial" w:hAnsi="Arial" w:cs="Arial"/>
          <w:bCs/>
        </w:rPr>
        <w:t xml:space="preserve"> 0.65</w:t>
      </w:r>
      <w:r w:rsidRPr="002635DB">
        <w:rPr>
          <w:rFonts w:ascii="Arial" w:hAnsi="Arial" w:cs="Arial"/>
          <w:bCs/>
        </w:rPr>
        <w:tab/>
        <w:t xml:space="preserve">        0.47</w:t>
      </w:r>
      <w:r w:rsidRPr="002635DB">
        <w:rPr>
          <w:rFonts w:ascii="Arial" w:hAnsi="Arial" w:cs="Arial"/>
          <w:bCs/>
        </w:rPr>
        <w:tab/>
        <w:t xml:space="preserve">    0.57</w:t>
      </w:r>
      <w:r w:rsidRPr="002635DB">
        <w:rPr>
          <w:rFonts w:ascii="Arial" w:hAnsi="Arial" w:cs="Arial"/>
          <w:bCs/>
        </w:rPr>
        <w:tab/>
        <w:t xml:space="preserve">              0.45</w:t>
      </w:r>
      <w:r w:rsidRPr="002635DB">
        <w:rPr>
          <w:rFonts w:ascii="Arial" w:hAnsi="Arial" w:cs="Arial"/>
          <w:bCs/>
        </w:rPr>
        <w:tab/>
        <w:t xml:space="preserve">       0.54</w:t>
      </w:r>
    </w:p>
    <w:p w14:paraId="1DDAB145" w14:textId="77777777" w:rsidR="002635DB" w:rsidRPr="002635DB" w:rsidRDefault="002635DB" w:rsidP="00C7256F">
      <w:pPr>
        <w:pStyle w:val="ListParagraph"/>
        <w:ind w:left="270"/>
        <w:rPr>
          <w:rFonts w:ascii="Arial" w:hAnsi="Arial" w:cs="Arial"/>
        </w:rPr>
      </w:pPr>
    </w:p>
    <w:p w14:paraId="3C948323" w14:textId="730148F1" w:rsidR="002635DB" w:rsidRPr="002635DB" w:rsidRDefault="002635DB" w:rsidP="00C7256F">
      <w:pPr>
        <w:pStyle w:val="ListParagraph"/>
        <w:ind w:left="270"/>
        <w:rPr>
          <w:rFonts w:ascii="Arial" w:hAnsi="Arial" w:cs="Arial"/>
          <w:bCs/>
        </w:rPr>
      </w:pPr>
      <w:r w:rsidRPr="002635DB">
        <w:rPr>
          <w:rFonts w:ascii="Arial" w:hAnsi="Arial" w:cs="Arial"/>
          <w:bCs/>
        </w:rPr>
        <w:t xml:space="preserve">The mean signal-to-noise reliability scores of the five cohorts ranged from 0.45 to 0.65 for </w:t>
      </w:r>
      <w:r w:rsidR="00825191">
        <w:rPr>
          <w:rFonts w:ascii="Arial" w:hAnsi="Arial" w:cs="Arial"/>
          <w:bCs/>
        </w:rPr>
        <w:t>EC</w:t>
      </w:r>
      <w:r w:rsidR="00825191" w:rsidRPr="002635DB">
        <w:rPr>
          <w:rFonts w:ascii="Arial" w:hAnsi="Arial" w:cs="Arial"/>
          <w:bCs/>
        </w:rPr>
        <w:t xml:space="preserve"> </w:t>
      </w:r>
      <w:r w:rsidRPr="002635DB">
        <w:rPr>
          <w:rFonts w:ascii="Arial" w:hAnsi="Arial" w:cs="Arial"/>
          <w:bCs/>
        </w:rPr>
        <w:t>groups, calculated with 1 year of data and providers with at least 25 patients in the cohorts, are considered “substantial” for clinician groups</w:t>
      </w:r>
      <w:r>
        <w:rPr>
          <w:rFonts w:ascii="Arial" w:hAnsi="Arial" w:cs="Arial"/>
          <w:bCs/>
        </w:rPr>
        <w:t xml:space="preserve"> </w:t>
      </w:r>
      <w:r w:rsidRPr="002635DB">
        <w:rPr>
          <w:rFonts w:ascii="Arial" w:hAnsi="Arial" w:cs="Arial"/>
          <w:bCs/>
        </w:rPr>
        <w:t>based on the standards establ</w:t>
      </w:r>
      <w:r>
        <w:rPr>
          <w:rFonts w:ascii="Arial" w:hAnsi="Arial" w:cs="Arial"/>
          <w:bCs/>
        </w:rPr>
        <w:t>ished by Landis and Koch (1977).</w:t>
      </w:r>
      <w:r w:rsidRPr="002635DB">
        <w:rPr>
          <w:rFonts w:ascii="Arial" w:hAnsi="Arial" w:cs="Arial"/>
          <w:bCs/>
          <w:vertAlign w:val="superscript"/>
        </w:rPr>
        <w:t xml:space="preserve"> </w:t>
      </w:r>
      <w:r>
        <w:rPr>
          <w:rFonts w:ascii="Arial" w:hAnsi="Arial" w:cs="Arial"/>
          <w:bCs/>
          <w:vertAlign w:val="superscript"/>
        </w:rPr>
        <w:t>2</w:t>
      </w:r>
    </w:p>
    <w:p w14:paraId="15C60DE9" w14:textId="78CB3AED" w:rsidR="00D8237F" w:rsidRPr="00D8237F" w:rsidRDefault="00D8237F" w:rsidP="00C7256F">
      <w:pPr>
        <w:autoSpaceDE w:val="0"/>
        <w:autoSpaceDN w:val="0"/>
        <w:adjustRightInd w:val="0"/>
        <w:ind w:left="270"/>
        <w:rPr>
          <w:rFonts w:ascii="Arial" w:eastAsia="MS Mincho" w:hAnsi="Arial" w:cs="Arial"/>
        </w:rPr>
      </w:pPr>
      <w:r>
        <w:rPr>
          <w:rFonts w:ascii="Arial" w:eastAsia="MS Mincho" w:hAnsi="Arial" w:cs="Arial"/>
        </w:rPr>
        <w:t>Measure validity was</w:t>
      </w:r>
      <w:r w:rsidRPr="00D8237F">
        <w:rPr>
          <w:rFonts w:ascii="Arial" w:eastAsia="MS Mincho" w:hAnsi="Arial" w:cs="Arial"/>
        </w:rPr>
        <w:t xml:space="preserve"> demonstrated through empirical validity testing, by systematic assessment of measure face validity via a technical expert panel (TEP) of national experts and stakeholder organizations, and through use of established measure development guidelines.</w:t>
      </w:r>
      <w:r w:rsidRPr="00D8237F">
        <w:rPr>
          <w:rFonts w:ascii="Arial" w:eastAsia="MS Mincho" w:hAnsi="Arial" w:cs="Arial"/>
          <w:vertAlign w:val="superscript"/>
        </w:rPr>
        <w:t>3-8</w:t>
      </w:r>
    </w:p>
    <w:p w14:paraId="6A104F7A" w14:textId="77777777" w:rsidR="00D8237F" w:rsidRPr="00D8237F" w:rsidRDefault="00D8237F" w:rsidP="00C7256F">
      <w:pPr>
        <w:autoSpaceDE w:val="0"/>
        <w:autoSpaceDN w:val="0"/>
        <w:adjustRightInd w:val="0"/>
        <w:ind w:left="270"/>
        <w:rPr>
          <w:rFonts w:ascii="Arial" w:eastAsia="MS Mincho" w:hAnsi="Arial" w:cs="Arial"/>
          <w:u w:val="single"/>
        </w:rPr>
      </w:pPr>
      <w:r w:rsidRPr="00D8237F">
        <w:rPr>
          <w:rFonts w:ascii="Arial" w:eastAsia="MS Mincho" w:hAnsi="Arial" w:cs="Arial"/>
          <w:u w:val="single"/>
        </w:rPr>
        <w:t>Empirical Validity Testing</w:t>
      </w:r>
    </w:p>
    <w:p w14:paraId="0EC5DF21" w14:textId="4673B53F" w:rsidR="00463C36" w:rsidRDefault="00D8237F" w:rsidP="00C7256F">
      <w:pPr>
        <w:autoSpaceDE w:val="0"/>
        <w:autoSpaceDN w:val="0"/>
        <w:adjustRightInd w:val="0"/>
        <w:ind w:left="270"/>
        <w:rPr>
          <w:rFonts w:ascii="Arial" w:eastAsia="MS Mincho" w:hAnsi="Arial" w:cs="Arial"/>
        </w:rPr>
      </w:pPr>
      <w:r w:rsidRPr="00D8237F">
        <w:rPr>
          <w:rFonts w:ascii="Arial" w:eastAsia="MS Mincho" w:hAnsi="Arial" w:cs="Arial"/>
        </w:rPr>
        <w:t xml:space="preserve">To provide additional validation of the measure, </w:t>
      </w:r>
      <w:r w:rsidR="00151945">
        <w:rPr>
          <w:rFonts w:ascii="Arial" w:eastAsia="MS Mincho" w:hAnsi="Arial" w:cs="Arial"/>
        </w:rPr>
        <w:t>correlation</w:t>
      </w:r>
      <w:r>
        <w:rPr>
          <w:rFonts w:ascii="Arial" w:eastAsia="MS Mincho" w:hAnsi="Arial" w:cs="Arial"/>
        </w:rPr>
        <w:t xml:space="preserve"> was</w:t>
      </w:r>
      <w:r w:rsidRPr="00D8237F">
        <w:rPr>
          <w:rFonts w:ascii="Arial" w:eastAsia="MS Mincho" w:hAnsi="Arial" w:cs="Arial"/>
        </w:rPr>
        <w:t xml:space="preserve"> assessed </w:t>
      </w:r>
      <w:r w:rsidR="00151945">
        <w:rPr>
          <w:rFonts w:ascii="Arial" w:eastAsia="MS Mincho" w:hAnsi="Arial" w:cs="Arial"/>
        </w:rPr>
        <w:t xml:space="preserve">between the measure and metrics of </w:t>
      </w:r>
      <w:r w:rsidRPr="00D8237F">
        <w:rPr>
          <w:rFonts w:ascii="Arial" w:eastAsia="MS Mincho" w:hAnsi="Arial" w:cs="Arial"/>
        </w:rPr>
        <w:t>hospital quality. Since the outcome depends on hospital processes, including coordination of care during the stay and during</w:t>
      </w:r>
      <w:r>
        <w:rPr>
          <w:rFonts w:ascii="Arial" w:eastAsia="MS Mincho" w:hAnsi="Arial" w:cs="Arial"/>
        </w:rPr>
        <w:t xml:space="preserve"> transition from the hospital, </w:t>
      </w:r>
      <w:r w:rsidRPr="00D8237F">
        <w:rPr>
          <w:rFonts w:ascii="Arial" w:eastAsia="MS Mincho" w:hAnsi="Arial" w:cs="Arial"/>
        </w:rPr>
        <w:t xml:space="preserve">the readmission rate for a provider </w:t>
      </w:r>
      <w:r w:rsidR="00151945">
        <w:rPr>
          <w:rFonts w:ascii="Arial" w:eastAsia="MS Mincho" w:hAnsi="Arial" w:cs="Arial"/>
        </w:rPr>
        <w:t>sh</w:t>
      </w:r>
      <w:r w:rsidRPr="00D8237F">
        <w:rPr>
          <w:rFonts w:ascii="Arial" w:eastAsia="MS Mincho" w:hAnsi="Arial" w:cs="Arial"/>
        </w:rPr>
        <w:t>ould be consistent with the quality of the hospital where most of their attributed patients are discharged. As measures of hospital quality, the CMS Hospital Overall Star Ratings and Hospital Star Ratings readmission domain scores</w:t>
      </w:r>
      <w:r>
        <w:rPr>
          <w:rFonts w:ascii="Arial" w:eastAsia="MS Mincho" w:hAnsi="Arial" w:cs="Arial"/>
        </w:rPr>
        <w:t xml:space="preserve"> were used</w:t>
      </w:r>
      <w:r w:rsidRPr="00D8237F">
        <w:rPr>
          <w:rFonts w:ascii="Arial" w:eastAsia="MS Mincho" w:hAnsi="Arial" w:cs="Arial"/>
        </w:rPr>
        <w:t xml:space="preserve">. To assess consistency, the distribution of the measure score </w:t>
      </w:r>
      <w:r>
        <w:rPr>
          <w:rFonts w:ascii="Arial" w:eastAsia="MS Mincho" w:hAnsi="Arial" w:cs="Arial"/>
        </w:rPr>
        <w:t xml:space="preserve">was </w:t>
      </w:r>
      <w:r w:rsidRPr="00D8237F">
        <w:rPr>
          <w:rFonts w:ascii="Arial" w:eastAsia="MS Mincho" w:hAnsi="Arial" w:cs="Arial"/>
        </w:rPr>
        <w:t>plotted, Risk Adjusted Readmission Rate (RARR) over: a) Overall Star Rating (1-5) and b) quintiles of the Star Rating Readmission domain score. We did this for all EC</w:t>
      </w:r>
      <w:r w:rsidR="001700F4">
        <w:rPr>
          <w:rFonts w:ascii="Arial" w:eastAsia="MS Mincho" w:hAnsi="Arial" w:cs="Arial"/>
        </w:rPr>
        <w:t xml:space="preserve"> </w:t>
      </w:r>
      <w:r w:rsidRPr="00D8237F">
        <w:rPr>
          <w:rFonts w:ascii="Arial" w:eastAsia="MS Mincho" w:hAnsi="Arial" w:cs="Arial"/>
        </w:rPr>
        <w:t xml:space="preserve">Groups with at least 25 patients attributed. </w:t>
      </w:r>
    </w:p>
    <w:p w14:paraId="5FFD068E" w14:textId="77777777" w:rsidR="00463C36" w:rsidRDefault="00463C36">
      <w:pPr>
        <w:rPr>
          <w:rFonts w:ascii="Arial" w:eastAsia="MS Mincho" w:hAnsi="Arial" w:cs="Arial"/>
        </w:rPr>
      </w:pPr>
      <w:r>
        <w:rPr>
          <w:rFonts w:ascii="Arial" w:eastAsia="MS Mincho" w:hAnsi="Arial" w:cs="Arial"/>
        </w:rPr>
        <w:br w:type="page"/>
      </w:r>
    </w:p>
    <w:p w14:paraId="61CE67DF" w14:textId="77777777" w:rsidR="00D8237F" w:rsidRPr="00D8237F" w:rsidRDefault="00D8237F" w:rsidP="00C7256F">
      <w:pPr>
        <w:autoSpaceDE w:val="0"/>
        <w:autoSpaceDN w:val="0"/>
        <w:adjustRightInd w:val="0"/>
        <w:ind w:left="270"/>
        <w:rPr>
          <w:rFonts w:ascii="Arial" w:eastAsia="MS Mincho" w:hAnsi="Arial" w:cs="Arial"/>
        </w:rPr>
      </w:pPr>
    </w:p>
    <w:p w14:paraId="1EB43287" w14:textId="77777777" w:rsidR="00D8237F" w:rsidRPr="00D8237F" w:rsidRDefault="00D8237F" w:rsidP="00C7256F">
      <w:pPr>
        <w:autoSpaceDE w:val="0"/>
        <w:autoSpaceDN w:val="0"/>
        <w:adjustRightInd w:val="0"/>
        <w:ind w:left="270"/>
        <w:rPr>
          <w:rFonts w:ascii="Arial" w:eastAsia="MS Mincho" w:hAnsi="Arial" w:cs="Arial"/>
          <w:u w:val="single"/>
        </w:rPr>
      </w:pPr>
      <w:r w:rsidRPr="00D8237F">
        <w:rPr>
          <w:rFonts w:ascii="Arial" w:eastAsia="MS Mincho" w:hAnsi="Arial" w:cs="Arial"/>
          <w:u w:val="single"/>
        </w:rPr>
        <w:t>Validity as Assessed by External Groups and TEP</w:t>
      </w:r>
    </w:p>
    <w:p w14:paraId="0203185F" w14:textId="5EF443EF" w:rsidR="00D8237F" w:rsidRPr="00D8237F" w:rsidRDefault="00D8237F" w:rsidP="00C7256F">
      <w:pPr>
        <w:autoSpaceDE w:val="0"/>
        <w:autoSpaceDN w:val="0"/>
        <w:adjustRightInd w:val="0"/>
        <w:ind w:left="270"/>
        <w:rPr>
          <w:rFonts w:ascii="Arial" w:eastAsia="MS Mincho" w:hAnsi="Arial" w:cs="Arial"/>
        </w:rPr>
      </w:pPr>
      <w:r w:rsidRPr="00D8237F">
        <w:rPr>
          <w:rFonts w:ascii="Arial" w:eastAsia="MS Mincho" w:hAnsi="Arial" w:cs="Arial"/>
        </w:rPr>
        <w:t>Throughout the measure development process, expert and stakeholder input</w:t>
      </w:r>
      <w:r>
        <w:rPr>
          <w:rFonts w:ascii="Arial" w:eastAsia="MS Mincho" w:hAnsi="Arial" w:cs="Arial"/>
        </w:rPr>
        <w:t xml:space="preserve"> was solicited</w:t>
      </w:r>
      <w:r w:rsidRPr="00D8237F">
        <w:rPr>
          <w:rFonts w:ascii="Arial" w:eastAsia="MS Mincho" w:hAnsi="Arial" w:cs="Arial"/>
        </w:rPr>
        <w:t xml:space="preserve"> through holding regular discussions with external clinical consultants, consulting our national TEP, and holding a 30-day public comment period.</w:t>
      </w:r>
    </w:p>
    <w:p w14:paraId="3B0B2A85" w14:textId="4E172868" w:rsidR="00D8237F" w:rsidRPr="00D8237F" w:rsidRDefault="00D8237F" w:rsidP="00C7256F">
      <w:pPr>
        <w:autoSpaceDE w:val="0"/>
        <w:autoSpaceDN w:val="0"/>
        <w:adjustRightInd w:val="0"/>
        <w:ind w:left="270"/>
        <w:rPr>
          <w:rFonts w:ascii="Arial" w:eastAsia="MS Mincho" w:hAnsi="Arial" w:cs="Arial"/>
        </w:rPr>
      </w:pPr>
      <w:r w:rsidRPr="00D8237F">
        <w:rPr>
          <w:rFonts w:ascii="Arial" w:eastAsia="MS Mincho" w:hAnsi="Arial" w:cs="Arial"/>
        </w:rPr>
        <w:t>In addition to the clinical consultations and in alignment with CMS MMS guidance, a TEP</w:t>
      </w:r>
      <w:r>
        <w:rPr>
          <w:rFonts w:ascii="Arial" w:eastAsia="MS Mincho" w:hAnsi="Arial" w:cs="Arial"/>
        </w:rPr>
        <w:t xml:space="preserve"> was convened</w:t>
      </w:r>
      <w:r w:rsidRPr="00D8237F">
        <w:rPr>
          <w:rFonts w:ascii="Arial" w:eastAsia="MS Mincho" w:hAnsi="Arial" w:cs="Arial"/>
        </w:rPr>
        <w:t xml:space="preserve"> to provide input and feedback during measure development from a group of recognized experts in relevant fields. </w:t>
      </w:r>
      <w:r>
        <w:rPr>
          <w:rFonts w:ascii="Arial" w:eastAsia="MS Mincho" w:hAnsi="Arial" w:cs="Arial"/>
        </w:rPr>
        <w:t>T</w:t>
      </w:r>
      <w:r w:rsidRPr="00D8237F">
        <w:rPr>
          <w:rFonts w:ascii="Arial" w:eastAsia="MS Mincho" w:hAnsi="Arial" w:cs="Arial"/>
        </w:rPr>
        <w:t>hree structured TEP conference calls consisting of a</w:t>
      </w:r>
      <w:r>
        <w:rPr>
          <w:rFonts w:ascii="Arial" w:eastAsia="MS Mincho" w:hAnsi="Arial" w:cs="Arial"/>
        </w:rPr>
        <w:t xml:space="preserve"> presentation of key issues, </w:t>
      </w:r>
      <w:r w:rsidRPr="00D8237F">
        <w:rPr>
          <w:rFonts w:ascii="Arial" w:eastAsia="MS Mincho" w:hAnsi="Arial" w:cs="Arial"/>
        </w:rPr>
        <w:t>proposed approach, and relevant data, followed by open discussion among TEP members</w:t>
      </w:r>
      <w:r>
        <w:rPr>
          <w:rFonts w:ascii="Arial" w:eastAsia="MS Mincho" w:hAnsi="Arial" w:cs="Arial"/>
        </w:rPr>
        <w:t xml:space="preserve"> were held</w:t>
      </w:r>
      <w:r w:rsidRPr="00D8237F">
        <w:rPr>
          <w:rFonts w:ascii="Arial" w:eastAsia="MS Mincho" w:hAnsi="Arial" w:cs="Arial"/>
        </w:rPr>
        <w:t xml:space="preserve">. </w:t>
      </w:r>
      <w:r>
        <w:rPr>
          <w:rFonts w:ascii="Arial" w:eastAsia="MS Mincho" w:hAnsi="Arial" w:cs="Arial"/>
        </w:rPr>
        <w:t>The measure was modified</w:t>
      </w:r>
      <w:r w:rsidRPr="00D8237F">
        <w:rPr>
          <w:rFonts w:ascii="Arial" w:eastAsia="MS Mincho" w:hAnsi="Arial" w:cs="Arial"/>
        </w:rPr>
        <w:t xml:space="preserve"> to the measure attribution based on TEP feedback on the measure.</w:t>
      </w:r>
    </w:p>
    <w:p w14:paraId="280D75CB" w14:textId="77777777" w:rsidR="00D8237F" w:rsidRPr="00D8237F" w:rsidRDefault="00D8237F" w:rsidP="00C7256F">
      <w:pPr>
        <w:autoSpaceDE w:val="0"/>
        <w:autoSpaceDN w:val="0"/>
        <w:adjustRightInd w:val="0"/>
        <w:ind w:left="270"/>
        <w:rPr>
          <w:rFonts w:ascii="Arial" w:eastAsia="MS Mincho" w:hAnsi="Arial" w:cs="Arial"/>
          <w:u w:val="single"/>
        </w:rPr>
      </w:pPr>
      <w:r w:rsidRPr="00D8237F">
        <w:rPr>
          <w:rFonts w:ascii="Arial" w:eastAsia="MS Mincho" w:hAnsi="Arial" w:cs="Arial"/>
          <w:u w:val="single"/>
        </w:rPr>
        <w:t>Validity Indicated by Established Measure Development Guidelines</w:t>
      </w:r>
    </w:p>
    <w:p w14:paraId="276CABFD" w14:textId="4CF0601D" w:rsidR="00D8237F" w:rsidRPr="00D8237F" w:rsidRDefault="00D8237F" w:rsidP="00C7256F">
      <w:pPr>
        <w:autoSpaceDE w:val="0"/>
        <w:autoSpaceDN w:val="0"/>
        <w:adjustRightInd w:val="0"/>
        <w:ind w:left="270"/>
        <w:rPr>
          <w:rFonts w:ascii="Arial" w:eastAsia="MS Mincho" w:hAnsi="Arial" w:cs="Arial"/>
        </w:rPr>
      </w:pPr>
      <w:r>
        <w:rPr>
          <w:rFonts w:ascii="Arial" w:eastAsia="MS Mincho" w:hAnsi="Arial" w:cs="Arial"/>
        </w:rPr>
        <w:t>T</w:t>
      </w:r>
      <w:r w:rsidRPr="00D8237F">
        <w:rPr>
          <w:rFonts w:ascii="Arial" w:eastAsia="MS Mincho" w:hAnsi="Arial" w:cs="Arial"/>
        </w:rPr>
        <w:t xml:space="preserve">his measure </w:t>
      </w:r>
      <w:r>
        <w:rPr>
          <w:rFonts w:ascii="Arial" w:eastAsia="MS Mincho" w:hAnsi="Arial" w:cs="Arial"/>
        </w:rPr>
        <w:t>was</w:t>
      </w:r>
      <w:r w:rsidRPr="00D8237F">
        <w:rPr>
          <w:rFonts w:ascii="Arial" w:eastAsia="MS Mincho" w:hAnsi="Arial" w:cs="Arial"/>
        </w:rPr>
        <w:t xml:space="preserve"> developed in consultation with national guidelines for publicly reported outcome measures, with input from outside experts and the public. The measure is consistent with the technical approach to outcomes measurement set forth in NQF guidance for outcome measures</w:t>
      </w:r>
      <w:r w:rsidR="00907008">
        <w:rPr>
          <w:rFonts w:ascii="Arial" w:eastAsia="MS Mincho" w:hAnsi="Arial" w:cs="Arial"/>
          <w:vertAlign w:val="superscript"/>
        </w:rPr>
        <w:t>9</w:t>
      </w:r>
      <w:r w:rsidRPr="00D8237F">
        <w:rPr>
          <w:rFonts w:ascii="Arial" w:eastAsia="MS Mincho" w:hAnsi="Arial" w:cs="Arial"/>
        </w:rPr>
        <w:t>, CMS Measure Management System (MMS) guidance, and guidance articulated in the American Heart Association scientific statement entitled, “Standards for Statistical Models Used for Public Reporting of Health Outcomes”.</w:t>
      </w:r>
      <w:r w:rsidR="00907008" w:rsidRPr="00907008">
        <w:rPr>
          <w:rFonts w:ascii="Arial" w:eastAsia="MS Mincho" w:hAnsi="Arial" w:cs="Arial"/>
          <w:vertAlign w:val="superscript"/>
        </w:rPr>
        <w:t>10</w:t>
      </w:r>
    </w:p>
    <w:p w14:paraId="0974BA2C" w14:textId="77777777" w:rsidR="005231CC" w:rsidRDefault="005231CC">
      <w:pPr>
        <w:rPr>
          <w:rFonts w:ascii="Arial" w:hAnsi="Arial" w:cs="Arial"/>
          <w:u w:val="single"/>
        </w:rPr>
      </w:pPr>
      <w:r w:rsidRPr="005231CC">
        <w:rPr>
          <w:rFonts w:ascii="Arial" w:hAnsi="Arial" w:cs="Arial"/>
        </w:rPr>
        <w:t xml:space="preserve">    </w:t>
      </w:r>
      <w:r w:rsidRPr="005231CC">
        <w:rPr>
          <w:rFonts w:ascii="Arial" w:hAnsi="Arial" w:cs="Arial"/>
          <w:u w:val="single"/>
        </w:rPr>
        <w:t>Topped-Out Analysis</w:t>
      </w:r>
    </w:p>
    <w:p w14:paraId="4FD2D49D" w14:textId="509A5964" w:rsidR="00257571" w:rsidRPr="005231CC" w:rsidRDefault="005231CC" w:rsidP="005231CC">
      <w:pPr>
        <w:ind w:left="270"/>
        <w:rPr>
          <w:rFonts w:ascii="Arial" w:hAnsi="Arial" w:cs="Arial"/>
        </w:rPr>
      </w:pPr>
      <w:r w:rsidRPr="005231CC">
        <w:rPr>
          <w:rFonts w:ascii="Arial" w:hAnsi="Arial" w:cs="Arial"/>
        </w:rPr>
        <w:t xml:space="preserve">The HWR measure is not “topped out” at any volume or attribution level. For the HWR measure, we ran split half (test-retest) reliability testing in addition to signal to noise testing. A split half reliability of 0.40 or higher is considered acceptable. At that level, </w:t>
      </w:r>
      <w:r w:rsidR="00825191">
        <w:rPr>
          <w:rFonts w:ascii="Arial" w:hAnsi="Arial" w:cs="Arial"/>
        </w:rPr>
        <w:t>EC</w:t>
      </w:r>
      <w:r w:rsidR="00981DD8">
        <w:rPr>
          <w:rFonts w:ascii="Arial" w:hAnsi="Arial" w:cs="Arial"/>
        </w:rPr>
        <w:t xml:space="preserve"> </w:t>
      </w:r>
      <w:r w:rsidRPr="005231CC">
        <w:rPr>
          <w:rFonts w:ascii="Arial" w:hAnsi="Arial" w:cs="Arial"/>
        </w:rPr>
        <w:t xml:space="preserve">group reporting at a volume threshold of 100 admissions would meet this reliability target. </w:t>
      </w:r>
      <w:r w:rsidR="00257571" w:rsidRPr="005231CC">
        <w:rPr>
          <w:rFonts w:ascii="Arial" w:hAnsi="Arial" w:cs="Arial"/>
        </w:rPr>
        <w:br w:type="page"/>
      </w:r>
    </w:p>
    <w:p w14:paraId="02A8136A" w14:textId="77777777" w:rsidR="00257571" w:rsidRDefault="00257571">
      <w:pPr>
        <w:rPr>
          <w:rFonts w:ascii="Arial" w:hAnsi="Arial" w:cs="Arial"/>
          <w:u w:val="single"/>
        </w:rPr>
        <w:sectPr w:rsidR="00257571" w:rsidSect="00E45B08">
          <w:footerReference w:type="default" r:id="rId12"/>
          <w:pgSz w:w="12240" w:h="15840"/>
          <w:pgMar w:top="720" w:right="720" w:bottom="720" w:left="720" w:header="720" w:footer="720" w:gutter="0"/>
          <w:cols w:space="720"/>
          <w:docGrid w:linePitch="360"/>
        </w:sectPr>
      </w:pPr>
    </w:p>
    <w:p w14:paraId="3BF4C5FA" w14:textId="20E7BCED" w:rsidR="00257571" w:rsidRDefault="005231CC">
      <w:pPr>
        <w:rPr>
          <w:rFonts w:ascii="Arial" w:hAnsi="Arial" w:cs="Arial"/>
          <w:u w:val="single"/>
        </w:rPr>
      </w:pPr>
      <w:r>
        <w:rPr>
          <w:rFonts w:ascii="Arial" w:hAnsi="Arial" w:cs="Arial"/>
          <w:u w:val="single"/>
        </w:rPr>
        <w:t>Summary of “Topped-Out” Status for MIPS HWR Measure (2015-2016 period)</w:t>
      </w:r>
    </w:p>
    <w:p w14:paraId="02BBF7A2" w14:textId="77777777" w:rsidR="005231CC" w:rsidRDefault="005231CC">
      <w:pPr>
        <w:rPr>
          <w:rFonts w:ascii="Arial" w:hAnsi="Arial" w:cs="Arial"/>
          <w:u w:val="single"/>
        </w:rPr>
      </w:pPr>
    </w:p>
    <w:tbl>
      <w:tblPr>
        <w:tblpPr w:leftFromText="180" w:rightFromText="180" w:vertAnchor="page" w:horzAnchor="page" w:tblpX="301" w:tblpY="1366"/>
        <w:tblW w:w="150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70"/>
        <w:gridCol w:w="900"/>
        <w:gridCol w:w="900"/>
        <w:gridCol w:w="990"/>
        <w:gridCol w:w="971"/>
        <w:gridCol w:w="895"/>
        <w:gridCol w:w="1734"/>
        <w:gridCol w:w="990"/>
        <w:gridCol w:w="990"/>
        <w:gridCol w:w="1170"/>
        <w:gridCol w:w="1440"/>
        <w:gridCol w:w="810"/>
        <w:gridCol w:w="990"/>
        <w:gridCol w:w="1170"/>
      </w:tblGrid>
      <w:tr w:rsidR="005231CC" w:rsidRPr="007162A6" w14:paraId="460775DE" w14:textId="77777777" w:rsidTr="00841C6E">
        <w:trPr>
          <w:trHeight w:val="1485"/>
        </w:trPr>
        <w:tc>
          <w:tcPr>
            <w:tcW w:w="1070" w:type="dxa"/>
            <w:shd w:val="clear" w:color="auto" w:fill="F5F7F1"/>
            <w:tcMar>
              <w:top w:w="0" w:type="dxa"/>
              <w:left w:w="108" w:type="dxa"/>
              <w:bottom w:w="0" w:type="dxa"/>
              <w:right w:w="108" w:type="dxa"/>
            </w:tcMar>
            <w:vAlign w:val="center"/>
            <w:hideMark/>
          </w:tcPr>
          <w:p w14:paraId="77092079" w14:textId="77777777" w:rsidR="00257571" w:rsidRDefault="00257571" w:rsidP="007162A6">
            <w:pPr>
              <w:spacing w:after="0" w:line="360" w:lineRule="auto"/>
              <w:jc w:val="center"/>
              <w:rPr>
                <w:rFonts w:ascii="Calibri" w:eastAsia="Calibri" w:hAnsi="Calibri" w:cs="Calibri"/>
                <w:b/>
                <w:bCs/>
                <w:color w:val="000000"/>
                <w:sz w:val="18"/>
                <w:szCs w:val="18"/>
              </w:rPr>
            </w:pPr>
            <w:r w:rsidRPr="007162A6">
              <w:rPr>
                <w:rFonts w:ascii="Calibri" w:eastAsia="Calibri" w:hAnsi="Calibri" w:cs="Calibri"/>
                <w:b/>
                <w:bCs/>
                <w:color w:val="000000"/>
                <w:sz w:val="18"/>
                <w:szCs w:val="18"/>
              </w:rPr>
              <w:t>Provider</w:t>
            </w:r>
          </w:p>
          <w:p w14:paraId="11CEEA6F" w14:textId="3B564105" w:rsidR="007162A6" w:rsidRPr="007162A6" w:rsidRDefault="007162A6" w:rsidP="007162A6">
            <w:pPr>
              <w:spacing w:after="0" w:line="360" w:lineRule="auto"/>
              <w:jc w:val="center"/>
              <w:rPr>
                <w:rFonts w:ascii="Calibri" w:eastAsia="Calibri" w:hAnsi="Calibri" w:cs="Calibri"/>
                <w:b/>
                <w:bCs/>
                <w:color w:val="000000"/>
                <w:sz w:val="18"/>
                <w:szCs w:val="18"/>
              </w:rPr>
            </w:pPr>
          </w:p>
        </w:tc>
        <w:tc>
          <w:tcPr>
            <w:tcW w:w="900" w:type="dxa"/>
            <w:shd w:val="clear" w:color="auto" w:fill="F5F7F1"/>
            <w:tcMar>
              <w:top w:w="0" w:type="dxa"/>
              <w:left w:w="108" w:type="dxa"/>
              <w:bottom w:w="0" w:type="dxa"/>
              <w:right w:w="108" w:type="dxa"/>
            </w:tcMar>
            <w:vAlign w:val="center"/>
            <w:hideMark/>
          </w:tcPr>
          <w:p w14:paraId="4A044ECF" w14:textId="77777777" w:rsidR="00257571" w:rsidRPr="007162A6" w:rsidRDefault="00257571" w:rsidP="007162A6">
            <w:pPr>
              <w:spacing w:after="0" w:line="360" w:lineRule="auto"/>
              <w:jc w:val="center"/>
              <w:rPr>
                <w:rFonts w:ascii="Calibri" w:eastAsia="Calibri" w:hAnsi="Calibri" w:cs="Calibri"/>
                <w:b/>
                <w:bCs/>
                <w:color w:val="000000"/>
                <w:sz w:val="18"/>
                <w:szCs w:val="18"/>
              </w:rPr>
            </w:pPr>
            <w:r w:rsidRPr="007162A6">
              <w:rPr>
                <w:rFonts w:ascii="Calibri" w:eastAsia="Calibri" w:hAnsi="Calibri" w:cs="Calibri"/>
                <w:b/>
                <w:bCs/>
                <w:color w:val="000000"/>
                <w:sz w:val="18"/>
                <w:szCs w:val="18"/>
              </w:rPr>
              <w:t>Volume Cutoff</w:t>
            </w:r>
          </w:p>
        </w:tc>
        <w:tc>
          <w:tcPr>
            <w:tcW w:w="900" w:type="dxa"/>
            <w:shd w:val="clear" w:color="auto" w:fill="F5F7F1"/>
            <w:tcMar>
              <w:top w:w="0" w:type="dxa"/>
              <w:left w:w="108" w:type="dxa"/>
              <w:bottom w:w="0" w:type="dxa"/>
              <w:right w:w="108" w:type="dxa"/>
            </w:tcMar>
            <w:vAlign w:val="center"/>
            <w:hideMark/>
          </w:tcPr>
          <w:p w14:paraId="225034AA" w14:textId="77777777" w:rsidR="00257571" w:rsidRPr="007162A6" w:rsidRDefault="00257571" w:rsidP="007162A6">
            <w:pPr>
              <w:spacing w:after="0" w:line="360" w:lineRule="auto"/>
              <w:jc w:val="center"/>
              <w:rPr>
                <w:rFonts w:ascii="Calibri" w:eastAsia="Calibri" w:hAnsi="Calibri" w:cs="Calibri"/>
                <w:b/>
                <w:bCs/>
                <w:color w:val="000000"/>
                <w:sz w:val="18"/>
                <w:szCs w:val="18"/>
              </w:rPr>
            </w:pPr>
            <w:r w:rsidRPr="007162A6">
              <w:rPr>
                <w:rFonts w:ascii="Calibri" w:eastAsia="Calibri" w:hAnsi="Calibri" w:cs="Calibri"/>
                <w:b/>
                <w:bCs/>
                <w:color w:val="000000"/>
                <w:sz w:val="18"/>
                <w:szCs w:val="18"/>
              </w:rPr>
              <w:t>N</w:t>
            </w:r>
          </w:p>
        </w:tc>
        <w:tc>
          <w:tcPr>
            <w:tcW w:w="990" w:type="dxa"/>
            <w:shd w:val="clear" w:color="auto" w:fill="F5F7F1"/>
            <w:tcMar>
              <w:top w:w="0" w:type="dxa"/>
              <w:left w:w="108" w:type="dxa"/>
              <w:bottom w:w="0" w:type="dxa"/>
              <w:right w:w="108" w:type="dxa"/>
            </w:tcMar>
            <w:vAlign w:val="center"/>
            <w:hideMark/>
          </w:tcPr>
          <w:p w14:paraId="7A0132F3" w14:textId="2EB19DC7" w:rsidR="00257571" w:rsidRPr="007162A6" w:rsidRDefault="00257571" w:rsidP="007162A6">
            <w:pPr>
              <w:spacing w:after="0" w:line="360" w:lineRule="auto"/>
              <w:jc w:val="center"/>
              <w:rPr>
                <w:rFonts w:ascii="Calibri" w:eastAsia="Calibri" w:hAnsi="Calibri" w:cs="Calibri"/>
                <w:b/>
                <w:bCs/>
                <w:color w:val="000000"/>
                <w:sz w:val="18"/>
                <w:szCs w:val="18"/>
              </w:rPr>
            </w:pPr>
            <w:r w:rsidRPr="007162A6">
              <w:rPr>
                <w:rFonts w:ascii="Calibri" w:eastAsia="Calibri" w:hAnsi="Calibri" w:cs="Calibri"/>
                <w:b/>
                <w:bCs/>
                <w:color w:val="000000"/>
                <w:sz w:val="18"/>
                <w:szCs w:val="18"/>
              </w:rPr>
              <w:t>75</w:t>
            </w:r>
            <w:r w:rsidRPr="007162A6">
              <w:rPr>
                <w:rFonts w:ascii="Calibri" w:eastAsia="Calibri" w:hAnsi="Calibri" w:cs="Calibri"/>
                <w:b/>
                <w:bCs/>
                <w:color w:val="000000"/>
                <w:sz w:val="18"/>
                <w:szCs w:val="18"/>
                <w:vertAlign w:val="superscript"/>
              </w:rPr>
              <w:t>th</w:t>
            </w:r>
            <w:r w:rsidRPr="007162A6">
              <w:rPr>
                <w:rFonts w:ascii="Calibri" w:eastAsia="Calibri" w:hAnsi="Calibri" w:cs="Calibri"/>
                <w:b/>
                <w:bCs/>
                <w:color w:val="000000"/>
                <w:sz w:val="18"/>
                <w:szCs w:val="18"/>
              </w:rPr>
              <w:t xml:space="preserve"> Percentile</w:t>
            </w:r>
          </w:p>
        </w:tc>
        <w:tc>
          <w:tcPr>
            <w:tcW w:w="971" w:type="dxa"/>
            <w:shd w:val="clear" w:color="auto" w:fill="F5F7F1"/>
            <w:tcMar>
              <w:top w:w="0" w:type="dxa"/>
              <w:left w:w="108" w:type="dxa"/>
              <w:bottom w:w="0" w:type="dxa"/>
              <w:right w:w="108" w:type="dxa"/>
            </w:tcMar>
            <w:vAlign w:val="center"/>
            <w:hideMark/>
          </w:tcPr>
          <w:p w14:paraId="1B0C8246" w14:textId="7EFEA7F7" w:rsidR="00257571" w:rsidRPr="007162A6" w:rsidRDefault="00257571" w:rsidP="007162A6">
            <w:pPr>
              <w:spacing w:after="0" w:line="360" w:lineRule="auto"/>
              <w:jc w:val="center"/>
              <w:rPr>
                <w:rFonts w:ascii="Calibri" w:eastAsia="Calibri" w:hAnsi="Calibri" w:cs="Calibri"/>
                <w:b/>
                <w:bCs/>
                <w:color w:val="000000"/>
                <w:sz w:val="18"/>
                <w:szCs w:val="18"/>
              </w:rPr>
            </w:pPr>
            <w:r w:rsidRPr="007162A6">
              <w:rPr>
                <w:rFonts w:ascii="Calibri" w:eastAsia="Calibri" w:hAnsi="Calibri" w:cs="Calibri"/>
                <w:b/>
                <w:bCs/>
                <w:color w:val="000000"/>
                <w:sz w:val="18"/>
                <w:szCs w:val="18"/>
              </w:rPr>
              <w:t>90</w:t>
            </w:r>
            <w:r w:rsidRPr="007162A6">
              <w:rPr>
                <w:rFonts w:ascii="Calibri" w:eastAsia="Calibri" w:hAnsi="Calibri" w:cs="Calibri"/>
                <w:b/>
                <w:bCs/>
                <w:color w:val="000000"/>
                <w:sz w:val="18"/>
                <w:szCs w:val="18"/>
                <w:vertAlign w:val="superscript"/>
              </w:rPr>
              <w:t>th</w:t>
            </w:r>
            <w:r w:rsidRPr="007162A6">
              <w:rPr>
                <w:rFonts w:ascii="Calibri" w:eastAsia="Calibri" w:hAnsi="Calibri" w:cs="Calibri"/>
                <w:b/>
                <w:bCs/>
                <w:color w:val="000000"/>
                <w:sz w:val="18"/>
                <w:szCs w:val="18"/>
              </w:rPr>
              <w:t xml:space="preserve"> Percentile</w:t>
            </w:r>
          </w:p>
        </w:tc>
        <w:tc>
          <w:tcPr>
            <w:tcW w:w="895" w:type="dxa"/>
            <w:shd w:val="clear" w:color="auto" w:fill="F5F7F1"/>
            <w:tcMar>
              <w:top w:w="0" w:type="dxa"/>
              <w:left w:w="108" w:type="dxa"/>
              <w:bottom w:w="0" w:type="dxa"/>
              <w:right w:w="108" w:type="dxa"/>
            </w:tcMar>
            <w:vAlign w:val="center"/>
            <w:hideMark/>
          </w:tcPr>
          <w:p w14:paraId="49EE83C8" w14:textId="77777777" w:rsidR="00257571" w:rsidRPr="007162A6" w:rsidRDefault="00257571" w:rsidP="007162A6">
            <w:pPr>
              <w:spacing w:after="0" w:line="360" w:lineRule="auto"/>
              <w:jc w:val="center"/>
              <w:rPr>
                <w:rFonts w:ascii="Calibri" w:eastAsia="Calibri" w:hAnsi="Calibri" w:cs="Calibri"/>
                <w:b/>
                <w:bCs/>
                <w:color w:val="000000"/>
                <w:sz w:val="18"/>
                <w:szCs w:val="18"/>
              </w:rPr>
            </w:pPr>
            <w:r w:rsidRPr="007162A6">
              <w:rPr>
                <w:rFonts w:ascii="Calibri" w:eastAsia="Calibri" w:hAnsi="Calibri" w:cs="Calibri"/>
                <w:b/>
                <w:bCs/>
                <w:color w:val="000000"/>
                <w:sz w:val="18"/>
                <w:szCs w:val="18"/>
              </w:rPr>
              <w:t>Standard Error</w:t>
            </w:r>
          </w:p>
        </w:tc>
        <w:tc>
          <w:tcPr>
            <w:tcW w:w="1734" w:type="dxa"/>
            <w:shd w:val="clear" w:color="auto" w:fill="F5F7F1"/>
            <w:tcMar>
              <w:top w:w="0" w:type="dxa"/>
              <w:left w:w="108" w:type="dxa"/>
              <w:bottom w:w="0" w:type="dxa"/>
              <w:right w:w="108" w:type="dxa"/>
            </w:tcMar>
            <w:vAlign w:val="center"/>
            <w:hideMark/>
          </w:tcPr>
          <w:p w14:paraId="5E426D04" w14:textId="77777777" w:rsidR="00257571" w:rsidRPr="007162A6" w:rsidRDefault="00257571" w:rsidP="007162A6">
            <w:pPr>
              <w:spacing w:after="0" w:line="360" w:lineRule="auto"/>
              <w:jc w:val="center"/>
              <w:rPr>
                <w:rFonts w:ascii="Calibri" w:eastAsia="Calibri" w:hAnsi="Calibri" w:cs="Calibri"/>
                <w:b/>
                <w:bCs/>
                <w:color w:val="000000"/>
                <w:sz w:val="18"/>
                <w:szCs w:val="18"/>
              </w:rPr>
            </w:pPr>
            <w:r w:rsidRPr="007162A6">
              <w:rPr>
                <w:rFonts w:ascii="Calibri" w:eastAsia="Calibri" w:hAnsi="Calibri" w:cs="Calibri"/>
                <w:b/>
                <w:bCs/>
                <w:color w:val="000000"/>
                <w:sz w:val="18"/>
                <w:szCs w:val="18"/>
              </w:rPr>
              <w:t>75th and 90th percentiles within 2 standard errors of each other (or 10th and 25th percentiles, for inverse measures)</w:t>
            </w:r>
          </w:p>
        </w:tc>
        <w:tc>
          <w:tcPr>
            <w:tcW w:w="990" w:type="dxa"/>
            <w:shd w:val="clear" w:color="auto" w:fill="F5F7F1"/>
            <w:tcMar>
              <w:top w:w="0" w:type="dxa"/>
              <w:left w:w="108" w:type="dxa"/>
              <w:bottom w:w="0" w:type="dxa"/>
              <w:right w:w="108" w:type="dxa"/>
            </w:tcMar>
            <w:vAlign w:val="center"/>
            <w:hideMark/>
          </w:tcPr>
          <w:p w14:paraId="355D18BB" w14:textId="77777777" w:rsidR="00257571" w:rsidRPr="007162A6" w:rsidRDefault="00257571" w:rsidP="007162A6">
            <w:pPr>
              <w:spacing w:after="0" w:line="360" w:lineRule="auto"/>
              <w:jc w:val="center"/>
              <w:rPr>
                <w:rFonts w:ascii="Calibri" w:eastAsia="Calibri" w:hAnsi="Calibri" w:cs="Calibri"/>
                <w:b/>
                <w:bCs/>
                <w:color w:val="000000"/>
                <w:sz w:val="18"/>
                <w:szCs w:val="18"/>
              </w:rPr>
            </w:pPr>
            <w:r w:rsidRPr="007162A6">
              <w:rPr>
                <w:rFonts w:ascii="Calibri" w:eastAsia="Calibri" w:hAnsi="Calibri" w:cs="Calibri"/>
                <w:b/>
                <w:bCs/>
                <w:color w:val="000000"/>
                <w:sz w:val="18"/>
                <w:szCs w:val="18"/>
              </w:rPr>
              <w:t>Truncated Mean</w:t>
            </w:r>
          </w:p>
        </w:tc>
        <w:tc>
          <w:tcPr>
            <w:tcW w:w="990" w:type="dxa"/>
            <w:shd w:val="clear" w:color="auto" w:fill="F5F7F1"/>
            <w:tcMar>
              <w:top w:w="0" w:type="dxa"/>
              <w:left w:w="108" w:type="dxa"/>
              <w:bottom w:w="0" w:type="dxa"/>
              <w:right w:w="108" w:type="dxa"/>
            </w:tcMar>
            <w:vAlign w:val="center"/>
            <w:hideMark/>
          </w:tcPr>
          <w:p w14:paraId="4F8A9573" w14:textId="77777777" w:rsidR="00257571" w:rsidRPr="007162A6" w:rsidRDefault="00257571" w:rsidP="007162A6">
            <w:pPr>
              <w:spacing w:after="0" w:line="360" w:lineRule="auto"/>
              <w:jc w:val="center"/>
              <w:rPr>
                <w:rFonts w:ascii="Calibri" w:eastAsia="Calibri" w:hAnsi="Calibri" w:cs="Calibri"/>
                <w:b/>
                <w:bCs/>
                <w:color w:val="000000"/>
                <w:sz w:val="18"/>
                <w:szCs w:val="18"/>
              </w:rPr>
            </w:pPr>
            <w:r w:rsidRPr="007162A6">
              <w:rPr>
                <w:rFonts w:ascii="Calibri" w:eastAsia="Calibri" w:hAnsi="Calibri" w:cs="Calibri"/>
                <w:b/>
                <w:bCs/>
                <w:color w:val="000000"/>
                <w:sz w:val="18"/>
                <w:szCs w:val="18"/>
              </w:rPr>
              <w:t>Truncated SD</w:t>
            </w:r>
          </w:p>
        </w:tc>
        <w:tc>
          <w:tcPr>
            <w:tcW w:w="1170" w:type="dxa"/>
            <w:shd w:val="clear" w:color="auto" w:fill="F5F7F1"/>
            <w:tcMar>
              <w:top w:w="0" w:type="dxa"/>
              <w:left w:w="108" w:type="dxa"/>
              <w:bottom w:w="0" w:type="dxa"/>
              <w:right w:w="108" w:type="dxa"/>
            </w:tcMar>
            <w:vAlign w:val="center"/>
            <w:hideMark/>
          </w:tcPr>
          <w:p w14:paraId="12943C9D" w14:textId="77777777" w:rsidR="00257571" w:rsidRPr="007162A6" w:rsidRDefault="00257571" w:rsidP="007162A6">
            <w:pPr>
              <w:spacing w:after="0" w:line="360" w:lineRule="auto"/>
              <w:jc w:val="center"/>
              <w:rPr>
                <w:rFonts w:ascii="Calibri" w:eastAsia="Calibri" w:hAnsi="Calibri" w:cs="Calibri"/>
                <w:b/>
                <w:bCs/>
                <w:color w:val="000000"/>
                <w:sz w:val="18"/>
                <w:szCs w:val="18"/>
              </w:rPr>
            </w:pPr>
            <w:r w:rsidRPr="007162A6">
              <w:rPr>
                <w:rFonts w:ascii="Calibri" w:eastAsia="Calibri" w:hAnsi="Calibri" w:cs="Calibri"/>
                <w:b/>
                <w:bCs/>
                <w:color w:val="000000"/>
                <w:sz w:val="18"/>
                <w:szCs w:val="18"/>
              </w:rPr>
              <w:t>Truncated Coefficient of Variation (TCV)</w:t>
            </w:r>
          </w:p>
        </w:tc>
        <w:tc>
          <w:tcPr>
            <w:tcW w:w="1440" w:type="dxa"/>
            <w:shd w:val="clear" w:color="auto" w:fill="F5F7F1"/>
            <w:tcMar>
              <w:top w:w="0" w:type="dxa"/>
              <w:left w:w="108" w:type="dxa"/>
              <w:bottom w:w="0" w:type="dxa"/>
              <w:right w:w="108" w:type="dxa"/>
            </w:tcMar>
            <w:vAlign w:val="center"/>
            <w:hideMark/>
          </w:tcPr>
          <w:p w14:paraId="5BE612B9" w14:textId="77777777" w:rsidR="00257571" w:rsidRPr="007162A6" w:rsidRDefault="00257571" w:rsidP="007162A6">
            <w:pPr>
              <w:spacing w:after="0" w:line="360" w:lineRule="auto"/>
              <w:jc w:val="center"/>
              <w:rPr>
                <w:rFonts w:ascii="Calibri" w:eastAsia="Calibri" w:hAnsi="Calibri" w:cs="Calibri"/>
                <w:b/>
                <w:bCs/>
                <w:color w:val="000000"/>
                <w:sz w:val="18"/>
                <w:szCs w:val="18"/>
              </w:rPr>
            </w:pPr>
            <w:r w:rsidRPr="007162A6">
              <w:rPr>
                <w:rFonts w:ascii="Calibri" w:eastAsia="Calibri" w:hAnsi="Calibri" w:cs="Calibri"/>
                <w:b/>
                <w:bCs/>
                <w:color w:val="000000"/>
                <w:sz w:val="18"/>
                <w:szCs w:val="18"/>
              </w:rPr>
              <w:t>Truncated Coefficient of Variation less than 0.10</w:t>
            </w:r>
          </w:p>
        </w:tc>
        <w:tc>
          <w:tcPr>
            <w:tcW w:w="810" w:type="dxa"/>
            <w:shd w:val="clear" w:color="auto" w:fill="F5F7F1"/>
            <w:tcMar>
              <w:top w:w="0" w:type="dxa"/>
              <w:left w:w="108" w:type="dxa"/>
              <w:bottom w:w="0" w:type="dxa"/>
              <w:right w:w="108" w:type="dxa"/>
            </w:tcMar>
            <w:vAlign w:val="center"/>
            <w:hideMark/>
          </w:tcPr>
          <w:p w14:paraId="24692C2F" w14:textId="77777777" w:rsidR="00257571" w:rsidRPr="007162A6" w:rsidRDefault="00257571" w:rsidP="007162A6">
            <w:pPr>
              <w:spacing w:after="0" w:line="360" w:lineRule="auto"/>
              <w:jc w:val="center"/>
              <w:rPr>
                <w:rFonts w:ascii="Calibri" w:eastAsia="Calibri" w:hAnsi="Calibri" w:cs="Calibri"/>
                <w:b/>
                <w:bCs/>
                <w:color w:val="000000"/>
                <w:sz w:val="18"/>
                <w:szCs w:val="18"/>
              </w:rPr>
            </w:pPr>
            <w:r w:rsidRPr="007162A6">
              <w:rPr>
                <w:rFonts w:ascii="Calibri" w:eastAsia="Calibri" w:hAnsi="Calibri" w:cs="Calibri"/>
                <w:b/>
                <w:bCs/>
                <w:color w:val="000000"/>
                <w:sz w:val="18"/>
                <w:szCs w:val="18"/>
              </w:rPr>
              <w:t>Topped Out</w:t>
            </w:r>
          </w:p>
        </w:tc>
        <w:tc>
          <w:tcPr>
            <w:tcW w:w="990" w:type="dxa"/>
            <w:shd w:val="clear" w:color="auto" w:fill="F2F2F2"/>
            <w:tcMar>
              <w:top w:w="0" w:type="dxa"/>
              <w:left w:w="108" w:type="dxa"/>
              <w:bottom w:w="0" w:type="dxa"/>
              <w:right w:w="108" w:type="dxa"/>
            </w:tcMar>
            <w:vAlign w:val="center"/>
            <w:hideMark/>
          </w:tcPr>
          <w:p w14:paraId="71D0CCE8" w14:textId="77777777" w:rsidR="00257571" w:rsidRPr="007162A6" w:rsidRDefault="00257571" w:rsidP="007162A6">
            <w:pPr>
              <w:spacing w:after="0" w:line="360" w:lineRule="auto"/>
              <w:jc w:val="center"/>
              <w:rPr>
                <w:rFonts w:ascii="Calibri" w:eastAsia="Calibri" w:hAnsi="Calibri" w:cs="Calibri"/>
                <w:b/>
                <w:bCs/>
                <w:color w:val="000000"/>
                <w:sz w:val="18"/>
                <w:szCs w:val="18"/>
              </w:rPr>
            </w:pPr>
            <w:r w:rsidRPr="007162A6">
              <w:rPr>
                <w:rFonts w:ascii="Calibri" w:eastAsia="Calibri" w:hAnsi="Calibri" w:cs="Calibri"/>
                <w:b/>
                <w:bCs/>
                <w:color w:val="000000"/>
                <w:sz w:val="18"/>
                <w:szCs w:val="18"/>
              </w:rPr>
              <w:t>Signal to Noise Reliability</w:t>
            </w:r>
          </w:p>
        </w:tc>
        <w:tc>
          <w:tcPr>
            <w:tcW w:w="1170" w:type="dxa"/>
            <w:shd w:val="clear" w:color="auto" w:fill="F2F2F2"/>
            <w:tcMar>
              <w:top w:w="0" w:type="dxa"/>
              <w:left w:w="108" w:type="dxa"/>
              <w:bottom w:w="0" w:type="dxa"/>
              <w:right w:w="108" w:type="dxa"/>
            </w:tcMar>
            <w:vAlign w:val="center"/>
            <w:hideMark/>
          </w:tcPr>
          <w:p w14:paraId="7251C535" w14:textId="77777777" w:rsidR="00257571" w:rsidRPr="007162A6" w:rsidRDefault="00257571" w:rsidP="007162A6">
            <w:pPr>
              <w:spacing w:after="0" w:line="360" w:lineRule="auto"/>
              <w:jc w:val="center"/>
              <w:rPr>
                <w:rFonts w:ascii="Calibri" w:eastAsia="Calibri" w:hAnsi="Calibri" w:cs="Calibri"/>
                <w:b/>
                <w:bCs/>
                <w:color w:val="000000"/>
                <w:sz w:val="18"/>
                <w:szCs w:val="18"/>
              </w:rPr>
            </w:pPr>
            <w:r w:rsidRPr="007162A6">
              <w:rPr>
                <w:rFonts w:ascii="Calibri" w:eastAsia="Calibri" w:hAnsi="Calibri" w:cs="Calibri"/>
                <w:b/>
                <w:bCs/>
                <w:color w:val="000000"/>
                <w:sz w:val="18"/>
                <w:szCs w:val="18"/>
              </w:rPr>
              <w:t>Split Half (Test-Retest) Reliability</w:t>
            </w:r>
          </w:p>
        </w:tc>
      </w:tr>
      <w:tr w:rsidR="005231CC" w:rsidRPr="007162A6" w14:paraId="3E682431" w14:textId="77777777" w:rsidTr="00841C6E">
        <w:trPr>
          <w:trHeight w:val="282"/>
        </w:trPr>
        <w:tc>
          <w:tcPr>
            <w:tcW w:w="1070" w:type="dxa"/>
            <w:shd w:val="clear" w:color="auto" w:fill="FFFFFF"/>
            <w:noWrap/>
            <w:tcMar>
              <w:top w:w="0" w:type="dxa"/>
              <w:left w:w="108" w:type="dxa"/>
              <w:bottom w:w="0" w:type="dxa"/>
              <w:right w:w="108" w:type="dxa"/>
            </w:tcMar>
            <w:vAlign w:val="bottom"/>
            <w:hideMark/>
          </w:tcPr>
          <w:p w14:paraId="599AD94D" w14:textId="77777777" w:rsidR="00257571" w:rsidRPr="007162A6" w:rsidRDefault="00257571" w:rsidP="007162A6">
            <w:pPr>
              <w:spacing w:after="0" w:line="360" w:lineRule="auto"/>
              <w:rPr>
                <w:rFonts w:ascii="Calibri" w:eastAsia="Calibri" w:hAnsi="Calibri" w:cs="Calibri"/>
                <w:color w:val="000000"/>
                <w:sz w:val="18"/>
                <w:szCs w:val="18"/>
              </w:rPr>
            </w:pPr>
            <w:r w:rsidRPr="007162A6">
              <w:rPr>
                <w:rFonts w:ascii="Calibri" w:eastAsia="Calibri" w:hAnsi="Calibri" w:cs="Calibri"/>
                <w:color w:val="000000"/>
                <w:sz w:val="18"/>
                <w:szCs w:val="18"/>
              </w:rPr>
              <w:t>Eligible Clinician Group</w:t>
            </w:r>
          </w:p>
        </w:tc>
        <w:tc>
          <w:tcPr>
            <w:tcW w:w="900" w:type="dxa"/>
            <w:noWrap/>
            <w:tcMar>
              <w:top w:w="0" w:type="dxa"/>
              <w:left w:w="108" w:type="dxa"/>
              <w:bottom w:w="0" w:type="dxa"/>
              <w:right w:w="108" w:type="dxa"/>
            </w:tcMar>
            <w:vAlign w:val="center"/>
            <w:hideMark/>
          </w:tcPr>
          <w:p w14:paraId="248F385D"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25</w:t>
            </w:r>
          </w:p>
        </w:tc>
        <w:tc>
          <w:tcPr>
            <w:tcW w:w="900" w:type="dxa"/>
            <w:noWrap/>
            <w:tcMar>
              <w:top w:w="0" w:type="dxa"/>
              <w:left w:w="108" w:type="dxa"/>
              <w:bottom w:w="0" w:type="dxa"/>
              <w:right w:w="108" w:type="dxa"/>
            </w:tcMar>
            <w:vAlign w:val="center"/>
            <w:hideMark/>
          </w:tcPr>
          <w:p w14:paraId="25721603"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55593</w:t>
            </w:r>
          </w:p>
        </w:tc>
        <w:tc>
          <w:tcPr>
            <w:tcW w:w="990" w:type="dxa"/>
            <w:noWrap/>
            <w:tcMar>
              <w:top w:w="0" w:type="dxa"/>
              <w:left w:w="108" w:type="dxa"/>
              <w:bottom w:w="0" w:type="dxa"/>
              <w:right w:w="108" w:type="dxa"/>
            </w:tcMar>
            <w:vAlign w:val="center"/>
            <w:hideMark/>
          </w:tcPr>
          <w:p w14:paraId="24C33CD8"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16.1944</w:t>
            </w:r>
          </w:p>
        </w:tc>
        <w:tc>
          <w:tcPr>
            <w:tcW w:w="971" w:type="dxa"/>
            <w:noWrap/>
            <w:tcMar>
              <w:top w:w="0" w:type="dxa"/>
              <w:left w:w="108" w:type="dxa"/>
              <w:bottom w:w="0" w:type="dxa"/>
              <w:right w:w="108" w:type="dxa"/>
            </w:tcMar>
            <w:vAlign w:val="center"/>
            <w:hideMark/>
          </w:tcPr>
          <w:p w14:paraId="7101F672"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17.0838</w:t>
            </w:r>
          </w:p>
        </w:tc>
        <w:tc>
          <w:tcPr>
            <w:tcW w:w="895" w:type="dxa"/>
            <w:noWrap/>
            <w:tcMar>
              <w:top w:w="0" w:type="dxa"/>
              <w:left w:w="108" w:type="dxa"/>
              <w:bottom w:w="0" w:type="dxa"/>
              <w:right w:w="108" w:type="dxa"/>
            </w:tcMar>
            <w:vAlign w:val="center"/>
            <w:hideMark/>
          </w:tcPr>
          <w:p w14:paraId="7358544B"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0.006</w:t>
            </w:r>
          </w:p>
        </w:tc>
        <w:tc>
          <w:tcPr>
            <w:tcW w:w="1734" w:type="dxa"/>
            <w:noWrap/>
            <w:tcMar>
              <w:top w:w="0" w:type="dxa"/>
              <w:left w:w="108" w:type="dxa"/>
              <w:bottom w:w="0" w:type="dxa"/>
              <w:right w:w="108" w:type="dxa"/>
            </w:tcMar>
            <w:vAlign w:val="center"/>
            <w:hideMark/>
          </w:tcPr>
          <w:p w14:paraId="1EA6BC35"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No</w:t>
            </w:r>
          </w:p>
        </w:tc>
        <w:tc>
          <w:tcPr>
            <w:tcW w:w="990" w:type="dxa"/>
            <w:noWrap/>
            <w:tcMar>
              <w:top w:w="0" w:type="dxa"/>
              <w:left w:w="108" w:type="dxa"/>
              <w:bottom w:w="0" w:type="dxa"/>
              <w:right w:w="108" w:type="dxa"/>
            </w:tcMar>
            <w:vAlign w:val="center"/>
            <w:hideMark/>
          </w:tcPr>
          <w:p w14:paraId="7D8EF393"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15.39</w:t>
            </w:r>
          </w:p>
        </w:tc>
        <w:tc>
          <w:tcPr>
            <w:tcW w:w="990" w:type="dxa"/>
            <w:noWrap/>
            <w:tcMar>
              <w:top w:w="0" w:type="dxa"/>
              <w:left w:w="108" w:type="dxa"/>
              <w:bottom w:w="0" w:type="dxa"/>
              <w:right w:w="108" w:type="dxa"/>
            </w:tcMar>
            <w:vAlign w:val="center"/>
            <w:hideMark/>
          </w:tcPr>
          <w:p w14:paraId="702342B0"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0.99</w:t>
            </w:r>
          </w:p>
        </w:tc>
        <w:tc>
          <w:tcPr>
            <w:tcW w:w="1170" w:type="dxa"/>
            <w:noWrap/>
            <w:tcMar>
              <w:top w:w="0" w:type="dxa"/>
              <w:left w:w="108" w:type="dxa"/>
              <w:bottom w:w="0" w:type="dxa"/>
              <w:right w:w="108" w:type="dxa"/>
            </w:tcMar>
            <w:vAlign w:val="center"/>
            <w:hideMark/>
          </w:tcPr>
          <w:p w14:paraId="13C2568C"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0.064</w:t>
            </w:r>
          </w:p>
        </w:tc>
        <w:tc>
          <w:tcPr>
            <w:tcW w:w="1440" w:type="dxa"/>
            <w:noWrap/>
            <w:tcMar>
              <w:top w:w="0" w:type="dxa"/>
              <w:left w:w="108" w:type="dxa"/>
              <w:bottom w:w="0" w:type="dxa"/>
              <w:right w:w="108" w:type="dxa"/>
            </w:tcMar>
            <w:vAlign w:val="center"/>
            <w:hideMark/>
          </w:tcPr>
          <w:p w14:paraId="217EEF09" w14:textId="77777777" w:rsidR="00257571" w:rsidRPr="007162A6" w:rsidRDefault="00257571" w:rsidP="007162A6">
            <w:pPr>
              <w:spacing w:after="0" w:line="360" w:lineRule="auto"/>
              <w:jc w:val="center"/>
              <w:rPr>
                <w:rFonts w:ascii="Calibri" w:eastAsia="Calibri" w:hAnsi="Calibri" w:cs="Calibri"/>
                <w:color w:val="333333"/>
                <w:sz w:val="18"/>
                <w:szCs w:val="18"/>
              </w:rPr>
            </w:pPr>
            <w:r w:rsidRPr="007162A6">
              <w:rPr>
                <w:rFonts w:ascii="Calibri" w:eastAsia="Calibri" w:hAnsi="Calibri" w:cs="Calibri"/>
                <w:color w:val="333333"/>
                <w:sz w:val="18"/>
                <w:szCs w:val="18"/>
              </w:rPr>
              <w:t>Yes</w:t>
            </w:r>
          </w:p>
        </w:tc>
        <w:tc>
          <w:tcPr>
            <w:tcW w:w="810" w:type="dxa"/>
            <w:noWrap/>
            <w:tcMar>
              <w:top w:w="0" w:type="dxa"/>
              <w:left w:w="108" w:type="dxa"/>
              <w:bottom w:w="0" w:type="dxa"/>
              <w:right w:w="108" w:type="dxa"/>
            </w:tcMar>
            <w:vAlign w:val="center"/>
            <w:hideMark/>
          </w:tcPr>
          <w:p w14:paraId="1DA4EC43"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No</w:t>
            </w:r>
          </w:p>
        </w:tc>
        <w:tc>
          <w:tcPr>
            <w:tcW w:w="990" w:type="dxa"/>
            <w:noWrap/>
            <w:tcMar>
              <w:top w:w="0" w:type="dxa"/>
              <w:left w:w="108" w:type="dxa"/>
              <w:bottom w:w="0" w:type="dxa"/>
              <w:right w:w="108" w:type="dxa"/>
            </w:tcMar>
            <w:vAlign w:val="center"/>
            <w:hideMark/>
          </w:tcPr>
          <w:p w14:paraId="5B087E76"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0.996</w:t>
            </w:r>
          </w:p>
        </w:tc>
        <w:tc>
          <w:tcPr>
            <w:tcW w:w="1170" w:type="dxa"/>
            <w:noWrap/>
            <w:tcMar>
              <w:top w:w="0" w:type="dxa"/>
              <w:left w:w="108" w:type="dxa"/>
              <w:bottom w:w="0" w:type="dxa"/>
              <w:right w:w="108" w:type="dxa"/>
            </w:tcMar>
            <w:vAlign w:val="center"/>
            <w:hideMark/>
          </w:tcPr>
          <w:p w14:paraId="6FE85094"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0.3</w:t>
            </w:r>
          </w:p>
        </w:tc>
      </w:tr>
      <w:tr w:rsidR="005231CC" w:rsidRPr="007162A6" w14:paraId="016FDDD4" w14:textId="77777777" w:rsidTr="00841C6E">
        <w:trPr>
          <w:trHeight w:val="282"/>
        </w:trPr>
        <w:tc>
          <w:tcPr>
            <w:tcW w:w="1070" w:type="dxa"/>
            <w:shd w:val="clear" w:color="auto" w:fill="FFFFFF"/>
            <w:noWrap/>
            <w:tcMar>
              <w:top w:w="0" w:type="dxa"/>
              <w:left w:w="108" w:type="dxa"/>
              <w:bottom w:w="0" w:type="dxa"/>
              <w:right w:w="108" w:type="dxa"/>
            </w:tcMar>
            <w:vAlign w:val="bottom"/>
            <w:hideMark/>
          </w:tcPr>
          <w:p w14:paraId="30D9E214" w14:textId="77777777" w:rsidR="00257571" w:rsidRPr="007162A6" w:rsidRDefault="00257571" w:rsidP="007162A6">
            <w:pPr>
              <w:spacing w:after="0" w:line="360" w:lineRule="auto"/>
              <w:rPr>
                <w:rFonts w:ascii="Calibri" w:eastAsia="Calibri" w:hAnsi="Calibri" w:cs="Calibri"/>
                <w:color w:val="000000"/>
                <w:sz w:val="18"/>
                <w:szCs w:val="18"/>
              </w:rPr>
            </w:pPr>
            <w:r w:rsidRPr="007162A6">
              <w:rPr>
                <w:rFonts w:ascii="Calibri" w:eastAsia="Calibri" w:hAnsi="Calibri" w:cs="Calibri"/>
                <w:color w:val="000000"/>
                <w:sz w:val="18"/>
                <w:szCs w:val="18"/>
              </w:rPr>
              <w:t>Eligible Clinician Group</w:t>
            </w:r>
          </w:p>
        </w:tc>
        <w:tc>
          <w:tcPr>
            <w:tcW w:w="900" w:type="dxa"/>
            <w:noWrap/>
            <w:tcMar>
              <w:top w:w="0" w:type="dxa"/>
              <w:left w:w="108" w:type="dxa"/>
              <w:bottom w:w="0" w:type="dxa"/>
              <w:right w:w="108" w:type="dxa"/>
            </w:tcMar>
            <w:vAlign w:val="center"/>
            <w:hideMark/>
          </w:tcPr>
          <w:p w14:paraId="31C2D596"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50</w:t>
            </w:r>
          </w:p>
        </w:tc>
        <w:tc>
          <w:tcPr>
            <w:tcW w:w="900" w:type="dxa"/>
            <w:noWrap/>
            <w:tcMar>
              <w:top w:w="0" w:type="dxa"/>
              <w:left w:w="108" w:type="dxa"/>
              <w:bottom w:w="0" w:type="dxa"/>
              <w:right w:w="108" w:type="dxa"/>
            </w:tcMar>
            <w:vAlign w:val="center"/>
            <w:hideMark/>
          </w:tcPr>
          <w:p w14:paraId="1A889770"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37443</w:t>
            </w:r>
          </w:p>
        </w:tc>
        <w:tc>
          <w:tcPr>
            <w:tcW w:w="990" w:type="dxa"/>
            <w:noWrap/>
            <w:tcMar>
              <w:top w:w="0" w:type="dxa"/>
              <w:left w:w="108" w:type="dxa"/>
              <w:bottom w:w="0" w:type="dxa"/>
              <w:right w:w="108" w:type="dxa"/>
            </w:tcMar>
            <w:vAlign w:val="center"/>
            <w:hideMark/>
          </w:tcPr>
          <w:p w14:paraId="05266328"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16.2956</w:t>
            </w:r>
          </w:p>
        </w:tc>
        <w:tc>
          <w:tcPr>
            <w:tcW w:w="971" w:type="dxa"/>
            <w:noWrap/>
            <w:tcMar>
              <w:top w:w="0" w:type="dxa"/>
              <w:left w:w="108" w:type="dxa"/>
              <w:bottom w:w="0" w:type="dxa"/>
              <w:right w:w="108" w:type="dxa"/>
            </w:tcMar>
            <w:vAlign w:val="center"/>
            <w:hideMark/>
          </w:tcPr>
          <w:p w14:paraId="2CB6A33D"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17.2236</w:t>
            </w:r>
          </w:p>
        </w:tc>
        <w:tc>
          <w:tcPr>
            <w:tcW w:w="895" w:type="dxa"/>
            <w:noWrap/>
            <w:tcMar>
              <w:top w:w="0" w:type="dxa"/>
              <w:left w:w="108" w:type="dxa"/>
              <w:bottom w:w="0" w:type="dxa"/>
              <w:right w:w="108" w:type="dxa"/>
            </w:tcMar>
            <w:vAlign w:val="center"/>
            <w:hideMark/>
          </w:tcPr>
          <w:p w14:paraId="75A12D5B"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0.008</w:t>
            </w:r>
          </w:p>
        </w:tc>
        <w:tc>
          <w:tcPr>
            <w:tcW w:w="1734" w:type="dxa"/>
            <w:noWrap/>
            <w:tcMar>
              <w:top w:w="0" w:type="dxa"/>
              <w:left w:w="108" w:type="dxa"/>
              <w:bottom w:w="0" w:type="dxa"/>
              <w:right w:w="108" w:type="dxa"/>
            </w:tcMar>
            <w:vAlign w:val="center"/>
            <w:hideMark/>
          </w:tcPr>
          <w:p w14:paraId="4355DFDD"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No</w:t>
            </w:r>
          </w:p>
        </w:tc>
        <w:tc>
          <w:tcPr>
            <w:tcW w:w="990" w:type="dxa"/>
            <w:noWrap/>
            <w:tcMar>
              <w:top w:w="0" w:type="dxa"/>
              <w:left w:w="108" w:type="dxa"/>
              <w:bottom w:w="0" w:type="dxa"/>
              <w:right w:w="108" w:type="dxa"/>
            </w:tcMar>
            <w:vAlign w:val="center"/>
            <w:hideMark/>
          </w:tcPr>
          <w:p w14:paraId="5079F907"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15.39</w:t>
            </w:r>
          </w:p>
        </w:tc>
        <w:tc>
          <w:tcPr>
            <w:tcW w:w="990" w:type="dxa"/>
            <w:noWrap/>
            <w:tcMar>
              <w:top w:w="0" w:type="dxa"/>
              <w:left w:w="108" w:type="dxa"/>
              <w:bottom w:w="0" w:type="dxa"/>
              <w:right w:w="108" w:type="dxa"/>
            </w:tcMar>
            <w:vAlign w:val="center"/>
            <w:hideMark/>
          </w:tcPr>
          <w:p w14:paraId="72534FEA"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1.09</w:t>
            </w:r>
          </w:p>
        </w:tc>
        <w:tc>
          <w:tcPr>
            <w:tcW w:w="1170" w:type="dxa"/>
            <w:noWrap/>
            <w:tcMar>
              <w:top w:w="0" w:type="dxa"/>
              <w:left w:w="108" w:type="dxa"/>
              <w:bottom w:w="0" w:type="dxa"/>
              <w:right w:w="108" w:type="dxa"/>
            </w:tcMar>
            <w:vAlign w:val="center"/>
            <w:hideMark/>
          </w:tcPr>
          <w:p w14:paraId="012DC410"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0.071</w:t>
            </w:r>
          </w:p>
        </w:tc>
        <w:tc>
          <w:tcPr>
            <w:tcW w:w="1440" w:type="dxa"/>
            <w:noWrap/>
            <w:tcMar>
              <w:top w:w="0" w:type="dxa"/>
              <w:left w:w="108" w:type="dxa"/>
              <w:bottom w:w="0" w:type="dxa"/>
              <w:right w:w="108" w:type="dxa"/>
            </w:tcMar>
            <w:vAlign w:val="center"/>
            <w:hideMark/>
          </w:tcPr>
          <w:p w14:paraId="53C75D9F" w14:textId="77777777" w:rsidR="00257571" w:rsidRPr="007162A6" w:rsidRDefault="00257571" w:rsidP="007162A6">
            <w:pPr>
              <w:spacing w:after="0" w:line="360" w:lineRule="auto"/>
              <w:jc w:val="center"/>
              <w:rPr>
                <w:rFonts w:ascii="Calibri" w:eastAsia="Calibri" w:hAnsi="Calibri" w:cs="Calibri"/>
                <w:color w:val="333333"/>
                <w:sz w:val="18"/>
                <w:szCs w:val="18"/>
              </w:rPr>
            </w:pPr>
            <w:r w:rsidRPr="007162A6">
              <w:rPr>
                <w:rFonts w:ascii="Calibri" w:eastAsia="Calibri" w:hAnsi="Calibri" w:cs="Calibri"/>
                <w:color w:val="333333"/>
                <w:sz w:val="18"/>
                <w:szCs w:val="18"/>
              </w:rPr>
              <w:t>Yes</w:t>
            </w:r>
          </w:p>
        </w:tc>
        <w:tc>
          <w:tcPr>
            <w:tcW w:w="810" w:type="dxa"/>
            <w:noWrap/>
            <w:tcMar>
              <w:top w:w="0" w:type="dxa"/>
              <w:left w:w="108" w:type="dxa"/>
              <w:bottom w:w="0" w:type="dxa"/>
              <w:right w:w="108" w:type="dxa"/>
            </w:tcMar>
            <w:vAlign w:val="center"/>
            <w:hideMark/>
          </w:tcPr>
          <w:p w14:paraId="225F855D"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No</w:t>
            </w:r>
          </w:p>
        </w:tc>
        <w:tc>
          <w:tcPr>
            <w:tcW w:w="990" w:type="dxa"/>
            <w:noWrap/>
            <w:tcMar>
              <w:top w:w="0" w:type="dxa"/>
              <w:left w:w="108" w:type="dxa"/>
              <w:bottom w:w="0" w:type="dxa"/>
              <w:right w:w="108" w:type="dxa"/>
            </w:tcMar>
            <w:vAlign w:val="center"/>
            <w:hideMark/>
          </w:tcPr>
          <w:p w14:paraId="458C159B"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0.996</w:t>
            </w:r>
          </w:p>
        </w:tc>
        <w:tc>
          <w:tcPr>
            <w:tcW w:w="1170" w:type="dxa"/>
            <w:noWrap/>
            <w:tcMar>
              <w:top w:w="0" w:type="dxa"/>
              <w:left w:w="108" w:type="dxa"/>
              <w:bottom w:w="0" w:type="dxa"/>
              <w:right w:w="108" w:type="dxa"/>
            </w:tcMar>
            <w:vAlign w:val="center"/>
            <w:hideMark/>
          </w:tcPr>
          <w:p w14:paraId="2A25A677"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0.34</w:t>
            </w:r>
          </w:p>
        </w:tc>
      </w:tr>
      <w:tr w:rsidR="005231CC" w:rsidRPr="007162A6" w14:paraId="6E5D78EC" w14:textId="77777777" w:rsidTr="00841C6E">
        <w:trPr>
          <w:trHeight w:val="282"/>
        </w:trPr>
        <w:tc>
          <w:tcPr>
            <w:tcW w:w="1070" w:type="dxa"/>
            <w:shd w:val="clear" w:color="auto" w:fill="FFFFFF"/>
            <w:noWrap/>
            <w:tcMar>
              <w:top w:w="0" w:type="dxa"/>
              <w:left w:w="108" w:type="dxa"/>
              <w:bottom w:w="0" w:type="dxa"/>
              <w:right w:w="108" w:type="dxa"/>
            </w:tcMar>
            <w:vAlign w:val="bottom"/>
            <w:hideMark/>
          </w:tcPr>
          <w:p w14:paraId="2E540D9A" w14:textId="77777777" w:rsidR="00257571" w:rsidRPr="007162A6" w:rsidRDefault="00257571" w:rsidP="007162A6">
            <w:pPr>
              <w:spacing w:after="0" w:line="360" w:lineRule="auto"/>
              <w:rPr>
                <w:rFonts w:ascii="Calibri" w:eastAsia="Calibri" w:hAnsi="Calibri" w:cs="Calibri"/>
                <w:color w:val="000000"/>
                <w:sz w:val="18"/>
                <w:szCs w:val="18"/>
              </w:rPr>
            </w:pPr>
            <w:r w:rsidRPr="007162A6">
              <w:rPr>
                <w:rFonts w:ascii="Calibri" w:eastAsia="Calibri" w:hAnsi="Calibri" w:cs="Calibri"/>
                <w:color w:val="000000"/>
                <w:sz w:val="18"/>
                <w:szCs w:val="18"/>
              </w:rPr>
              <w:t>Eligible Clinician Group</w:t>
            </w:r>
          </w:p>
        </w:tc>
        <w:tc>
          <w:tcPr>
            <w:tcW w:w="900" w:type="dxa"/>
            <w:noWrap/>
            <w:tcMar>
              <w:top w:w="0" w:type="dxa"/>
              <w:left w:w="108" w:type="dxa"/>
              <w:bottom w:w="0" w:type="dxa"/>
              <w:right w:w="108" w:type="dxa"/>
            </w:tcMar>
            <w:vAlign w:val="center"/>
            <w:hideMark/>
          </w:tcPr>
          <w:p w14:paraId="699AA3DC"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100</w:t>
            </w:r>
          </w:p>
        </w:tc>
        <w:tc>
          <w:tcPr>
            <w:tcW w:w="900" w:type="dxa"/>
            <w:noWrap/>
            <w:tcMar>
              <w:top w:w="0" w:type="dxa"/>
              <w:left w:w="108" w:type="dxa"/>
              <w:bottom w:w="0" w:type="dxa"/>
              <w:right w:w="108" w:type="dxa"/>
            </w:tcMar>
            <w:vAlign w:val="center"/>
            <w:hideMark/>
          </w:tcPr>
          <w:p w14:paraId="6C8D23BC"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20863</w:t>
            </w:r>
          </w:p>
        </w:tc>
        <w:tc>
          <w:tcPr>
            <w:tcW w:w="990" w:type="dxa"/>
            <w:noWrap/>
            <w:tcMar>
              <w:top w:w="0" w:type="dxa"/>
              <w:left w:w="108" w:type="dxa"/>
              <w:bottom w:w="0" w:type="dxa"/>
              <w:right w:w="108" w:type="dxa"/>
            </w:tcMar>
            <w:vAlign w:val="center"/>
            <w:hideMark/>
          </w:tcPr>
          <w:p w14:paraId="7DA0C3F3"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16.3725</w:t>
            </w:r>
          </w:p>
        </w:tc>
        <w:tc>
          <w:tcPr>
            <w:tcW w:w="971" w:type="dxa"/>
            <w:noWrap/>
            <w:tcMar>
              <w:top w:w="0" w:type="dxa"/>
              <w:left w:w="108" w:type="dxa"/>
              <w:bottom w:w="0" w:type="dxa"/>
              <w:right w:w="108" w:type="dxa"/>
            </w:tcMar>
            <w:vAlign w:val="center"/>
            <w:hideMark/>
          </w:tcPr>
          <w:p w14:paraId="1B8A4DC5"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17.3587</w:t>
            </w:r>
          </w:p>
        </w:tc>
        <w:tc>
          <w:tcPr>
            <w:tcW w:w="895" w:type="dxa"/>
            <w:noWrap/>
            <w:tcMar>
              <w:top w:w="0" w:type="dxa"/>
              <w:left w:w="108" w:type="dxa"/>
              <w:bottom w:w="0" w:type="dxa"/>
              <w:right w:w="108" w:type="dxa"/>
            </w:tcMar>
            <w:vAlign w:val="center"/>
            <w:hideMark/>
          </w:tcPr>
          <w:p w14:paraId="23D64839"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0.011</w:t>
            </w:r>
          </w:p>
        </w:tc>
        <w:tc>
          <w:tcPr>
            <w:tcW w:w="1734" w:type="dxa"/>
            <w:noWrap/>
            <w:tcMar>
              <w:top w:w="0" w:type="dxa"/>
              <w:left w:w="108" w:type="dxa"/>
              <w:bottom w:w="0" w:type="dxa"/>
              <w:right w:w="108" w:type="dxa"/>
            </w:tcMar>
            <w:vAlign w:val="center"/>
            <w:hideMark/>
          </w:tcPr>
          <w:p w14:paraId="6E9D7B63"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No</w:t>
            </w:r>
          </w:p>
        </w:tc>
        <w:tc>
          <w:tcPr>
            <w:tcW w:w="990" w:type="dxa"/>
            <w:noWrap/>
            <w:tcMar>
              <w:top w:w="0" w:type="dxa"/>
              <w:left w:w="108" w:type="dxa"/>
              <w:bottom w:w="0" w:type="dxa"/>
              <w:right w:w="108" w:type="dxa"/>
            </w:tcMar>
            <w:vAlign w:val="center"/>
            <w:hideMark/>
          </w:tcPr>
          <w:p w14:paraId="2A936626"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15.38</w:t>
            </w:r>
          </w:p>
        </w:tc>
        <w:tc>
          <w:tcPr>
            <w:tcW w:w="990" w:type="dxa"/>
            <w:noWrap/>
            <w:tcMar>
              <w:top w:w="0" w:type="dxa"/>
              <w:left w:w="108" w:type="dxa"/>
              <w:bottom w:w="0" w:type="dxa"/>
              <w:right w:w="108" w:type="dxa"/>
            </w:tcMar>
            <w:vAlign w:val="center"/>
            <w:hideMark/>
          </w:tcPr>
          <w:p w14:paraId="73C289E8"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1.18</w:t>
            </w:r>
          </w:p>
        </w:tc>
        <w:tc>
          <w:tcPr>
            <w:tcW w:w="1170" w:type="dxa"/>
            <w:noWrap/>
            <w:tcMar>
              <w:top w:w="0" w:type="dxa"/>
              <w:left w:w="108" w:type="dxa"/>
              <w:bottom w:w="0" w:type="dxa"/>
              <w:right w:w="108" w:type="dxa"/>
            </w:tcMar>
            <w:vAlign w:val="center"/>
            <w:hideMark/>
          </w:tcPr>
          <w:p w14:paraId="09317BC6"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0.077</w:t>
            </w:r>
          </w:p>
        </w:tc>
        <w:tc>
          <w:tcPr>
            <w:tcW w:w="1440" w:type="dxa"/>
            <w:noWrap/>
            <w:tcMar>
              <w:top w:w="0" w:type="dxa"/>
              <w:left w:w="108" w:type="dxa"/>
              <w:bottom w:w="0" w:type="dxa"/>
              <w:right w:w="108" w:type="dxa"/>
            </w:tcMar>
            <w:vAlign w:val="center"/>
            <w:hideMark/>
          </w:tcPr>
          <w:p w14:paraId="4A662363" w14:textId="77777777" w:rsidR="00257571" w:rsidRPr="007162A6" w:rsidRDefault="00257571" w:rsidP="007162A6">
            <w:pPr>
              <w:spacing w:after="0" w:line="360" w:lineRule="auto"/>
              <w:jc w:val="center"/>
              <w:rPr>
                <w:rFonts w:ascii="Calibri" w:eastAsia="Calibri" w:hAnsi="Calibri" w:cs="Calibri"/>
                <w:color w:val="333333"/>
                <w:sz w:val="18"/>
                <w:szCs w:val="18"/>
              </w:rPr>
            </w:pPr>
            <w:r w:rsidRPr="007162A6">
              <w:rPr>
                <w:rFonts w:ascii="Calibri" w:eastAsia="Calibri" w:hAnsi="Calibri" w:cs="Calibri"/>
                <w:color w:val="333333"/>
                <w:sz w:val="18"/>
                <w:szCs w:val="18"/>
              </w:rPr>
              <w:t>Yes</w:t>
            </w:r>
          </w:p>
        </w:tc>
        <w:tc>
          <w:tcPr>
            <w:tcW w:w="810" w:type="dxa"/>
            <w:noWrap/>
            <w:tcMar>
              <w:top w:w="0" w:type="dxa"/>
              <w:left w:w="108" w:type="dxa"/>
              <w:bottom w:w="0" w:type="dxa"/>
              <w:right w:w="108" w:type="dxa"/>
            </w:tcMar>
            <w:vAlign w:val="center"/>
            <w:hideMark/>
          </w:tcPr>
          <w:p w14:paraId="4B68593E"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No</w:t>
            </w:r>
          </w:p>
        </w:tc>
        <w:tc>
          <w:tcPr>
            <w:tcW w:w="990" w:type="dxa"/>
            <w:noWrap/>
            <w:tcMar>
              <w:top w:w="0" w:type="dxa"/>
              <w:left w:w="108" w:type="dxa"/>
              <w:bottom w:w="0" w:type="dxa"/>
              <w:right w:w="108" w:type="dxa"/>
            </w:tcMar>
            <w:vAlign w:val="center"/>
            <w:hideMark/>
          </w:tcPr>
          <w:p w14:paraId="7D3475EA"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0.997</w:t>
            </w:r>
          </w:p>
        </w:tc>
        <w:tc>
          <w:tcPr>
            <w:tcW w:w="1170" w:type="dxa"/>
            <w:noWrap/>
            <w:tcMar>
              <w:top w:w="0" w:type="dxa"/>
              <w:left w:w="108" w:type="dxa"/>
              <w:bottom w:w="0" w:type="dxa"/>
              <w:right w:w="108" w:type="dxa"/>
            </w:tcMar>
            <w:vAlign w:val="center"/>
            <w:hideMark/>
          </w:tcPr>
          <w:p w14:paraId="609C7C68"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0.4</w:t>
            </w:r>
          </w:p>
        </w:tc>
      </w:tr>
      <w:tr w:rsidR="005231CC" w:rsidRPr="007162A6" w14:paraId="539BA131" w14:textId="77777777" w:rsidTr="00841C6E">
        <w:trPr>
          <w:trHeight w:val="282"/>
        </w:trPr>
        <w:tc>
          <w:tcPr>
            <w:tcW w:w="1070" w:type="dxa"/>
            <w:shd w:val="clear" w:color="auto" w:fill="FFFFFF"/>
            <w:noWrap/>
            <w:tcMar>
              <w:top w:w="0" w:type="dxa"/>
              <w:left w:w="108" w:type="dxa"/>
              <w:bottom w:w="0" w:type="dxa"/>
              <w:right w:w="108" w:type="dxa"/>
            </w:tcMar>
            <w:vAlign w:val="bottom"/>
            <w:hideMark/>
          </w:tcPr>
          <w:p w14:paraId="56391BCC" w14:textId="77777777" w:rsidR="00257571" w:rsidRPr="007162A6" w:rsidRDefault="00257571" w:rsidP="007162A6">
            <w:pPr>
              <w:spacing w:after="0" w:line="360" w:lineRule="auto"/>
              <w:rPr>
                <w:rFonts w:ascii="Calibri" w:eastAsia="Calibri" w:hAnsi="Calibri" w:cs="Calibri"/>
                <w:color w:val="000000"/>
                <w:sz w:val="18"/>
                <w:szCs w:val="18"/>
              </w:rPr>
            </w:pPr>
            <w:r w:rsidRPr="007162A6">
              <w:rPr>
                <w:rFonts w:ascii="Calibri" w:eastAsia="Calibri" w:hAnsi="Calibri" w:cs="Calibri"/>
                <w:color w:val="000000"/>
                <w:sz w:val="18"/>
                <w:szCs w:val="18"/>
              </w:rPr>
              <w:t>Eligible Clinician Group</w:t>
            </w:r>
          </w:p>
        </w:tc>
        <w:tc>
          <w:tcPr>
            <w:tcW w:w="900" w:type="dxa"/>
            <w:noWrap/>
            <w:tcMar>
              <w:top w:w="0" w:type="dxa"/>
              <w:left w:w="108" w:type="dxa"/>
              <w:bottom w:w="0" w:type="dxa"/>
              <w:right w:w="108" w:type="dxa"/>
            </w:tcMar>
            <w:vAlign w:val="center"/>
            <w:hideMark/>
          </w:tcPr>
          <w:p w14:paraId="67EC5625"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200</w:t>
            </w:r>
          </w:p>
        </w:tc>
        <w:tc>
          <w:tcPr>
            <w:tcW w:w="900" w:type="dxa"/>
            <w:noWrap/>
            <w:tcMar>
              <w:top w:w="0" w:type="dxa"/>
              <w:left w:w="108" w:type="dxa"/>
              <w:bottom w:w="0" w:type="dxa"/>
              <w:right w:w="108" w:type="dxa"/>
            </w:tcMar>
            <w:vAlign w:val="center"/>
            <w:hideMark/>
          </w:tcPr>
          <w:p w14:paraId="70B1BF00"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10096</w:t>
            </w:r>
          </w:p>
        </w:tc>
        <w:tc>
          <w:tcPr>
            <w:tcW w:w="990" w:type="dxa"/>
            <w:noWrap/>
            <w:tcMar>
              <w:top w:w="0" w:type="dxa"/>
              <w:left w:w="108" w:type="dxa"/>
              <w:bottom w:w="0" w:type="dxa"/>
              <w:right w:w="108" w:type="dxa"/>
            </w:tcMar>
            <w:vAlign w:val="center"/>
            <w:hideMark/>
          </w:tcPr>
          <w:p w14:paraId="6DF962FA"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16.3995</w:t>
            </w:r>
          </w:p>
        </w:tc>
        <w:tc>
          <w:tcPr>
            <w:tcW w:w="971" w:type="dxa"/>
            <w:noWrap/>
            <w:tcMar>
              <w:top w:w="0" w:type="dxa"/>
              <w:left w:w="108" w:type="dxa"/>
              <w:bottom w:w="0" w:type="dxa"/>
              <w:right w:w="108" w:type="dxa"/>
            </w:tcMar>
            <w:vAlign w:val="center"/>
            <w:hideMark/>
          </w:tcPr>
          <w:p w14:paraId="1356F3F4"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17.3974</w:t>
            </w:r>
          </w:p>
        </w:tc>
        <w:tc>
          <w:tcPr>
            <w:tcW w:w="895" w:type="dxa"/>
            <w:noWrap/>
            <w:tcMar>
              <w:top w:w="0" w:type="dxa"/>
              <w:left w:w="108" w:type="dxa"/>
              <w:bottom w:w="0" w:type="dxa"/>
              <w:right w:w="108" w:type="dxa"/>
            </w:tcMar>
            <w:vAlign w:val="center"/>
            <w:hideMark/>
          </w:tcPr>
          <w:p w14:paraId="09D9971C"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0.016</w:t>
            </w:r>
          </w:p>
        </w:tc>
        <w:tc>
          <w:tcPr>
            <w:tcW w:w="1734" w:type="dxa"/>
            <w:noWrap/>
            <w:tcMar>
              <w:top w:w="0" w:type="dxa"/>
              <w:left w:w="108" w:type="dxa"/>
              <w:bottom w:w="0" w:type="dxa"/>
              <w:right w:w="108" w:type="dxa"/>
            </w:tcMar>
            <w:vAlign w:val="center"/>
            <w:hideMark/>
          </w:tcPr>
          <w:p w14:paraId="7B86BAE0"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No</w:t>
            </w:r>
          </w:p>
        </w:tc>
        <w:tc>
          <w:tcPr>
            <w:tcW w:w="990" w:type="dxa"/>
            <w:noWrap/>
            <w:tcMar>
              <w:top w:w="0" w:type="dxa"/>
              <w:left w:w="108" w:type="dxa"/>
              <w:bottom w:w="0" w:type="dxa"/>
              <w:right w:w="108" w:type="dxa"/>
            </w:tcMar>
            <w:vAlign w:val="center"/>
            <w:hideMark/>
          </w:tcPr>
          <w:p w14:paraId="7ABC1BEE"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15.35</w:t>
            </w:r>
          </w:p>
        </w:tc>
        <w:tc>
          <w:tcPr>
            <w:tcW w:w="990" w:type="dxa"/>
            <w:noWrap/>
            <w:tcMar>
              <w:top w:w="0" w:type="dxa"/>
              <w:left w:w="108" w:type="dxa"/>
              <w:bottom w:w="0" w:type="dxa"/>
              <w:right w:w="108" w:type="dxa"/>
            </w:tcMar>
            <w:vAlign w:val="center"/>
            <w:hideMark/>
          </w:tcPr>
          <w:p w14:paraId="1D8883B5"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1.23</w:t>
            </w:r>
          </w:p>
        </w:tc>
        <w:tc>
          <w:tcPr>
            <w:tcW w:w="1170" w:type="dxa"/>
            <w:noWrap/>
            <w:tcMar>
              <w:top w:w="0" w:type="dxa"/>
              <w:left w:w="108" w:type="dxa"/>
              <w:bottom w:w="0" w:type="dxa"/>
              <w:right w:w="108" w:type="dxa"/>
            </w:tcMar>
            <w:vAlign w:val="center"/>
            <w:hideMark/>
          </w:tcPr>
          <w:p w14:paraId="19316F2D"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0.080</w:t>
            </w:r>
          </w:p>
        </w:tc>
        <w:tc>
          <w:tcPr>
            <w:tcW w:w="1440" w:type="dxa"/>
            <w:noWrap/>
            <w:tcMar>
              <w:top w:w="0" w:type="dxa"/>
              <w:left w:w="108" w:type="dxa"/>
              <w:bottom w:w="0" w:type="dxa"/>
              <w:right w:w="108" w:type="dxa"/>
            </w:tcMar>
            <w:vAlign w:val="center"/>
            <w:hideMark/>
          </w:tcPr>
          <w:p w14:paraId="1882E293" w14:textId="77777777" w:rsidR="00257571" w:rsidRPr="007162A6" w:rsidRDefault="00257571" w:rsidP="007162A6">
            <w:pPr>
              <w:spacing w:after="0" w:line="360" w:lineRule="auto"/>
              <w:jc w:val="center"/>
              <w:rPr>
                <w:rFonts w:ascii="Calibri" w:eastAsia="Calibri" w:hAnsi="Calibri" w:cs="Calibri"/>
                <w:color w:val="333333"/>
                <w:sz w:val="18"/>
                <w:szCs w:val="18"/>
              </w:rPr>
            </w:pPr>
            <w:r w:rsidRPr="007162A6">
              <w:rPr>
                <w:rFonts w:ascii="Calibri" w:eastAsia="Calibri" w:hAnsi="Calibri" w:cs="Calibri"/>
                <w:color w:val="333333"/>
                <w:sz w:val="18"/>
                <w:szCs w:val="18"/>
              </w:rPr>
              <w:t>Yes</w:t>
            </w:r>
          </w:p>
        </w:tc>
        <w:tc>
          <w:tcPr>
            <w:tcW w:w="810" w:type="dxa"/>
            <w:noWrap/>
            <w:tcMar>
              <w:top w:w="0" w:type="dxa"/>
              <w:left w:w="108" w:type="dxa"/>
              <w:bottom w:w="0" w:type="dxa"/>
              <w:right w:w="108" w:type="dxa"/>
            </w:tcMar>
            <w:vAlign w:val="center"/>
            <w:hideMark/>
          </w:tcPr>
          <w:p w14:paraId="703AD0FB"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No</w:t>
            </w:r>
          </w:p>
        </w:tc>
        <w:tc>
          <w:tcPr>
            <w:tcW w:w="990" w:type="dxa"/>
            <w:noWrap/>
            <w:tcMar>
              <w:top w:w="0" w:type="dxa"/>
              <w:left w:w="108" w:type="dxa"/>
              <w:bottom w:w="0" w:type="dxa"/>
              <w:right w:w="108" w:type="dxa"/>
            </w:tcMar>
            <w:vAlign w:val="center"/>
            <w:hideMark/>
          </w:tcPr>
          <w:p w14:paraId="1B701423"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0.998</w:t>
            </w:r>
          </w:p>
        </w:tc>
        <w:tc>
          <w:tcPr>
            <w:tcW w:w="1170" w:type="dxa"/>
            <w:noWrap/>
            <w:tcMar>
              <w:top w:w="0" w:type="dxa"/>
              <w:left w:w="108" w:type="dxa"/>
              <w:bottom w:w="0" w:type="dxa"/>
              <w:right w:w="108" w:type="dxa"/>
            </w:tcMar>
            <w:vAlign w:val="center"/>
            <w:hideMark/>
          </w:tcPr>
          <w:p w14:paraId="35C14C5F" w14:textId="77777777" w:rsidR="00257571" w:rsidRPr="007162A6" w:rsidRDefault="00257571" w:rsidP="007162A6">
            <w:pPr>
              <w:spacing w:after="0" w:line="360" w:lineRule="auto"/>
              <w:jc w:val="center"/>
              <w:rPr>
                <w:rFonts w:ascii="Calibri" w:eastAsia="Calibri" w:hAnsi="Calibri" w:cs="Calibri"/>
                <w:color w:val="000000"/>
                <w:sz w:val="18"/>
                <w:szCs w:val="18"/>
              </w:rPr>
            </w:pPr>
            <w:r w:rsidRPr="007162A6">
              <w:rPr>
                <w:rFonts w:ascii="Calibri" w:eastAsia="Calibri" w:hAnsi="Calibri" w:cs="Calibri"/>
                <w:color w:val="000000"/>
                <w:sz w:val="18"/>
                <w:szCs w:val="18"/>
              </w:rPr>
              <w:t>0.49</w:t>
            </w:r>
          </w:p>
        </w:tc>
      </w:tr>
    </w:tbl>
    <w:p w14:paraId="37E05E24" w14:textId="00865197" w:rsidR="00257571" w:rsidRDefault="00257571">
      <w:pPr>
        <w:rPr>
          <w:rFonts w:ascii="Arial" w:hAnsi="Arial" w:cs="Arial"/>
          <w:u w:val="single"/>
        </w:rPr>
      </w:pPr>
      <w:r>
        <w:rPr>
          <w:rFonts w:ascii="Arial" w:hAnsi="Arial" w:cs="Arial"/>
          <w:u w:val="single"/>
        </w:rPr>
        <w:br w:type="page"/>
      </w:r>
    </w:p>
    <w:p w14:paraId="7F587B7C" w14:textId="77777777" w:rsidR="00257571" w:rsidRDefault="00257571" w:rsidP="00C7256F">
      <w:pPr>
        <w:pStyle w:val="ListParagraph"/>
        <w:ind w:left="270"/>
        <w:rPr>
          <w:rFonts w:ascii="Arial" w:hAnsi="Arial" w:cs="Arial"/>
          <w:u w:val="single"/>
        </w:rPr>
        <w:sectPr w:rsidR="00257571" w:rsidSect="00257571">
          <w:pgSz w:w="15840" w:h="12240" w:orient="landscape"/>
          <w:pgMar w:top="720" w:right="720" w:bottom="720" w:left="720" w:header="720" w:footer="720" w:gutter="0"/>
          <w:cols w:space="720"/>
          <w:docGrid w:linePitch="360"/>
        </w:sectPr>
      </w:pPr>
    </w:p>
    <w:p w14:paraId="0CB91554" w14:textId="19D026EA" w:rsidR="00841C6E" w:rsidRDefault="00841C6E" w:rsidP="00C7256F">
      <w:pPr>
        <w:ind w:left="270"/>
        <w:rPr>
          <w:rFonts w:ascii="Arial" w:hAnsi="Arial" w:cs="Arial"/>
        </w:rPr>
      </w:pPr>
    </w:p>
    <w:p w14:paraId="5FF3518A" w14:textId="3106E1E0" w:rsidR="00907008" w:rsidRPr="00463C36" w:rsidRDefault="00907008" w:rsidP="00C7256F">
      <w:pPr>
        <w:ind w:left="270"/>
        <w:rPr>
          <w:rFonts w:ascii="Arial" w:hAnsi="Arial" w:cs="Arial"/>
          <w:u w:val="single"/>
        </w:rPr>
      </w:pPr>
      <w:r w:rsidRPr="00463C36">
        <w:rPr>
          <w:rFonts w:ascii="Arial" w:hAnsi="Arial" w:cs="Arial"/>
          <w:u w:val="single"/>
        </w:rPr>
        <w:t>Risk Adjustment</w:t>
      </w:r>
    </w:p>
    <w:p w14:paraId="431E71A4" w14:textId="4FF1BC35" w:rsidR="00907008" w:rsidRPr="00907008" w:rsidRDefault="00907008" w:rsidP="00C7256F">
      <w:pPr>
        <w:ind w:left="270"/>
        <w:rPr>
          <w:rFonts w:ascii="Arial" w:hAnsi="Arial" w:cs="Arial"/>
        </w:rPr>
      </w:pPr>
      <w:bookmarkStart w:id="2" w:name="_Hlk513546985"/>
      <w:r w:rsidRPr="00907008">
        <w:rPr>
          <w:rFonts w:ascii="Arial" w:hAnsi="Arial" w:cs="Arial"/>
        </w:rPr>
        <w:t>The goal of risk adjustment is to account for differences across hospitals in patient demographic and clinical characteristics that might be related to the outcome but are unrelated to quality of care. Risk adjustment for this measure is complicated by the fact that it includes many different principal discharge diagnosis</w:t>
      </w:r>
      <w:r w:rsidRPr="00907008" w:rsidDel="005031F1">
        <w:rPr>
          <w:rFonts w:ascii="Arial" w:hAnsi="Arial" w:cs="Arial"/>
        </w:rPr>
        <w:t xml:space="preserve"> </w:t>
      </w:r>
      <w:r w:rsidRPr="00907008">
        <w:rPr>
          <w:rFonts w:ascii="Arial" w:hAnsi="Arial" w:cs="Arial"/>
        </w:rPr>
        <w:t xml:space="preserve">condition categories. </w:t>
      </w:r>
      <w:r>
        <w:rPr>
          <w:rFonts w:ascii="Arial" w:hAnsi="Arial" w:cs="Arial"/>
        </w:rPr>
        <w:t>For this measure</w:t>
      </w:r>
      <w:r w:rsidR="00981DD8">
        <w:rPr>
          <w:rFonts w:ascii="Arial" w:hAnsi="Arial" w:cs="Arial"/>
        </w:rPr>
        <w:t>,</w:t>
      </w:r>
      <w:r w:rsidRPr="00907008">
        <w:rPr>
          <w:rFonts w:ascii="Arial" w:hAnsi="Arial" w:cs="Arial"/>
        </w:rPr>
        <w:t xml:space="preserve"> therefore adjust</w:t>
      </w:r>
      <w:r>
        <w:rPr>
          <w:rFonts w:ascii="Arial" w:hAnsi="Arial" w:cs="Arial"/>
        </w:rPr>
        <w:t>ment for</w:t>
      </w:r>
      <w:r w:rsidRPr="00907008">
        <w:rPr>
          <w:rFonts w:ascii="Arial" w:hAnsi="Arial" w:cs="Arial"/>
        </w:rPr>
        <w:t xml:space="preserve"> both case mix differences (clinical status of the patient, accounted for by adjusting for comorbidities) and </w:t>
      </w:r>
      <w:r w:rsidR="00242596" w:rsidRPr="00242596">
        <w:rPr>
          <w:rFonts w:ascii="Arial" w:hAnsi="Arial" w:cs="Arial"/>
        </w:rPr>
        <w:t>service mix</w:t>
      </w:r>
      <w:r w:rsidRPr="00907008">
        <w:rPr>
          <w:rFonts w:ascii="Arial" w:hAnsi="Arial" w:cs="Arial"/>
        </w:rPr>
        <w:t xml:space="preserve"> differences (the types of conditions/procedures, accounted for by adjusting for the principal discharge diagnosis condition category)</w:t>
      </w:r>
      <w:r>
        <w:rPr>
          <w:rFonts w:ascii="Arial" w:hAnsi="Arial" w:cs="Arial"/>
        </w:rPr>
        <w:t xml:space="preserve"> is needed</w:t>
      </w:r>
      <w:r w:rsidRPr="00907008">
        <w:rPr>
          <w:rFonts w:ascii="Arial" w:hAnsi="Arial" w:cs="Arial"/>
        </w:rPr>
        <w:t xml:space="preserve">. In keeping with alignment with the hospital-level measure, and because the hospital-level risk model was developed and validated at the patient level using the same cohort adopted for MIPS HWR measure, </w:t>
      </w:r>
      <w:r>
        <w:rPr>
          <w:rFonts w:ascii="Arial" w:hAnsi="Arial" w:cs="Arial"/>
        </w:rPr>
        <w:t>this measure uses the</w:t>
      </w:r>
      <w:r w:rsidR="00CE617C">
        <w:rPr>
          <w:rFonts w:ascii="Arial" w:hAnsi="Arial" w:cs="Arial"/>
        </w:rPr>
        <w:t xml:space="preserve"> </w:t>
      </w:r>
      <w:r>
        <w:rPr>
          <w:rFonts w:ascii="Arial" w:hAnsi="Arial" w:cs="Arial"/>
        </w:rPr>
        <w:t>s</w:t>
      </w:r>
      <w:r w:rsidRPr="00907008">
        <w:rPr>
          <w:rFonts w:ascii="Arial" w:hAnsi="Arial" w:cs="Arial"/>
        </w:rPr>
        <w:t>ame risk factors as used by the HWR model.</w:t>
      </w:r>
    </w:p>
    <w:p w14:paraId="01FA6BF6" w14:textId="07CE202A" w:rsidR="00907008" w:rsidRPr="00907008" w:rsidRDefault="00907008" w:rsidP="00C7256F">
      <w:pPr>
        <w:ind w:left="270"/>
        <w:rPr>
          <w:rFonts w:ascii="Arial" w:hAnsi="Arial" w:cs="Arial"/>
        </w:rPr>
      </w:pPr>
      <w:r w:rsidRPr="00907008">
        <w:rPr>
          <w:rFonts w:ascii="Arial" w:hAnsi="Arial" w:cs="Arial"/>
        </w:rPr>
        <w:t xml:space="preserve">Consistent with the original hospital-level HWR measure, </w:t>
      </w:r>
      <w:r w:rsidR="008D15B3">
        <w:rPr>
          <w:rFonts w:ascii="Arial" w:hAnsi="Arial" w:cs="Arial"/>
        </w:rPr>
        <w:t>this measure</w:t>
      </w:r>
      <w:r w:rsidRPr="00907008">
        <w:rPr>
          <w:rFonts w:ascii="Arial" w:hAnsi="Arial" w:cs="Arial"/>
        </w:rPr>
        <w:t xml:space="preserve"> do</w:t>
      </w:r>
      <w:r w:rsidR="008D15B3">
        <w:rPr>
          <w:rFonts w:ascii="Arial" w:hAnsi="Arial" w:cs="Arial"/>
        </w:rPr>
        <w:t>es</w:t>
      </w:r>
      <w:r w:rsidRPr="00907008">
        <w:rPr>
          <w:rFonts w:ascii="Arial" w:hAnsi="Arial" w:cs="Arial"/>
        </w:rPr>
        <w:t xml:space="preserve"> not adjust for </w:t>
      </w:r>
      <w:r w:rsidR="00151945">
        <w:rPr>
          <w:rFonts w:ascii="Arial" w:hAnsi="Arial" w:cs="Arial"/>
        </w:rPr>
        <w:t>social risk factors</w:t>
      </w:r>
      <w:r w:rsidRPr="00907008">
        <w:rPr>
          <w:rFonts w:ascii="Arial" w:hAnsi="Arial" w:cs="Arial"/>
        </w:rPr>
        <w:t xml:space="preserve"> </w:t>
      </w:r>
      <w:r w:rsidR="00151945">
        <w:rPr>
          <w:rFonts w:ascii="Arial" w:hAnsi="Arial" w:cs="Arial"/>
        </w:rPr>
        <w:t xml:space="preserve">but does </w:t>
      </w:r>
      <w:r w:rsidRPr="00907008">
        <w:rPr>
          <w:rFonts w:ascii="Arial" w:hAnsi="Arial" w:cs="Arial"/>
        </w:rPr>
        <w:t xml:space="preserve">adjust for age and clinical characteristics </w:t>
      </w:r>
      <w:r w:rsidR="00151945">
        <w:rPr>
          <w:rFonts w:ascii="Arial" w:hAnsi="Arial" w:cs="Arial"/>
        </w:rPr>
        <w:t>in order to</w:t>
      </w:r>
      <w:r w:rsidR="00151945" w:rsidRPr="00907008">
        <w:rPr>
          <w:rFonts w:ascii="Arial" w:hAnsi="Arial" w:cs="Arial"/>
        </w:rPr>
        <w:t xml:space="preserve"> illuminat</w:t>
      </w:r>
      <w:r w:rsidR="00151945">
        <w:rPr>
          <w:rFonts w:ascii="Arial" w:hAnsi="Arial" w:cs="Arial"/>
        </w:rPr>
        <w:t>e</w:t>
      </w:r>
      <w:r w:rsidR="00151945" w:rsidRPr="00907008">
        <w:rPr>
          <w:rFonts w:ascii="Arial" w:hAnsi="Arial" w:cs="Arial"/>
        </w:rPr>
        <w:t xml:space="preserve"> </w:t>
      </w:r>
      <w:r w:rsidRPr="00907008">
        <w:rPr>
          <w:rFonts w:ascii="Arial" w:hAnsi="Arial" w:cs="Arial"/>
        </w:rPr>
        <w:t xml:space="preserve">important quality differences. The hospital-level HWR measure was re-endorsed by the National Quality Forum (NQF) without adjustment for patient-level SES factors. For more information about </w:t>
      </w:r>
      <w:r w:rsidR="00151945">
        <w:rPr>
          <w:rFonts w:ascii="Arial" w:hAnsi="Arial" w:cs="Arial"/>
        </w:rPr>
        <w:t>the</w:t>
      </w:r>
      <w:r w:rsidR="00151945" w:rsidRPr="00907008">
        <w:rPr>
          <w:rFonts w:ascii="Arial" w:hAnsi="Arial" w:cs="Arial"/>
        </w:rPr>
        <w:t xml:space="preserve"> </w:t>
      </w:r>
      <w:r w:rsidR="00151945">
        <w:rPr>
          <w:rFonts w:ascii="Arial" w:hAnsi="Arial" w:cs="Arial"/>
        </w:rPr>
        <w:t>omission of social risk factors</w:t>
      </w:r>
      <w:r w:rsidRPr="00907008">
        <w:rPr>
          <w:rFonts w:ascii="Arial" w:hAnsi="Arial" w:cs="Arial"/>
        </w:rPr>
        <w:t xml:space="preserve">, please refer to the </w:t>
      </w:r>
      <w:r w:rsidR="00242596" w:rsidRPr="00907008">
        <w:rPr>
          <w:rFonts w:ascii="Arial" w:hAnsi="Arial" w:cs="Arial"/>
          <w:u w:val="single"/>
        </w:rPr>
        <w:t>NQF website</w:t>
      </w:r>
      <w:r w:rsidRPr="00907008">
        <w:rPr>
          <w:rFonts w:ascii="Arial" w:hAnsi="Arial" w:cs="Arial"/>
        </w:rPr>
        <w:t>.</w:t>
      </w:r>
    </w:p>
    <w:p w14:paraId="7F0C6580" w14:textId="78AD8658" w:rsidR="00907008" w:rsidRPr="00907008" w:rsidRDefault="00907008" w:rsidP="00C7256F">
      <w:pPr>
        <w:ind w:left="270"/>
        <w:rPr>
          <w:rFonts w:ascii="Arial" w:hAnsi="Arial" w:cs="Arial"/>
        </w:rPr>
      </w:pPr>
      <w:r w:rsidRPr="00907008">
        <w:rPr>
          <w:rFonts w:ascii="Arial" w:hAnsi="Arial" w:cs="Arial"/>
        </w:rPr>
        <w:t xml:space="preserve">Because MIPS HWR measure assigns each admission to multiple eligible clinicians, the </w:t>
      </w:r>
      <w:r w:rsidR="00242596" w:rsidRPr="00242596">
        <w:rPr>
          <w:rFonts w:ascii="Arial" w:hAnsi="Arial" w:cs="Arial"/>
        </w:rPr>
        <w:t>hierarchical</w:t>
      </w:r>
      <w:r w:rsidRPr="00907008">
        <w:rPr>
          <w:rFonts w:ascii="Arial" w:hAnsi="Arial" w:cs="Arial"/>
        </w:rPr>
        <w:t xml:space="preserve"> logistic regression methods of the HWR to adjust for differences in eligible clinician case mix and to account for the clustering of patients within a provider</w:t>
      </w:r>
      <w:r w:rsidR="00C50364">
        <w:rPr>
          <w:rFonts w:ascii="Arial" w:hAnsi="Arial" w:cs="Arial"/>
        </w:rPr>
        <w:t xml:space="preserve"> could not be used</w:t>
      </w:r>
      <w:r w:rsidRPr="00907008">
        <w:rPr>
          <w:rFonts w:ascii="Arial" w:hAnsi="Arial" w:cs="Arial"/>
        </w:rPr>
        <w:t xml:space="preserve">. Instead, </w:t>
      </w:r>
      <w:r w:rsidR="00151945">
        <w:rPr>
          <w:rFonts w:ascii="Arial" w:hAnsi="Arial" w:cs="Arial"/>
        </w:rPr>
        <w:t xml:space="preserve">the measure relies </w:t>
      </w:r>
      <w:r w:rsidRPr="00907008">
        <w:rPr>
          <w:rFonts w:ascii="Arial" w:hAnsi="Arial" w:cs="Arial"/>
        </w:rPr>
        <w:t xml:space="preserve">a method which uses the results of each specialty cohort model to construct a standardized readmission </w:t>
      </w:r>
      <w:r w:rsidR="00151945">
        <w:rPr>
          <w:rFonts w:ascii="Arial" w:hAnsi="Arial" w:cs="Arial"/>
        </w:rPr>
        <w:t>ratio</w:t>
      </w:r>
      <w:r w:rsidR="00114369">
        <w:rPr>
          <w:rFonts w:ascii="Arial" w:hAnsi="Arial" w:cs="Arial"/>
        </w:rPr>
        <w:t xml:space="preserve"> (SRR)</w:t>
      </w:r>
      <w:r w:rsidR="00151945" w:rsidRPr="00907008">
        <w:rPr>
          <w:rFonts w:ascii="Arial" w:hAnsi="Arial" w:cs="Arial"/>
        </w:rPr>
        <w:t xml:space="preserve"> </w:t>
      </w:r>
      <w:r w:rsidRPr="00907008">
        <w:rPr>
          <w:rFonts w:ascii="Arial" w:hAnsi="Arial" w:cs="Arial"/>
        </w:rPr>
        <w:t xml:space="preserve">for each </w:t>
      </w:r>
      <w:r w:rsidR="00825191">
        <w:rPr>
          <w:rFonts w:ascii="Arial" w:hAnsi="Arial" w:cs="Arial"/>
        </w:rPr>
        <w:t>EC</w:t>
      </w:r>
      <w:r w:rsidR="00825191" w:rsidRPr="00907008">
        <w:rPr>
          <w:rFonts w:ascii="Arial" w:hAnsi="Arial" w:cs="Arial"/>
        </w:rPr>
        <w:t xml:space="preserve"> </w:t>
      </w:r>
      <w:r w:rsidRPr="00907008">
        <w:rPr>
          <w:rFonts w:ascii="Arial" w:hAnsi="Arial" w:cs="Arial"/>
        </w:rPr>
        <w:t>group</w:t>
      </w:r>
      <w:r w:rsidR="00114369">
        <w:rPr>
          <w:rFonts w:ascii="Arial" w:hAnsi="Arial" w:cs="Arial"/>
        </w:rPr>
        <w:t>, which is then adjusted for clustering</w:t>
      </w:r>
      <w:r w:rsidR="00151945">
        <w:rPr>
          <w:rFonts w:ascii="Arial" w:hAnsi="Arial" w:cs="Arial"/>
        </w:rPr>
        <w:t xml:space="preserve">. </w:t>
      </w:r>
      <w:r w:rsidRPr="00907008">
        <w:rPr>
          <w:rFonts w:ascii="Arial" w:hAnsi="Arial" w:cs="Arial"/>
        </w:rPr>
        <w:t>Each cohort model adjusts for case mix differences among providers by risk</w:t>
      </w:r>
      <w:r w:rsidR="00981DD8">
        <w:rPr>
          <w:rFonts w:ascii="Arial" w:hAnsi="Arial" w:cs="Arial"/>
        </w:rPr>
        <w:t xml:space="preserve"> </w:t>
      </w:r>
      <w:r w:rsidRPr="00907008">
        <w:rPr>
          <w:rFonts w:ascii="Arial" w:hAnsi="Arial" w:cs="Arial"/>
        </w:rPr>
        <w:t xml:space="preserve">adjusting for patients’ comorbid conditions identified in inpatient episodes of care for the 12 months prior to the index admission as well as those present at admission. </w:t>
      </w:r>
      <w:r w:rsidR="00C7256F">
        <w:rPr>
          <w:rFonts w:ascii="Arial" w:hAnsi="Arial" w:cs="Arial"/>
        </w:rPr>
        <w:t>D</w:t>
      </w:r>
      <w:r w:rsidRPr="00907008">
        <w:rPr>
          <w:rFonts w:ascii="Arial" w:hAnsi="Arial" w:cs="Arial"/>
        </w:rPr>
        <w:t>iagnoses that may have been a complication of care during the index admission</w:t>
      </w:r>
      <w:r w:rsidR="00C50364">
        <w:rPr>
          <w:rFonts w:ascii="Arial" w:hAnsi="Arial" w:cs="Arial"/>
        </w:rPr>
        <w:t xml:space="preserve"> are not </w:t>
      </w:r>
      <w:r w:rsidR="00C50364" w:rsidRPr="00907008">
        <w:rPr>
          <w:rFonts w:ascii="Arial" w:hAnsi="Arial" w:cs="Arial"/>
        </w:rPr>
        <w:t>risk</w:t>
      </w:r>
      <w:r w:rsidR="00981DD8">
        <w:rPr>
          <w:rFonts w:ascii="Arial" w:hAnsi="Arial" w:cs="Arial"/>
        </w:rPr>
        <w:t xml:space="preserve"> </w:t>
      </w:r>
      <w:r w:rsidR="00C50364" w:rsidRPr="00907008">
        <w:rPr>
          <w:rFonts w:ascii="Arial" w:hAnsi="Arial" w:cs="Arial"/>
        </w:rPr>
        <w:t>adjust</w:t>
      </w:r>
      <w:r w:rsidR="00981DD8">
        <w:rPr>
          <w:rFonts w:ascii="Arial" w:hAnsi="Arial" w:cs="Arial"/>
        </w:rPr>
        <w:t>ed</w:t>
      </w:r>
      <w:r w:rsidR="00C50364" w:rsidRPr="00907008">
        <w:rPr>
          <w:rFonts w:ascii="Arial" w:hAnsi="Arial" w:cs="Arial"/>
        </w:rPr>
        <w:t xml:space="preserve"> for</w:t>
      </w:r>
      <w:r w:rsidR="00C50364">
        <w:rPr>
          <w:rFonts w:ascii="Arial" w:hAnsi="Arial" w:cs="Arial"/>
        </w:rPr>
        <w:t>.</w:t>
      </w:r>
      <w:r w:rsidRPr="00907008">
        <w:rPr>
          <w:rFonts w:ascii="Arial" w:hAnsi="Arial" w:cs="Arial"/>
        </w:rPr>
        <w:t xml:space="preserve"> CMS-CCs, the grouper used in previous CMS risk-standardized outcome measures, </w:t>
      </w:r>
      <w:r w:rsidR="00C50364">
        <w:rPr>
          <w:rFonts w:ascii="Arial" w:hAnsi="Arial" w:cs="Arial"/>
        </w:rPr>
        <w:t>were used</w:t>
      </w:r>
      <w:r w:rsidR="00C50364" w:rsidRPr="00907008">
        <w:rPr>
          <w:rFonts w:ascii="Arial" w:hAnsi="Arial" w:cs="Arial"/>
        </w:rPr>
        <w:t xml:space="preserve"> </w:t>
      </w:r>
      <w:r w:rsidRPr="00907008">
        <w:rPr>
          <w:rFonts w:ascii="Arial" w:hAnsi="Arial" w:cs="Arial"/>
        </w:rPr>
        <w:t xml:space="preserve">to define the comorbid risk adjusters and used a fixed set of comorbid risk variables across models. </w:t>
      </w:r>
      <w:r w:rsidR="00C50364">
        <w:rPr>
          <w:rFonts w:ascii="Arial" w:hAnsi="Arial" w:cs="Arial"/>
        </w:rPr>
        <w:t>S</w:t>
      </w:r>
      <w:r w:rsidRPr="00907008">
        <w:rPr>
          <w:rFonts w:ascii="Arial" w:hAnsi="Arial" w:cs="Arial"/>
        </w:rPr>
        <w:t xml:space="preserve">ervice mix differences among eligible clinicians within each specialty cohort </w:t>
      </w:r>
      <w:r w:rsidR="00981DD8">
        <w:rPr>
          <w:rFonts w:ascii="Arial" w:hAnsi="Arial" w:cs="Arial"/>
        </w:rPr>
        <w:t xml:space="preserve">were risk adjusted for </w:t>
      </w:r>
      <w:r w:rsidRPr="00907008">
        <w:rPr>
          <w:rFonts w:ascii="Arial" w:hAnsi="Arial" w:cs="Arial"/>
        </w:rPr>
        <w:t>by including indicator variables for principal discharge diagnosis</w:t>
      </w:r>
      <w:r w:rsidRPr="00907008" w:rsidDel="005031F1">
        <w:rPr>
          <w:rFonts w:ascii="Arial" w:hAnsi="Arial" w:cs="Arial"/>
        </w:rPr>
        <w:t xml:space="preserve"> </w:t>
      </w:r>
      <w:r w:rsidRPr="00907008">
        <w:rPr>
          <w:rFonts w:ascii="Arial" w:hAnsi="Arial" w:cs="Arial"/>
        </w:rPr>
        <w:t>condition categories (as defined by AHRQ CCS) in each model.</w:t>
      </w:r>
    </w:p>
    <w:p w14:paraId="199ED4FE" w14:textId="3C307948" w:rsidR="00907008" w:rsidRPr="00907008" w:rsidRDefault="0078656A" w:rsidP="00C7256F">
      <w:pPr>
        <w:ind w:left="270"/>
        <w:rPr>
          <w:rFonts w:ascii="Arial" w:hAnsi="Arial" w:cs="Arial"/>
        </w:rPr>
      </w:pPr>
      <w:r w:rsidRPr="00907008">
        <w:rPr>
          <w:rFonts w:ascii="Arial" w:hAnsi="Arial" w:cs="Arial"/>
        </w:rPr>
        <w:t>Finally,</w:t>
      </w:r>
      <w:r w:rsidR="00907008" w:rsidRPr="00907008">
        <w:rPr>
          <w:rFonts w:ascii="Arial" w:hAnsi="Arial" w:cs="Arial"/>
        </w:rPr>
        <w:t xml:space="preserve"> each of the </w:t>
      </w:r>
      <w:r w:rsidR="00981DD8">
        <w:rPr>
          <w:rFonts w:ascii="Arial" w:hAnsi="Arial" w:cs="Arial"/>
        </w:rPr>
        <w:t>five</w:t>
      </w:r>
      <w:r w:rsidR="00907008" w:rsidRPr="00907008">
        <w:rPr>
          <w:rFonts w:ascii="Arial" w:hAnsi="Arial" w:cs="Arial"/>
        </w:rPr>
        <w:t xml:space="preserve"> specialty cohort models</w:t>
      </w:r>
      <w:r w:rsidR="00C50364">
        <w:rPr>
          <w:rFonts w:ascii="Arial" w:hAnsi="Arial" w:cs="Arial"/>
        </w:rPr>
        <w:t xml:space="preserve"> were used</w:t>
      </w:r>
      <w:r w:rsidR="00907008" w:rsidRPr="00907008">
        <w:rPr>
          <w:rFonts w:ascii="Arial" w:hAnsi="Arial" w:cs="Arial"/>
        </w:rPr>
        <w:t xml:space="preserve"> to calculate the ratio of observed to </w:t>
      </w:r>
      <w:r w:rsidR="00242596" w:rsidRPr="00242596">
        <w:rPr>
          <w:rFonts w:ascii="Arial" w:hAnsi="Arial" w:cs="Arial"/>
        </w:rPr>
        <w:t>expected numbers of readmissions</w:t>
      </w:r>
      <w:r w:rsidR="00C50364">
        <w:rPr>
          <w:rFonts w:ascii="Arial" w:hAnsi="Arial" w:cs="Arial"/>
        </w:rPr>
        <w:t xml:space="preserve"> </w:t>
      </w:r>
      <w:r w:rsidR="00907008" w:rsidRPr="00907008">
        <w:rPr>
          <w:rFonts w:ascii="Arial" w:hAnsi="Arial" w:cs="Arial"/>
        </w:rPr>
        <w:t xml:space="preserve">for each </w:t>
      </w:r>
      <w:r w:rsidR="00825191">
        <w:rPr>
          <w:rFonts w:ascii="Arial" w:hAnsi="Arial" w:cs="Arial"/>
        </w:rPr>
        <w:t>EC</w:t>
      </w:r>
      <w:r w:rsidR="00825191" w:rsidRPr="00907008">
        <w:rPr>
          <w:rFonts w:ascii="Arial" w:hAnsi="Arial" w:cs="Arial"/>
        </w:rPr>
        <w:t xml:space="preserve"> </w:t>
      </w:r>
      <w:r w:rsidR="00907008" w:rsidRPr="00907008">
        <w:rPr>
          <w:rFonts w:ascii="Arial" w:hAnsi="Arial" w:cs="Arial"/>
        </w:rPr>
        <w:t xml:space="preserve">group in each specialty cohort. These standardized readmission ratios (SRRs) are then used to estimate the between provider variance, and this parameter is then used to adjust each SRR, creating a ‘smoothed rate’ (SR). </w:t>
      </w:r>
      <w:r w:rsidR="00114369">
        <w:rPr>
          <w:rFonts w:ascii="Arial" w:hAnsi="Arial" w:cs="Arial"/>
        </w:rPr>
        <w:t>A</w:t>
      </w:r>
      <w:r w:rsidR="00907008" w:rsidRPr="00907008">
        <w:rPr>
          <w:rFonts w:ascii="Arial" w:hAnsi="Arial" w:cs="Arial"/>
        </w:rPr>
        <w:t xml:space="preserve"> single summary score </w:t>
      </w:r>
      <w:r w:rsidR="00114369">
        <w:rPr>
          <w:rFonts w:ascii="Arial" w:hAnsi="Arial" w:cs="Arial"/>
        </w:rPr>
        <w:t xml:space="preserve">is calculated </w:t>
      </w:r>
      <w:r w:rsidR="00907008" w:rsidRPr="00907008">
        <w:rPr>
          <w:rFonts w:ascii="Arial" w:hAnsi="Arial" w:cs="Arial"/>
        </w:rPr>
        <w:t xml:space="preserve">from </w:t>
      </w:r>
      <w:r w:rsidR="00C7256F" w:rsidRPr="00907008">
        <w:rPr>
          <w:rFonts w:ascii="Arial" w:hAnsi="Arial" w:cs="Arial"/>
        </w:rPr>
        <w:t xml:space="preserve">the </w:t>
      </w:r>
      <w:r w:rsidR="00C7256F">
        <w:rPr>
          <w:rFonts w:ascii="Arial" w:hAnsi="Arial" w:cs="Arial"/>
        </w:rPr>
        <w:t>five</w:t>
      </w:r>
      <w:r>
        <w:rPr>
          <w:rFonts w:ascii="Arial" w:hAnsi="Arial" w:cs="Arial"/>
        </w:rPr>
        <w:t xml:space="preserve"> </w:t>
      </w:r>
      <w:r w:rsidRPr="00907008">
        <w:rPr>
          <w:rFonts w:ascii="Arial" w:hAnsi="Arial" w:cs="Arial"/>
        </w:rPr>
        <w:t>specialty</w:t>
      </w:r>
      <w:r w:rsidR="00907008" w:rsidRPr="00907008">
        <w:rPr>
          <w:rFonts w:ascii="Arial" w:hAnsi="Arial" w:cs="Arial"/>
        </w:rPr>
        <w:t xml:space="preserve"> cohort </w:t>
      </w:r>
      <w:r w:rsidR="00114369">
        <w:rPr>
          <w:rFonts w:ascii="Arial" w:hAnsi="Arial" w:cs="Arial"/>
        </w:rPr>
        <w:t>smooth</w:t>
      </w:r>
      <w:r w:rsidR="0033431D">
        <w:rPr>
          <w:rFonts w:ascii="Arial" w:hAnsi="Arial" w:cs="Arial"/>
        </w:rPr>
        <w:t>ed</w:t>
      </w:r>
      <w:r w:rsidR="00114369">
        <w:rPr>
          <w:rFonts w:ascii="Arial" w:hAnsi="Arial" w:cs="Arial"/>
        </w:rPr>
        <w:t xml:space="preserve"> rates by taking </w:t>
      </w:r>
      <w:r w:rsidR="00907008" w:rsidRPr="00907008">
        <w:rPr>
          <w:rFonts w:ascii="Arial" w:hAnsi="Arial" w:cs="Arial"/>
        </w:rPr>
        <w:t xml:space="preserve">the volume-weighted log average (that is, the geometric mean) of the </w:t>
      </w:r>
      <w:r w:rsidR="00114369">
        <w:rPr>
          <w:rFonts w:ascii="Arial" w:hAnsi="Arial" w:cs="Arial"/>
        </w:rPr>
        <w:t>rate</w:t>
      </w:r>
      <w:r w:rsidR="00114369" w:rsidRPr="00907008">
        <w:rPr>
          <w:rFonts w:ascii="Arial" w:hAnsi="Arial" w:cs="Arial"/>
        </w:rPr>
        <w:t xml:space="preserve">s </w:t>
      </w:r>
      <w:r w:rsidR="00907008" w:rsidRPr="00907008">
        <w:rPr>
          <w:rFonts w:ascii="Arial" w:hAnsi="Arial" w:cs="Arial"/>
        </w:rPr>
        <w:t>multiplying the resulting ratio by the average national observed readmission rate. This approach allowed us to take into account the variation in specialty cohort mix across EC groups.</w:t>
      </w:r>
    </w:p>
    <w:p w14:paraId="7D5DD7A1" w14:textId="77777777" w:rsidR="00907008" w:rsidRPr="00907008" w:rsidRDefault="00907008" w:rsidP="00C7256F">
      <w:pPr>
        <w:pStyle w:val="CORE5"/>
        <w:spacing w:before="0" w:after="160" w:line="259" w:lineRule="auto"/>
        <w:ind w:left="270"/>
        <w:rPr>
          <w:rFonts w:ascii="Arial" w:hAnsi="Arial" w:cs="Arial"/>
        </w:rPr>
      </w:pPr>
      <w:bookmarkStart w:id="3" w:name="_Toc524939971"/>
      <w:bookmarkStart w:id="4" w:name="_Toc524940204"/>
      <w:bookmarkStart w:id="5" w:name="_Toc524940320"/>
      <w:bookmarkStart w:id="6" w:name="_Toc524940436"/>
      <w:bookmarkEnd w:id="2"/>
      <w:r w:rsidRPr="00907008">
        <w:rPr>
          <w:rFonts w:ascii="Arial" w:hAnsi="Arial" w:cs="Arial"/>
        </w:rPr>
        <w:t>Service-mix Grouping</w:t>
      </w:r>
      <w:bookmarkEnd w:id="3"/>
      <w:bookmarkEnd w:id="4"/>
      <w:bookmarkEnd w:id="5"/>
      <w:bookmarkEnd w:id="6"/>
    </w:p>
    <w:p w14:paraId="14264702" w14:textId="101D1E4C" w:rsidR="00907008" w:rsidRPr="00907008" w:rsidRDefault="00B25694" w:rsidP="00C7256F">
      <w:pPr>
        <w:ind w:left="270"/>
        <w:rPr>
          <w:rFonts w:ascii="Arial" w:hAnsi="Arial" w:cs="Arial"/>
        </w:rPr>
      </w:pPr>
      <w:bookmarkStart w:id="7" w:name="_Hlk513547416"/>
      <w:r>
        <w:rPr>
          <w:rFonts w:ascii="Arial" w:hAnsi="Arial" w:cs="Arial"/>
        </w:rPr>
        <w:t>A</w:t>
      </w:r>
      <w:r w:rsidR="00907008" w:rsidRPr="00907008">
        <w:rPr>
          <w:rFonts w:ascii="Arial" w:hAnsi="Arial" w:cs="Arial"/>
        </w:rPr>
        <w:t xml:space="preserve">ll </w:t>
      </w:r>
      <w:r w:rsidR="000E39A3">
        <w:rPr>
          <w:rFonts w:ascii="Arial" w:hAnsi="Arial" w:cs="Arial"/>
        </w:rPr>
        <w:t xml:space="preserve">AHRQ </w:t>
      </w:r>
      <w:r w:rsidR="00907008" w:rsidRPr="00907008">
        <w:rPr>
          <w:rFonts w:ascii="Arial" w:hAnsi="Arial" w:cs="Arial"/>
        </w:rPr>
        <w:t>CC</w:t>
      </w:r>
      <w:r w:rsidR="000E39A3">
        <w:rPr>
          <w:rFonts w:ascii="Arial" w:hAnsi="Arial" w:cs="Arial"/>
        </w:rPr>
        <w:t>S</w:t>
      </w:r>
      <w:r>
        <w:rPr>
          <w:rFonts w:ascii="Arial" w:hAnsi="Arial" w:cs="Arial"/>
        </w:rPr>
        <w:t>s</w:t>
      </w:r>
      <w:r w:rsidR="00907008" w:rsidRPr="00907008" w:rsidDel="003F281A">
        <w:rPr>
          <w:rFonts w:ascii="Arial" w:hAnsi="Arial" w:cs="Arial"/>
        </w:rPr>
        <w:t xml:space="preserve"> </w:t>
      </w:r>
      <w:r w:rsidR="00907008" w:rsidRPr="00907008">
        <w:rPr>
          <w:rFonts w:ascii="Arial" w:hAnsi="Arial" w:cs="Arial"/>
        </w:rPr>
        <w:t>with sufficient volume (defined as those with more than 1,000 admissions nationally each year) we</w:t>
      </w:r>
      <w:r w:rsidR="00C50364">
        <w:rPr>
          <w:rFonts w:ascii="Arial" w:hAnsi="Arial" w:cs="Arial"/>
        </w:rPr>
        <w:t xml:space="preserve">re included </w:t>
      </w:r>
      <w:r w:rsidR="0033431D">
        <w:rPr>
          <w:rFonts w:ascii="Arial" w:hAnsi="Arial" w:cs="Arial"/>
        </w:rPr>
        <w:t>as a</w:t>
      </w:r>
      <w:r w:rsidR="0033431D" w:rsidRPr="00907008">
        <w:rPr>
          <w:rFonts w:ascii="Arial" w:hAnsi="Arial" w:cs="Arial"/>
        </w:rPr>
        <w:t xml:space="preserve"> </w:t>
      </w:r>
      <w:r w:rsidR="00907008" w:rsidRPr="00907008">
        <w:rPr>
          <w:rFonts w:ascii="Arial" w:hAnsi="Arial" w:cs="Arial"/>
        </w:rPr>
        <w:t>condition-specific indicator in the model. Condition categories differ in their baseline readmission risks and EC groups will differ in their relative distribution of these condition categories (service mix) within each specialty cohort. Therefore, adjusting for condition categories levels the playing field across EC groups with different service mixes.</w:t>
      </w:r>
      <w:bookmarkEnd w:id="7"/>
      <w:r w:rsidR="00907008" w:rsidRPr="00907008">
        <w:rPr>
          <w:rFonts w:ascii="Arial" w:hAnsi="Arial" w:cs="Arial"/>
        </w:rPr>
        <w:t xml:space="preserve"> This was to align with the hospital-level HWR measure.</w:t>
      </w:r>
    </w:p>
    <w:p w14:paraId="1B7ED399" w14:textId="77777777" w:rsidR="00907008" w:rsidRPr="00907008" w:rsidRDefault="00907008" w:rsidP="00C7256F">
      <w:pPr>
        <w:pStyle w:val="CORE5"/>
        <w:spacing w:before="0" w:after="160" w:line="259" w:lineRule="auto"/>
        <w:ind w:left="270"/>
        <w:rPr>
          <w:rFonts w:ascii="Arial" w:hAnsi="Arial" w:cs="Arial"/>
        </w:rPr>
      </w:pPr>
      <w:bookmarkStart w:id="8" w:name="_Toc524939972"/>
      <w:bookmarkStart w:id="9" w:name="_Toc524940205"/>
      <w:bookmarkStart w:id="10" w:name="_Toc524940321"/>
      <w:bookmarkStart w:id="11" w:name="_Toc524940437"/>
      <w:r w:rsidRPr="00907008">
        <w:rPr>
          <w:rFonts w:ascii="Arial" w:hAnsi="Arial" w:cs="Arial"/>
        </w:rPr>
        <w:t xml:space="preserve">Complications of </w:t>
      </w:r>
      <w:bookmarkEnd w:id="8"/>
      <w:bookmarkEnd w:id="9"/>
      <w:bookmarkEnd w:id="10"/>
      <w:bookmarkEnd w:id="11"/>
      <w:r w:rsidRPr="00907008">
        <w:rPr>
          <w:rFonts w:ascii="Arial" w:hAnsi="Arial" w:cs="Arial"/>
        </w:rPr>
        <w:t>Admission</w:t>
      </w:r>
    </w:p>
    <w:p w14:paraId="6B884D13" w14:textId="2097E3D7" w:rsidR="00907008" w:rsidRPr="00907008" w:rsidRDefault="00907008" w:rsidP="00C7256F">
      <w:pPr>
        <w:ind w:left="270"/>
        <w:rPr>
          <w:rFonts w:ascii="Arial" w:hAnsi="Arial" w:cs="Arial"/>
        </w:rPr>
      </w:pPr>
      <w:bookmarkStart w:id="12" w:name="_Hlk513547106"/>
      <w:r w:rsidRPr="00907008">
        <w:rPr>
          <w:rFonts w:ascii="Arial" w:hAnsi="Arial" w:cs="Arial"/>
        </w:rPr>
        <w:t xml:space="preserve">Complications occurring during admission </w:t>
      </w:r>
      <w:r w:rsidR="0033431D">
        <w:rPr>
          <w:rFonts w:ascii="Arial" w:hAnsi="Arial" w:cs="Arial"/>
        </w:rPr>
        <w:t xml:space="preserve">which </w:t>
      </w:r>
      <w:r w:rsidRPr="00907008">
        <w:rPr>
          <w:rFonts w:ascii="Arial" w:hAnsi="Arial" w:cs="Arial"/>
        </w:rPr>
        <w:t xml:space="preserve">are not comorbid illnesses may reflect clinician quality of care, and therefore should not be used for risk adjustment. Although adverse events during admission may increase the risk of readmission, including them as covariates in a risk-adjusted model could attenuate the measure’s ability to characterize the quality of care delivered by EC groups. </w:t>
      </w:r>
      <w:r w:rsidR="00C50364">
        <w:rPr>
          <w:rFonts w:ascii="Arial" w:hAnsi="Arial" w:cs="Arial"/>
        </w:rPr>
        <w:t>T</w:t>
      </w:r>
      <w:r w:rsidRPr="00907008">
        <w:rPr>
          <w:rFonts w:ascii="Arial" w:hAnsi="Arial" w:cs="Arial"/>
        </w:rPr>
        <w:t>he previously vetted approach from the hospital-level HWR measure to classify CMS-CCs that are plausibly complications of care</w:t>
      </w:r>
      <w:r w:rsidR="00C50364">
        <w:rPr>
          <w:rFonts w:ascii="Arial" w:hAnsi="Arial" w:cs="Arial"/>
        </w:rPr>
        <w:t xml:space="preserve"> were used and augmented</w:t>
      </w:r>
      <w:r w:rsidR="00C7256F">
        <w:rPr>
          <w:rFonts w:ascii="Arial" w:hAnsi="Arial" w:cs="Arial"/>
        </w:rPr>
        <w:t>.</w:t>
      </w:r>
    </w:p>
    <w:p w14:paraId="6701D074" w14:textId="77777777" w:rsidR="00907008" w:rsidRPr="00907008" w:rsidRDefault="00907008" w:rsidP="00C7256F">
      <w:pPr>
        <w:pStyle w:val="CORE5"/>
        <w:spacing w:before="0" w:after="160" w:line="259" w:lineRule="auto"/>
        <w:ind w:left="270"/>
        <w:rPr>
          <w:rFonts w:ascii="Arial" w:hAnsi="Arial" w:cs="Arial"/>
        </w:rPr>
      </w:pPr>
      <w:bookmarkStart w:id="13" w:name="_Toc524939973"/>
      <w:bookmarkStart w:id="14" w:name="_Toc524940206"/>
      <w:bookmarkStart w:id="15" w:name="_Toc524940322"/>
      <w:bookmarkStart w:id="16" w:name="_Toc524940438"/>
      <w:bookmarkEnd w:id="12"/>
      <w:r w:rsidRPr="00907008">
        <w:rPr>
          <w:rFonts w:ascii="Arial" w:hAnsi="Arial" w:cs="Arial"/>
        </w:rPr>
        <w:t>Case-mix Adjustment: Comorbid Risk Variables</w:t>
      </w:r>
      <w:bookmarkEnd w:id="13"/>
      <w:bookmarkEnd w:id="14"/>
      <w:bookmarkEnd w:id="15"/>
      <w:bookmarkEnd w:id="16"/>
    </w:p>
    <w:p w14:paraId="614C31C6" w14:textId="72445B77" w:rsidR="00907008" w:rsidRPr="00907008" w:rsidRDefault="00C50364" w:rsidP="00C7256F">
      <w:pPr>
        <w:ind w:left="270"/>
        <w:rPr>
          <w:rFonts w:ascii="Arial" w:hAnsi="Arial" w:cs="Arial"/>
        </w:rPr>
      </w:pPr>
      <w:r w:rsidRPr="00907008">
        <w:rPr>
          <w:rFonts w:ascii="Arial" w:hAnsi="Arial" w:cs="Arial"/>
        </w:rPr>
        <w:t xml:space="preserve">CMS-CCs </w:t>
      </w:r>
      <w:r>
        <w:rPr>
          <w:rFonts w:ascii="Arial" w:hAnsi="Arial" w:cs="Arial"/>
        </w:rPr>
        <w:t>w</w:t>
      </w:r>
      <w:r w:rsidR="00907008" w:rsidRPr="00907008">
        <w:rPr>
          <w:rFonts w:ascii="Arial" w:hAnsi="Arial" w:cs="Arial"/>
        </w:rPr>
        <w:t>e</w:t>
      </w:r>
      <w:r>
        <w:rPr>
          <w:rFonts w:ascii="Arial" w:hAnsi="Arial" w:cs="Arial"/>
        </w:rPr>
        <w:t>re</w:t>
      </w:r>
      <w:r w:rsidR="00907008" w:rsidRPr="00907008">
        <w:rPr>
          <w:rFonts w:ascii="Arial" w:hAnsi="Arial" w:cs="Arial"/>
        </w:rPr>
        <w:t xml:space="preserve"> used to group ICD-9-CM/ICD-10-CM codes into comorbid risk adjustment variables. Multiple CMS condition-specific claims-based readmission models that use this grouper method to define variables for risk adjustment have been validated against models that use medical record-abstracted data for risk adjustment.</w:t>
      </w:r>
      <w:hyperlink w:anchor="_ENREF_23" w:tooltip="Keenan, 2008 #38" w:history="1">
        <w:r w:rsidR="00496C44" w:rsidRPr="00496C44">
          <w:rPr>
            <w:rFonts w:ascii="Arial" w:hAnsi="Arial" w:cs="Arial"/>
            <w:vertAlign w:val="superscript"/>
          </w:rPr>
          <w:t>11-13</w:t>
        </w:r>
      </w:hyperlink>
    </w:p>
    <w:p w14:paraId="5D100EC7" w14:textId="4F7F313B" w:rsidR="00907008" w:rsidRDefault="00907008" w:rsidP="00C7256F">
      <w:pPr>
        <w:pStyle w:val="ListParagraph"/>
        <w:ind w:left="270"/>
        <w:rPr>
          <w:rFonts w:ascii="Arial" w:hAnsi="Arial" w:cs="Arial"/>
        </w:rPr>
      </w:pPr>
    </w:p>
    <w:p w14:paraId="138A50B3" w14:textId="7EB99213" w:rsidR="005004E7" w:rsidRPr="005004E7" w:rsidRDefault="005004E7" w:rsidP="00C7256F">
      <w:pPr>
        <w:pStyle w:val="ListParagraph"/>
        <w:ind w:left="270"/>
        <w:rPr>
          <w:rFonts w:ascii="Arial" w:hAnsi="Arial" w:cs="Arial"/>
          <w:vertAlign w:val="superscript"/>
        </w:rPr>
      </w:pPr>
      <w:r>
        <w:rPr>
          <w:rFonts w:ascii="Arial" w:hAnsi="Arial" w:cs="Arial"/>
        </w:rPr>
        <w:t>W</w:t>
      </w:r>
      <w:r w:rsidRPr="005004E7">
        <w:rPr>
          <w:rFonts w:ascii="Arial" w:hAnsi="Arial" w:cs="Arial"/>
        </w:rPr>
        <w:t>e have not established any benchmarks for this measure. For MIPS quality measures, CMS establishes benchmarks using historical data and displays them in terms of deciles.</w:t>
      </w:r>
      <w:r>
        <w:rPr>
          <w:rFonts w:ascii="Arial" w:hAnsi="Arial" w:cs="Arial"/>
          <w:vertAlign w:val="superscript"/>
        </w:rPr>
        <w:t>14</w:t>
      </w:r>
    </w:p>
    <w:p w14:paraId="580ACE13" w14:textId="77777777" w:rsidR="005004E7" w:rsidRDefault="005004E7" w:rsidP="00C7256F">
      <w:pPr>
        <w:pStyle w:val="ListParagraph"/>
        <w:ind w:left="270"/>
        <w:rPr>
          <w:rFonts w:ascii="Arial" w:hAnsi="Arial" w:cs="Arial"/>
        </w:rPr>
      </w:pPr>
    </w:p>
    <w:p w14:paraId="13C61113" w14:textId="77777777" w:rsidR="005004E7" w:rsidRDefault="005004E7" w:rsidP="002635DB">
      <w:pPr>
        <w:pStyle w:val="ListParagraph"/>
        <w:ind w:left="270"/>
        <w:rPr>
          <w:rFonts w:ascii="Arial" w:hAnsi="Arial" w:cs="Arial"/>
        </w:rPr>
      </w:pPr>
    </w:p>
    <w:p w14:paraId="6160682C" w14:textId="31909C39" w:rsidR="002635DB" w:rsidRPr="002635DB" w:rsidRDefault="002635DB" w:rsidP="002635DB">
      <w:pPr>
        <w:pStyle w:val="ListParagraph"/>
        <w:ind w:left="270"/>
        <w:rPr>
          <w:rFonts w:ascii="Arial" w:hAnsi="Arial" w:cs="Arial"/>
        </w:rPr>
      </w:pPr>
      <w:r w:rsidRPr="002635DB">
        <w:rPr>
          <w:rFonts w:ascii="Arial" w:hAnsi="Arial" w:cs="Arial"/>
        </w:rPr>
        <w:t>References</w:t>
      </w:r>
    </w:p>
    <w:p w14:paraId="39CC07FD" w14:textId="7D2E9DE5" w:rsidR="009C68B1" w:rsidRDefault="002635DB" w:rsidP="00C21E4A">
      <w:pPr>
        <w:pStyle w:val="ListParagraph"/>
        <w:numPr>
          <w:ilvl w:val="0"/>
          <w:numId w:val="13"/>
        </w:numPr>
        <w:spacing w:after="0" w:line="240" w:lineRule="auto"/>
        <w:ind w:left="547"/>
        <w:contextualSpacing w:val="0"/>
        <w:rPr>
          <w:rFonts w:ascii="Arial" w:hAnsi="Arial" w:cs="Arial"/>
        </w:rPr>
      </w:pPr>
      <w:r w:rsidRPr="002635DB">
        <w:rPr>
          <w:rFonts w:ascii="Arial" w:hAnsi="Arial" w:cs="Arial"/>
        </w:rPr>
        <w:t>Adams J, Mehrota, A, Thoman J, McGlynn, E. (2010). Physician cost profiling – reliability and risk of misclassification. NEJM, 362(11): 1014-1021.</w:t>
      </w:r>
    </w:p>
    <w:p w14:paraId="56015124" w14:textId="277ABB60" w:rsidR="002635DB" w:rsidRPr="002635DB" w:rsidRDefault="002635DB" w:rsidP="002635DB">
      <w:pPr>
        <w:pStyle w:val="ListParagraph"/>
        <w:numPr>
          <w:ilvl w:val="0"/>
          <w:numId w:val="13"/>
        </w:numPr>
        <w:rPr>
          <w:rFonts w:ascii="Arial" w:hAnsi="Arial" w:cs="Arial"/>
        </w:rPr>
      </w:pPr>
      <w:r w:rsidRPr="002635DB">
        <w:rPr>
          <w:rFonts w:ascii="Arial" w:hAnsi="Arial" w:cs="Arial"/>
          <w:bCs/>
        </w:rPr>
        <w:t>Landis J, Koch G, The measurement of observer agreement for categorical data. Biometrics 1977; 33:159-174.</w:t>
      </w:r>
    </w:p>
    <w:p w14:paraId="53A4BD25" w14:textId="23621F53" w:rsidR="00D8237F" w:rsidRPr="00D8237F" w:rsidRDefault="00D8237F" w:rsidP="00D8237F">
      <w:pPr>
        <w:pStyle w:val="ListParagraph"/>
        <w:numPr>
          <w:ilvl w:val="0"/>
          <w:numId w:val="13"/>
        </w:numPr>
        <w:autoSpaceDE w:val="0"/>
        <w:autoSpaceDN w:val="0"/>
        <w:adjustRightInd w:val="0"/>
        <w:spacing w:before="120" w:after="120" w:line="276" w:lineRule="auto"/>
        <w:rPr>
          <w:rFonts w:ascii="Arial" w:eastAsia="MS Mincho" w:hAnsi="Arial" w:cs="Arial"/>
        </w:rPr>
      </w:pPr>
      <w:r w:rsidRPr="00D8237F">
        <w:rPr>
          <w:rFonts w:ascii="Arial" w:eastAsia="MS Mincho" w:hAnsi="Arial" w:cs="Arial"/>
        </w:rPr>
        <w:t>Krumholz HM, Wang Y, Mattera JA, et al. An administrative claims model suitable for profiling hospital performance based on 30-day mortality rates among patients with an acute myocardial infarction. Circulation. 2006 Apr 4; 113(13):1683-92.</w:t>
      </w:r>
    </w:p>
    <w:p w14:paraId="71F91060" w14:textId="06586D00" w:rsidR="00D8237F" w:rsidRPr="00D8237F" w:rsidRDefault="00D8237F" w:rsidP="00D8237F">
      <w:pPr>
        <w:pStyle w:val="ListParagraph"/>
        <w:numPr>
          <w:ilvl w:val="0"/>
          <w:numId w:val="13"/>
        </w:numPr>
        <w:autoSpaceDE w:val="0"/>
        <w:autoSpaceDN w:val="0"/>
        <w:adjustRightInd w:val="0"/>
        <w:spacing w:before="120" w:after="120" w:line="276" w:lineRule="auto"/>
        <w:rPr>
          <w:rFonts w:ascii="Arial" w:eastAsia="MS Mincho" w:hAnsi="Arial" w:cs="Arial"/>
        </w:rPr>
      </w:pPr>
      <w:r w:rsidRPr="00D8237F">
        <w:rPr>
          <w:rFonts w:ascii="Arial" w:eastAsia="MS Mincho" w:hAnsi="Arial" w:cs="Arial"/>
          <w:lang w:val="fr-CH"/>
        </w:rPr>
        <w:t xml:space="preserve">Krumholz HM, Lin Z, Drye EE, et al. </w:t>
      </w:r>
      <w:r w:rsidRPr="00D8237F">
        <w:rPr>
          <w:rFonts w:ascii="Arial" w:eastAsia="MS Mincho" w:hAnsi="Arial" w:cs="Arial"/>
        </w:rPr>
        <w:t>An administrative claims measure suitable for profiling hospital performance based on 30-day all-cause readmission rates among patients with acute myocardial infarction. Circulation: Cardiovascular Quality and Outcomes. 2011 Mar 1; 4(2):243-52.</w:t>
      </w:r>
    </w:p>
    <w:p w14:paraId="7AF62E34" w14:textId="411EA5FB" w:rsidR="00D8237F" w:rsidRPr="00D8237F" w:rsidRDefault="00D8237F" w:rsidP="00D8237F">
      <w:pPr>
        <w:pStyle w:val="ListParagraph"/>
        <w:numPr>
          <w:ilvl w:val="0"/>
          <w:numId w:val="13"/>
        </w:numPr>
        <w:autoSpaceDE w:val="0"/>
        <w:autoSpaceDN w:val="0"/>
        <w:adjustRightInd w:val="0"/>
        <w:spacing w:before="120" w:after="120" w:line="276" w:lineRule="auto"/>
        <w:rPr>
          <w:rFonts w:ascii="Arial" w:eastAsia="MS Mincho" w:hAnsi="Arial" w:cs="Arial"/>
        </w:rPr>
      </w:pPr>
      <w:r w:rsidRPr="00D8237F">
        <w:rPr>
          <w:rFonts w:ascii="Arial" w:eastAsia="MS Mincho" w:hAnsi="Arial" w:cs="Arial"/>
        </w:rPr>
        <w:t>Krumholz HM, Wang Y, Mattera JA, et al. An administrative claims model suitable for profiling hospital performance based on 30-day mortality rates among patients with heart failure. Circulation. 2006 Apr 4; 113(13):1693-701.</w:t>
      </w:r>
    </w:p>
    <w:p w14:paraId="4900378D" w14:textId="78E096F1" w:rsidR="00D8237F" w:rsidRPr="00D8237F" w:rsidRDefault="00D8237F" w:rsidP="00D8237F">
      <w:pPr>
        <w:pStyle w:val="ListParagraph"/>
        <w:numPr>
          <w:ilvl w:val="0"/>
          <w:numId w:val="13"/>
        </w:numPr>
        <w:autoSpaceDE w:val="0"/>
        <w:autoSpaceDN w:val="0"/>
        <w:adjustRightInd w:val="0"/>
        <w:spacing w:before="120" w:after="120" w:line="276" w:lineRule="auto"/>
        <w:rPr>
          <w:rFonts w:ascii="Arial" w:eastAsia="MS Mincho" w:hAnsi="Arial" w:cs="Arial"/>
        </w:rPr>
      </w:pPr>
      <w:r w:rsidRPr="00D8237F">
        <w:rPr>
          <w:rFonts w:ascii="Arial" w:eastAsia="MS Mincho" w:hAnsi="Arial" w:cs="Arial"/>
        </w:rPr>
        <w:t>Keenan PS, Normand SL, Lin Z, et al. An administrative claims measure suitable for profiling hospital performance on the basis of 30-day all-cause readmission rates among patients with heart failure. Circulation: Cardiovascular Quality and Outcomes. 2008 Sep; 1(1):29-37.</w:t>
      </w:r>
    </w:p>
    <w:p w14:paraId="285FFC48" w14:textId="3C64EC20" w:rsidR="00D8237F" w:rsidRPr="00D8237F" w:rsidRDefault="00D8237F" w:rsidP="00D8237F">
      <w:pPr>
        <w:pStyle w:val="ListParagraph"/>
        <w:numPr>
          <w:ilvl w:val="0"/>
          <w:numId w:val="13"/>
        </w:numPr>
        <w:autoSpaceDE w:val="0"/>
        <w:autoSpaceDN w:val="0"/>
        <w:adjustRightInd w:val="0"/>
        <w:spacing w:before="120" w:after="120" w:line="276" w:lineRule="auto"/>
        <w:rPr>
          <w:rFonts w:ascii="Arial" w:eastAsia="MS Mincho" w:hAnsi="Arial" w:cs="Arial"/>
        </w:rPr>
      </w:pPr>
      <w:r w:rsidRPr="00D8237F">
        <w:rPr>
          <w:rFonts w:ascii="Arial" w:eastAsia="MS Mincho" w:hAnsi="Arial" w:cs="Arial"/>
          <w:lang w:val="fr-CH"/>
        </w:rPr>
        <w:t xml:space="preserve">Bratzler DW, Normand SL, Wang Y, et al. </w:t>
      </w:r>
      <w:r w:rsidRPr="00D8237F">
        <w:rPr>
          <w:rFonts w:ascii="Arial" w:eastAsia="MS Mincho" w:hAnsi="Arial" w:cs="Arial"/>
        </w:rPr>
        <w:t>An administrative claims model for profiling hospital 30-day mortality rates for pneumonia patients. Public Library of Science (PLoS) ONE. 2011 Apr 12; 6(4):e17401.</w:t>
      </w:r>
    </w:p>
    <w:p w14:paraId="055E2AC1" w14:textId="5179A87E" w:rsidR="00D8237F" w:rsidRPr="00D8237F" w:rsidRDefault="00D8237F" w:rsidP="00D8237F">
      <w:pPr>
        <w:pStyle w:val="ListParagraph"/>
        <w:numPr>
          <w:ilvl w:val="0"/>
          <w:numId w:val="13"/>
        </w:numPr>
        <w:autoSpaceDE w:val="0"/>
        <w:autoSpaceDN w:val="0"/>
        <w:adjustRightInd w:val="0"/>
        <w:spacing w:before="120" w:after="120" w:line="276" w:lineRule="auto"/>
        <w:rPr>
          <w:rFonts w:ascii="Arial" w:eastAsia="MS Mincho" w:hAnsi="Arial" w:cs="Arial"/>
        </w:rPr>
      </w:pPr>
      <w:r w:rsidRPr="00D8237F">
        <w:rPr>
          <w:rFonts w:ascii="Arial" w:eastAsia="MS Mincho" w:hAnsi="Arial" w:cs="Arial"/>
        </w:rPr>
        <w:t>Lindenauer PK, Normand SL, Drye EE, et al. Development, validation, and results of a measure of 30-day readmission following hospitalization for pneumonia. Journal of Hospital Medicine. 2011 Mar; 6(3):142-50.</w:t>
      </w:r>
    </w:p>
    <w:p w14:paraId="1B189904" w14:textId="0B56BBA8" w:rsidR="00907008" w:rsidRPr="00907008" w:rsidRDefault="00907008" w:rsidP="00907008">
      <w:pPr>
        <w:pStyle w:val="ListParagraph"/>
        <w:numPr>
          <w:ilvl w:val="0"/>
          <w:numId w:val="13"/>
        </w:numPr>
        <w:autoSpaceDE w:val="0"/>
        <w:autoSpaceDN w:val="0"/>
        <w:adjustRightInd w:val="0"/>
        <w:spacing w:before="120" w:after="120" w:line="276" w:lineRule="auto"/>
        <w:rPr>
          <w:rFonts w:ascii="Arial" w:eastAsia="MS Mincho" w:hAnsi="Arial" w:cs="Arial"/>
        </w:rPr>
      </w:pPr>
      <w:r w:rsidRPr="00907008">
        <w:rPr>
          <w:rFonts w:ascii="Arial" w:eastAsia="MS Mincho" w:hAnsi="Arial" w:cs="Arial"/>
        </w:rPr>
        <w:t>National Quality Forum. National voluntary consensus standards for patient outcomes, first report for phases 1 and 2: A consensus report. Available at: http://www.qualityforum.org/projects/Patient_Outcome_Measures_Phases1-2.aspx. Accessed June 7, 2017.</w:t>
      </w:r>
    </w:p>
    <w:p w14:paraId="19B2EDD8" w14:textId="3A357537" w:rsidR="00907008" w:rsidRPr="00C50364" w:rsidRDefault="00907008" w:rsidP="00C21E4A">
      <w:pPr>
        <w:pStyle w:val="ListParagraph"/>
        <w:numPr>
          <w:ilvl w:val="0"/>
          <w:numId w:val="13"/>
        </w:numPr>
        <w:spacing w:after="0"/>
        <w:ind w:left="547"/>
        <w:rPr>
          <w:rFonts w:ascii="Arial" w:hAnsi="Arial" w:cs="Arial"/>
          <w:bCs/>
          <w:u w:val="single"/>
        </w:rPr>
      </w:pPr>
      <w:r w:rsidRPr="00D8237F">
        <w:rPr>
          <w:rFonts w:ascii="Arial" w:eastAsia="MS Mincho" w:hAnsi="Arial" w:cs="Arial"/>
          <w:lang w:val="fr-CH"/>
        </w:rPr>
        <w:t xml:space="preserve">Krumholz HM, Brindis RG, Brush JE, et al. </w:t>
      </w:r>
      <w:r w:rsidRPr="00D8237F">
        <w:rPr>
          <w:rFonts w:ascii="Arial" w:eastAsia="MS Mincho" w:hAnsi="Arial" w:cs="Arial"/>
        </w:rPr>
        <w:t>Standards for statistical models used for public reporting of health outcomes: An American Heart Association scientific statement from the Quality of Care and Outcomes Research Interdisciplinary Writing Group: cosponsored by the Council on Epidemiology and Prevention and the Stroke Council endorsed by the American College of Cardiology Foundation. Circulation. 2006; 113(3):456-462.</w:t>
      </w:r>
    </w:p>
    <w:p w14:paraId="04B0A8E3" w14:textId="77777777" w:rsidR="00C50364" w:rsidRPr="00496C44" w:rsidRDefault="00C50364" w:rsidP="00C21E4A">
      <w:pPr>
        <w:pStyle w:val="EndNoteBibliography"/>
        <w:numPr>
          <w:ilvl w:val="0"/>
          <w:numId w:val="13"/>
        </w:numPr>
        <w:spacing w:after="0"/>
        <w:ind w:left="547"/>
        <w:rPr>
          <w:rFonts w:ascii="Arial" w:hAnsi="Arial" w:cs="Arial"/>
          <w:noProof/>
        </w:rPr>
      </w:pPr>
      <w:r w:rsidRPr="00496C44">
        <w:rPr>
          <w:rFonts w:ascii="Arial" w:hAnsi="Arial" w:cs="Arial"/>
          <w:noProof/>
        </w:rPr>
        <w:t xml:space="preserve">Keenan PS, Normand SL, Lin Z, et al. An administrative claims measure suitable for profiling hospital performance on the basis of 30-day all-cause readmission rates among patients with heart failure. </w:t>
      </w:r>
      <w:r w:rsidRPr="00496C44">
        <w:rPr>
          <w:rFonts w:ascii="Arial" w:hAnsi="Arial" w:cs="Arial"/>
          <w:i/>
          <w:noProof/>
        </w:rPr>
        <w:t xml:space="preserve">Circ Cardiovasc Qual Outcomes. </w:t>
      </w:r>
      <w:r w:rsidRPr="00496C44">
        <w:rPr>
          <w:rFonts w:ascii="Arial" w:hAnsi="Arial" w:cs="Arial"/>
          <w:noProof/>
        </w:rPr>
        <w:t>2008;1(1):29-37.</w:t>
      </w:r>
    </w:p>
    <w:p w14:paraId="084BB00F" w14:textId="5E3555FB" w:rsidR="00C50364" w:rsidRPr="00496C44" w:rsidRDefault="00C50364" w:rsidP="00C21E4A">
      <w:pPr>
        <w:pStyle w:val="EndNoteBibliography"/>
        <w:numPr>
          <w:ilvl w:val="0"/>
          <w:numId w:val="13"/>
        </w:numPr>
        <w:spacing w:after="0"/>
        <w:ind w:left="547"/>
        <w:rPr>
          <w:rFonts w:ascii="Arial" w:hAnsi="Arial" w:cs="Arial"/>
          <w:noProof/>
        </w:rPr>
      </w:pPr>
      <w:bookmarkStart w:id="17" w:name="_ENREF_24"/>
      <w:r w:rsidRPr="00496C44">
        <w:rPr>
          <w:rFonts w:ascii="Arial" w:hAnsi="Arial" w:cs="Arial"/>
          <w:noProof/>
        </w:rPr>
        <w:t xml:space="preserve">Krumholz HM, Lin Z, Drye EE, et al. An administrative claims measure suitable for profiling hospital performance based on 30-day all-cause readmission rates among patients with acute myocardial infarction. </w:t>
      </w:r>
      <w:r w:rsidRPr="00496C44">
        <w:rPr>
          <w:rFonts w:ascii="Arial" w:hAnsi="Arial" w:cs="Arial"/>
          <w:i/>
          <w:noProof/>
        </w:rPr>
        <w:t xml:space="preserve">Circulation. </w:t>
      </w:r>
      <w:r w:rsidRPr="00496C44">
        <w:rPr>
          <w:rFonts w:ascii="Arial" w:hAnsi="Arial" w:cs="Arial"/>
          <w:noProof/>
        </w:rPr>
        <w:t>Mar 1 2011;4(2):243-252.</w:t>
      </w:r>
      <w:bookmarkEnd w:id="17"/>
    </w:p>
    <w:p w14:paraId="5AADEDA3" w14:textId="369ACA99" w:rsidR="00C50364" w:rsidRDefault="00C50364" w:rsidP="00C21E4A">
      <w:pPr>
        <w:pStyle w:val="EndNoteBibliography"/>
        <w:numPr>
          <w:ilvl w:val="0"/>
          <w:numId w:val="13"/>
        </w:numPr>
        <w:spacing w:after="0"/>
        <w:ind w:left="547"/>
        <w:rPr>
          <w:rFonts w:ascii="Arial" w:hAnsi="Arial" w:cs="Arial"/>
          <w:noProof/>
        </w:rPr>
      </w:pPr>
      <w:bookmarkStart w:id="18" w:name="_ENREF_25"/>
      <w:r w:rsidRPr="00496C44">
        <w:rPr>
          <w:rFonts w:ascii="Arial" w:hAnsi="Arial" w:cs="Arial"/>
          <w:noProof/>
        </w:rPr>
        <w:t xml:space="preserve">Lindenauer PK, Normand SL, Drye EE, et al. Development, validation, and results of a measure of 30-day readmission following hospitalization for pneumonia. </w:t>
      </w:r>
      <w:r w:rsidRPr="00496C44">
        <w:rPr>
          <w:rFonts w:ascii="Arial" w:hAnsi="Arial" w:cs="Arial"/>
          <w:i/>
          <w:noProof/>
        </w:rPr>
        <w:t xml:space="preserve">J Hosp Med. </w:t>
      </w:r>
      <w:r w:rsidRPr="00496C44">
        <w:rPr>
          <w:rFonts w:ascii="Arial" w:hAnsi="Arial" w:cs="Arial"/>
          <w:noProof/>
        </w:rPr>
        <w:t>2011;6(3):142-150.</w:t>
      </w:r>
      <w:bookmarkEnd w:id="18"/>
    </w:p>
    <w:p w14:paraId="6B5B10C4" w14:textId="5D5027C6" w:rsidR="005004E7" w:rsidRPr="00496C44" w:rsidRDefault="005004E7" w:rsidP="005004E7">
      <w:pPr>
        <w:pStyle w:val="EndNoteBibliography"/>
        <w:numPr>
          <w:ilvl w:val="0"/>
          <w:numId w:val="13"/>
        </w:numPr>
        <w:rPr>
          <w:rFonts w:ascii="Arial" w:hAnsi="Arial" w:cs="Arial"/>
          <w:noProof/>
        </w:rPr>
      </w:pPr>
      <w:r w:rsidRPr="005004E7">
        <w:rPr>
          <w:rFonts w:ascii="Arial" w:hAnsi="Arial" w:cs="Arial"/>
          <w:noProof/>
        </w:rPr>
        <w:t>2019 MIPS quality measure benchmarking: https://qpp-cm-prod-content.s3.amazonaws.com/uploads/342/2019%20MIPS%20Quality%20Benchmarks.zip</w:t>
      </w:r>
    </w:p>
    <w:p w14:paraId="2FDE8D6F" w14:textId="77777777" w:rsidR="00C50364" w:rsidRPr="00D8237F" w:rsidRDefault="00C50364" w:rsidP="00496C44">
      <w:pPr>
        <w:pStyle w:val="ListParagraph"/>
        <w:ind w:left="630"/>
        <w:rPr>
          <w:rFonts w:ascii="Arial" w:hAnsi="Arial" w:cs="Arial"/>
          <w:bCs/>
          <w:u w:val="single"/>
        </w:rPr>
      </w:pPr>
    </w:p>
    <w:p w14:paraId="022FC1E8" w14:textId="774960EB" w:rsidR="002635DB" w:rsidRPr="00907008" w:rsidRDefault="002635DB" w:rsidP="00907008">
      <w:pPr>
        <w:pStyle w:val="ListParagraph"/>
        <w:ind w:left="630"/>
        <w:rPr>
          <w:rFonts w:ascii="Arial" w:hAnsi="Arial" w:cs="Arial"/>
        </w:rPr>
      </w:pPr>
    </w:p>
    <w:p w14:paraId="044CABAD" w14:textId="77777777" w:rsidR="00300FD4" w:rsidRPr="00BF6DE9" w:rsidRDefault="00300FD4" w:rsidP="00300FD4">
      <w:pPr>
        <w:pStyle w:val="ListParagraph"/>
        <w:numPr>
          <w:ilvl w:val="0"/>
          <w:numId w:val="1"/>
        </w:numPr>
        <w:rPr>
          <w:rFonts w:ascii="Arial" w:hAnsi="Arial" w:cs="Arial"/>
          <w:b/>
        </w:rPr>
      </w:pPr>
      <w:r w:rsidRPr="00BF6DE9">
        <w:rPr>
          <w:rFonts w:ascii="Arial" w:hAnsi="Arial" w:cs="Arial"/>
          <w:b/>
        </w:rPr>
        <w:t>Endorsement</w:t>
      </w:r>
    </w:p>
    <w:p w14:paraId="0C62B30A" w14:textId="54DBA31E" w:rsidR="00300FD4" w:rsidRDefault="007E7FDE" w:rsidP="00300FD4">
      <w:pPr>
        <w:pStyle w:val="ListParagraph"/>
        <w:numPr>
          <w:ilvl w:val="0"/>
          <w:numId w:val="7"/>
        </w:numPr>
        <w:contextualSpacing w:val="0"/>
        <w:rPr>
          <w:rFonts w:ascii="Arial" w:hAnsi="Arial" w:cs="Arial"/>
          <w:i/>
        </w:rPr>
      </w:pPr>
      <w:r w:rsidRPr="00BF6DE9">
        <w:rPr>
          <w:rFonts w:ascii="Arial" w:hAnsi="Arial" w:cs="Arial"/>
          <w:i/>
        </w:rPr>
        <w:t xml:space="preserve">Provide </w:t>
      </w:r>
      <w:r w:rsidR="00300FD4" w:rsidRPr="00BF6DE9">
        <w:rPr>
          <w:rFonts w:ascii="Arial" w:hAnsi="Arial" w:cs="Arial"/>
          <w:i/>
        </w:rPr>
        <w:t xml:space="preserve">NQF </w:t>
      </w:r>
      <w:r w:rsidRPr="00BF6DE9">
        <w:rPr>
          <w:rFonts w:ascii="Arial" w:hAnsi="Arial" w:cs="Arial"/>
          <w:i/>
        </w:rPr>
        <w:t>endorsement status</w:t>
      </w:r>
      <w:r w:rsidR="00363D3C" w:rsidRPr="00BF6DE9">
        <w:rPr>
          <w:rFonts w:ascii="Arial" w:hAnsi="Arial" w:cs="Arial"/>
          <w:i/>
        </w:rPr>
        <w:t xml:space="preserve"> (and ID)</w:t>
      </w:r>
      <w:r w:rsidRPr="00BF6DE9">
        <w:rPr>
          <w:rFonts w:ascii="Arial" w:hAnsi="Arial" w:cs="Arial"/>
          <w:i/>
        </w:rPr>
        <w:t xml:space="preserve"> and/</w:t>
      </w:r>
      <w:r w:rsidR="00300FD4" w:rsidRPr="00BF6DE9">
        <w:rPr>
          <w:rFonts w:ascii="Arial" w:hAnsi="Arial" w:cs="Arial"/>
          <w:i/>
        </w:rPr>
        <w:t>or other endorsing body</w:t>
      </w:r>
      <w:r w:rsidR="009B2AD1" w:rsidRPr="00BF6DE9">
        <w:rPr>
          <w:rFonts w:ascii="Arial" w:hAnsi="Arial" w:cs="Arial"/>
          <w:i/>
        </w:rPr>
        <w:t xml:space="preserve"> (</w:t>
      </w:r>
      <w:r w:rsidR="0061473D" w:rsidRPr="00BF6DE9">
        <w:rPr>
          <w:rFonts w:ascii="Arial" w:hAnsi="Arial" w:cs="Arial"/>
          <w:i/>
        </w:rPr>
        <w:t xml:space="preserve">If measure is only endorsed for paper records, please </w:t>
      </w:r>
      <w:r w:rsidR="009B2AD1" w:rsidRPr="00BF6DE9">
        <w:rPr>
          <w:rFonts w:ascii="Arial" w:hAnsi="Arial" w:cs="Arial"/>
          <w:i/>
        </w:rPr>
        <w:t xml:space="preserve">note </w:t>
      </w:r>
      <w:r w:rsidR="0061473D" w:rsidRPr="00BF6DE9">
        <w:rPr>
          <w:rFonts w:ascii="Arial" w:hAnsi="Arial" w:cs="Arial"/>
          <w:i/>
        </w:rPr>
        <w:t xml:space="preserve">endorsement for </w:t>
      </w:r>
      <w:r w:rsidR="009B2AD1" w:rsidRPr="00BF6DE9">
        <w:rPr>
          <w:rFonts w:ascii="Arial" w:hAnsi="Arial" w:cs="Arial"/>
          <w:i/>
        </w:rPr>
        <w:t xml:space="preserve">only </w:t>
      </w:r>
      <w:r w:rsidR="0061473D" w:rsidRPr="00BF6DE9">
        <w:rPr>
          <w:rFonts w:ascii="Arial" w:hAnsi="Arial" w:cs="Arial"/>
          <w:i/>
        </w:rPr>
        <w:t>the</w:t>
      </w:r>
      <w:r w:rsidR="009B2AD1" w:rsidRPr="00BF6DE9">
        <w:rPr>
          <w:rFonts w:ascii="Arial" w:hAnsi="Arial" w:cs="Arial"/>
          <w:i/>
        </w:rPr>
        <w:t xml:space="preserve"> data source being submitted)</w:t>
      </w:r>
    </w:p>
    <w:p w14:paraId="090DA240" w14:textId="6193AC6B" w:rsidR="009C68B1" w:rsidRPr="00BF6DE9" w:rsidRDefault="009C68B1" w:rsidP="009C68B1">
      <w:pPr>
        <w:pStyle w:val="ListParagraph"/>
        <w:ind w:left="270"/>
        <w:contextualSpacing w:val="0"/>
        <w:rPr>
          <w:rFonts w:ascii="Arial" w:hAnsi="Arial" w:cs="Arial"/>
          <w:i/>
        </w:rPr>
      </w:pPr>
      <w:r>
        <w:rPr>
          <w:rFonts w:ascii="Arial" w:hAnsi="Arial" w:cs="Arial"/>
        </w:rPr>
        <w:t xml:space="preserve">This measure has been submitted to NQF for </w:t>
      </w:r>
      <w:r w:rsidRPr="000D4847">
        <w:rPr>
          <w:rFonts w:ascii="Arial" w:hAnsi="Arial" w:cs="Arial"/>
        </w:rPr>
        <w:t>initial endorsement</w:t>
      </w:r>
      <w:r>
        <w:rPr>
          <w:rFonts w:ascii="Arial" w:hAnsi="Arial" w:cs="Arial"/>
        </w:rPr>
        <w:t>.</w:t>
      </w:r>
    </w:p>
    <w:p w14:paraId="2F6E35F9" w14:textId="77777777" w:rsidR="00300FD4" w:rsidRPr="00BF6DE9" w:rsidRDefault="00300FD4" w:rsidP="00300FD4">
      <w:pPr>
        <w:pStyle w:val="ListParagraph"/>
        <w:numPr>
          <w:ilvl w:val="0"/>
          <w:numId w:val="1"/>
        </w:numPr>
        <w:rPr>
          <w:rFonts w:ascii="Arial" w:hAnsi="Arial" w:cs="Arial"/>
          <w:b/>
        </w:rPr>
      </w:pPr>
      <w:r w:rsidRPr="00BF6DE9">
        <w:rPr>
          <w:rFonts w:ascii="Arial" w:hAnsi="Arial" w:cs="Arial"/>
          <w:b/>
        </w:rPr>
        <w:t>Summary</w:t>
      </w:r>
    </w:p>
    <w:p w14:paraId="32196EF8" w14:textId="60F38714" w:rsidR="00300FD4" w:rsidRPr="00BF6DE9" w:rsidRDefault="00300FD4" w:rsidP="00300FD4">
      <w:pPr>
        <w:pStyle w:val="ListParagraph"/>
        <w:numPr>
          <w:ilvl w:val="0"/>
          <w:numId w:val="4"/>
        </w:numPr>
        <w:rPr>
          <w:rFonts w:ascii="Arial" w:hAnsi="Arial" w:cs="Arial"/>
          <w:i/>
        </w:rPr>
      </w:pPr>
      <w:r w:rsidRPr="00BF6DE9">
        <w:rPr>
          <w:rFonts w:ascii="Arial" w:hAnsi="Arial" w:cs="Arial"/>
          <w:i/>
        </w:rPr>
        <w:t>Alignment with CMS Quality Strategy or MACRA (If applicable)</w:t>
      </w:r>
    </w:p>
    <w:p w14:paraId="14C2EDF2" w14:textId="77777777" w:rsidR="00300FD4" w:rsidRPr="00BF6DE9" w:rsidRDefault="00300FD4" w:rsidP="00300FD4">
      <w:pPr>
        <w:pStyle w:val="ListParagraph"/>
        <w:numPr>
          <w:ilvl w:val="0"/>
          <w:numId w:val="4"/>
        </w:numPr>
        <w:rPr>
          <w:rFonts w:ascii="Arial" w:hAnsi="Arial" w:cs="Arial"/>
          <w:i/>
        </w:rPr>
      </w:pPr>
      <w:r w:rsidRPr="00BF6DE9">
        <w:rPr>
          <w:rFonts w:ascii="Arial" w:hAnsi="Arial" w:cs="Arial"/>
          <w:i/>
        </w:rPr>
        <w:t>Importance to MIPS or other CMS programs</w:t>
      </w:r>
    </w:p>
    <w:p w14:paraId="152F2C31" w14:textId="77777777" w:rsidR="00300FD4" w:rsidRPr="00BF6DE9" w:rsidRDefault="00300FD4" w:rsidP="00300FD4">
      <w:pPr>
        <w:pStyle w:val="ListParagraph"/>
        <w:numPr>
          <w:ilvl w:val="0"/>
          <w:numId w:val="4"/>
        </w:numPr>
        <w:rPr>
          <w:rFonts w:ascii="Arial" w:hAnsi="Arial" w:cs="Arial"/>
          <w:i/>
        </w:rPr>
      </w:pPr>
      <w:r w:rsidRPr="00BF6DE9">
        <w:rPr>
          <w:rFonts w:ascii="Arial" w:hAnsi="Arial" w:cs="Arial"/>
          <w:i/>
        </w:rPr>
        <w:t>Rationale: Use of measure for inclusion in program (specialty society, regional collaborative, other)</w:t>
      </w:r>
    </w:p>
    <w:p w14:paraId="4DBF0E05" w14:textId="77777777" w:rsidR="00300FD4" w:rsidRPr="00BF6DE9" w:rsidRDefault="00300FD4" w:rsidP="00300FD4">
      <w:pPr>
        <w:pStyle w:val="ListParagraph"/>
        <w:numPr>
          <w:ilvl w:val="0"/>
          <w:numId w:val="4"/>
        </w:numPr>
        <w:rPr>
          <w:rFonts w:ascii="Arial" w:hAnsi="Arial" w:cs="Arial"/>
          <w:i/>
        </w:rPr>
      </w:pPr>
      <w:r w:rsidRPr="00BF6DE9">
        <w:rPr>
          <w:rFonts w:ascii="Arial" w:hAnsi="Arial" w:cs="Arial"/>
          <w:i/>
        </w:rPr>
        <w:t>Public reporting (if applicable)</w:t>
      </w:r>
    </w:p>
    <w:p w14:paraId="3049C5C7" w14:textId="516551A7" w:rsidR="00937FA3" w:rsidRPr="00937FA3" w:rsidRDefault="0061473D" w:rsidP="00937FA3">
      <w:pPr>
        <w:pStyle w:val="ListParagraph"/>
        <w:numPr>
          <w:ilvl w:val="0"/>
          <w:numId w:val="4"/>
        </w:numPr>
        <w:rPr>
          <w:rFonts w:ascii="Arial" w:hAnsi="Arial" w:cs="Arial"/>
          <w:b/>
        </w:rPr>
      </w:pPr>
      <w:r w:rsidRPr="00BF6DE9">
        <w:rPr>
          <w:rFonts w:ascii="Arial" w:hAnsi="Arial" w:cs="Arial"/>
          <w:i/>
        </w:rPr>
        <w:t>Preferable relevant Peer-Review Journal for publication</w:t>
      </w:r>
    </w:p>
    <w:p w14:paraId="36FA6616" w14:textId="626DB2B7" w:rsidR="00937FA3" w:rsidRDefault="00937FA3" w:rsidP="00937FA3">
      <w:pPr>
        <w:rPr>
          <w:rFonts w:ascii="Arial" w:hAnsi="Arial" w:cs="Arial"/>
          <w:b/>
        </w:rPr>
      </w:pPr>
    </w:p>
    <w:p w14:paraId="28B2EBC8" w14:textId="294D199F" w:rsidR="00937FA3" w:rsidRPr="00BF6DE9" w:rsidRDefault="00937FA3" w:rsidP="00937FA3">
      <w:pPr>
        <w:pStyle w:val="ListParagraph"/>
        <w:ind w:left="270"/>
        <w:contextualSpacing w:val="0"/>
        <w:rPr>
          <w:rFonts w:ascii="Arial" w:hAnsi="Arial" w:cs="Arial"/>
          <w:i/>
        </w:rPr>
      </w:pPr>
      <w:r>
        <w:rPr>
          <w:rFonts w:ascii="Arial" w:hAnsi="Arial" w:cs="Arial"/>
        </w:rPr>
        <w:t xml:space="preserve">This measure has been developed for use in the CMS MACRA program, with </w:t>
      </w:r>
      <w:r w:rsidR="001A7E3C">
        <w:rPr>
          <w:rFonts w:ascii="Arial" w:hAnsi="Arial" w:cs="Arial"/>
        </w:rPr>
        <w:t xml:space="preserve">EC </w:t>
      </w:r>
      <w:r>
        <w:rPr>
          <w:rFonts w:ascii="Arial" w:hAnsi="Arial" w:cs="Arial"/>
        </w:rPr>
        <w:t xml:space="preserve">groups used for development and testing. Public comment generally supported this use, and the public reporting of the corresponding hospital measure provides a context for public reporting of this measure. Journals which should be considered for publication include JAMA IM, Annals of Internal Medicine, Medical Care, Health Services Research. </w:t>
      </w:r>
    </w:p>
    <w:p w14:paraId="256E00A8" w14:textId="7491C7EB" w:rsidR="00937FA3" w:rsidRPr="00937FA3" w:rsidRDefault="00937FA3" w:rsidP="00937FA3">
      <w:pPr>
        <w:ind w:left="720"/>
        <w:rPr>
          <w:rFonts w:ascii="Arial" w:hAnsi="Arial" w:cs="Arial"/>
        </w:rPr>
      </w:pPr>
    </w:p>
    <w:sectPr w:rsidR="00937FA3" w:rsidRPr="00937FA3" w:rsidSect="0025757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CCE60" w14:textId="77777777" w:rsidR="00BD6334" w:rsidRDefault="00BD6334" w:rsidP="00007C75">
      <w:pPr>
        <w:spacing w:after="0" w:line="240" w:lineRule="auto"/>
      </w:pPr>
      <w:r>
        <w:separator/>
      </w:r>
    </w:p>
  </w:endnote>
  <w:endnote w:type="continuationSeparator" w:id="0">
    <w:p w14:paraId="7486B587" w14:textId="77777777" w:rsidR="00BD6334" w:rsidRDefault="00BD6334" w:rsidP="0000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D9AAC" w14:textId="5FA98D62" w:rsidR="00007C75" w:rsidRDefault="00007C75">
    <w:pPr>
      <w:pStyle w:val="Footer"/>
    </w:pPr>
    <w:r>
      <w:rPr>
        <w:noProof/>
      </w:rPr>
      <mc:AlternateContent>
        <mc:Choice Requires="wpg">
          <w:drawing>
            <wp:anchor distT="0" distB="0" distL="114300" distR="114300" simplePos="0" relativeHeight="251659264" behindDoc="0" locked="0" layoutInCell="1" allowOverlap="1" wp14:anchorId="06A1C78A" wp14:editId="0770B1EF">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ADC1FA" w14:textId="679E0269" w:rsidR="00007C75" w:rsidRDefault="006435E4">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007C75">
                                  <w:rPr>
                                    <w:caps/>
                                    <w:color w:val="5B9BD5" w:themeColor="accent1"/>
                                    <w:sz w:val="20"/>
                                    <w:szCs w:val="20"/>
                                  </w:rPr>
                                  <w:t>Peer Reviewed Journal Article Requirement</w:t>
                                </w:r>
                              </w:sdtContent>
                            </w:sdt>
                            <w:r w:rsidR="00007C75">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DA2669">
                                  <w:rPr>
                                    <w:color w:val="808080" w:themeColor="background1" w:themeShade="80"/>
                                    <w:sz w:val="20"/>
                                    <w:szCs w:val="20"/>
                                  </w:rPr>
                                  <w:t>Revised for 2018</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6A1C78A" id="Group 164" o:spid="_x0000_s1027"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9"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3ADC1FA" w14:textId="679E0269" w:rsidR="00007C75" w:rsidRDefault="006435E4">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007C75">
                            <w:rPr>
                              <w:caps/>
                              <w:color w:val="5B9BD5" w:themeColor="accent1"/>
                              <w:sz w:val="20"/>
                              <w:szCs w:val="20"/>
                            </w:rPr>
                            <w:t>Peer Reviewed Journal Article Requirement</w:t>
                          </w:r>
                        </w:sdtContent>
                      </w:sdt>
                      <w:r w:rsidR="00007C75">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DA2669">
                            <w:rPr>
                              <w:color w:val="808080" w:themeColor="background1" w:themeShade="80"/>
                              <w:sz w:val="20"/>
                              <w:szCs w:val="20"/>
                            </w:rPr>
                            <w:t>Revised for 2018</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2CB78" w14:textId="77777777" w:rsidR="00BD6334" w:rsidRDefault="00BD6334" w:rsidP="00007C75">
      <w:pPr>
        <w:spacing w:after="0" w:line="240" w:lineRule="auto"/>
      </w:pPr>
      <w:r>
        <w:separator/>
      </w:r>
    </w:p>
  </w:footnote>
  <w:footnote w:type="continuationSeparator" w:id="0">
    <w:p w14:paraId="0E4813AD" w14:textId="77777777" w:rsidR="00BD6334" w:rsidRDefault="00BD6334" w:rsidP="00007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786"/>
    <w:multiLevelType w:val="hybridMultilevel"/>
    <w:tmpl w:val="C65AE9B6"/>
    <w:lvl w:ilvl="0" w:tplc="8FDA1C4A">
      <w:start w:val="1"/>
      <w:numFmt w:val="decimal"/>
      <w:lvlText w:val="%1."/>
      <w:lvlJc w:val="left"/>
      <w:pPr>
        <w:ind w:left="540" w:hanging="396"/>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6006EE8"/>
    <w:multiLevelType w:val="hybridMultilevel"/>
    <w:tmpl w:val="CB46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2D80"/>
    <w:multiLevelType w:val="hybridMultilevel"/>
    <w:tmpl w:val="437A0C46"/>
    <w:lvl w:ilvl="0" w:tplc="8550BE3E">
      <w:start w:val="1"/>
      <w:numFmt w:val="upperRoman"/>
      <w:lvlText w:val="%1."/>
      <w:lvlJc w:val="right"/>
      <w:pPr>
        <w:ind w:left="720" w:hanging="360"/>
      </w:pPr>
      <w:rPr>
        <w:b/>
      </w:rPr>
    </w:lvl>
    <w:lvl w:ilvl="1" w:tplc="A326810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9185A"/>
    <w:multiLevelType w:val="hybridMultilevel"/>
    <w:tmpl w:val="B58654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4B841FD"/>
    <w:multiLevelType w:val="hybridMultilevel"/>
    <w:tmpl w:val="3BEE7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513200"/>
    <w:multiLevelType w:val="hybridMultilevel"/>
    <w:tmpl w:val="93A80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7E291B"/>
    <w:multiLevelType w:val="hybridMultilevel"/>
    <w:tmpl w:val="32427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A8541F"/>
    <w:multiLevelType w:val="hybridMultilevel"/>
    <w:tmpl w:val="7AF69800"/>
    <w:lvl w:ilvl="0" w:tplc="D312011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8454ED2"/>
    <w:multiLevelType w:val="hybridMultilevel"/>
    <w:tmpl w:val="4C7A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B775AB"/>
    <w:multiLevelType w:val="hybridMultilevel"/>
    <w:tmpl w:val="E2AC6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84419D"/>
    <w:multiLevelType w:val="hybridMultilevel"/>
    <w:tmpl w:val="B4687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0A3295E"/>
    <w:multiLevelType w:val="hybridMultilevel"/>
    <w:tmpl w:val="9ED01C14"/>
    <w:lvl w:ilvl="0" w:tplc="CDE0C1FE">
      <w:start w:val="1"/>
      <w:numFmt w:val="decimal"/>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8177845"/>
    <w:multiLevelType w:val="hybridMultilevel"/>
    <w:tmpl w:val="C3926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7E09A9"/>
    <w:multiLevelType w:val="hybridMultilevel"/>
    <w:tmpl w:val="B376343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7F61062F"/>
    <w:multiLevelType w:val="hybridMultilevel"/>
    <w:tmpl w:val="A31CF4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2"/>
  </w:num>
  <w:num w:numId="3">
    <w:abstractNumId w:val="5"/>
  </w:num>
  <w:num w:numId="4">
    <w:abstractNumId w:val="4"/>
  </w:num>
  <w:num w:numId="5">
    <w:abstractNumId w:val="9"/>
  </w:num>
  <w:num w:numId="6">
    <w:abstractNumId w:val="3"/>
  </w:num>
  <w:num w:numId="7">
    <w:abstractNumId w:val="10"/>
  </w:num>
  <w:num w:numId="8">
    <w:abstractNumId w:val="6"/>
  </w:num>
  <w:num w:numId="9">
    <w:abstractNumId w:val="8"/>
  </w:num>
  <w:num w:numId="10">
    <w:abstractNumId w:val="1"/>
  </w:num>
  <w:num w:numId="11">
    <w:abstractNumId w:val="7"/>
  </w:num>
  <w:num w:numId="12">
    <w:abstractNumId w:val="11"/>
  </w:num>
  <w:num w:numId="13">
    <w:abstractNumId w:val="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120"/>
    <w:rsid w:val="00007C75"/>
    <w:rsid w:val="000156AE"/>
    <w:rsid w:val="000227E6"/>
    <w:rsid w:val="00055812"/>
    <w:rsid w:val="00081114"/>
    <w:rsid w:val="000836BC"/>
    <w:rsid w:val="00087B73"/>
    <w:rsid w:val="000C5DFF"/>
    <w:rsid w:val="000D38B8"/>
    <w:rsid w:val="000D4847"/>
    <w:rsid w:val="000E39A3"/>
    <w:rsid w:val="001121DA"/>
    <w:rsid w:val="00114369"/>
    <w:rsid w:val="00151945"/>
    <w:rsid w:val="001700F4"/>
    <w:rsid w:val="00191E83"/>
    <w:rsid w:val="001A7E3C"/>
    <w:rsid w:val="0022441B"/>
    <w:rsid w:val="00242596"/>
    <w:rsid w:val="002449AA"/>
    <w:rsid w:val="00257571"/>
    <w:rsid w:val="002635DB"/>
    <w:rsid w:val="002704D1"/>
    <w:rsid w:val="002C60EB"/>
    <w:rsid w:val="002D722F"/>
    <w:rsid w:val="002D74AD"/>
    <w:rsid w:val="002E5674"/>
    <w:rsid w:val="00300FD4"/>
    <w:rsid w:val="0033431D"/>
    <w:rsid w:val="00363D3C"/>
    <w:rsid w:val="003952E8"/>
    <w:rsid w:val="003C0C9B"/>
    <w:rsid w:val="003D7E29"/>
    <w:rsid w:val="0041080A"/>
    <w:rsid w:val="004208C6"/>
    <w:rsid w:val="004274E2"/>
    <w:rsid w:val="00436531"/>
    <w:rsid w:val="00463C36"/>
    <w:rsid w:val="00466BD1"/>
    <w:rsid w:val="00496C44"/>
    <w:rsid w:val="004E4440"/>
    <w:rsid w:val="005004E7"/>
    <w:rsid w:val="005231CC"/>
    <w:rsid w:val="00545F9F"/>
    <w:rsid w:val="00563CE4"/>
    <w:rsid w:val="005A4EC4"/>
    <w:rsid w:val="005A6285"/>
    <w:rsid w:val="005C03B2"/>
    <w:rsid w:val="005C731D"/>
    <w:rsid w:val="005D7582"/>
    <w:rsid w:val="005E7A4F"/>
    <w:rsid w:val="0061473D"/>
    <w:rsid w:val="00626B61"/>
    <w:rsid w:val="0064342F"/>
    <w:rsid w:val="006435E4"/>
    <w:rsid w:val="0068450D"/>
    <w:rsid w:val="006A588F"/>
    <w:rsid w:val="007162A6"/>
    <w:rsid w:val="0078656A"/>
    <w:rsid w:val="007A0EB0"/>
    <w:rsid w:val="007B0045"/>
    <w:rsid w:val="007E7FDE"/>
    <w:rsid w:val="008137A5"/>
    <w:rsid w:val="00817C4F"/>
    <w:rsid w:val="00825191"/>
    <w:rsid w:val="00841C6E"/>
    <w:rsid w:val="00862723"/>
    <w:rsid w:val="008909CD"/>
    <w:rsid w:val="0089523B"/>
    <w:rsid w:val="008C4E03"/>
    <w:rsid w:val="008D15B3"/>
    <w:rsid w:val="008D6226"/>
    <w:rsid w:val="00902D7C"/>
    <w:rsid w:val="00907008"/>
    <w:rsid w:val="009271B3"/>
    <w:rsid w:val="00937FA3"/>
    <w:rsid w:val="009478D2"/>
    <w:rsid w:val="00981DD8"/>
    <w:rsid w:val="009B2AD1"/>
    <w:rsid w:val="009C68B1"/>
    <w:rsid w:val="009E02D1"/>
    <w:rsid w:val="00A5570B"/>
    <w:rsid w:val="00A701A6"/>
    <w:rsid w:val="00AB3D59"/>
    <w:rsid w:val="00AB5A94"/>
    <w:rsid w:val="00AC4A4C"/>
    <w:rsid w:val="00AD0E94"/>
    <w:rsid w:val="00AF3090"/>
    <w:rsid w:val="00B25694"/>
    <w:rsid w:val="00BD2120"/>
    <w:rsid w:val="00BD6334"/>
    <w:rsid w:val="00BE12A5"/>
    <w:rsid w:val="00BF6DE9"/>
    <w:rsid w:val="00C21E4A"/>
    <w:rsid w:val="00C50364"/>
    <w:rsid w:val="00C7256F"/>
    <w:rsid w:val="00C95C03"/>
    <w:rsid w:val="00CE617C"/>
    <w:rsid w:val="00CF59D3"/>
    <w:rsid w:val="00D30DE9"/>
    <w:rsid w:val="00D57629"/>
    <w:rsid w:val="00D75BB6"/>
    <w:rsid w:val="00D8237F"/>
    <w:rsid w:val="00D87585"/>
    <w:rsid w:val="00DA2669"/>
    <w:rsid w:val="00DD5758"/>
    <w:rsid w:val="00E45B08"/>
    <w:rsid w:val="00E60FCE"/>
    <w:rsid w:val="00E67DD6"/>
    <w:rsid w:val="00E93FC5"/>
    <w:rsid w:val="00EB7DDA"/>
    <w:rsid w:val="00F74053"/>
    <w:rsid w:val="00F862BA"/>
    <w:rsid w:val="00FC5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6402D8"/>
  <w15:chartTrackingRefBased/>
  <w15:docId w15:val="{87694A99-5505-4893-9E6B-9139E1DB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90700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B08"/>
    <w:pPr>
      <w:ind w:left="720"/>
      <w:contextualSpacing/>
    </w:pPr>
  </w:style>
  <w:style w:type="paragraph" w:styleId="BalloonText">
    <w:name w:val="Balloon Text"/>
    <w:basedOn w:val="Normal"/>
    <w:link w:val="BalloonTextChar"/>
    <w:uiPriority w:val="99"/>
    <w:semiHidden/>
    <w:unhideWhenUsed/>
    <w:rsid w:val="00E45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B08"/>
    <w:rPr>
      <w:rFonts w:ascii="Segoe UI" w:hAnsi="Segoe UI" w:cs="Segoe UI"/>
      <w:sz w:val="18"/>
      <w:szCs w:val="18"/>
    </w:rPr>
  </w:style>
  <w:style w:type="table" w:styleId="TableGrid">
    <w:name w:val="Table Grid"/>
    <w:basedOn w:val="TableNormal"/>
    <w:uiPriority w:val="39"/>
    <w:rsid w:val="009E0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2AD1"/>
    <w:rPr>
      <w:sz w:val="16"/>
      <w:szCs w:val="16"/>
    </w:rPr>
  </w:style>
  <w:style w:type="paragraph" w:styleId="CommentText">
    <w:name w:val="annotation text"/>
    <w:basedOn w:val="Normal"/>
    <w:link w:val="CommentTextChar"/>
    <w:uiPriority w:val="99"/>
    <w:semiHidden/>
    <w:unhideWhenUsed/>
    <w:rsid w:val="009B2AD1"/>
    <w:pPr>
      <w:spacing w:line="240" w:lineRule="auto"/>
    </w:pPr>
    <w:rPr>
      <w:sz w:val="20"/>
      <w:szCs w:val="20"/>
    </w:rPr>
  </w:style>
  <w:style w:type="character" w:customStyle="1" w:styleId="CommentTextChar">
    <w:name w:val="Comment Text Char"/>
    <w:basedOn w:val="DefaultParagraphFont"/>
    <w:link w:val="CommentText"/>
    <w:uiPriority w:val="99"/>
    <w:semiHidden/>
    <w:rsid w:val="009B2AD1"/>
    <w:rPr>
      <w:sz w:val="20"/>
      <w:szCs w:val="20"/>
    </w:rPr>
  </w:style>
  <w:style w:type="paragraph" w:styleId="CommentSubject">
    <w:name w:val="annotation subject"/>
    <w:basedOn w:val="CommentText"/>
    <w:next w:val="CommentText"/>
    <w:link w:val="CommentSubjectChar"/>
    <w:uiPriority w:val="99"/>
    <w:semiHidden/>
    <w:unhideWhenUsed/>
    <w:rsid w:val="009B2AD1"/>
    <w:rPr>
      <w:b/>
      <w:bCs/>
    </w:rPr>
  </w:style>
  <w:style w:type="character" w:customStyle="1" w:styleId="CommentSubjectChar">
    <w:name w:val="Comment Subject Char"/>
    <w:basedOn w:val="CommentTextChar"/>
    <w:link w:val="CommentSubject"/>
    <w:uiPriority w:val="99"/>
    <w:semiHidden/>
    <w:rsid w:val="009B2AD1"/>
    <w:rPr>
      <w:b/>
      <w:bCs/>
      <w:sz w:val="20"/>
      <w:szCs w:val="20"/>
    </w:rPr>
  </w:style>
  <w:style w:type="paragraph" w:styleId="Header">
    <w:name w:val="header"/>
    <w:basedOn w:val="Normal"/>
    <w:link w:val="HeaderChar"/>
    <w:uiPriority w:val="99"/>
    <w:unhideWhenUsed/>
    <w:rsid w:val="00007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C75"/>
  </w:style>
  <w:style w:type="paragraph" w:styleId="Footer">
    <w:name w:val="footer"/>
    <w:basedOn w:val="Normal"/>
    <w:link w:val="FooterChar"/>
    <w:uiPriority w:val="99"/>
    <w:unhideWhenUsed/>
    <w:rsid w:val="00007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C75"/>
  </w:style>
  <w:style w:type="paragraph" w:styleId="Title">
    <w:name w:val="Title"/>
    <w:basedOn w:val="Normal"/>
    <w:next w:val="Normal"/>
    <w:link w:val="TitleChar"/>
    <w:uiPriority w:val="10"/>
    <w:qFormat/>
    <w:rsid w:val="00DA26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6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669"/>
    <w:pPr>
      <w:numPr>
        <w:ilvl w:val="1"/>
      </w:numPr>
      <w:jc w:val="center"/>
    </w:pPr>
    <w:rPr>
      <w:rFonts w:ascii="Arial" w:eastAsiaTheme="minorEastAsia" w:hAnsi="Arial"/>
      <w:spacing w:val="15"/>
      <w:sz w:val="24"/>
    </w:rPr>
  </w:style>
  <w:style w:type="character" w:customStyle="1" w:styleId="SubtitleChar">
    <w:name w:val="Subtitle Char"/>
    <w:basedOn w:val="DefaultParagraphFont"/>
    <w:link w:val="Subtitle"/>
    <w:uiPriority w:val="11"/>
    <w:rsid w:val="00DA2669"/>
    <w:rPr>
      <w:rFonts w:ascii="Arial" w:eastAsiaTheme="minorEastAsia" w:hAnsi="Arial"/>
      <w:spacing w:val="15"/>
      <w:sz w:val="24"/>
    </w:rPr>
  </w:style>
  <w:style w:type="character" w:styleId="Hyperlink">
    <w:name w:val="Hyperlink"/>
    <w:uiPriority w:val="99"/>
    <w:rsid w:val="00907008"/>
    <w:rPr>
      <w:rFonts w:ascii="Calibri" w:hAnsi="Calibri"/>
      <w:color w:val="auto"/>
      <w:sz w:val="24"/>
      <w:u w:val="single"/>
    </w:rPr>
  </w:style>
  <w:style w:type="paragraph" w:customStyle="1" w:styleId="CORE5">
    <w:name w:val="CORE_5"/>
    <w:basedOn w:val="Heading5"/>
    <w:qFormat/>
    <w:rsid w:val="00907008"/>
    <w:pPr>
      <w:keepNext w:val="0"/>
      <w:keepLines w:val="0"/>
      <w:spacing w:before="240" w:line="240" w:lineRule="auto"/>
      <w:ind w:left="720"/>
    </w:pPr>
    <w:rPr>
      <w:rFonts w:asciiTheme="minorHAnsi" w:eastAsia="Times New Roman" w:hAnsiTheme="minorHAnsi" w:cstheme="minorHAnsi"/>
      <w:bCs/>
      <w:iCs/>
      <w:color w:val="auto"/>
      <w:szCs w:val="26"/>
      <w:u w:val="single"/>
    </w:rPr>
  </w:style>
  <w:style w:type="character" w:customStyle="1" w:styleId="Heading5Char">
    <w:name w:val="Heading 5 Char"/>
    <w:basedOn w:val="DefaultParagraphFont"/>
    <w:link w:val="Heading5"/>
    <w:uiPriority w:val="9"/>
    <w:semiHidden/>
    <w:rsid w:val="00907008"/>
    <w:rPr>
      <w:rFonts w:asciiTheme="majorHAnsi" w:eastAsiaTheme="majorEastAsia" w:hAnsiTheme="majorHAnsi" w:cstheme="majorBidi"/>
      <w:color w:val="2E74B5" w:themeColor="accent1" w:themeShade="BF"/>
    </w:rPr>
  </w:style>
  <w:style w:type="paragraph" w:customStyle="1" w:styleId="EndNoteBibliography">
    <w:name w:val="EndNote Bibliography"/>
    <w:basedOn w:val="Normal"/>
    <w:link w:val="EndNoteBibliographyChar"/>
    <w:rsid w:val="00C50364"/>
    <w:pPr>
      <w:spacing w:after="200" w:line="240" w:lineRule="auto"/>
    </w:pPr>
    <w:rPr>
      <w:rFonts w:ascii="Calibri" w:eastAsia="Calibri" w:hAnsi="Calibri" w:cs="Calibri"/>
      <w:szCs w:val="20"/>
      <w:lang w:val="x-none" w:eastAsia="x-none"/>
    </w:rPr>
  </w:style>
  <w:style w:type="character" w:customStyle="1" w:styleId="EndNoteBibliographyChar">
    <w:name w:val="EndNote Bibliography Char"/>
    <w:basedOn w:val="DefaultParagraphFont"/>
    <w:link w:val="EndNoteBibliography"/>
    <w:rsid w:val="00C50364"/>
    <w:rPr>
      <w:rFonts w:ascii="Calibri" w:eastAsia="Calibri" w:hAnsi="Calibri" w:cs="Calibri"/>
      <w:szCs w:val="20"/>
      <w:lang w:val="x-none" w:eastAsia="x-none"/>
    </w:rPr>
  </w:style>
  <w:style w:type="character" w:styleId="FollowedHyperlink">
    <w:name w:val="FollowedHyperlink"/>
    <w:basedOn w:val="DefaultParagraphFont"/>
    <w:uiPriority w:val="99"/>
    <w:semiHidden/>
    <w:unhideWhenUsed/>
    <w:rsid w:val="00242596"/>
    <w:rPr>
      <w:color w:val="954F72" w:themeColor="followedHyperlink"/>
      <w:u w:val="single"/>
    </w:rPr>
  </w:style>
  <w:style w:type="character" w:customStyle="1" w:styleId="UnresolvedMention1">
    <w:name w:val="Unresolved Mention1"/>
    <w:basedOn w:val="DefaultParagraphFont"/>
    <w:uiPriority w:val="99"/>
    <w:semiHidden/>
    <w:unhideWhenUsed/>
    <w:rsid w:val="002425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046937">
      <w:bodyDiv w:val="1"/>
      <w:marLeft w:val="0"/>
      <w:marRight w:val="0"/>
      <w:marTop w:val="0"/>
      <w:marBottom w:val="0"/>
      <w:divBdr>
        <w:top w:val="none" w:sz="0" w:space="0" w:color="auto"/>
        <w:left w:val="none" w:sz="0" w:space="0" w:color="auto"/>
        <w:bottom w:val="none" w:sz="0" w:space="0" w:color="auto"/>
        <w:right w:val="none" w:sz="0" w:space="0" w:color="auto"/>
      </w:divBdr>
    </w:div>
    <w:div w:id="168600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fmc.org/caretransition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A9D58088A83A44A0F2E0FCA177D8B1" ma:contentTypeVersion="13" ma:contentTypeDescription="Create a new document." ma:contentTypeScope="" ma:versionID="3035fa395eff2cff1c57ff4c90131a66">
  <xsd:schema xmlns:xsd="http://www.w3.org/2001/XMLSchema" xmlns:xs="http://www.w3.org/2001/XMLSchema" xmlns:p="http://schemas.microsoft.com/office/2006/metadata/properties" xmlns:ns3="53ae6ff5-5cd6-450f-8374-44744d73ee2b" xmlns:ns4="8aae1ca9-fdbd-4e1c-8897-70dfbe687bd0" targetNamespace="http://schemas.microsoft.com/office/2006/metadata/properties" ma:root="true" ma:fieldsID="62abd23b8d311232c30ae436ff951097" ns3:_="" ns4:_="">
    <xsd:import namespace="53ae6ff5-5cd6-450f-8374-44744d73ee2b"/>
    <xsd:import namespace="8aae1ca9-fdbd-4e1c-8897-70dfbe687b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e6ff5-5cd6-450f-8374-44744d73e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ae1ca9-fdbd-4e1c-8897-70dfbe687b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71067-4B12-4DD8-8C94-6913C512817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53ae6ff5-5cd6-450f-8374-44744d73ee2b"/>
    <ds:schemaRef ds:uri="http://purl.org/dc/dcmitype/"/>
    <ds:schemaRef ds:uri="http://schemas.microsoft.com/office/infopath/2007/PartnerControls"/>
    <ds:schemaRef ds:uri="8aae1ca9-fdbd-4e1c-8897-70dfbe687bd0"/>
    <ds:schemaRef ds:uri="http://www.w3.org/XML/1998/namespace"/>
  </ds:schemaRefs>
</ds:datastoreItem>
</file>

<file path=customXml/itemProps2.xml><?xml version="1.0" encoding="utf-8"?>
<ds:datastoreItem xmlns:ds="http://schemas.openxmlformats.org/officeDocument/2006/customXml" ds:itemID="{AE7EE3FB-6EE6-4082-A3FB-F0D31E4C06E6}">
  <ds:schemaRefs>
    <ds:schemaRef ds:uri="http://schemas.microsoft.com/sharepoint/v3/contenttype/forms"/>
  </ds:schemaRefs>
</ds:datastoreItem>
</file>

<file path=customXml/itemProps3.xml><?xml version="1.0" encoding="utf-8"?>
<ds:datastoreItem xmlns:ds="http://schemas.openxmlformats.org/officeDocument/2006/customXml" ds:itemID="{CBE431E6-C313-4CFB-9393-5E1701CBF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e6ff5-5cd6-450f-8374-44744d73ee2b"/>
    <ds:schemaRef ds:uri="8aae1ca9-fdbd-4e1c-8897-70dfbe687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0DA74-35FA-469F-A6E1-84901539A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3910</Words>
  <Characters>22287</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Peer Reviewed Journal Article Requirement</vt:lpstr>
    </vt:vector>
  </TitlesOfParts>
  <Company>CMS</Company>
  <LinksUpToDate>false</LinksUpToDate>
  <CharactersWithSpaces>26145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Reviewed Journal Article Requirement</dc:title>
  <dc:subject>Revised for 2018</dc:subject>
  <dc:creator>CMS</dc:creator>
  <cp:keywords>Peer Reviewed Journal Article Requirement</cp:keywords>
  <dc:description/>
  <cp:lastModifiedBy>Mawuse Matias</cp:lastModifiedBy>
  <cp:revision>2</cp:revision>
  <cp:lastPrinted>2019-07-25T13:44:00Z</cp:lastPrinted>
  <dcterms:created xsi:type="dcterms:W3CDTF">2020-03-24T15:19:00Z</dcterms:created>
  <dcterms:modified xsi:type="dcterms:W3CDTF">2020-03-24T15:19:00Z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0x010100C2A9D58088A83A44A0F2E0FCA177D8B1</vt:lpwstr>
  </property>
</Properties>
</file>