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69E74" w14:textId="6211D38E" w:rsidR="00E52D07" w:rsidRPr="00D87585" w:rsidRDefault="008909CD" w:rsidP="00036070">
      <w:pPr>
        <w:pStyle w:val="Title"/>
        <w:spacing w:after="120"/>
        <w:jc w:val="center"/>
        <w:rPr>
          <w:rFonts w:ascii="Arial" w:hAnsi="Arial" w:cs="Arial"/>
          <w:sz w:val="28"/>
          <w:szCs w:val="28"/>
        </w:rPr>
      </w:pPr>
      <w:bookmarkStart w:id="0" w:name="_GoBack"/>
      <w:bookmarkEnd w:id="0"/>
      <w:r w:rsidRPr="00D87585">
        <w:rPr>
          <w:rFonts w:ascii="Arial" w:hAnsi="Arial" w:cs="Arial"/>
          <w:sz w:val="28"/>
          <w:szCs w:val="28"/>
        </w:rPr>
        <w:t>Template</w:t>
      </w:r>
    </w:p>
    <w:p w14:paraId="2349CC9E" w14:textId="77777777" w:rsidR="00BD2120" w:rsidRPr="000156AE" w:rsidRDefault="00BD2120" w:rsidP="00036070">
      <w:pPr>
        <w:pStyle w:val="Subtitle"/>
        <w:spacing w:line="240" w:lineRule="auto"/>
      </w:pPr>
      <w:r w:rsidRPr="000156AE">
        <w:t>Peer Reviewed Journal Article Requirement</w:t>
      </w:r>
    </w:p>
    <w:p w14:paraId="27A8C0E1" w14:textId="1991480F" w:rsidR="00BD2120" w:rsidRPr="000156AE" w:rsidRDefault="00BD2120" w:rsidP="00036070">
      <w:pPr>
        <w:spacing w:line="240" w:lineRule="auto"/>
        <w:rPr>
          <w:rFonts w:ascii="Arial" w:hAnsi="Arial" w:cs="Arial"/>
        </w:rPr>
      </w:pPr>
      <w:r w:rsidRPr="000156AE">
        <w:rPr>
          <w:rFonts w:ascii="Arial" w:hAnsi="Arial" w:cs="Arial"/>
        </w:rPr>
        <w:t>Section 101(c)(1) of the MACRA requires submission of new measures for publication in applicable specialty-appropriate, peer-reviewed journals</w:t>
      </w:r>
      <w:r w:rsidR="000D38B8">
        <w:rPr>
          <w:rFonts w:ascii="Arial" w:hAnsi="Arial" w:cs="Arial"/>
        </w:rPr>
        <w:t xml:space="preserve"> prior to implementing in MIPS</w:t>
      </w:r>
      <w:r w:rsidRPr="000156AE">
        <w:rPr>
          <w:rFonts w:ascii="Arial" w:hAnsi="Arial" w:cs="Arial"/>
        </w:rPr>
        <w:t xml:space="preserve">. These measures will be submitted </w:t>
      </w:r>
      <w:r w:rsidR="002449AA">
        <w:rPr>
          <w:rFonts w:ascii="Arial" w:hAnsi="Arial" w:cs="Arial"/>
        </w:rPr>
        <w:t xml:space="preserve">by CMS, </w:t>
      </w:r>
      <w:r w:rsidR="007B0045" w:rsidRPr="000156AE">
        <w:rPr>
          <w:rFonts w:ascii="Arial" w:hAnsi="Arial" w:cs="Arial"/>
        </w:rPr>
        <w:t xml:space="preserve">to a journal(s) </w:t>
      </w:r>
      <w:r w:rsidRPr="000156AE">
        <w:rPr>
          <w:rFonts w:ascii="Arial" w:hAnsi="Arial" w:cs="Arial"/>
        </w:rPr>
        <w:t xml:space="preserve">before including </w:t>
      </w:r>
      <w:r w:rsidR="007B0045" w:rsidRPr="000156AE">
        <w:rPr>
          <w:rFonts w:ascii="Arial" w:hAnsi="Arial" w:cs="Arial"/>
        </w:rPr>
        <w:t>any new measure</w:t>
      </w:r>
      <w:r w:rsidRPr="000156AE">
        <w:rPr>
          <w:rFonts w:ascii="Arial" w:hAnsi="Arial" w:cs="Arial"/>
        </w:rPr>
        <w:t xml:space="preserve"> in the final list of annual clinical quality measures (CQM) under MIPS.</w:t>
      </w:r>
      <w:r w:rsidR="00DD5758">
        <w:rPr>
          <w:rFonts w:ascii="Arial" w:hAnsi="Arial" w:cs="Arial"/>
        </w:rPr>
        <w:t xml:space="preserve"> </w:t>
      </w:r>
      <w:r w:rsidRPr="000156AE">
        <w:rPr>
          <w:rFonts w:ascii="Arial" w:hAnsi="Arial" w:cs="Arial"/>
        </w:rPr>
        <w:t xml:space="preserve">The measure owner shall provide the required information for article submission under the MACRA per CMS “Call for Measures” submission process. </w:t>
      </w:r>
    </w:p>
    <w:p w14:paraId="0FFC3A94" w14:textId="3B4348E9" w:rsidR="00BD2120" w:rsidRPr="00DD5758" w:rsidRDefault="00BD2120" w:rsidP="00036070">
      <w:pPr>
        <w:spacing w:line="240" w:lineRule="auto"/>
        <w:rPr>
          <w:rFonts w:ascii="Arial" w:hAnsi="Arial" w:cs="Arial"/>
        </w:rPr>
      </w:pPr>
      <w:r w:rsidRPr="000156AE">
        <w:rPr>
          <w:rFonts w:ascii="Arial" w:hAnsi="Arial" w:cs="Arial"/>
        </w:rPr>
        <w:t>Measure owners submitting measures into JIRA must complete the required information</w:t>
      </w:r>
      <w:r w:rsidR="005D7582" w:rsidRPr="000156AE">
        <w:rPr>
          <w:rFonts w:ascii="Arial" w:hAnsi="Arial" w:cs="Arial"/>
        </w:rPr>
        <w:t xml:space="preserve"> by </w:t>
      </w:r>
      <w:r w:rsidR="00FC510D" w:rsidRPr="000156AE">
        <w:rPr>
          <w:rFonts w:ascii="Arial" w:hAnsi="Arial" w:cs="Arial"/>
        </w:rPr>
        <w:t xml:space="preserve">the </w:t>
      </w:r>
      <w:r w:rsidR="002449AA" w:rsidRPr="000156AE">
        <w:rPr>
          <w:rFonts w:ascii="Arial" w:hAnsi="Arial" w:cs="Arial"/>
        </w:rPr>
        <w:t>Call for Measures</w:t>
      </w:r>
      <w:r w:rsidR="002449AA" w:rsidRPr="000156AE" w:rsidDel="002449AA">
        <w:rPr>
          <w:rFonts w:ascii="Arial" w:hAnsi="Arial" w:cs="Arial"/>
        </w:rPr>
        <w:t xml:space="preserve"> </w:t>
      </w:r>
      <w:r w:rsidR="00FC510D" w:rsidRPr="000156AE">
        <w:rPr>
          <w:rFonts w:ascii="Arial" w:hAnsi="Arial" w:cs="Arial"/>
        </w:rPr>
        <w:t>deadline</w:t>
      </w:r>
      <w:r w:rsidR="005C731D" w:rsidRPr="000156AE">
        <w:rPr>
          <w:rFonts w:ascii="Arial" w:hAnsi="Arial" w:cs="Arial"/>
        </w:rPr>
        <w:t>.</w:t>
      </w:r>
      <w:r w:rsidR="00300FD4" w:rsidRPr="000156AE">
        <w:rPr>
          <w:rFonts w:ascii="Arial" w:hAnsi="Arial" w:cs="Arial"/>
        </w:rPr>
        <w:t xml:space="preserve"> Some of the information requested below may be listed in </w:t>
      </w:r>
      <w:r w:rsidR="002704D1" w:rsidRPr="000156AE">
        <w:rPr>
          <w:rFonts w:ascii="Arial" w:hAnsi="Arial" w:cs="Arial"/>
        </w:rPr>
        <w:t xml:space="preserve">specific </w:t>
      </w:r>
      <w:r w:rsidR="00300FD4" w:rsidRPr="000156AE">
        <w:rPr>
          <w:rFonts w:ascii="Arial" w:hAnsi="Arial" w:cs="Arial"/>
        </w:rPr>
        <w:t xml:space="preserve">fields </w:t>
      </w:r>
      <w:r w:rsidR="002704D1" w:rsidRPr="000156AE">
        <w:rPr>
          <w:rFonts w:ascii="Arial" w:hAnsi="Arial" w:cs="Arial"/>
        </w:rPr>
        <w:t>in the</w:t>
      </w:r>
      <w:r w:rsidR="00300FD4" w:rsidRPr="000156AE">
        <w:rPr>
          <w:rFonts w:ascii="Arial" w:hAnsi="Arial" w:cs="Arial"/>
        </w:rPr>
        <w:t xml:space="preserve"> JIRA</w:t>
      </w:r>
      <w:r w:rsidR="002704D1" w:rsidRPr="000156AE">
        <w:rPr>
          <w:rFonts w:ascii="Arial" w:hAnsi="Arial" w:cs="Arial"/>
        </w:rPr>
        <w:t xml:space="preserve"> tool</w:t>
      </w:r>
      <w:r w:rsidR="002E5674">
        <w:rPr>
          <w:rFonts w:ascii="Arial" w:hAnsi="Arial" w:cs="Arial"/>
        </w:rPr>
        <w:t>;</w:t>
      </w:r>
      <w:r w:rsidR="00300FD4" w:rsidRPr="000156AE">
        <w:rPr>
          <w:rFonts w:ascii="Arial" w:hAnsi="Arial" w:cs="Arial"/>
        </w:rPr>
        <w:t xml:space="preserve"> however</w:t>
      </w:r>
      <w:r w:rsidR="002E5674">
        <w:rPr>
          <w:rFonts w:ascii="Arial" w:hAnsi="Arial" w:cs="Arial"/>
        </w:rPr>
        <w:t>,</w:t>
      </w:r>
      <w:r w:rsidR="00300FD4" w:rsidRPr="000156AE">
        <w:rPr>
          <w:rFonts w:ascii="Arial" w:hAnsi="Arial" w:cs="Arial"/>
        </w:rPr>
        <w:t xml:space="preserve"> to ensure that CMS has all of the necessary information</w:t>
      </w:r>
      <w:r w:rsidR="002449AA">
        <w:rPr>
          <w:rFonts w:ascii="Arial" w:hAnsi="Arial" w:cs="Arial"/>
        </w:rPr>
        <w:t xml:space="preserve"> and to avoid delays in the evaluation of your submission</w:t>
      </w:r>
      <w:r w:rsidR="00300FD4" w:rsidRPr="000156AE">
        <w:rPr>
          <w:rFonts w:ascii="Arial" w:hAnsi="Arial" w:cs="Arial"/>
        </w:rPr>
        <w:t xml:space="preserve">, please </w:t>
      </w:r>
      <w:r w:rsidR="002449AA">
        <w:rPr>
          <w:rFonts w:ascii="Arial" w:hAnsi="Arial" w:cs="Arial"/>
        </w:rPr>
        <w:t xml:space="preserve">fully complete this form </w:t>
      </w:r>
      <w:r w:rsidR="00300FD4" w:rsidRPr="000156AE">
        <w:rPr>
          <w:rFonts w:ascii="Arial" w:hAnsi="Arial" w:cs="Arial"/>
        </w:rPr>
        <w:t xml:space="preserve">as an attached </w:t>
      </w:r>
      <w:r w:rsidR="00AB3D59">
        <w:rPr>
          <w:rFonts w:ascii="Arial" w:hAnsi="Arial" w:cs="Arial"/>
        </w:rPr>
        <w:t>W</w:t>
      </w:r>
      <w:r w:rsidR="00AB3D59" w:rsidRPr="000156AE">
        <w:rPr>
          <w:rFonts w:ascii="Arial" w:hAnsi="Arial" w:cs="Arial"/>
        </w:rPr>
        <w:t xml:space="preserve">ord </w:t>
      </w:r>
      <w:r w:rsidR="00300FD4" w:rsidRPr="000156AE">
        <w:rPr>
          <w:rFonts w:ascii="Arial" w:hAnsi="Arial" w:cs="Arial"/>
        </w:rPr>
        <w:t>document</w:t>
      </w:r>
      <w:r w:rsidR="00545F9F" w:rsidRPr="000156AE">
        <w:rPr>
          <w:rFonts w:ascii="Arial" w:hAnsi="Arial" w:cs="Arial"/>
        </w:rPr>
        <w:t xml:space="preserve"> in JIRA</w:t>
      </w:r>
      <w:r w:rsidR="00300FD4" w:rsidRPr="000156AE">
        <w:rPr>
          <w:rFonts w:ascii="Arial" w:hAnsi="Arial" w:cs="Arial"/>
        </w:rPr>
        <w:t>.</w:t>
      </w:r>
      <w:r w:rsidR="005C731D" w:rsidRPr="000156AE">
        <w:rPr>
          <w:rFonts w:ascii="Arial" w:hAnsi="Arial" w:cs="Arial"/>
        </w:rPr>
        <w:t xml:space="preserve"> </w:t>
      </w:r>
      <w:r w:rsidR="002449AA">
        <w:rPr>
          <w:rFonts w:ascii="Arial" w:hAnsi="Arial" w:cs="Arial"/>
        </w:rPr>
        <w:t xml:space="preserve">The information in JIRA must be consistent with the information below. </w:t>
      </w:r>
      <w:r w:rsidR="005C731D" w:rsidRPr="000156AE">
        <w:rPr>
          <w:rFonts w:ascii="Arial" w:hAnsi="Arial" w:cs="Arial"/>
        </w:rPr>
        <w:t>This includes, but is not limited to:</w:t>
      </w:r>
    </w:p>
    <w:p w14:paraId="48F1EDA1" w14:textId="6B47F6D9" w:rsidR="00DD6485" w:rsidRPr="00556405" w:rsidRDefault="009E0454" w:rsidP="00036070">
      <w:pPr>
        <w:spacing w:line="240" w:lineRule="auto"/>
        <w:rPr>
          <w:b/>
          <w:i/>
        </w:rPr>
      </w:pPr>
      <w:r w:rsidRPr="00556405">
        <w:rPr>
          <w:szCs w:val="24"/>
        </w:rPr>
        <w:t>Risk-standardized complication rate (RSCR) following elective primary total hip arthroplasty (THA) and/or total knee arthroplasty (TKA) for Merit-based Incentive Payment System (MIPS) Eligible Clinicians and Eligible Clinician Groups</w:t>
      </w:r>
      <w:r w:rsidR="00DD6485" w:rsidRPr="00556405">
        <w:rPr>
          <w:b/>
          <w:i/>
        </w:rPr>
        <w:t xml:space="preserve"> (MIPS THA/TKA complication measure)</w:t>
      </w:r>
    </w:p>
    <w:p w14:paraId="7E4E453D" w14:textId="77777777" w:rsidR="00300FD4" w:rsidRPr="00DD5758" w:rsidRDefault="00300FD4" w:rsidP="004E4440">
      <w:pPr>
        <w:ind w:firstLine="720"/>
        <w:rPr>
          <w:rFonts w:ascii="Arial" w:hAnsi="Arial" w:cs="Arial"/>
          <w:b/>
        </w:rPr>
      </w:pPr>
      <w:r w:rsidRPr="00DD5758">
        <w:rPr>
          <w:rFonts w:ascii="Arial" w:hAnsi="Arial" w:cs="Arial"/>
          <w:b/>
          <w:i/>
          <w:noProof/>
        </w:rPr>
        <mc:AlternateContent>
          <mc:Choice Requires="wps">
            <w:drawing>
              <wp:inline distT="0" distB="0" distL="0" distR="0" wp14:anchorId="7EEAE8C7" wp14:editId="4D121294">
                <wp:extent cx="5810250" cy="1933575"/>
                <wp:effectExtent l="0" t="0" r="19050" b="28575"/>
                <wp:docPr id="217" name="Text Box 2" descr="Indicates measure owner, measure developer, and measure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933575"/>
                        </a:xfrm>
                        <a:prstGeom prst="rect">
                          <a:avLst/>
                        </a:prstGeom>
                        <a:solidFill>
                          <a:srgbClr val="FFFFFF"/>
                        </a:solidFill>
                        <a:ln w="9525">
                          <a:solidFill>
                            <a:srgbClr val="000000"/>
                          </a:solidFill>
                          <a:miter lim="800000"/>
                          <a:headEnd/>
                          <a:tailEnd/>
                        </a:ln>
                      </wps:spPr>
                      <wps:txbx>
                        <w:txbxContent>
                          <w:p w14:paraId="281D542B" w14:textId="5DA7FDF4" w:rsidR="00D82D04" w:rsidRPr="000156AE" w:rsidRDefault="00D82D04" w:rsidP="00300FD4">
                            <w:pPr>
                              <w:spacing w:after="0" w:line="240" w:lineRule="auto"/>
                              <w:rPr>
                                <w:u w:val="single"/>
                              </w:rPr>
                            </w:pPr>
                            <w:r w:rsidRPr="006500F5">
                              <w:rPr>
                                <w:b/>
                                <w:sz w:val="24"/>
                                <w:szCs w:val="24"/>
                              </w:rPr>
                              <w:t>Measure Owner</w:t>
                            </w:r>
                            <w:r w:rsidRPr="000156AE">
                              <w:rPr>
                                <w:b/>
                                <w:sz w:val="24"/>
                                <w:szCs w:val="24"/>
                              </w:rPr>
                              <w:t>:</w:t>
                            </w:r>
                            <w:r w:rsidRPr="000156AE">
                              <w:rPr>
                                <w:b/>
                              </w:rPr>
                              <w:t xml:space="preserve"> </w:t>
                            </w:r>
                            <w:r>
                              <w:rPr>
                                <w:i/>
                              </w:rPr>
                              <w:t xml:space="preserve">Centers for Medicare &amp; Medicaid Services </w:t>
                            </w:r>
                          </w:p>
                          <w:p w14:paraId="0832BC35" w14:textId="4F6185B5" w:rsidR="00D82D04" w:rsidRPr="000156AE" w:rsidRDefault="00D82D04" w:rsidP="00300FD4">
                            <w:pPr>
                              <w:spacing w:after="0" w:line="240" w:lineRule="auto"/>
                            </w:pPr>
                            <w:r w:rsidRPr="000156AE">
                              <w:rPr>
                                <w:b/>
                                <w:sz w:val="24"/>
                                <w:szCs w:val="24"/>
                              </w:rPr>
                              <w:t>Measure Developer:</w:t>
                            </w:r>
                            <w:r w:rsidRPr="000156AE">
                              <w:rPr>
                                <w:b/>
                              </w:rPr>
                              <w:t xml:space="preserve"> </w:t>
                            </w:r>
                            <w:r>
                              <w:rPr>
                                <w:i/>
                              </w:rPr>
                              <w:t xml:space="preserve">Yale New Haven Health Services Corporation/Center for Outcomes Research and Evaluation </w:t>
                            </w:r>
                          </w:p>
                          <w:p w14:paraId="1D6AF4C7" w14:textId="3FA4F6EC" w:rsidR="00D82D04" w:rsidRPr="00682B56" w:rsidRDefault="00D82D04" w:rsidP="003E5977">
                            <w:pPr>
                              <w:rPr>
                                <w:b/>
                                <w:sz w:val="20"/>
                                <w:szCs w:val="20"/>
                              </w:rPr>
                            </w:pPr>
                            <w:r w:rsidRPr="000156AE">
                              <w:rPr>
                                <w:b/>
                                <w:sz w:val="24"/>
                                <w:szCs w:val="24"/>
                              </w:rPr>
                              <w:t>Description:</w:t>
                            </w:r>
                            <w:r w:rsidRPr="00A0743B">
                              <w:rPr>
                                <w:rFonts w:ascii="Calibri" w:eastAsia="Times New Roman" w:hAnsi="Calibri" w:cs="Times New Roman"/>
                                <w:color w:val="FF0000"/>
                                <w:sz w:val="18"/>
                                <w:szCs w:val="18"/>
                              </w:rPr>
                              <w:t xml:space="preserve"> </w:t>
                            </w:r>
                            <w:r w:rsidRPr="00682B56">
                              <w:rPr>
                                <w:rFonts w:ascii="Calibri" w:eastAsia="Times New Roman" w:hAnsi="Calibri" w:cs="Times New Roman"/>
                                <w:color w:val="000000" w:themeColor="text1"/>
                                <w:sz w:val="20"/>
                                <w:szCs w:val="20"/>
                              </w:rPr>
                              <w:t>This measure is under development and it is a re-specified version of the measure, “hospital-level risk-standardized complication rate (RSCR) following elective primary total hip arthroplasty (THA) and/or total knee arthroplasty (TKA)” (NQF 1550), which was developed for patients 65 years and older using Medicare claims. This re-specified measure attributes outcomes to MIPS participating clinicians and/or clinician groups (“provider”) and assesses each provider’s complication rate, defined as any one of the specified complications occurring from the date of index admission to 90 days post date of the index admission (the admission included in the measure cohort).</w:t>
                            </w:r>
                          </w:p>
                          <w:p w14:paraId="2B3D40A0" w14:textId="77777777" w:rsidR="00D82D04" w:rsidRPr="00682B56" w:rsidRDefault="00D82D04" w:rsidP="00300FD4">
                            <w:pPr>
                              <w:spacing w:after="0" w:line="240" w:lineRule="auto"/>
                              <w:rPr>
                                <w:b/>
                                <w:sz w:val="20"/>
                                <w:szCs w:val="20"/>
                              </w:rPr>
                            </w:pPr>
                          </w:p>
                          <w:p w14:paraId="67E4F4CB" w14:textId="77777777" w:rsidR="00D82D04" w:rsidRPr="00682B56" w:rsidRDefault="00D82D04" w:rsidP="00300FD4">
                            <w:pPr>
                              <w:spacing w:after="0" w:line="240" w:lineRule="auto"/>
                              <w:rPr>
                                <w:b/>
                                <w:sz w:val="20"/>
                                <w:szCs w:val="20"/>
                              </w:rPr>
                            </w:pPr>
                          </w:p>
                        </w:txbxContent>
                      </wps:txbx>
                      <wps:bodyPr rot="0" vert="horz" wrap="square" lIns="91440" tIns="45720" rIns="91440" bIns="45720" anchor="t" anchorCtr="0">
                        <a:noAutofit/>
                      </wps:bodyPr>
                    </wps:wsp>
                  </a:graphicData>
                </a:graphic>
              </wp:inline>
            </w:drawing>
          </mc:Choice>
          <mc:Fallback>
            <w:pict>
              <v:shapetype w14:anchorId="7EEAE8C7" id="_x0000_t202" coordsize="21600,21600" o:spt="202" path="m,l,21600r21600,l21600,xe">
                <v:stroke joinstyle="miter"/>
                <v:path gradientshapeok="t" o:connecttype="rect"/>
              </v:shapetype>
              <v:shape id="Text Box 2" o:spid="_x0000_s1026" type="#_x0000_t202" alt="Indicates measure owner, measure developer, and measure description" style="width:457.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">
                <v:textbox>
                  <w:txbxContent>
                    <w:p w14:paraId="281D542B" w14:textId="5DA7FDF4" w:rsidR="00D82D04" w:rsidRPr="000156AE" w:rsidRDefault="00D82D04" w:rsidP="00300FD4">
                      <w:pPr>
                        <w:spacing w:after="0" w:line="240" w:lineRule="auto"/>
                        <w:rPr>
                          <w:u w:val="single"/>
                        </w:rPr>
                      </w:pPr>
                      <w:r w:rsidRPr="006500F5">
                        <w:rPr>
                          <w:b/>
                          <w:sz w:val="24"/>
                          <w:szCs w:val="24"/>
                        </w:rPr>
                        <w:t>Measure Owner</w:t>
                      </w:r>
                      <w:r w:rsidRPr="000156AE">
                        <w:rPr>
                          <w:b/>
                          <w:sz w:val="24"/>
                          <w:szCs w:val="24"/>
                        </w:rPr>
                        <w:t>:</w:t>
                      </w:r>
                      <w:r w:rsidRPr="000156AE">
                        <w:rPr>
                          <w:b/>
                        </w:rPr>
                        <w:t xml:space="preserve"> </w:t>
                      </w:r>
                      <w:r>
                        <w:rPr>
                          <w:i/>
                        </w:rPr>
                        <w:t xml:space="preserve">Centers for Medicare &amp; Medicaid Services </w:t>
                      </w:r>
                    </w:p>
                    <w:p w14:paraId="0832BC35" w14:textId="4F6185B5" w:rsidR="00D82D04" w:rsidRPr="000156AE" w:rsidRDefault="00D82D04" w:rsidP="00300FD4">
                      <w:pPr>
                        <w:spacing w:after="0" w:line="240" w:lineRule="auto"/>
                      </w:pPr>
                      <w:r w:rsidRPr="000156AE">
                        <w:rPr>
                          <w:b/>
                          <w:sz w:val="24"/>
                          <w:szCs w:val="24"/>
                        </w:rPr>
                        <w:t>Measure Developer:</w:t>
                      </w:r>
                      <w:r w:rsidRPr="000156AE">
                        <w:rPr>
                          <w:b/>
                        </w:rPr>
                        <w:t xml:space="preserve"> </w:t>
                      </w:r>
                      <w:r>
                        <w:rPr>
                          <w:i/>
                        </w:rPr>
                        <w:t xml:space="preserve">Yale New Haven Health Services Corporation/Center for Outcomes Research and Evaluation </w:t>
                      </w:r>
                    </w:p>
                    <w:p w14:paraId="1D6AF4C7" w14:textId="3FA4F6EC" w:rsidR="00D82D04" w:rsidRPr="00682B56" w:rsidRDefault="00D82D04" w:rsidP="003E5977">
                      <w:pPr>
                        <w:rPr>
                          <w:b/>
                          <w:sz w:val="20"/>
                          <w:szCs w:val="20"/>
                        </w:rPr>
                      </w:pPr>
                      <w:r w:rsidRPr="000156AE">
                        <w:rPr>
                          <w:b/>
                          <w:sz w:val="24"/>
                          <w:szCs w:val="24"/>
                        </w:rPr>
                        <w:t>Description:</w:t>
                      </w:r>
                      <w:r w:rsidRPr="00A0743B">
                        <w:rPr>
                          <w:rFonts w:ascii="Calibri" w:eastAsia="Times New Roman" w:hAnsi="Calibri" w:cs="Times New Roman"/>
                          <w:color w:val="FF0000"/>
                          <w:sz w:val="18"/>
                          <w:szCs w:val="18"/>
                        </w:rPr>
                        <w:t xml:space="preserve"> </w:t>
                      </w:r>
                      <w:r w:rsidRPr="00682B56">
                        <w:rPr>
                          <w:rFonts w:ascii="Calibri" w:eastAsia="Times New Roman" w:hAnsi="Calibri" w:cs="Times New Roman"/>
                          <w:color w:val="000000" w:themeColor="text1"/>
                          <w:sz w:val="20"/>
                          <w:szCs w:val="20"/>
                        </w:rPr>
                        <w:t>This measure is under development and it is a re-specified version of the measure, “hospital-level risk-standardized complication rate (RSCR) following elective primary total hip arthroplasty (THA) and/or total knee arthroplasty (TKA)” (NQF 1550), which was developed for patients 65 years and older using Medicare claims. This re-specified measure attributes outcomes to MIPS participating clinicians and/or clinician groups (“provider”) and assesses each provider’s complication rate, defined as any one of the specified complications occurring from the date of index admission to 90 days post date of the index admission (the admission included in the measure cohort).</w:t>
                      </w:r>
                    </w:p>
                    <w:p w14:paraId="2B3D40A0" w14:textId="77777777" w:rsidR="00D82D04" w:rsidRPr="00682B56" w:rsidRDefault="00D82D04" w:rsidP="00300FD4">
                      <w:pPr>
                        <w:spacing w:after="0" w:line="240" w:lineRule="auto"/>
                        <w:rPr>
                          <w:b/>
                          <w:sz w:val="20"/>
                          <w:szCs w:val="20"/>
                        </w:rPr>
                      </w:pPr>
                    </w:p>
                    <w:p w14:paraId="67E4F4CB" w14:textId="77777777" w:rsidR="00D82D04" w:rsidRPr="00682B56" w:rsidRDefault="00D82D04" w:rsidP="00300FD4">
                      <w:pPr>
                        <w:spacing w:after="0" w:line="240" w:lineRule="auto"/>
                        <w:rPr>
                          <w:b/>
                          <w:sz w:val="20"/>
                          <w:szCs w:val="20"/>
                        </w:rPr>
                      </w:pPr>
                    </w:p>
                  </w:txbxContent>
                </v:textbox>
                <w10:anchorlock/>
              </v:shape>
            </w:pict>
          </mc:Fallback>
        </mc:AlternateContent>
      </w:r>
    </w:p>
    <w:p w14:paraId="29D1EEBF" w14:textId="3AA6CB14" w:rsidR="00300FD4" w:rsidRDefault="00300FD4" w:rsidP="00F66E9E">
      <w:pPr>
        <w:pStyle w:val="ListParagraph"/>
        <w:numPr>
          <w:ilvl w:val="0"/>
          <w:numId w:val="1"/>
        </w:numPr>
        <w:spacing w:line="240" w:lineRule="auto"/>
        <w:rPr>
          <w:rFonts w:ascii="Arial" w:hAnsi="Arial" w:cs="Arial"/>
          <w:b/>
        </w:rPr>
      </w:pPr>
      <w:r w:rsidRPr="00DD5758">
        <w:rPr>
          <w:rFonts w:ascii="Arial" w:hAnsi="Arial" w:cs="Arial"/>
          <w:b/>
        </w:rPr>
        <w:t>Statement</w:t>
      </w:r>
    </w:p>
    <w:p w14:paraId="6E7B8563" w14:textId="77777777" w:rsidR="00632AFC" w:rsidRPr="000E2C3F" w:rsidRDefault="00632AFC" w:rsidP="00F66E9E">
      <w:pPr>
        <w:pStyle w:val="ListParagraph"/>
        <w:numPr>
          <w:ilvl w:val="0"/>
          <w:numId w:val="22"/>
        </w:numPr>
        <w:spacing w:line="240" w:lineRule="auto"/>
        <w:ind w:left="1080"/>
        <w:rPr>
          <w:rFonts w:ascii="Arial" w:hAnsi="Arial" w:cs="Arial"/>
          <w:i/>
        </w:rPr>
      </w:pPr>
      <w:r w:rsidRPr="00DD5758">
        <w:rPr>
          <w:rFonts w:ascii="Arial" w:hAnsi="Arial" w:cs="Arial"/>
          <w:i/>
        </w:rPr>
        <w:t>Background (Why is this measure important?)</w:t>
      </w:r>
    </w:p>
    <w:p w14:paraId="2BC98EE4" w14:textId="1DD4E3B2" w:rsidR="00632AFC" w:rsidRPr="00632AFC" w:rsidRDefault="00632AFC" w:rsidP="00F66E9E">
      <w:pPr>
        <w:pStyle w:val="ListParagraph"/>
        <w:numPr>
          <w:ilvl w:val="0"/>
          <w:numId w:val="22"/>
        </w:numPr>
        <w:spacing w:line="240" w:lineRule="auto"/>
        <w:ind w:left="1080"/>
        <w:contextualSpacing w:val="0"/>
        <w:rPr>
          <w:rFonts w:ascii="Arial" w:hAnsi="Arial" w:cs="Arial"/>
        </w:rPr>
      </w:pPr>
      <w:r w:rsidRPr="00DD5758">
        <w:rPr>
          <w:rFonts w:ascii="Arial" w:hAnsi="Arial" w:cs="Arial"/>
          <w:i/>
        </w:rPr>
        <w:t>Environmental Scan (Are there existing measures in this area?)</w:t>
      </w:r>
    </w:p>
    <w:p w14:paraId="238F1B1B" w14:textId="73E05ACF" w:rsidR="0088228C" w:rsidRPr="0092385C" w:rsidRDefault="0088228C" w:rsidP="00F66E9E">
      <w:pPr>
        <w:spacing w:line="240" w:lineRule="auto"/>
        <w:ind w:left="1080"/>
        <w:rPr>
          <w:rFonts w:cstheme="minorHAnsi"/>
        </w:rPr>
      </w:pPr>
      <w:r w:rsidRPr="0092385C">
        <w:rPr>
          <w:rFonts w:cstheme="minorHAnsi"/>
        </w:rPr>
        <w:t>THAs and TKAs are commonly performed procedures that improve quality of life. Between 2005 and 2011, 855,899 THAs and 2,040,667 TKAs were performed</w:t>
      </w:r>
      <w:r w:rsidR="00D878AF">
        <w:rPr>
          <w:rFonts w:cstheme="minorHAnsi"/>
        </w:rPr>
        <w:t xml:space="preserve"> [1-2]</w:t>
      </w:r>
      <w:r w:rsidRPr="0092385C">
        <w:rPr>
          <w:rFonts w:cstheme="minorHAnsi"/>
        </w:rPr>
        <w:t>. In 2014 alone, knee arthroplasty was the most common procedure performed on patients aged 65-84, and total and partial hip replacements in the age group were the second most frequently performed procedures</w:t>
      </w:r>
      <w:r w:rsidR="00D878AF">
        <w:rPr>
          <w:rFonts w:cstheme="minorHAnsi"/>
        </w:rPr>
        <w:t xml:space="preserve"> [3]</w:t>
      </w:r>
      <w:r w:rsidRPr="0092385C">
        <w:rPr>
          <w:rFonts w:cstheme="minorHAnsi"/>
        </w:rPr>
        <w:t>. Although these procedures dramatically improve quality of life, they are costly</w:t>
      </w:r>
      <w:r w:rsidR="00556405">
        <w:rPr>
          <w:rFonts w:cstheme="minorHAnsi"/>
        </w:rPr>
        <w:t xml:space="preserve"> [4]</w:t>
      </w:r>
      <w:r w:rsidRPr="0092385C">
        <w:rPr>
          <w:rFonts w:cstheme="minorHAnsi"/>
        </w:rPr>
        <w:t>. In 2014, THA and TKA aggregate costs for hospitalizations when knee arthroplasties and total/partial hip replacements were first listed on the record were $11.8 billion and $8.3 billion, respectively</w:t>
      </w:r>
      <w:r w:rsidR="00556405">
        <w:rPr>
          <w:rFonts w:cstheme="minorHAnsi"/>
        </w:rPr>
        <w:t xml:space="preserve"> [3]</w:t>
      </w:r>
      <w:r w:rsidRPr="0092385C">
        <w:rPr>
          <w:rFonts w:cstheme="minorHAnsi"/>
        </w:rPr>
        <w:t>. Medicare is the single largest payer for these procedures, covering approximately two-thirds of all THAs and TKAs performed in the US</w:t>
      </w:r>
      <w:r w:rsidR="00556405">
        <w:rPr>
          <w:rFonts w:cstheme="minorHAnsi"/>
        </w:rPr>
        <w:t xml:space="preserve"> [5]</w:t>
      </w:r>
      <w:r w:rsidRPr="0092385C">
        <w:rPr>
          <w:rFonts w:cstheme="minorHAnsi"/>
        </w:rPr>
        <w:t>. Combined, THA and TKA procedures account for the largest procedural expenditure in the Medicare budget</w:t>
      </w:r>
      <w:r w:rsidR="00556405">
        <w:rPr>
          <w:rFonts w:cstheme="minorHAnsi"/>
        </w:rPr>
        <w:t xml:space="preserve"> [6]</w:t>
      </w:r>
      <w:r w:rsidRPr="0092385C">
        <w:rPr>
          <w:rFonts w:cstheme="minorHAnsi"/>
        </w:rPr>
        <w:t>.</w:t>
      </w:r>
    </w:p>
    <w:p w14:paraId="440F963A" w14:textId="1AD69ED3" w:rsidR="0088228C" w:rsidRPr="0092385C" w:rsidRDefault="0088228C" w:rsidP="00F66E9E">
      <w:pPr>
        <w:spacing w:line="240" w:lineRule="auto"/>
        <w:ind w:left="1080"/>
        <w:rPr>
          <w:rFonts w:cstheme="minorHAnsi"/>
        </w:rPr>
      </w:pPr>
      <w:r w:rsidRPr="0092385C">
        <w:rPr>
          <w:rFonts w:cstheme="minorHAnsi"/>
        </w:rPr>
        <w:t>Future utilization of THA and TKA is projected to increase significantly. By 2030, the demand for THAs is estimated to increase by 174% while the demand for TKAs is estimated to increase by 673%</w:t>
      </w:r>
      <w:r w:rsidR="00556405">
        <w:rPr>
          <w:rFonts w:cstheme="minorHAnsi"/>
        </w:rPr>
        <w:t xml:space="preserve"> [7]</w:t>
      </w:r>
      <w:r w:rsidRPr="0092385C">
        <w:rPr>
          <w:rFonts w:cstheme="minorHAnsi"/>
        </w:rPr>
        <w:t>. Complications increase costs associated with THA and TKA and affect the quality, and potentially quantity, of life for patients. Because these are commonly performed and costly procedures, it is imperative to address quality of care, especially with their projected growth.</w:t>
      </w:r>
    </w:p>
    <w:p w14:paraId="25030A7C" w14:textId="6094C7E6" w:rsidR="0088228C" w:rsidRPr="0092385C" w:rsidRDefault="0088228C" w:rsidP="00F66E9E">
      <w:pPr>
        <w:spacing w:line="240" w:lineRule="auto"/>
        <w:ind w:left="1080"/>
        <w:rPr>
          <w:rFonts w:cstheme="minorHAnsi"/>
        </w:rPr>
      </w:pPr>
      <w:r w:rsidRPr="0092385C">
        <w:rPr>
          <w:rFonts w:cstheme="minorHAnsi"/>
        </w:rPr>
        <w:t>Although complications following elective THA and TKA are not common, they are measurable and vary in prevalence across providers. Rates for periprosthetic joint infection following THA and TKA range across hospitals from 1.6% to 2.3%, depending upon the population</w:t>
      </w:r>
      <w:r w:rsidR="00556405">
        <w:rPr>
          <w:rFonts w:cstheme="minorHAnsi"/>
        </w:rPr>
        <w:t xml:space="preserve"> [8-9]</w:t>
      </w:r>
      <w:r w:rsidRPr="0092385C">
        <w:rPr>
          <w:rFonts w:cstheme="minorHAnsi"/>
        </w:rPr>
        <w:t xml:space="preserve">. Reported 90-day death rates following </w:t>
      </w:r>
      <w:r w:rsidRPr="0092385C">
        <w:rPr>
          <w:rFonts w:cstheme="minorHAnsi"/>
        </w:rPr>
        <w:lastRenderedPageBreak/>
        <w:t>THA range from 0.7% to 2.7%. Rates for pulmonary embolism following TKA range from 0.5% to 0.9%</w:t>
      </w:r>
      <w:r w:rsidR="00556405">
        <w:rPr>
          <w:rFonts w:cstheme="minorHAnsi"/>
        </w:rPr>
        <w:t xml:space="preserve"> [10-14]</w:t>
      </w:r>
      <w:r w:rsidRPr="0092385C">
        <w:rPr>
          <w:rFonts w:cstheme="minorHAnsi"/>
        </w:rPr>
        <w:t>. Rates for wound infection in Medicare population-based studies vary between 0.3% and 1.0%</w:t>
      </w:r>
      <w:r w:rsidR="00556405">
        <w:rPr>
          <w:rFonts w:cstheme="minorHAnsi"/>
        </w:rPr>
        <w:t xml:space="preserve"> [11-12, 14]</w:t>
      </w:r>
      <w:r w:rsidRPr="0092385C">
        <w:rPr>
          <w:rFonts w:cstheme="minorHAnsi"/>
        </w:rPr>
        <w:t xml:space="preserve">. Rates for septicemia range from 0.1%, during the </w:t>
      </w:r>
      <w:r w:rsidRPr="0092385C">
        <w:rPr>
          <w:rStyle w:val="Hyperlink"/>
          <w:rFonts w:cstheme="minorHAnsi"/>
          <w:color w:val="auto"/>
          <w:u w:val="none"/>
        </w:rPr>
        <w:t>index admission</w:t>
      </w:r>
      <w:r w:rsidRPr="0092385C">
        <w:rPr>
          <w:rFonts w:cstheme="minorHAnsi"/>
        </w:rPr>
        <w:t xml:space="preserve"> to 0.3%, 90 days following discharge for primary TKA</w:t>
      </w:r>
      <w:r w:rsidR="00556405">
        <w:rPr>
          <w:rFonts w:cstheme="minorHAnsi"/>
        </w:rPr>
        <w:t xml:space="preserve"> [11, 15]</w:t>
      </w:r>
      <w:r w:rsidRPr="0092385C">
        <w:rPr>
          <w:rFonts w:cstheme="minorHAnsi"/>
        </w:rPr>
        <w:t>. Rates for bleeding and hematoma following TKA range from 0.9% to 1.7%</w:t>
      </w:r>
      <w:r w:rsidR="00556405">
        <w:rPr>
          <w:rFonts w:cstheme="minorHAnsi"/>
        </w:rPr>
        <w:t xml:space="preserve"> [15-16]</w:t>
      </w:r>
      <w:r w:rsidRPr="0092385C">
        <w:rPr>
          <w:rFonts w:cstheme="minorHAnsi"/>
        </w:rPr>
        <w:t>.</w:t>
      </w:r>
    </w:p>
    <w:p w14:paraId="00B6019B" w14:textId="77777777" w:rsidR="0088228C" w:rsidRPr="0092385C" w:rsidRDefault="0088228C" w:rsidP="00F66E9E">
      <w:pPr>
        <w:spacing w:line="240" w:lineRule="auto"/>
        <w:ind w:left="1080"/>
        <w:rPr>
          <w:rFonts w:cstheme="minorHAnsi"/>
        </w:rPr>
      </w:pPr>
      <w:r w:rsidRPr="0092385C">
        <w:rPr>
          <w:rFonts w:cstheme="minorHAnsi"/>
        </w:rPr>
        <w:t xml:space="preserve">The variation in complication rates across hospitals indicates there is room for quality improvement. A quality measure to address complications following THA and TKA provides an opportunity to provide targets for efforts to improve the quality of care and reduce costs for patients undergoing these elective procedures. In the case of THA/TKA, individual clinicians, </w:t>
      </w:r>
      <w:proofErr w:type="gramStart"/>
      <w:r w:rsidRPr="0092385C">
        <w:rPr>
          <w:rFonts w:cstheme="minorHAnsi"/>
        </w:rPr>
        <w:t>in particular surgeons</w:t>
      </w:r>
      <w:proofErr w:type="gramEnd"/>
      <w:r w:rsidRPr="0092385C">
        <w:rPr>
          <w:rFonts w:cstheme="minorHAnsi"/>
        </w:rPr>
        <w:t>, are the key implementers of quality improvement strategies used by hospitals to reduce complication risk, as they play the primary role in the procedure.</w:t>
      </w:r>
    </w:p>
    <w:p w14:paraId="7A4A4DAB" w14:textId="42C96939" w:rsidR="0088228C" w:rsidRDefault="0088228C" w:rsidP="00F66E9E">
      <w:pPr>
        <w:spacing w:line="240" w:lineRule="auto"/>
        <w:ind w:left="1080"/>
        <w:rPr>
          <w:rFonts w:cstheme="minorHAnsi"/>
          <w:vertAlign w:val="superscript"/>
        </w:rPr>
      </w:pPr>
      <w:r w:rsidRPr="0092385C">
        <w:rPr>
          <w:rFonts w:cstheme="minorHAnsi"/>
        </w:rPr>
        <w:t>Lastly, public and private payers have supported the implementation of orthopedic outcome measures. In 2013, CMS began to publicly report on the RSCRs for THA/TKA for the nation’s non-federal short-term acute care hospitals (including Indian Health Services hospitals) and Critical Access Hospitals as part of the Inpatient Quality Reporting (IQR) program and thereafter finalized the measure for the clinical care domain of the Hospital Value-based Purchasing (HVBP) program starting FY 2019 and the Comprehensive Care for Joint Replacement (CJR) model</w:t>
      </w:r>
      <w:r w:rsidR="00556405">
        <w:rPr>
          <w:rFonts w:cstheme="minorHAnsi"/>
        </w:rPr>
        <w:t xml:space="preserve"> [17-18]</w:t>
      </w:r>
      <w:r w:rsidRPr="0092385C">
        <w:rPr>
          <w:rFonts w:cstheme="minorHAnsi"/>
        </w:rPr>
        <w:t>. Even more recently, through its implementation of the Medicare Access and CHIP Reauthorization Act (MACRA) and development of its Measure Development Plan (MDP), CMS identified orthopedic surgery as a priority area for specialty-focused clinician measurement when measuring quality of clinician care. A subsequent environmental scan identified clinician quality measure gap areas and specifically identified complications from orthopedic procedures as a specific subtopic that currently has no measures</w:t>
      </w:r>
      <w:r w:rsidR="00556405">
        <w:rPr>
          <w:rFonts w:cstheme="minorHAnsi"/>
        </w:rPr>
        <w:t xml:space="preserve"> [19]</w:t>
      </w:r>
      <w:r w:rsidRPr="0092385C">
        <w:rPr>
          <w:rFonts w:cstheme="minorHAnsi"/>
        </w:rPr>
        <w:t>. The MDP Technical Expert Panel (TEP) reviewed and agreed with the importance of measuring outcomes of orthopedic surgery as an important measure development area in the Quality Payment Program and clinician measurement under the MIPS</w:t>
      </w:r>
      <w:r w:rsidR="00556405">
        <w:rPr>
          <w:rFonts w:cstheme="minorHAnsi"/>
        </w:rPr>
        <w:t xml:space="preserve"> [20]</w:t>
      </w:r>
      <w:r w:rsidRPr="0092385C">
        <w:rPr>
          <w:rFonts w:cstheme="minorHAnsi"/>
        </w:rPr>
        <w:t>. Additionally, beyond current hospital payment and reporting programs, the Core Quality Measures Collaborative, a stakeholder group convened by America’s Health Insurance Plans, that included purchaser, consumer, CMS, the National Quality Forum, and physician organization representatives, identified orthopedic quality measurement as one of seven core measure sets to support quality improvement</w:t>
      </w:r>
      <w:r w:rsidR="00556405">
        <w:rPr>
          <w:rFonts w:cstheme="minorHAnsi"/>
        </w:rPr>
        <w:t xml:space="preserve"> [21]</w:t>
      </w:r>
      <w:r w:rsidRPr="0092385C">
        <w:rPr>
          <w:rFonts w:cstheme="minorHAnsi"/>
        </w:rPr>
        <w:t>.</w:t>
      </w:r>
      <w:r w:rsidRPr="0092385C">
        <w:rPr>
          <w:rFonts w:cstheme="minorHAnsi"/>
        </w:rPr>
        <w:fldChar w:fldCharType="begin"/>
      </w:r>
      <w:r w:rsidR="00A46BCA">
        <w:rPr>
          <w:rFonts w:cstheme="minorHAnsi"/>
        </w:rPr>
        <w:instrText xml:space="preserve"> ADDIN EN.CITE &lt;EndNote&gt;&lt;Cite&gt;&lt;Author&gt;Centers for Medicare and Medicaid Services&lt;/Author&gt;&lt;Year&gt;2017&lt;/Year&gt;&lt;RecNum&gt;15&lt;/RecNum&gt;&lt;DisplayText&gt;&lt;style face="superscript"&gt;21&lt;/style&gt;&lt;/DisplayText&gt;&lt;record&gt;&lt;rec-number&gt;15&lt;/rec-number&gt;&lt;foreign-keys&gt;&lt;key app="EN" db-id="xwzx0eewb59sajexvskptatrdwr0ds0s5fd0" timestamp="1515595707"&gt;15&lt;/key&gt;&lt;/foreign-keys&gt;&lt;ref-type name="Web Page"&gt;12&lt;/ref-type&gt;&lt;contributors&gt;&lt;authors&gt;&lt;author&gt;Centers for Medicare and Medicaid Services,&lt;/author&gt;&lt;/authors&gt;&lt;/contributors&gt;&lt;titles&gt;&lt;title&gt;Core Measures Overview&lt;/title&gt;&lt;/titles&gt;&lt;volume&gt;2018&lt;/volume&gt;&lt;number&gt;January 10&lt;/number&gt;&lt;dates&gt;&lt;year&gt;2017&lt;/year&gt;&lt;/dates&gt;&lt;publisher&gt;Centers for Medicare and Medicaid Services&lt;/publisher&gt;&lt;urls&gt;&lt;related-urls&gt;&lt;url&gt;https://www.cms.gov/Medicare/Quality-Initiatives-Patient-Assessment-Instruments/QualityMeasures/Core-Measures.html&lt;/url&gt;&lt;/related-urls&gt;&lt;/urls&gt;&lt;/record&gt;&lt;/Cite&gt;&lt;/EndNote&gt;</w:instrText>
      </w:r>
      <w:r w:rsidRPr="0092385C">
        <w:rPr>
          <w:rFonts w:cstheme="minorHAnsi"/>
        </w:rPr>
        <w:fldChar w:fldCharType="end"/>
      </w:r>
      <w:r w:rsidR="00A46BCA" w:rsidRPr="00A46BCA">
        <w:rPr>
          <w:rFonts w:cstheme="minorHAnsi"/>
          <w:vertAlign w:val="superscript"/>
        </w:rPr>
        <w:t xml:space="preserve"> </w:t>
      </w:r>
    </w:p>
    <w:p w14:paraId="30118EF9" w14:textId="1297CBD1" w:rsidR="00556405" w:rsidRPr="00556405" w:rsidRDefault="00556405" w:rsidP="00F66E9E">
      <w:pPr>
        <w:spacing w:line="240" w:lineRule="auto"/>
        <w:ind w:left="1080"/>
        <w:rPr>
          <w:rFonts w:cstheme="minorHAnsi"/>
          <w:u w:val="single"/>
        </w:rPr>
      </w:pPr>
      <w:r w:rsidRPr="00556405">
        <w:rPr>
          <w:rFonts w:cstheme="minorHAnsi"/>
          <w:u w:val="single"/>
        </w:rPr>
        <w:t>References</w:t>
      </w:r>
    </w:p>
    <w:p w14:paraId="3EABDC71" w14:textId="224E1F5E" w:rsidR="00556405" w:rsidRPr="00556405" w:rsidRDefault="00556405" w:rsidP="00F66E9E">
      <w:pPr>
        <w:pStyle w:val="ListParagraph"/>
        <w:spacing w:line="240" w:lineRule="auto"/>
        <w:ind w:left="1440" w:hanging="360"/>
        <w:rPr>
          <w:rFonts w:cs="Arial"/>
        </w:rPr>
      </w:pPr>
      <w:r w:rsidRPr="00556405">
        <w:rPr>
          <w:rFonts w:cs="Arial"/>
        </w:rPr>
        <w:t xml:space="preserve">1. </w:t>
      </w:r>
      <w:r>
        <w:rPr>
          <w:rFonts w:cs="Arial"/>
        </w:rPr>
        <w:tab/>
      </w:r>
      <w:r w:rsidRPr="00556405">
        <w:rPr>
          <w:rFonts w:cs="Arial"/>
        </w:rPr>
        <w:t xml:space="preserve">Nwachukwu BU, McCormick F, Provencher MT, Roche M, </w:t>
      </w:r>
      <w:proofErr w:type="spellStart"/>
      <w:r w:rsidRPr="00556405">
        <w:rPr>
          <w:rFonts w:cs="Arial"/>
        </w:rPr>
        <w:t>Rubash</w:t>
      </w:r>
      <w:proofErr w:type="spellEnd"/>
      <w:r w:rsidRPr="00556405">
        <w:rPr>
          <w:rFonts w:cs="Arial"/>
        </w:rPr>
        <w:t xml:space="preserve"> HE. A comprehensive analysis of Medicare trends in utilization and hospital economics for total knee and hip arthroplasty from 2005 to 2011. J Arthroplasty. 2015;30(1):15-18.</w:t>
      </w:r>
    </w:p>
    <w:p w14:paraId="6234BFFA" w14:textId="77777777" w:rsidR="00556405" w:rsidRPr="00556405" w:rsidRDefault="00556405" w:rsidP="00F66E9E">
      <w:pPr>
        <w:pStyle w:val="ListParagraph"/>
        <w:spacing w:line="240" w:lineRule="auto"/>
        <w:ind w:left="1440" w:hanging="360"/>
        <w:rPr>
          <w:rFonts w:cs="Arial"/>
        </w:rPr>
      </w:pPr>
      <w:r w:rsidRPr="00556405">
        <w:rPr>
          <w:rFonts w:cs="Arial"/>
        </w:rPr>
        <w:t>2.</w:t>
      </w:r>
      <w:r w:rsidRPr="00556405">
        <w:rPr>
          <w:rFonts w:cs="Arial"/>
        </w:rPr>
        <w:tab/>
        <w:t>Cram P, Lu X, Kates SL, Singh JA, Li Y, Wolf BR. Total knee arthroplasty volume, utilization, and outcomes among Medicare beneficiaries, 1991-2010. JAMA. 2012;308(12):1227-1236.</w:t>
      </w:r>
    </w:p>
    <w:p w14:paraId="1CB5CD5D" w14:textId="77777777" w:rsidR="00556405" w:rsidRPr="00556405" w:rsidRDefault="00556405" w:rsidP="00F66E9E">
      <w:pPr>
        <w:pStyle w:val="ListParagraph"/>
        <w:spacing w:line="240" w:lineRule="auto"/>
        <w:ind w:left="1440" w:hanging="360"/>
        <w:rPr>
          <w:rFonts w:cs="Arial"/>
        </w:rPr>
      </w:pPr>
      <w:r w:rsidRPr="00556405">
        <w:rPr>
          <w:rFonts w:cs="Arial"/>
        </w:rPr>
        <w:t>3.</w:t>
      </w:r>
      <w:r w:rsidRPr="00556405">
        <w:rPr>
          <w:rFonts w:cs="Arial"/>
        </w:rPr>
        <w:tab/>
        <w:t xml:space="preserve">Courtney PM, Edmiston T, </w:t>
      </w:r>
      <w:proofErr w:type="spellStart"/>
      <w:r w:rsidRPr="00556405">
        <w:rPr>
          <w:rFonts w:cs="Arial"/>
        </w:rPr>
        <w:t>Batko</w:t>
      </w:r>
      <w:proofErr w:type="spellEnd"/>
      <w:r w:rsidRPr="00556405">
        <w:rPr>
          <w:rFonts w:cs="Arial"/>
        </w:rPr>
        <w:t xml:space="preserve"> B, Levine BR. Can Bundled Payments Be Successful in the Medicaid Population for Primary Joint Arthroplasty? J Arthroplasty. 2017;32(11):3263-3267.</w:t>
      </w:r>
    </w:p>
    <w:p w14:paraId="05941FB6" w14:textId="77777777" w:rsidR="00556405" w:rsidRPr="00556405" w:rsidRDefault="00556405" w:rsidP="00F66E9E">
      <w:pPr>
        <w:pStyle w:val="ListParagraph"/>
        <w:spacing w:line="240" w:lineRule="auto"/>
        <w:ind w:left="1440" w:hanging="360"/>
        <w:rPr>
          <w:rFonts w:cs="Arial"/>
        </w:rPr>
      </w:pPr>
      <w:r w:rsidRPr="00556405">
        <w:rPr>
          <w:rFonts w:cs="Arial"/>
        </w:rPr>
        <w:t>4.</w:t>
      </w:r>
      <w:r w:rsidRPr="00556405">
        <w:rPr>
          <w:rFonts w:cs="Arial"/>
        </w:rPr>
        <w:tab/>
        <w:t xml:space="preserve">Kurtz SM, Ong KL, </w:t>
      </w:r>
      <w:proofErr w:type="spellStart"/>
      <w:r w:rsidRPr="00556405">
        <w:rPr>
          <w:rFonts w:cs="Arial"/>
        </w:rPr>
        <w:t>Schmier</w:t>
      </w:r>
      <w:proofErr w:type="spellEnd"/>
      <w:r w:rsidRPr="00556405">
        <w:rPr>
          <w:rFonts w:cs="Arial"/>
        </w:rPr>
        <w:t xml:space="preserve"> J, et al. Future clinical and economic impact of revision total hip and knee arthroplasty. J Bone Joint Surg Am. 2007;89 Suppl 3:144-151.</w:t>
      </w:r>
    </w:p>
    <w:p w14:paraId="1E914211" w14:textId="77777777" w:rsidR="00556405" w:rsidRPr="00556405" w:rsidRDefault="00556405" w:rsidP="00F66E9E">
      <w:pPr>
        <w:pStyle w:val="ListParagraph"/>
        <w:spacing w:line="240" w:lineRule="auto"/>
        <w:ind w:left="1440" w:hanging="360"/>
        <w:rPr>
          <w:rFonts w:cs="Arial"/>
        </w:rPr>
      </w:pPr>
      <w:r w:rsidRPr="00556405">
        <w:rPr>
          <w:rFonts w:cs="Arial"/>
        </w:rPr>
        <w:t>5.</w:t>
      </w:r>
      <w:r w:rsidRPr="00556405">
        <w:rPr>
          <w:rFonts w:cs="Arial"/>
        </w:rPr>
        <w:tab/>
        <w:t xml:space="preserve">Ong KL, Mowat FS, Chan N, Lau E, Halpern MT, Kurtz SM. Economic burden of revision hip and knee arthroplasty in Medicare enrollees. Clin </w:t>
      </w:r>
      <w:proofErr w:type="spellStart"/>
      <w:r w:rsidRPr="00556405">
        <w:rPr>
          <w:rFonts w:cs="Arial"/>
        </w:rPr>
        <w:t>Orthop</w:t>
      </w:r>
      <w:proofErr w:type="spellEnd"/>
      <w:r w:rsidRPr="00556405">
        <w:rPr>
          <w:rFonts w:cs="Arial"/>
        </w:rPr>
        <w:t xml:space="preserve"> </w:t>
      </w:r>
      <w:proofErr w:type="spellStart"/>
      <w:r w:rsidRPr="00556405">
        <w:rPr>
          <w:rFonts w:cs="Arial"/>
        </w:rPr>
        <w:t>Relat</w:t>
      </w:r>
      <w:proofErr w:type="spellEnd"/>
      <w:r w:rsidRPr="00556405">
        <w:rPr>
          <w:rFonts w:cs="Arial"/>
        </w:rPr>
        <w:t xml:space="preserve"> Res. 2006;446:22-28.</w:t>
      </w:r>
    </w:p>
    <w:p w14:paraId="45A03B73" w14:textId="77777777" w:rsidR="00556405" w:rsidRPr="00556405" w:rsidRDefault="00556405" w:rsidP="00F66E9E">
      <w:pPr>
        <w:pStyle w:val="ListParagraph"/>
        <w:spacing w:line="240" w:lineRule="auto"/>
        <w:ind w:left="1440" w:hanging="360"/>
        <w:rPr>
          <w:rFonts w:cs="Arial"/>
        </w:rPr>
      </w:pPr>
      <w:r w:rsidRPr="00556405">
        <w:rPr>
          <w:rFonts w:cs="Arial"/>
        </w:rPr>
        <w:t>6.</w:t>
      </w:r>
      <w:r w:rsidRPr="00556405">
        <w:rPr>
          <w:rFonts w:cs="Arial"/>
        </w:rPr>
        <w:tab/>
      </w:r>
      <w:proofErr w:type="spellStart"/>
      <w:r w:rsidRPr="00556405">
        <w:rPr>
          <w:rFonts w:cs="Arial"/>
        </w:rPr>
        <w:t>Bozic</w:t>
      </w:r>
      <w:proofErr w:type="spellEnd"/>
      <w:r w:rsidRPr="00556405">
        <w:rPr>
          <w:rFonts w:cs="Arial"/>
        </w:rPr>
        <w:t xml:space="preserve"> KJ, </w:t>
      </w:r>
      <w:proofErr w:type="spellStart"/>
      <w:r w:rsidRPr="00556405">
        <w:rPr>
          <w:rFonts w:cs="Arial"/>
        </w:rPr>
        <w:t>Rubash</w:t>
      </w:r>
      <w:proofErr w:type="spellEnd"/>
      <w:r w:rsidRPr="00556405">
        <w:rPr>
          <w:rFonts w:cs="Arial"/>
        </w:rPr>
        <w:t xml:space="preserve"> HE, </w:t>
      </w:r>
      <w:proofErr w:type="spellStart"/>
      <w:r w:rsidRPr="00556405">
        <w:rPr>
          <w:rFonts w:cs="Arial"/>
        </w:rPr>
        <w:t>Sculco</w:t>
      </w:r>
      <w:proofErr w:type="spellEnd"/>
      <w:r w:rsidRPr="00556405">
        <w:rPr>
          <w:rFonts w:cs="Arial"/>
        </w:rPr>
        <w:t xml:space="preserve"> TP, Berry DJ. An analysis of </w:t>
      </w:r>
      <w:proofErr w:type="spellStart"/>
      <w:r w:rsidRPr="00556405">
        <w:rPr>
          <w:rFonts w:cs="Arial"/>
        </w:rPr>
        <w:t>medicare</w:t>
      </w:r>
      <w:proofErr w:type="spellEnd"/>
      <w:r w:rsidRPr="00556405">
        <w:rPr>
          <w:rFonts w:cs="Arial"/>
        </w:rPr>
        <w:t xml:space="preserve"> payment policy for total joint arthroplasty. J Arthroplasty. 2008;23(6 Suppl 1):133-138.</w:t>
      </w:r>
    </w:p>
    <w:p w14:paraId="2F158A3D" w14:textId="77777777" w:rsidR="00556405" w:rsidRPr="00556405" w:rsidRDefault="00556405" w:rsidP="00F66E9E">
      <w:pPr>
        <w:pStyle w:val="ListParagraph"/>
        <w:spacing w:line="240" w:lineRule="auto"/>
        <w:ind w:left="1440" w:hanging="360"/>
        <w:rPr>
          <w:rFonts w:cs="Arial"/>
        </w:rPr>
      </w:pPr>
      <w:r w:rsidRPr="00556405">
        <w:rPr>
          <w:rFonts w:cs="Arial"/>
        </w:rPr>
        <w:t>7.</w:t>
      </w:r>
      <w:r w:rsidRPr="00556405">
        <w:rPr>
          <w:rFonts w:cs="Arial"/>
        </w:rPr>
        <w:tab/>
        <w:t>Kurtz S, Ong K, Lau E, Mowat F, Halpern M. Projections of primary and revision hip and knee arthroplasty in the United States from 2005 to 2030. J Bone Joint Surg Am. 2007;89(4):780-785.</w:t>
      </w:r>
    </w:p>
    <w:p w14:paraId="6865095E" w14:textId="77777777" w:rsidR="00556405" w:rsidRPr="00556405" w:rsidRDefault="00556405" w:rsidP="00F66E9E">
      <w:pPr>
        <w:pStyle w:val="ListParagraph"/>
        <w:spacing w:line="240" w:lineRule="auto"/>
        <w:ind w:left="1440" w:hanging="360"/>
        <w:rPr>
          <w:rFonts w:cs="Arial"/>
        </w:rPr>
      </w:pPr>
      <w:r w:rsidRPr="00556405">
        <w:rPr>
          <w:rFonts w:cs="Arial"/>
        </w:rPr>
        <w:t>8.</w:t>
      </w:r>
      <w:r w:rsidRPr="00556405">
        <w:rPr>
          <w:rFonts w:cs="Arial"/>
        </w:rPr>
        <w:tab/>
      </w:r>
      <w:proofErr w:type="spellStart"/>
      <w:r w:rsidRPr="00556405">
        <w:rPr>
          <w:rFonts w:cs="Arial"/>
        </w:rPr>
        <w:t>Bongartz</w:t>
      </w:r>
      <w:proofErr w:type="spellEnd"/>
      <w:r w:rsidRPr="00556405">
        <w:rPr>
          <w:rFonts w:cs="Arial"/>
        </w:rPr>
        <w:t xml:space="preserve"> T, Halligan CS, </w:t>
      </w:r>
      <w:proofErr w:type="spellStart"/>
      <w:r w:rsidRPr="00556405">
        <w:rPr>
          <w:rFonts w:cs="Arial"/>
        </w:rPr>
        <w:t>Osmon</w:t>
      </w:r>
      <w:proofErr w:type="spellEnd"/>
      <w:r w:rsidRPr="00556405">
        <w:rPr>
          <w:rFonts w:cs="Arial"/>
        </w:rPr>
        <w:t xml:space="preserve"> DR, et al. Incidence and risk factors of prosthetic joint infection after total hip or knee replacement in patients with rheumatoid arthritis. Arthritis Rheum. 2008;59(12):1713-1720.</w:t>
      </w:r>
    </w:p>
    <w:p w14:paraId="072558BB" w14:textId="77777777" w:rsidR="00556405" w:rsidRPr="00556405" w:rsidRDefault="00556405" w:rsidP="00F66E9E">
      <w:pPr>
        <w:pStyle w:val="ListParagraph"/>
        <w:spacing w:line="240" w:lineRule="auto"/>
        <w:ind w:left="1440" w:hanging="360"/>
        <w:rPr>
          <w:rFonts w:cs="Arial"/>
        </w:rPr>
      </w:pPr>
      <w:r w:rsidRPr="00556405">
        <w:rPr>
          <w:rFonts w:cs="Arial"/>
        </w:rPr>
        <w:t>9.</w:t>
      </w:r>
      <w:r w:rsidRPr="00556405">
        <w:rPr>
          <w:rFonts w:cs="Arial"/>
        </w:rPr>
        <w:tab/>
        <w:t xml:space="preserve">Kurtz S, Ong K, Lau E, </w:t>
      </w:r>
      <w:proofErr w:type="spellStart"/>
      <w:r w:rsidRPr="00556405">
        <w:rPr>
          <w:rFonts w:cs="Arial"/>
        </w:rPr>
        <w:t>Bozic</w:t>
      </w:r>
      <w:proofErr w:type="spellEnd"/>
      <w:r w:rsidRPr="00556405">
        <w:rPr>
          <w:rFonts w:cs="Arial"/>
        </w:rPr>
        <w:t xml:space="preserve"> K, Berry D, </w:t>
      </w:r>
      <w:proofErr w:type="spellStart"/>
      <w:r w:rsidRPr="00556405">
        <w:rPr>
          <w:rFonts w:cs="Arial"/>
        </w:rPr>
        <w:t>Parvizi</w:t>
      </w:r>
      <w:proofErr w:type="spellEnd"/>
      <w:r w:rsidRPr="00556405">
        <w:rPr>
          <w:rFonts w:cs="Arial"/>
        </w:rPr>
        <w:t xml:space="preserve"> J. Prosthetic joint infection risk after TKA in the Medicare population. Clin </w:t>
      </w:r>
      <w:proofErr w:type="spellStart"/>
      <w:r w:rsidRPr="00556405">
        <w:rPr>
          <w:rFonts w:cs="Arial"/>
        </w:rPr>
        <w:t>Orthop</w:t>
      </w:r>
      <w:proofErr w:type="spellEnd"/>
      <w:r w:rsidRPr="00556405">
        <w:rPr>
          <w:rFonts w:cs="Arial"/>
        </w:rPr>
        <w:t xml:space="preserve"> </w:t>
      </w:r>
      <w:proofErr w:type="spellStart"/>
      <w:r w:rsidRPr="00556405">
        <w:rPr>
          <w:rFonts w:cs="Arial"/>
        </w:rPr>
        <w:t>Relat</w:t>
      </w:r>
      <w:proofErr w:type="spellEnd"/>
      <w:r w:rsidRPr="00556405">
        <w:rPr>
          <w:rFonts w:cs="Arial"/>
        </w:rPr>
        <w:t xml:space="preserve"> Res. 2010;468:5.</w:t>
      </w:r>
    </w:p>
    <w:p w14:paraId="3EC9C1E5" w14:textId="77777777" w:rsidR="00556405" w:rsidRPr="00556405" w:rsidRDefault="00556405" w:rsidP="00F66E9E">
      <w:pPr>
        <w:pStyle w:val="ListParagraph"/>
        <w:spacing w:line="240" w:lineRule="auto"/>
        <w:ind w:left="1440" w:hanging="360"/>
        <w:rPr>
          <w:rFonts w:cs="Arial"/>
        </w:rPr>
      </w:pPr>
      <w:r w:rsidRPr="00556405">
        <w:rPr>
          <w:rFonts w:cs="Arial"/>
        </w:rPr>
        <w:lastRenderedPageBreak/>
        <w:t>10.</w:t>
      </w:r>
      <w:r w:rsidRPr="00556405">
        <w:rPr>
          <w:rFonts w:cs="Arial"/>
        </w:rPr>
        <w:tab/>
      </w:r>
      <w:proofErr w:type="spellStart"/>
      <w:r w:rsidRPr="00556405">
        <w:rPr>
          <w:rFonts w:cs="Arial"/>
        </w:rPr>
        <w:t>Soohoo</w:t>
      </w:r>
      <w:proofErr w:type="spellEnd"/>
      <w:r w:rsidRPr="00556405">
        <w:rPr>
          <w:rFonts w:cs="Arial"/>
        </w:rPr>
        <w:t xml:space="preserve"> NF, </w:t>
      </w:r>
      <w:proofErr w:type="spellStart"/>
      <w:r w:rsidRPr="00556405">
        <w:rPr>
          <w:rFonts w:cs="Arial"/>
        </w:rPr>
        <w:t>Farng</w:t>
      </w:r>
      <w:proofErr w:type="spellEnd"/>
      <w:r w:rsidRPr="00556405">
        <w:rPr>
          <w:rFonts w:cs="Arial"/>
        </w:rPr>
        <w:t xml:space="preserve"> E, Lieberman JR, Chambers L, </w:t>
      </w:r>
      <w:proofErr w:type="spellStart"/>
      <w:r w:rsidRPr="00556405">
        <w:rPr>
          <w:rFonts w:cs="Arial"/>
        </w:rPr>
        <w:t>Zingmond</w:t>
      </w:r>
      <w:proofErr w:type="spellEnd"/>
      <w:r w:rsidRPr="00556405">
        <w:rPr>
          <w:rFonts w:cs="Arial"/>
        </w:rPr>
        <w:t xml:space="preserve"> DS. Factors that predict short-term complication rates after total hip arthroplasty. Clin </w:t>
      </w:r>
      <w:proofErr w:type="spellStart"/>
      <w:r w:rsidRPr="00556405">
        <w:rPr>
          <w:rFonts w:cs="Arial"/>
        </w:rPr>
        <w:t>Orthop</w:t>
      </w:r>
      <w:proofErr w:type="spellEnd"/>
      <w:r w:rsidRPr="00556405">
        <w:rPr>
          <w:rFonts w:cs="Arial"/>
        </w:rPr>
        <w:t xml:space="preserve"> </w:t>
      </w:r>
      <w:proofErr w:type="spellStart"/>
      <w:r w:rsidRPr="00556405">
        <w:rPr>
          <w:rFonts w:cs="Arial"/>
        </w:rPr>
        <w:t>Relat</w:t>
      </w:r>
      <w:proofErr w:type="spellEnd"/>
      <w:r w:rsidRPr="00556405">
        <w:rPr>
          <w:rFonts w:cs="Arial"/>
        </w:rPr>
        <w:t xml:space="preserve"> Res. 2010;468(9):2363-2371.</w:t>
      </w:r>
    </w:p>
    <w:p w14:paraId="5D203E5D" w14:textId="77777777" w:rsidR="00556405" w:rsidRPr="00556405" w:rsidRDefault="00556405" w:rsidP="00F66E9E">
      <w:pPr>
        <w:pStyle w:val="ListParagraph"/>
        <w:spacing w:line="240" w:lineRule="auto"/>
        <w:ind w:left="1440" w:hanging="360"/>
        <w:rPr>
          <w:rFonts w:cs="Arial"/>
        </w:rPr>
      </w:pPr>
      <w:r w:rsidRPr="00556405">
        <w:rPr>
          <w:rFonts w:cs="Arial"/>
        </w:rPr>
        <w:t>11.</w:t>
      </w:r>
      <w:r w:rsidRPr="00556405">
        <w:rPr>
          <w:rFonts w:cs="Arial"/>
        </w:rPr>
        <w:tab/>
        <w:t>Cram P, Vaughan-</w:t>
      </w:r>
      <w:proofErr w:type="spellStart"/>
      <w:r w:rsidRPr="00556405">
        <w:rPr>
          <w:rFonts w:cs="Arial"/>
        </w:rPr>
        <w:t>Sarrazin</w:t>
      </w:r>
      <w:proofErr w:type="spellEnd"/>
      <w:r w:rsidRPr="00556405">
        <w:rPr>
          <w:rFonts w:cs="Arial"/>
        </w:rPr>
        <w:t xml:space="preserve"> MS, Wolf B, Katz JN, Rosenthal GE. A comparison of total hip and knee replacement in specialty and general hospitals. J Bone Joint Surg Am. 2007;89(8):1675-1684.</w:t>
      </w:r>
    </w:p>
    <w:p w14:paraId="39055D43" w14:textId="77777777" w:rsidR="00556405" w:rsidRPr="00556405" w:rsidRDefault="00556405" w:rsidP="00F66E9E">
      <w:pPr>
        <w:pStyle w:val="ListParagraph"/>
        <w:spacing w:line="240" w:lineRule="auto"/>
        <w:ind w:left="1440" w:hanging="360"/>
        <w:rPr>
          <w:rFonts w:cs="Arial"/>
        </w:rPr>
      </w:pPr>
      <w:r w:rsidRPr="00556405">
        <w:rPr>
          <w:rFonts w:cs="Arial"/>
        </w:rPr>
        <w:t>12.</w:t>
      </w:r>
      <w:r w:rsidRPr="00556405">
        <w:rPr>
          <w:rFonts w:cs="Arial"/>
        </w:rPr>
        <w:tab/>
        <w:t xml:space="preserve">Mahomed NN, Barrett JA, Katz JN, et al. Rates and outcomes of primary and revision total hip replacement in the United States </w:t>
      </w:r>
      <w:proofErr w:type="spellStart"/>
      <w:r w:rsidRPr="00556405">
        <w:rPr>
          <w:rFonts w:cs="Arial"/>
        </w:rPr>
        <w:t>medicare</w:t>
      </w:r>
      <w:proofErr w:type="spellEnd"/>
      <w:r w:rsidRPr="00556405">
        <w:rPr>
          <w:rFonts w:cs="Arial"/>
        </w:rPr>
        <w:t xml:space="preserve"> population. J Bone Joint Surg Am. 2003;85-A(1):27-32.</w:t>
      </w:r>
    </w:p>
    <w:p w14:paraId="1DD7A743" w14:textId="77777777" w:rsidR="00556405" w:rsidRPr="00556405" w:rsidRDefault="00556405" w:rsidP="00F66E9E">
      <w:pPr>
        <w:pStyle w:val="ListParagraph"/>
        <w:spacing w:line="240" w:lineRule="auto"/>
        <w:ind w:left="1440" w:hanging="360"/>
        <w:rPr>
          <w:rFonts w:cs="Arial"/>
        </w:rPr>
      </w:pPr>
      <w:r w:rsidRPr="00556405">
        <w:rPr>
          <w:rFonts w:cs="Arial"/>
        </w:rPr>
        <w:t>13.</w:t>
      </w:r>
      <w:r w:rsidRPr="00556405">
        <w:rPr>
          <w:rFonts w:cs="Arial"/>
        </w:rPr>
        <w:tab/>
      </w:r>
      <w:proofErr w:type="spellStart"/>
      <w:r w:rsidRPr="00556405">
        <w:rPr>
          <w:rFonts w:cs="Arial"/>
        </w:rPr>
        <w:t>Khatod</w:t>
      </w:r>
      <w:proofErr w:type="spellEnd"/>
      <w:r w:rsidRPr="00556405">
        <w:rPr>
          <w:rFonts w:cs="Arial"/>
        </w:rPr>
        <w:t xml:space="preserve"> M, </w:t>
      </w:r>
      <w:proofErr w:type="spellStart"/>
      <w:r w:rsidRPr="00556405">
        <w:rPr>
          <w:rFonts w:cs="Arial"/>
        </w:rPr>
        <w:t>Inacio</w:t>
      </w:r>
      <w:proofErr w:type="spellEnd"/>
      <w:r w:rsidRPr="00556405">
        <w:rPr>
          <w:rFonts w:cs="Arial"/>
        </w:rPr>
        <w:t xml:space="preserve"> M, Paxton EW, et al. Knee replacement: epidemiology, outcomes, and trends in Southern California: 17,080 replacements from 1995 through 2004. Acta </w:t>
      </w:r>
      <w:proofErr w:type="spellStart"/>
      <w:r w:rsidRPr="00556405">
        <w:rPr>
          <w:rFonts w:cs="Arial"/>
        </w:rPr>
        <w:t>Orthop</w:t>
      </w:r>
      <w:proofErr w:type="spellEnd"/>
      <w:r w:rsidRPr="00556405">
        <w:rPr>
          <w:rFonts w:cs="Arial"/>
        </w:rPr>
        <w:t>. 2008;79(6):812-819.</w:t>
      </w:r>
    </w:p>
    <w:p w14:paraId="75387999" w14:textId="77777777" w:rsidR="00556405" w:rsidRPr="00556405" w:rsidRDefault="00556405" w:rsidP="00F66E9E">
      <w:pPr>
        <w:pStyle w:val="ListParagraph"/>
        <w:spacing w:line="240" w:lineRule="auto"/>
        <w:ind w:left="1440" w:hanging="360"/>
        <w:rPr>
          <w:rFonts w:cs="Arial"/>
        </w:rPr>
      </w:pPr>
      <w:r w:rsidRPr="00556405">
        <w:rPr>
          <w:rFonts w:cs="Arial"/>
        </w:rPr>
        <w:t>14.</w:t>
      </w:r>
      <w:r w:rsidRPr="00556405">
        <w:rPr>
          <w:rFonts w:cs="Arial"/>
        </w:rPr>
        <w:tab/>
        <w:t xml:space="preserve">Solomon DH, </w:t>
      </w:r>
      <w:proofErr w:type="spellStart"/>
      <w:r w:rsidRPr="00556405">
        <w:rPr>
          <w:rFonts w:cs="Arial"/>
        </w:rPr>
        <w:t>Chibnik</w:t>
      </w:r>
      <w:proofErr w:type="spellEnd"/>
      <w:r w:rsidRPr="00556405">
        <w:rPr>
          <w:rFonts w:cs="Arial"/>
        </w:rPr>
        <w:t xml:space="preserve"> LB, </w:t>
      </w:r>
      <w:proofErr w:type="spellStart"/>
      <w:r w:rsidRPr="00556405">
        <w:rPr>
          <w:rFonts w:cs="Arial"/>
        </w:rPr>
        <w:t>Losina</w:t>
      </w:r>
      <w:proofErr w:type="spellEnd"/>
      <w:r w:rsidRPr="00556405">
        <w:rPr>
          <w:rFonts w:cs="Arial"/>
        </w:rPr>
        <w:t xml:space="preserve"> E, et al. Development of a preliminary index that predicts adverse events after total knee replacement. Arthritis &amp; Rheumatism. 2006;54(5):1536-1542.</w:t>
      </w:r>
    </w:p>
    <w:p w14:paraId="129DCEA2" w14:textId="77777777" w:rsidR="00556405" w:rsidRPr="00556405" w:rsidRDefault="00556405" w:rsidP="00F66E9E">
      <w:pPr>
        <w:pStyle w:val="ListParagraph"/>
        <w:spacing w:line="240" w:lineRule="auto"/>
        <w:ind w:left="1440" w:hanging="360"/>
        <w:rPr>
          <w:rFonts w:cs="Arial"/>
        </w:rPr>
      </w:pPr>
      <w:r w:rsidRPr="00556405">
        <w:rPr>
          <w:rFonts w:cs="Arial"/>
        </w:rPr>
        <w:t>15.</w:t>
      </w:r>
      <w:r w:rsidRPr="00556405">
        <w:rPr>
          <w:rFonts w:cs="Arial"/>
        </w:rPr>
        <w:tab/>
        <w:t xml:space="preserve">Browne J, Cook C, Hofmann A, </w:t>
      </w:r>
      <w:proofErr w:type="spellStart"/>
      <w:r w:rsidRPr="00556405">
        <w:rPr>
          <w:rFonts w:cs="Arial"/>
        </w:rPr>
        <w:t>Bolognesi</w:t>
      </w:r>
      <w:proofErr w:type="spellEnd"/>
      <w:r w:rsidRPr="00556405">
        <w:rPr>
          <w:rFonts w:cs="Arial"/>
        </w:rPr>
        <w:t xml:space="preserve"> M. Postoperative morbidity and mortality following total knee arthroplasty with computer navigation. Knee. 2010;17(2):152-156.</w:t>
      </w:r>
    </w:p>
    <w:p w14:paraId="4B0CCDA1" w14:textId="77777777" w:rsidR="00556405" w:rsidRPr="00556405" w:rsidRDefault="00556405" w:rsidP="00F66E9E">
      <w:pPr>
        <w:pStyle w:val="ListParagraph"/>
        <w:spacing w:line="240" w:lineRule="auto"/>
        <w:ind w:left="1440" w:hanging="360"/>
        <w:rPr>
          <w:rFonts w:cs="Arial"/>
        </w:rPr>
      </w:pPr>
      <w:r w:rsidRPr="00556405">
        <w:rPr>
          <w:rFonts w:cs="Arial"/>
        </w:rPr>
        <w:t>16.</w:t>
      </w:r>
      <w:r w:rsidRPr="00556405">
        <w:rPr>
          <w:rFonts w:cs="Arial"/>
        </w:rPr>
        <w:tab/>
        <w:t xml:space="preserve">Huddleston JI, Maloney WJ, Wang Y, </w:t>
      </w:r>
      <w:proofErr w:type="spellStart"/>
      <w:r w:rsidRPr="00556405">
        <w:rPr>
          <w:rFonts w:cs="Arial"/>
        </w:rPr>
        <w:t>Verzier</w:t>
      </w:r>
      <w:proofErr w:type="spellEnd"/>
      <w:r w:rsidRPr="00556405">
        <w:rPr>
          <w:rFonts w:cs="Arial"/>
        </w:rPr>
        <w:t xml:space="preserve"> N, Hunt DR, Herndon JH. Adverse Events After Total Knee Arthroplasty: A National Medicare Study. The Journal of Arthroplasty. 2009;24(6, Supplement 1):95-100.</w:t>
      </w:r>
    </w:p>
    <w:p w14:paraId="45397CD8" w14:textId="4535C8EC" w:rsidR="00556405" w:rsidRPr="00556405" w:rsidRDefault="00556405" w:rsidP="00F66E9E">
      <w:pPr>
        <w:pStyle w:val="ListParagraph"/>
        <w:spacing w:line="240" w:lineRule="auto"/>
        <w:ind w:left="1440" w:hanging="360"/>
        <w:rPr>
          <w:rFonts w:cs="Arial"/>
        </w:rPr>
      </w:pPr>
      <w:r w:rsidRPr="00556405">
        <w:rPr>
          <w:rFonts w:cs="Arial"/>
        </w:rPr>
        <w:t>17.</w:t>
      </w:r>
      <w:r w:rsidRPr="00556405">
        <w:rPr>
          <w:rFonts w:cs="Arial"/>
        </w:rPr>
        <w:tab/>
        <w:t>Centers for Medicare and Medicaid Services. Overview:</w:t>
      </w:r>
      <w:r w:rsidR="00600662">
        <w:rPr>
          <w:rFonts w:cs="Arial"/>
        </w:rPr>
        <w:t xml:space="preserve"> THA/TKA Complication Measure. </w:t>
      </w:r>
      <w:r w:rsidRPr="00556405">
        <w:rPr>
          <w:rFonts w:cs="Arial"/>
        </w:rPr>
        <w:t>https://www.qualitynet.org/dcs/ContentServer?c=Page&amp;pagename=QnetPublic%2FPage%2FQnetTier3&amp;cid=1228772780555. Accessed January 10, 2018.</w:t>
      </w:r>
    </w:p>
    <w:p w14:paraId="49773EC3" w14:textId="0071E835" w:rsidR="00556405" w:rsidRPr="00556405" w:rsidRDefault="00556405" w:rsidP="00F66E9E">
      <w:pPr>
        <w:pStyle w:val="ListParagraph"/>
        <w:spacing w:line="240" w:lineRule="auto"/>
        <w:ind w:left="1440" w:hanging="360"/>
        <w:rPr>
          <w:rFonts w:cs="Arial"/>
        </w:rPr>
      </w:pPr>
      <w:r w:rsidRPr="00556405">
        <w:rPr>
          <w:rFonts w:cs="Arial"/>
        </w:rPr>
        <w:t>18.</w:t>
      </w:r>
      <w:r w:rsidRPr="00556405">
        <w:rPr>
          <w:rFonts w:cs="Arial"/>
        </w:rPr>
        <w:tab/>
        <w:t>Centers for Medicare and Medicaid Services. Hospital Value-Based Purchasing: Fi</w:t>
      </w:r>
      <w:r w:rsidR="00600662">
        <w:rPr>
          <w:rFonts w:cs="Arial"/>
        </w:rPr>
        <w:t xml:space="preserve">scal Years 2018-2023 Measures. </w:t>
      </w:r>
      <w:r w:rsidRPr="00556405">
        <w:rPr>
          <w:rFonts w:cs="Arial"/>
        </w:rPr>
        <w:t>https://www.qualitynet.org/dcs/ContentServer?c=Page&amp;pagename=QnetPublic%2FPage%2FQnetTier3&amp;cid=1228775522697. Accessed January 10, 2018.</w:t>
      </w:r>
    </w:p>
    <w:p w14:paraId="7EAFA5F0" w14:textId="77777777" w:rsidR="00556405" w:rsidRPr="00556405" w:rsidRDefault="00556405" w:rsidP="00F66E9E">
      <w:pPr>
        <w:pStyle w:val="ListParagraph"/>
        <w:spacing w:line="240" w:lineRule="auto"/>
        <w:ind w:left="1440" w:hanging="360"/>
        <w:rPr>
          <w:rFonts w:cs="Arial"/>
        </w:rPr>
      </w:pPr>
      <w:r w:rsidRPr="00556405">
        <w:rPr>
          <w:rFonts w:cs="Arial"/>
        </w:rPr>
        <w:t>19.</w:t>
      </w:r>
      <w:r w:rsidRPr="00556405">
        <w:rPr>
          <w:rFonts w:cs="Arial"/>
        </w:rPr>
        <w:tab/>
        <w:t>Centers for Medicare and Medicaid Services, Health Services Advisory Group. CMS Quality Measure Development Plan Environmental Scan and Gap Analysis Report (MACRA, Section 102). 2017; https://www.cms.gov/Medicare/Quality-Initiatives-Patient-Assessment-Instruments/Value-Based-Programs/MACRA-MIPS-and-APMs/MDP_EScan_GapAnalysis_Report.pdf. Accessed January 10, 2018.</w:t>
      </w:r>
    </w:p>
    <w:p w14:paraId="337DE5FE" w14:textId="77777777" w:rsidR="00556405" w:rsidRPr="00556405" w:rsidRDefault="00556405" w:rsidP="00F66E9E">
      <w:pPr>
        <w:pStyle w:val="ListParagraph"/>
        <w:spacing w:line="240" w:lineRule="auto"/>
        <w:ind w:left="1440" w:hanging="360"/>
        <w:rPr>
          <w:rFonts w:cs="Arial"/>
        </w:rPr>
      </w:pPr>
      <w:r w:rsidRPr="00556405">
        <w:rPr>
          <w:rFonts w:cs="Arial"/>
        </w:rPr>
        <w:t>20.</w:t>
      </w:r>
      <w:r w:rsidRPr="00556405">
        <w:rPr>
          <w:rFonts w:cs="Arial"/>
        </w:rPr>
        <w:tab/>
        <w:t>Centers for Medicare and Medicaid Services, Health Services Advisory Group. CMS Quality Measure Development Plan: Supporting the Transition to The Quality Payment Program 2017 Annual Report. 2017; https://www.cms.gov/Medicare/Quality-Initiatives-Patient-Assessment-Instruments/Value-Based-Programs/MACRA-MIPS-and-APMs/2017-CMS-MDP-Annual-Report.pdf. Accessed January 10, 2018.</w:t>
      </w:r>
    </w:p>
    <w:p w14:paraId="6472C9A5" w14:textId="431D36B0" w:rsidR="00556405" w:rsidRDefault="00556405" w:rsidP="00F66E9E">
      <w:pPr>
        <w:pStyle w:val="ListParagraph"/>
        <w:spacing w:line="240" w:lineRule="auto"/>
        <w:ind w:left="1440" w:hanging="360"/>
        <w:contextualSpacing w:val="0"/>
        <w:rPr>
          <w:rFonts w:cs="Arial"/>
        </w:rPr>
      </w:pPr>
      <w:r w:rsidRPr="00556405">
        <w:rPr>
          <w:rFonts w:cs="Arial"/>
        </w:rPr>
        <w:t>21.</w:t>
      </w:r>
      <w:r w:rsidRPr="00556405">
        <w:rPr>
          <w:rFonts w:cs="Arial"/>
        </w:rPr>
        <w:tab/>
        <w:t>Centers for Medicare and Medicaid Services. Core Measures Overview. 2017; https://www.cms.gov/Medicare/Quality-Initiatives-Patient-Assessment-Instruments/QualityMeasures/Core-Measures.html. Accessed January 10, 2018.</w:t>
      </w:r>
    </w:p>
    <w:p w14:paraId="708AB3DC" w14:textId="537E3684" w:rsidR="00300FD4" w:rsidRDefault="00300FD4" w:rsidP="00F66E9E">
      <w:pPr>
        <w:pStyle w:val="ListParagraph"/>
        <w:numPr>
          <w:ilvl w:val="0"/>
          <w:numId w:val="1"/>
        </w:numPr>
        <w:spacing w:line="240" w:lineRule="auto"/>
        <w:rPr>
          <w:rFonts w:ascii="Arial" w:hAnsi="Arial" w:cs="Arial"/>
          <w:b/>
        </w:rPr>
      </w:pPr>
      <w:r w:rsidRPr="00DD5758">
        <w:rPr>
          <w:rFonts w:ascii="Arial" w:hAnsi="Arial" w:cs="Arial"/>
          <w:b/>
        </w:rPr>
        <w:t>Gap Analysis</w:t>
      </w:r>
    </w:p>
    <w:p w14:paraId="564F047C" w14:textId="77777777" w:rsidR="00632AFC" w:rsidRPr="00DD5758" w:rsidRDefault="00632AFC" w:rsidP="00F66E9E">
      <w:pPr>
        <w:pStyle w:val="ListParagraph"/>
        <w:numPr>
          <w:ilvl w:val="0"/>
          <w:numId w:val="15"/>
        </w:numPr>
        <w:spacing w:line="240" w:lineRule="auto"/>
        <w:ind w:left="1080"/>
        <w:rPr>
          <w:rFonts w:ascii="Arial" w:hAnsi="Arial" w:cs="Arial"/>
          <w:i/>
        </w:rPr>
      </w:pPr>
      <w:r>
        <w:rPr>
          <w:rFonts w:ascii="Arial" w:hAnsi="Arial" w:cs="Arial"/>
          <w:i/>
        </w:rPr>
        <w:t xml:space="preserve">Provide </w:t>
      </w:r>
      <w:r w:rsidRPr="00DD5758">
        <w:rPr>
          <w:rFonts w:ascii="Arial" w:hAnsi="Arial" w:cs="Arial"/>
          <w:i/>
        </w:rPr>
        <w:t xml:space="preserve">Evidence for </w:t>
      </w:r>
      <w:r>
        <w:rPr>
          <w:rFonts w:ascii="Arial" w:hAnsi="Arial" w:cs="Arial"/>
          <w:i/>
        </w:rPr>
        <w:t xml:space="preserve">the </w:t>
      </w:r>
      <w:r w:rsidRPr="00DD5758">
        <w:rPr>
          <w:rFonts w:ascii="Arial" w:hAnsi="Arial" w:cs="Arial"/>
          <w:i/>
        </w:rPr>
        <w:t>Measure (What are the gaps and opportunities to improve care?)</w:t>
      </w:r>
    </w:p>
    <w:p w14:paraId="306BDAA5" w14:textId="77777777" w:rsidR="00632AFC" w:rsidRPr="00DD5758" w:rsidRDefault="00632AFC" w:rsidP="00F66E9E">
      <w:pPr>
        <w:pStyle w:val="ListParagraph"/>
        <w:numPr>
          <w:ilvl w:val="0"/>
          <w:numId w:val="15"/>
        </w:numPr>
        <w:spacing w:line="240" w:lineRule="auto"/>
        <w:ind w:left="1080"/>
        <w:rPr>
          <w:rFonts w:ascii="Arial" w:hAnsi="Arial" w:cs="Arial"/>
          <w:i/>
        </w:rPr>
      </w:pPr>
      <w:r w:rsidRPr="00DD5758">
        <w:rPr>
          <w:rFonts w:ascii="Arial" w:hAnsi="Arial" w:cs="Arial"/>
          <w:i/>
        </w:rPr>
        <w:t>Expected Outcome (Patient care/patient health improvements, cost savings)</w:t>
      </w:r>
    </w:p>
    <w:p w14:paraId="1782EAB2" w14:textId="65E7CD64" w:rsidR="00632AFC" w:rsidRPr="006E7361" w:rsidRDefault="00632AFC" w:rsidP="00F66E9E">
      <w:pPr>
        <w:pStyle w:val="ListParagraph"/>
        <w:numPr>
          <w:ilvl w:val="0"/>
          <w:numId w:val="15"/>
        </w:numPr>
        <w:spacing w:line="240" w:lineRule="auto"/>
        <w:ind w:left="1080"/>
        <w:contextualSpacing w:val="0"/>
        <w:rPr>
          <w:rFonts w:ascii="Arial" w:hAnsi="Arial" w:cs="Arial"/>
          <w:i/>
        </w:rPr>
      </w:pPr>
      <w:r w:rsidRPr="00BF6DE9">
        <w:rPr>
          <w:rFonts w:ascii="Arial" w:hAnsi="Arial" w:cs="Arial"/>
          <w:i/>
        </w:rPr>
        <w:t xml:space="preserve">Recommendation for </w:t>
      </w:r>
      <w:r>
        <w:rPr>
          <w:rFonts w:ascii="Arial" w:hAnsi="Arial" w:cs="Arial"/>
          <w:i/>
        </w:rPr>
        <w:t xml:space="preserve">the </w:t>
      </w:r>
      <w:r w:rsidRPr="00BF6DE9">
        <w:rPr>
          <w:rFonts w:ascii="Arial" w:hAnsi="Arial" w:cs="Arial"/>
          <w:i/>
        </w:rPr>
        <w:t>Measure (Is it based on a study, consensus opinion, USPSTF recommendation etc.?)</w:t>
      </w:r>
    </w:p>
    <w:p w14:paraId="190D184F" w14:textId="4162E3A2" w:rsidR="006E7361" w:rsidRDefault="00632AFC" w:rsidP="00F66E9E">
      <w:pPr>
        <w:spacing w:line="240" w:lineRule="auto"/>
        <w:ind w:left="1080"/>
        <w:rPr>
          <w:rFonts w:ascii="Calibri" w:eastAsia="Times New Roman" w:hAnsi="Calibri" w:cs="Times New Roman"/>
          <w:color w:val="000000" w:themeColor="text1"/>
        </w:rPr>
      </w:pPr>
      <w:r w:rsidRPr="0092385C">
        <w:rPr>
          <w:rFonts w:ascii="Calibri" w:eastAsia="Times New Roman" w:hAnsi="Calibri" w:cs="Times New Roman"/>
          <w:color w:val="000000" w:themeColor="text1"/>
        </w:rPr>
        <w:t>In preliminary analyses, we identified for each patient in the measure the clinician who billed for the procedure, as well as their group as defined by the tax ID number (TIN) under which they billed. Assigning the outcome to this billing clinician we constructed risk standardized complication rates (RSCRs) for TINs. We found that RSCRs ranged from</w:t>
      </w:r>
      <w:r w:rsidR="000D5344">
        <w:rPr>
          <w:rFonts w:ascii="Calibri" w:eastAsia="Times New Roman" w:hAnsi="Calibri" w:cs="Times New Roman"/>
          <w:color w:val="000000" w:themeColor="text1"/>
        </w:rPr>
        <w:t xml:space="preserve"> </w:t>
      </w:r>
      <w:r w:rsidR="000D5344" w:rsidRPr="00645D04">
        <w:rPr>
          <w:rFonts w:ascii="Calibri" w:eastAsia="Times New Roman" w:hAnsi="Calibri" w:cs="Times New Roman"/>
          <w:color w:val="0070C0"/>
        </w:rPr>
        <w:t xml:space="preserve">1.2% to 7.2% </w:t>
      </w:r>
      <w:r w:rsidRPr="0092385C">
        <w:rPr>
          <w:rFonts w:ascii="Calibri" w:eastAsia="Times New Roman" w:hAnsi="Calibri" w:cs="Times New Roman"/>
          <w:color w:val="000000" w:themeColor="text1"/>
        </w:rPr>
        <w:t>across these groups, a substantial</w:t>
      </w:r>
      <w:r w:rsidR="00CB7DB4">
        <w:rPr>
          <w:rFonts w:ascii="Calibri" w:eastAsia="Times New Roman" w:hAnsi="Calibri" w:cs="Times New Roman"/>
          <w:color w:val="000000" w:themeColor="text1"/>
        </w:rPr>
        <w:t xml:space="preserve"> </w:t>
      </w:r>
      <w:r w:rsidRPr="0092385C">
        <w:rPr>
          <w:rFonts w:ascii="Calibri" w:eastAsia="Times New Roman" w:hAnsi="Calibri" w:cs="Times New Roman"/>
          <w:color w:val="000000" w:themeColor="text1"/>
        </w:rPr>
        <w:t>increase. This is comparable to the</w:t>
      </w:r>
      <w:r w:rsidR="004D63A3">
        <w:rPr>
          <w:rFonts w:ascii="Calibri" w:eastAsia="Times New Roman" w:hAnsi="Calibri" w:cs="Times New Roman"/>
          <w:color w:val="000000" w:themeColor="text1"/>
        </w:rPr>
        <w:t xml:space="preserve"> variation in</w:t>
      </w:r>
      <w:r w:rsidRPr="0092385C">
        <w:rPr>
          <w:rFonts w:ascii="Calibri" w:eastAsia="Times New Roman" w:hAnsi="Calibri" w:cs="Times New Roman"/>
          <w:color w:val="000000" w:themeColor="text1"/>
        </w:rPr>
        <w:t xml:space="preserve"> hospital </w:t>
      </w:r>
      <w:r w:rsidR="004D63A3">
        <w:rPr>
          <w:rFonts w:ascii="Calibri" w:eastAsia="Times New Roman" w:hAnsi="Calibri" w:cs="Times New Roman"/>
          <w:color w:val="000000" w:themeColor="text1"/>
        </w:rPr>
        <w:t>RSCRs</w:t>
      </w:r>
      <w:r w:rsidR="004D63A3" w:rsidRPr="0092385C">
        <w:rPr>
          <w:rFonts w:ascii="Calibri" w:eastAsia="Times New Roman" w:hAnsi="Calibri" w:cs="Times New Roman"/>
          <w:color w:val="000000" w:themeColor="text1"/>
        </w:rPr>
        <w:t xml:space="preserve"> </w:t>
      </w:r>
      <w:r w:rsidRPr="0092385C">
        <w:rPr>
          <w:rFonts w:ascii="Calibri" w:eastAsia="Times New Roman" w:hAnsi="Calibri" w:cs="Times New Roman"/>
          <w:color w:val="000000" w:themeColor="text1"/>
        </w:rPr>
        <w:t>and indicates a</w:t>
      </w:r>
      <w:r w:rsidR="00FD5442">
        <w:rPr>
          <w:rFonts w:ascii="Calibri" w:eastAsia="Times New Roman" w:hAnsi="Calibri" w:cs="Times New Roman"/>
          <w:color w:val="000000" w:themeColor="text1"/>
        </w:rPr>
        <w:t xml:space="preserve"> meaningful gap in performance.</w:t>
      </w:r>
    </w:p>
    <w:p w14:paraId="358C86AE" w14:textId="3F32B239" w:rsidR="006E7361" w:rsidRPr="006E7361" w:rsidRDefault="006E7361" w:rsidP="00F66E9E">
      <w:pPr>
        <w:spacing w:line="240" w:lineRule="auto"/>
        <w:ind w:left="1080"/>
        <w:rPr>
          <w:rFonts w:ascii="Calibri" w:eastAsia="Times New Roman" w:hAnsi="Calibri" w:cs="Times New Roman"/>
          <w:color w:val="000000" w:themeColor="text1"/>
        </w:rPr>
      </w:pPr>
      <w:r w:rsidRPr="006E7361">
        <w:rPr>
          <w:rFonts w:ascii="Calibri" w:eastAsia="Times New Roman" w:hAnsi="Calibri" w:cs="Times New Roman"/>
          <w:color w:val="000000" w:themeColor="text1"/>
        </w:rPr>
        <w:t xml:space="preserve">The median odds ratios (MORs) suggest meaningful increases in the risk of a complication if a procedure is performed by a higher risk eligible clinician or eligible clinician group compared to a lower risk eligible clinician or eligible clinician group. At the clinician level, the MOR value of 1.50 indicates that a patient has a 50% increase in the odds of a complication if the same procedure was performed by a higher risk eligible clinician compared to a lower risk eligible clinician; this indicates that the impact of quality on the outcome rate is substantial. At the clinician group level, the MOR value of 1.37 indicates that a patient has a 37% increase in the odds of a complication if the same procedure was performed by higher risk eligible clinician </w:t>
      </w:r>
      <w:r w:rsidRPr="006E7361">
        <w:rPr>
          <w:rFonts w:ascii="Calibri" w:eastAsia="Times New Roman" w:hAnsi="Calibri" w:cs="Times New Roman"/>
          <w:color w:val="000000" w:themeColor="text1"/>
        </w:rPr>
        <w:lastRenderedPageBreak/>
        <w:t>group compared to a lower risk eligible clinician group indicating that the impact of quality on the outcome rate is almost as substant</w:t>
      </w:r>
      <w:r w:rsidR="00FD5442">
        <w:rPr>
          <w:rFonts w:ascii="Calibri" w:eastAsia="Times New Roman" w:hAnsi="Calibri" w:cs="Times New Roman"/>
          <w:color w:val="000000" w:themeColor="text1"/>
        </w:rPr>
        <w:t>ial as for eligible clinicians.</w:t>
      </w:r>
    </w:p>
    <w:p w14:paraId="6B17A2EA" w14:textId="58683508" w:rsidR="006E7361" w:rsidRPr="006E7361" w:rsidRDefault="006E7361" w:rsidP="00F66E9E">
      <w:pPr>
        <w:spacing w:line="240" w:lineRule="auto"/>
        <w:ind w:left="1080"/>
        <w:rPr>
          <w:rFonts w:ascii="Calibri" w:eastAsia="Times New Roman" w:hAnsi="Calibri" w:cs="Times New Roman"/>
          <w:color w:val="000000" w:themeColor="text1"/>
        </w:rPr>
      </w:pPr>
      <w:r w:rsidRPr="006E7361">
        <w:rPr>
          <w:rFonts w:ascii="Calibri" w:eastAsia="Times New Roman" w:hAnsi="Calibri" w:cs="Times New Roman"/>
          <w:color w:val="000000" w:themeColor="text1"/>
        </w:rPr>
        <w:t>The median RSCR is 2.7% at the clinician level and 2.8% at the clinician group level which indicates that 50% of clinicians have a complication rate of 2.7% or more (and for some it is quite higher), even after adjusting for patient age and comorbidities. When patients are asked about their expectations for complications after a planned surgery, many assume or desire a rate of zero. While these rates are low, they indicate variation across clinicians and clinician groups. The 10th and 90th percentile RSCRs (2.2 and 3.7, respectively, for clinicians; 2.2 and 3.5, respectively, for clinician groups) represent meaningful deviations from the median: a clinician performing at the 10th percentile is performing 18.5% better than an average performer (21.4% for clinician group), while a clinician performing at the 90th percentile is performing nearly 37.0% worse than an average performer (25% for clinician groups). Furthermore, the best performing clinicians (1.2%) are performing 55.6% better than an average performer, while the worst performing clinicians (7.2%) are performing 166.7% worse than an average performer. The best performing clinician groups (1.4%) are performing 50% better than an average performer, while the worst performing clinicians (5.7%) are performing 103.6% worse than an average performer. This variation supports an important quality gap, as some clinicians and clinician groups can achieve substantially lower rates than the average performer, while other clinicians and clinician groups are performing worse than an average performer. It is important to note that here an ‘average performer’ refers to a clinician or clinician group performing with the same quality as the national average but with the same case and procedure mix as the</w:t>
      </w:r>
      <w:r w:rsidR="00FD5442">
        <w:rPr>
          <w:rFonts w:ascii="Calibri" w:eastAsia="Times New Roman" w:hAnsi="Calibri" w:cs="Times New Roman"/>
          <w:color w:val="000000" w:themeColor="text1"/>
        </w:rPr>
        <w:t xml:space="preserve"> comparison clinician or group.</w:t>
      </w:r>
    </w:p>
    <w:p w14:paraId="073F41CF" w14:textId="036A51AE" w:rsidR="00632AFC" w:rsidRPr="0092385C" w:rsidRDefault="006E7361" w:rsidP="00F66E9E">
      <w:pPr>
        <w:spacing w:line="240" w:lineRule="auto"/>
        <w:ind w:left="1080"/>
        <w:rPr>
          <w:rFonts w:ascii="Calibri" w:eastAsia="Times New Roman" w:hAnsi="Calibri" w:cs="Times New Roman"/>
          <w:color w:val="000000" w:themeColor="text1"/>
        </w:rPr>
      </w:pPr>
      <w:r w:rsidRPr="006E7361">
        <w:rPr>
          <w:rFonts w:ascii="Calibri" w:eastAsia="Times New Roman" w:hAnsi="Calibri" w:cs="Times New Roman"/>
          <w:color w:val="000000" w:themeColor="text1"/>
        </w:rPr>
        <w:t>Overall, these results support meaningful variation in rates across clinician and clinician groups that are deserving of measurement.</w:t>
      </w:r>
    </w:p>
    <w:p w14:paraId="24A80C95" w14:textId="39FF6068" w:rsidR="00300FD4" w:rsidRPr="00632AFC" w:rsidRDefault="00300FD4" w:rsidP="00F66E9E">
      <w:pPr>
        <w:pStyle w:val="ListParagraph"/>
        <w:numPr>
          <w:ilvl w:val="0"/>
          <w:numId w:val="1"/>
        </w:numPr>
        <w:spacing w:line="240" w:lineRule="auto"/>
        <w:rPr>
          <w:rFonts w:ascii="Arial" w:hAnsi="Arial" w:cs="Arial"/>
        </w:rPr>
      </w:pPr>
      <w:r w:rsidRPr="00BF6DE9">
        <w:rPr>
          <w:rFonts w:ascii="Arial" w:hAnsi="Arial" w:cs="Arial"/>
          <w:b/>
        </w:rPr>
        <w:t>Reliability/Validity</w:t>
      </w:r>
    </w:p>
    <w:p w14:paraId="5F7AE243" w14:textId="50EFC830" w:rsidR="00632AFC" w:rsidRPr="002449AA" w:rsidRDefault="00632AFC" w:rsidP="00F66E9E">
      <w:pPr>
        <w:pStyle w:val="ListParagraph"/>
        <w:numPr>
          <w:ilvl w:val="0"/>
          <w:numId w:val="11"/>
        </w:numPr>
        <w:spacing w:line="240" w:lineRule="auto"/>
        <w:ind w:left="1170" w:hanging="450"/>
        <w:contextualSpacing w:val="0"/>
        <w:rPr>
          <w:rFonts w:ascii="Arial" w:hAnsi="Arial" w:cs="Arial"/>
          <w:i/>
        </w:rPr>
      </w:pPr>
      <w:r w:rsidRPr="002449AA">
        <w:rPr>
          <w:rFonts w:ascii="Arial" w:hAnsi="Arial" w:cs="Arial"/>
          <w:i/>
        </w:rPr>
        <w:t>What testing has been performed at the clinician level? Please provide testing results including the N value, Bonnie test case results, correlation coefficient and any other pertinent informat</w:t>
      </w:r>
      <w:r w:rsidR="003E5977">
        <w:rPr>
          <w:rFonts w:ascii="Arial" w:hAnsi="Arial" w:cs="Arial"/>
          <w:i/>
        </w:rPr>
        <w:t>ion or values to be considered.</w:t>
      </w:r>
    </w:p>
    <w:p w14:paraId="142F4F8C" w14:textId="379589B4" w:rsidR="00A46BCA" w:rsidRPr="004817DA" w:rsidRDefault="00632AFC" w:rsidP="00F66E9E">
      <w:pPr>
        <w:pStyle w:val="ListParagraph"/>
        <w:numPr>
          <w:ilvl w:val="0"/>
          <w:numId w:val="14"/>
        </w:numPr>
        <w:spacing w:line="240" w:lineRule="auto"/>
        <w:ind w:left="1080"/>
        <w:contextualSpacing w:val="0"/>
        <w:rPr>
          <w:rFonts w:ascii="Arial" w:hAnsi="Arial" w:cs="Arial"/>
          <w:i/>
        </w:rPr>
      </w:pPr>
      <w:r w:rsidRPr="002449AA">
        <w:rPr>
          <w:rFonts w:ascii="Arial" w:hAnsi="Arial" w:cs="Arial"/>
        </w:rPr>
        <w:t>Reliability Testing Results:</w:t>
      </w:r>
    </w:p>
    <w:p w14:paraId="0FDE46BA" w14:textId="77777777" w:rsidR="00E859ED" w:rsidRDefault="00A46BCA" w:rsidP="00E859ED">
      <w:pPr>
        <w:spacing w:line="240" w:lineRule="auto"/>
        <w:ind w:left="1080"/>
        <w:rPr>
          <w:rFonts w:ascii="Calibri" w:eastAsia="Times New Roman" w:hAnsi="Calibri" w:cs="Times New Roman"/>
          <w:color w:val="000000" w:themeColor="text1"/>
        </w:rPr>
      </w:pPr>
      <w:r w:rsidRPr="003F5A46">
        <w:rPr>
          <w:rFonts w:ascii="Calibri" w:eastAsia="Times New Roman" w:hAnsi="Calibri" w:cs="Times New Roman"/>
          <w:color w:val="000000" w:themeColor="text1"/>
        </w:rPr>
        <w:t>The provider-level reliability for both clinicians and clinician groups was estimated</w:t>
      </w:r>
      <w:r w:rsidR="00750ED0" w:rsidRPr="003F5A46">
        <w:rPr>
          <w:rFonts w:ascii="Calibri" w:eastAsia="Times New Roman" w:hAnsi="Calibri" w:cs="Times New Roman"/>
          <w:color w:val="000000" w:themeColor="text1"/>
        </w:rPr>
        <w:t xml:space="preserve"> using</w:t>
      </w:r>
      <w:r w:rsidRPr="003F5A46">
        <w:rPr>
          <w:rFonts w:ascii="Calibri" w:eastAsia="Times New Roman" w:hAnsi="Calibri" w:cs="Times New Roman"/>
          <w:color w:val="000000" w:themeColor="text1"/>
        </w:rPr>
        <w:t xml:space="preserve"> “unit” reliability, that is, the reliability with which individual units (here, clinicians or clinician groups) are measured. The reliability of any one entity’s measure score will vary depending on the number of index admissions attributed as well as the variation of the outcome across patients assigned to the entity. Entities with higher volume will tend to have more reliable scores, while those with lower volume will tend to have less reliable scores. Specifically, we use the f</w:t>
      </w:r>
      <w:r w:rsidR="00AF2B03" w:rsidRPr="003F5A46">
        <w:rPr>
          <w:rFonts w:ascii="Calibri" w:eastAsia="Times New Roman" w:hAnsi="Calibri" w:cs="Times New Roman"/>
          <w:color w:val="000000" w:themeColor="text1"/>
        </w:rPr>
        <w:t>ormula presented by Adams et al</w:t>
      </w:r>
      <w:r w:rsidRPr="003F5A46">
        <w:rPr>
          <w:rFonts w:ascii="Calibri" w:eastAsia="Times New Roman" w:hAnsi="Calibri" w:cs="Times New Roman"/>
          <w:color w:val="000000" w:themeColor="text1"/>
        </w:rPr>
        <w:t>, to calculate provider-level signal-to-noise reliability</w:t>
      </w:r>
      <w:r w:rsidR="00D775F7" w:rsidRPr="003F5A46">
        <w:rPr>
          <w:rFonts w:ascii="Calibri" w:eastAsia="Times New Roman" w:hAnsi="Calibri" w:cs="Times New Roman"/>
          <w:color w:val="000000" w:themeColor="text1"/>
        </w:rPr>
        <w:t xml:space="preserve"> [1]</w:t>
      </w:r>
      <w:r w:rsidRPr="003F5A46">
        <w:rPr>
          <w:rFonts w:ascii="Calibri" w:eastAsia="Times New Roman" w:hAnsi="Calibri" w:cs="Times New Roman"/>
          <w:color w:val="000000" w:themeColor="text1"/>
        </w:rPr>
        <w:t>. For each measured entity (eligible clinician or eligible clinician group) the ratio of between entity variance (signal) to total variance (noise) was calculated.</w:t>
      </w:r>
    </w:p>
    <w:p w14:paraId="6CDEDC8C" w14:textId="4830B6B6" w:rsidR="00A46BCA" w:rsidRPr="00E859ED" w:rsidRDefault="00A46BCA" w:rsidP="00E859ED">
      <w:pPr>
        <w:spacing w:line="240" w:lineRule="auto"/>
        <w:ind w:left="1080"/>
        <w:rPr>
          <w:rFonts w:ascii="Calibri" w:eastAsia="Times New Roman" w:hAnsi="Calibri" w:cs="Times New Roman"/>
          <w:color w:val="000000" w:themeColor="text1"/>
        </w:rPr>
      </w:pPr>
      <w:r w:rsidRPr="00A633A4">
        <w:t>Using the ap</w:t>
      </w:r>
      <w:r>
        <w:t>proach used by Adams et. al.</w:t>
      </w:r>
      <w:r w:rsidR="00AF2B03">
        <w:t xml:space="preserve"> [1],</w:t>
      </w:r>
      <w:r>
        <w:t xml:space="preserve"> we </w:t>
      </w:r>
      <w:r w:rsidRPr="00A633A4">
        <w:t xml:space="preserve">obtained </w:t>
      </w:r>
      <w:r>
        <w:t>median reliability scores of 0.793 for ECs and 0.</w:t>
      </w:r>
      <w:r w:rsidRPr="00E859ED">
        <w:rPr>
          <w:rFonts w:cstheme="minorHAnsi"/>
          <w:color w:val="000000"/>
        </w:rPr>
        <w:t xml:space="preserve">790 </w:t>
      </w:r>
      <w:r>
        <w:t xml:space="preserve">for EC </w:t>
      </w:r>
      <w:r w:rsidRPr="00E859ED">
        <w:rPr>
          <w:rFonts w:eastAsia="Times New Roman" w:cstheme="minorHAnsi"/>
          <w:color w:val="000000" w:themeColor="text1"/>
        </w:rPr>
        <w:t>groups. These values are considere</w:t>
      </w:r>
      <w:r w:rsidR="00AF2B03" w:rsidRPr="00E859ED">
        <w:rPr>
          <w:rFonts w:eastAsia="Times New Roman" w:cstheme="minorHAnsi"/>
          <w:color w:val="000000" w:themeColor="text1"/>
        </w:rPr>
        <w:t>d “substantial” [2].</w:t>
      </w:r>
    </w:p>
    <w:p w14:paraId="5FFBE4E0" w14:textId="315969E4" w:rsidR="004817DA" w:rsidRPr="004817DA" w:rsidRDefault="004817DA" w:rsidP="00F66E9E">
      <w:pPr>
        <w:spacing w:line="240" w:lineRule="auto"/>
        <w:ind w:left="1080"/>
        <w:rPr>
          <w:rFonts w:cstheme="minorHAnsi"/>
          <w:u w:val="single"/>
        </w:rPr>
      </w:pPr>
      <w:r w:rsidRPr="004817DA">
        <w:rPr>
          <w:rFonts w:cstheme="minorHAnsi"/>
          <w:u w:val="single"/>
        </w:rPr>
        <w:t>References</w:t>
      </w:r>
    </w:p>
    <w:p w14:paraId="7180F084" w14:textId="5B798B9A" w:rsidR="00A46BCA" w:rsidRDefault="004817DA" w:rsidP="00F66E9E">
      <w:pPr>
        <w:pStyle w:val="ListParagraph"/>
        <w:numPr>
          <w:ilvl w:val="0"/>
          <w:numId w:val="21"/>
        </w:numPr>
        <w:spacing w:after="0" w:line="240" w:lineRule="auto"/>
        <w:contextualSpacing w:val="0"/>
        <w:rPr>
          <w:rFonts w:cs="Arial"/>
        </w:rPr>
      </w:pPr>
      <w:r w:rsidRPr="00D82D04">
        <w:rPr>
          <w:rFonts w:cs="Arial"/>
        </w:rPr>
        <w:t>Adams JL, Mehrotra A, Thomas JW, McGlynn EA. Physician Cost Profiling — Reliability and Risk of Misclassification. New England Journal of Medicine. 2010;362(11):1014-1021.</w:t>
      </w:r>
    </w:p>
    <w:p w14:paraId="2CE7D40F" w14:textId="28DEB31E" w:rsidR="00E859ED" w:rsidRDefault="00433536" w:rsidP="00F66E9E">
      <w:pPr>
        <w:pStyle w:val="ListParagraph"/>
        <w:numPr>
          <w:ilvl w:val="0"/>
          <w:numId w:val="21"/>
        </w:numPr>
        <w:autoSpaceDE w:val="0"/>
        <w:autoSpaceDN w:val="0"/>
        <w:spacing w:line="240" w:lineRule="auto"/>
        <w:contextualSpacing w:val="0"/>
        <w:rPr>
          <w:rFonts w:ascii="Calibri" w:hAnsi="Calibri" w:cs="Calibri"/>
          <w:szCs w:val="24"/>
        </w:rPr>
        <w:sectPr w:rsidR="00E859ED" w:rsidSect="00E45B08">
          <w:footerReference w:type="default" r:id="rId11"/>
          <w:pgSz w:w="12240" w:h="15840"/>
          <w:pgMar w:top="720" w:right="720" w:bottom="720" w:left="720" w:header="720" w:footer="720" w:gutter="0"/>
          <w:cols w:space="720"/>
          <w:docGrid w:linePitch="360"/>
        </w:sectPr>
      </w:pPr>
      <w:r w:rsidRPr="00433536">
        <w:rPr>
          <w:rFonts w:ascii="Calibri" w:hAnsi="Calibri" w:cs="Calibri"/>
          <w:szCs w:val="24"/>
        </w:rPr>
        <w:t>Landis JR, Koch GG. The measurement of observer agreement for categorical data. </w:t>
      </w:r>
      <w:r w:rsidRPr="00433536">
        <w:rPr>
          <w:rFonts w:ascii="Calibri" w:hAnsi="Calibri" w:cs="Calibri"/>
          <w:i/>
          <w:iCs/>
          <w:szCs w:val="24"/>
        </w:rPr>
        <w:t>Biometrics. </w:t>
      </w:r>
      <w:r w:rsidRPr="00433536">
        <w:rPr>
          <w:rFonts w:ascii="Calibri" w:hAnsi="Calibri" w:cs="Calibri"/>
          <w:szCs w:val="24"/>
        </w:rPr>
        <w:t>1977;33(1):159-174</w:t>
      </w:r>
    </w:p>
    <w:p w14:paraId="2762F54C" w14:textId="215AA139" w:rsidR="00433536" w:rsidRPr="00E859ED" w:rsidRDefault="00433536" w:rsidP="00E859ED">
      <w:pPr>
        <w:autoSpaceDE w:val="0"/>
        <w:autoSpaceDN w:val="0"/>
        <w:spacing w:line="240" w:lineRule="auto"/>
        <w:rPr>
          <w:rFonts w:ascii="Calibri" w:hAnsi="Calibri" w:cs="Calibri"/>
          <w:sz w:val="20"/>
        </w:rPr>
      </w:pPr>
    </w:p>
    <w:p w14:paraId="11B6C30E" w14:textId="467C2E27" w:rsidR="004817DA" w:rsidRPr="007F4413" w:rsidRDefault="00632AFC" w:rsidP="00F66E9E">
      <w:pPr>
        <w:pStyle w:val="ListParagraph"/>
        <w:numPr>
          <w:ilvl w:val="0"/>
          <w:numId w:val="14"/>
        </w:numPr>
        <w:spacing w:line="240" w:lineRule="auto"/>
        <w:ind w:left="1080"/>
        <w:contextualSpacing w:val="0"/>
        <w:rPr>
          <w:rFonts w:ascii="Arial" w:hAnsi="Arial" w:cs="Arial"/>
        </w:rPr>
      </w:pPr>
      <w:r w:rsidRPr="002449AA">
        <w:rPr>
          <w:rFonts w:ascii="Arial" w:hAnsi="Arial" w:cs="Arial"/>
        </w:rPr>
        <w:t>Validity Testing Results, clinician sites:</w:t>
      </w:r>
    </w:p>
    <w:p w14:paraId="4C33C618" w14:textId="4DAF9D6A" w:rsidR="004817DA" w:rsidRDefault="004817DA" w:rsidP="00F66E9E">
      <w:pPr>
        <w:autoSpaceDE w:val="0"/>
        <w:autoSpaceDN w:val="0"/>
        <w:adjustRightInd w:val="0"/>
        <w:spacing w:line="240" w:lineRule="auto"/>
        <w:ind w:left="1080"/>
        <w:rPr>
          <w:rFonts w:eastAsia="Times New Roman" w:cstheme="minorHAnsi"/>
          <w:color w:val="000000" w:themeColor="text1"/>
          <w:u w:val="single"/>
        </w:rPr>
      </w:pPr>
      <w:r w:rsidRPr="004817DA">
        <w:rPr>
          <w:rFonts w:eastAsia="Times New Roman" w:cstheme="minorHAnsi"/>
          <w:color w:val="000000" w:themeColor="text1"/>
          <w:u w:val="single"/>
        </w:rPr>
        <w:t>Face Validity</w:t>
      </w:r>
    </w:p>
    <w:p w14:paraId="6536CAAA" w14:textId="03320BE3" w:rsidR="004817DA" w:rsidRPr="004817DA" w:rsidRDefault="004817DA" w:rsidP="00F66E9E">
      <w:pPr>
        <w:spacing w:line="240" w:lineRule="auto"/>
        <w:ind w:left="1080"/>
      </w:pPr>
      <w:r w:rsidRPr="004817DA">
        <w:t xml:space="preserve">The majority of the TEP members, 13/16 or 81%, agreed that the measure scores were valid and useful, and 12/16 or 75% agreed that the measure would provide information that could be used </w:t>
      </w:r>
      <w:r w:rsidR="003E5977">
        <w:t>to improve the quality of care.</w:t>
      </w:r>
    </w:p>
    <w:p w14:paraId="0EE186F1" w14:textId="50B91E71" w:rsidR="004817DA" w:rsidRDefault="004817DA" w:rsidP="00F66E9E">
      <w:pPr>
        <w:autoSpaceDE w:val="0"/>
        <w:autoSpaceDN w:val="0"/>
        <w:adjustRightInd w:val="0"/>
        <w:spacing w:line="240" w:lineRule="auto"/>
        <w:ind w:left="1080"/>
        <w:rPr>
          <w:rFonts w:eastAsia="Times New Roman" w:cstheme="minorHAnsi"/>
          <w:color w:val="000000" w:themeColor="text1"/>
          <w:u w:val="single"/>
        </w:rPr>
      </w:pPr>
      <w:r w:rsidRPr="004D63A3">
        <w:rPr>
          <w:rFonts w:eastAsia="Times New Roman" w:cstheme="minorHAnsi"/>
          <w:color w:val="000000" w:themeColor="text1"/>
          <w:u w:val="single"/>
        </w:rPr>
        <w:t>E</w:t>
      </w:r>
      <w:r>
        <w:rPr>
          <w:rFonts w:eastAsia="Times New Roman" w:cstheme="minorHAnsi"/>
          <w:color w:val="000000" w:themeColor="text1"/>
          <w:u w:val="single"/>
        </w:rPr>
        <w:t>mpirical</w:t>
      </w:r>
      <w:r w:rsidRPr="004D63A3">
        <w:rPr>
          <w:rFonts w:eastAsia="Times New Roman" w:cstheme="minorHAnsi"/>
          <w:color w:val="000000" w:themeColor="text1"/>
          <w:u w:val="single"/>
        </w:rPr>
        <w:t xml:space="preserve"> Validity</w:t>
      </w:r>
    </w:p>
    <w:p w14:paraId="7D02895D" w14:textId="78AEE6E6" w:rsidR="004817DA" w:rsidRPr="00B44EBC" w:rsidRDefault="004817DA" w:rsidP="00F66E9E">
      <w:pPr>
        <w:autoSpaceDE w:val="0"/>
        <w:autoSpaceDN w:val="0"/>
        <w:adjustRightInd w:val="0"/>
        <w:spacing w:line="240" w:lineRule="auto"/>
        <w:ind w:left="1080"/>
        <w:rPr>
          <w:rFonts w:eastAsia="Times New Roman" w:cstheme="minorHAnsi"/>
          <w:color w:val="000000" w:themeColor="text1"/>
        </w:rPr>
      </w:pPr>
      <w:r w:rsidRPr="00C66D43">
        <w:rPr>
          <w:rFonts w:eastAsia="Times New Roman" w:cstheme="minorHAnsi"/>
          <w:color w:val="000000" w:themeColor="text1"/>
        </w:rPr>
        <w:t>There is substantial evidence that surgical complication rates for providers (surgeons and hospitals) decline with increasing volume; this</w:t>
      </w:r>
      <w:r w:rsidR="00DF3A26">
        <w:rPr>
          <w:rFonts w:eastAsia="Times New Roman" w:cstheme="minorHAnsi"/>
          <w:color w:val="000000" w:themeColor="text1"/>
        </w:rPr>
        <w:t xml:space="preserve"> includes complications for THA</w:t>
      </w:r>
      <w:r w:rsidR="00D97D46">
        <w:rPr>
          <w:rFonts w:eastAsia="Times New Roman" w:cstheme="minorHAnsi"/>
          <w:color w:val="000000" w:themeColor="text1"/>
        </w:rPr>
        <w:t xml:space="preserve"> [1]</w:t>
      </w:r>
      <w:r w:rsidRPr="00C66D43">
        <w:rPr>
          <w:rFonts w:eastAsia="Times New Roman" w:cstheme="minorHAnsi"/>
          <w:color w:val="000000" w:themeColor="text1"/>
        </w:rPr>
        <w:t>. Thus, we assessed validity of the measure by examining the relationship between volume and the measure sco</w:t>
      </w:r>
      <w:r w:rsidR="00B718A3">
        <w:rPr>
          <w:rFonts w:eastAsia="Times New Roman" w:cstheme="minorHAnsi"/>
          <w:color w:val="000000" w:themeColor="text1"/>
        </w:rPr>
        <w:t>re for clinicians and clinician</w:t>
      </w:r>
      <w:r w:rsidRPr="00C66D43">
        <w:rPr>
          <w:rFonts w:eastAsia="Times New Roman" w:cstheme="minorHAnsi"/>
          <w:color w:val="000000" w:themeColor="text1"/>
        </w:rPr>
        <w:t xml:space="preserve"> groups; for each provider type we calculated the correlation between volume and measure score and summarized the measure score for each decile of volume. To establish validity, we expect scores to be correlated with case volume at the clinician and clinician group level.</w:t>
      </w:r>
      <w:r>
        <w:rPr>
          <w:rFonts w:eastAsia="Times New Roman" w:cstheme="minorHAnsi"/>
          <w:color w:val="000000" w:themeColor="text1"/>
        </w:rPr>
        <w:t xml:space="preserve"> T</w:t>
      </w:r>
      <w:r w:rsidRPr="00B44EBC">
        <w:rPr>
          <w:rFonts w:eastAsia="Times New Roman" w:cstheme="minorHAnsi"/>
          <w:color w:val="000000" w:themeColor="text1"/>
        </w:rPr>
        <w:t>he following table shows the results of assessing the relationship between provider volume and measure score</w:t>
      </w:r>
      <w:r w:rsidR="003E5977">
        <w:rPr>
          <w:rFonts w:eastAsia="Times New Roman" w:cstheme="minorHAnsi"/>
          <w:color w:val="000000" w:themeColor="text1"/>
        </w:rPr>
        <w:t>.</w:t>
      </w:r>
    </w:p>
    <w:tbl>
      <w:tblPr>
        <w:tblStyle w:val="GridTable1Light-Accent1"/>
        <w:tblW w:w="8185" w:type="dxa"/>
        <w:jc w:val="center"/>
        <w:tblLook w:val="04A0" w:firstRow="1" w:lastRow="0" w:firstColumn="1" w:lastColumn="0" w:noHBand="0" w:noVBand="1"/>
      </w:tblPr>
      <w:tblGrid>
        <w:gridCol w:w="3500"/>
        <w:gridCol w:w="2075"/>
        <w:gridCol w:w="2610"/>
      </w:tblGrid>
      <w:tr w:rsidR="004817DA" w:rsidRPr="00C646CE" w14:paraId="4F8DED55" w14:textId="77777777" w:rsidTr="008E73A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shd w:val="clear" w:color="auto" w:fill="0070C0"/>
            <w:hideMark/>
          </w:tcPr>
          <w:p w14:paraId="655CAF5E" w14:textId="77777777" w:rsidR="004817DA" w:rsidRPr="00C646CE" w:rsidRDefault="004817DA" w:rsidP="00D878AF">
            <w:pPr>
              <w:ind w:left="450"/>
              <w:jc w:val="center"/>
              <w:rPr>
                <w:rFonts w:ascii="Calibri" w:eastAsia="Times New Roman" w:hAnsi="Calibri" w:cs="Times New Roman"/>
                <w:b w:val="0"/>
                <w:bCs w:val="0"/>
                <w:color w:val="000000"/>
              </w:rPr>
            </w:pPr>
          </w:p>
        </w:tc>
        <w:tc>
          <w:tcPr>
            <w:tcW w:w="2075" w:type="dxa"/>
            <w:shd w:val="clear" w:color="auto" w:fill="0070C0"/>
            <w:noWrap/>
            <w:hideMark/>
          </w:tcPr>
          <w:p w14:paraId="2FC08948" w14:textId="77777777" w:rsidR="004817DA" w:rsidRPr="00C646CE" w:rsidRDefault="004817DA" w:rsidP="00D878AF">
            <w:pPr>
              <w:ind w:left="45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Pr>
                <w:rFonts w:ascii="Calibri" w:eastAsia="Times New Roman" w:hAnsi="Calibri" w:cs="Times New Roman"/>
                <w:color w:val="000000"/>
              </w:rPr>
              <w:t xml:space="preserve">Clinicians </w:t>
            </w:r>
            <w:r w:rsidRPr="00C646CE">
              <w:rPr>
                <w:rFonts w:ascii="Calibri" w:eastAsia="Times New Roman" w:hAnsi="Calibri" w:cs="Times New Roman"/>
                <w:color w:val="000000"/>
              </w:rPr>
              <w:t>(N=7,928)</w:t>
            </w:r>
          </w:p>
        </w:tc>
        <w:tc>
          <w:tcPr>
            <w:tcW w:w="2610" w:type="dxa"/>
            <w:shd w:val="clear" w:color="auto" w:fill="0070C0"/>
            <w:noWrap/>
            <w:hideMark/>
          </w:tcPr>
          <w:p w14:paraId="085F6AB9" w14:textId="77777777" w:rsidR="004817DA" w:rsidRPr="00C646CE" w:rsidRDefault="004817DA" w:rsidP="00D878AF">
            <w:pPr>
              <w:ind w:left="45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C646CE">
              <w:rPr>
                <w:rFonts w:ascii="Calibri" w:eastAsia="Times New Roman" w:hAnsi="Calibri" w:cs="Times New Roman"/>
                <w:color w:val="000000"/>
              </w:rPr>
              <w:t>Clinician groups (N=3,572)</w:t>
            </w:r>
          </w:p>
        </w:tc>
      </w:tr>
      <w:tr w:rsidR="004817DA" w:rsidRPr="00C646CE" w14:paraId="4C4D6FED" w14:textId="77777777" w:rsidTr="008E73AE">
        <w:trPr>
          <w:trHeight w:val="600"/>
          <w:jc w:val="center"/>
        </w:trPr>
        <w:tc>
          <w:tcPr>
            <w:cnfStyle w:val="001000000000" w:firstRow="0" w:lastRow="0" w:firstColumn="1" w:lastColumn="0" w:oddVBand="0" w:evenVBand="0" w:oddHBand="0" w:evenHBand="0" w:firstRowFirstColumn="0" w:firstRowLastColumn="0" w:lastRowFirstColumn="0" w:lastRowLastColumn="0"/>
            <w:tcW w:w="3500" w:type="dxa"/>
            <w:hideMark/>
          </w:tcPr>
          <w:p w14:paraId="12D6C394"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Correlation coefficient between admission volumes and RSCRs</w:t>
            </w:r>
          </w:p>
        </w:tc>
        <w:tc>
          <w:tcPr>
            <w:tcW w:w="2075" w:type="dxa"/>
            <w:hideMark/>
          </w:tcPr>
          <w:p w14:paraId="5419B53E"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-0.2379</w:t>
            </w:r>
            <w:r w:rsidRPr="00C646CE">
              <w:rPr>
                <w:rFonts w:ascii="Calibri" w:eastAsia="Times New Roman" w:hAnsi="Calibri" w:cs="Times New Roman"/>
                <w:color w:val="000000"/>
              </w:rPr>
              <w:br/>
              <w:t>P &lt;0.0001</w:t>
            </w:r>
          </w:p>
        </w:tc>
        <w:tc>
          <w:tcPr>
            <w:tcW w:w="2610" w:type="dxa"/>
            <w:hideMark/>
          </w:tcPr>
          <w:p w14:paraId="794AF95D"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 xml:space="preserve">-0.19026 </w:t>
            </w:r>
            <w:r w:rsidRPr="00C646CE">
              <w:rPr>
                <w:rFonts w:ascii="Calibri" w:eastAsia="Times New Roman" w:hAnsi="Calibri" w:cs="Times New Roman"/>
                <w:color w:val="000000"/>
              </w:rPr>
              <w:br/>
              <w:t xml:space="preserve">P &lt;.0001 </w:t>
            </w:r>
          </w:p>
        </w:tc>
      </w:tr>
      <w:tr w:rsidR="004817DA" w:rsidRPr="00C646CE" w14:paraId="304CB053" w14:textId="77777777" w:rsidTr="008E73AE">
        <w:trPr>
          <w:trHeight w:val="600"/>
          <w:jc w:val="center"/>
        </w:trPr>
        <w:tc>
          <w:tcPr>
            <w:cnfStyle w:val="001000000000" w:firstRow="0" w:lastRow="0" w:firstColumn="1" w:lastColumn="0" w:oddVBand="0" w:evenVBand="0" w:oddHBand="0" w:evenHBand="0" w:firstRowFirstColumn="0" w:firstRowLastColumn="0" w:lastRowFirstColumn="0" w:lastRowLastColumn="0"/>
            <w:tcW w:w="3500" w:type="dxa"/>
            <w:hideMark/>
          </w:tcPr>
          <w:p w14:paraId="51CBBCC6"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Deciles of volume</w:t>
            </w:r>
          </w:p>
        </w:tc>
        <w:tc>
          <w:tcPr>
            <w:tcW w:w="2075" w:type="dxa"/>
            <w:hideMark/>
          </w:tcPr>
          <w:p w14:paraId="1015E46E"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C646CE">
              <w:rPr>
                <w:rFonts w:ascii="Calibri" w:eastAsia="Times New Roman" w:hAnsi="Calibri" w:cs="Times New Roman"/>
                <w:b/>
                <w:bCs/>
                <w:color w:val="000000"/>
              </w:rPr>
              <w:t>Mean(RSCR)</w:t>
            </w:r>
          </w:p>
        </w:tc>
        <w:tc>
          <w:tcPr>
            <w:tcW w:w="2610" w:type="dxa"/>
            <w:hideMark/>
          </w:tcPr>
          <w:p w14:paraId="32E9040A"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C646CE">
              <w:rPr>
                <w:rFonts w:ascii="Calibri" w:eastAsia="Times New Roman" w:hAnsi="Calibri" w:cs="Times New Roman"/>
                <w:b/>
                <w:bCs/>
                <w:color w:val="000000"/>
              </w:rPr>
              <w:t>Mean(RSCR)</w:t>
            </w:r>
          </w:p>
        </w:tc>
      </w:tr>
      <w:tr w:rsidR="004817DA" w:rsidRPr="00C646CE" w14:paraId="26EC7AF2"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09153EF1"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0%~10%</w:t>
            </w:r>
          </w:p>
        </w:tc>
        <w:tc>
          <w:tcPr>
            <w:tcW w:w="2075" w:type="dxa"/>
            <w:noWrap/>
            <w:hideMark/>
          </w:tcPr>
          <w:p w14:paraId="0F1C4E6A"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2.87</w:t>
            </w:r>
          </w:p>
        </w:tc>
        <w:tc>
          <w:tcPr>
            <w:tcW w:w="2610" w:type="dxa"/>
            <w:noWrap/>
            <w:hideMark/>
          </w:tcPr>
          <w:p w14:paraId="4BF8E816"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2.86</w:t>
            </w:r>
          </w:p>
        </w:tc>
      </w:tr>
      <w:tr w:rsidR="004817DA" w:rsidRPr="00C646CE" w14:paraId="2C9DE63E"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59355F6B"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10%~20%</w:t>
            </w:r>
          </w:p>
        </w:tc>
        <w:tc>
          <w:tcPr>
            <w:tcW w:w="2075" w:type="dxa"/>
            <w:noWrap/>
            <w:hideMark/>
          </w:tcPr>
          <w:p w14:paraId="6F9A6CFA"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2.86</w:t>
            </w:r>
          </w:p>
        </w:tc>
        <w:tc>
          <w:tcPr>
            <w:tcW w:w="2610" w:type="dxa"/>
            <w:noWrap/>
            <w:hideMark/>
          </w:tcPr>
          <w:p w14:paraId="12539C3F"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2.86</w:t>
            </w:r>
          </w:p>
        </w:tc>
      </w:tr>
      <w:tr w:rsidR="004817DA" w:rsidRPr="00C646CE" w14:paraId="0D967D60"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4096ABB2"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20%~30%</w:t>
            </w:r>
          </w:p>
        </w:tc>
        <w:tc>
          <w:tcPr>
            <w:tcW w:w="2075" w:type="dxa"/>
            <w:noWrap/>
            <w:hideMark/>
          </w:tcPr>
          <w:p w14:paraId="6F4596F7"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2.88</w:t>
            </w:r>
          </w:p>
        </w:tc>
        <w:tc>
          <w:tcPr>
            <w:tcW w:w="2610" w:type="dxa"/>
            <w:noWrap/>
            <w:hideMark/>
          </w:tcPr>
          <w:p w14:paraId="5BBD709F"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2.86</w:t>
            </w:r>
          </w:p>
        </w:tc>
      </w:tr>
      <w:tr w:rsidR="004817DA" w:rsidRPr="00C646CE" w14:paraId="226463E2"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615477C8"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30%~40%</w:t>
            </w:r>
          </w:p>
        </w:tc>
        <w:tc>
          <w:tcPr>
            <w:tcW w:w="2075" w:type="dxa"/>
            <w:noWrap/>
            <w:hideMark/>
          </w:tcPr>
          <w:p w14:paraId="00841E6F"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2.89</w:t>
            </w:r>
          </w:p>
        </w:tc>
        <w:tc>
          <w:tcPr>
            <w:tcW w:w="2610" w:type="dxa"/>
            <w:noWrap/>
            <w:hideMark/>
          </w:tcPr>
          <w:p w14:paraId="67903594"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2.82</w:t>
            </w:r>
          </w:p>
        </w:tc>
      </w:tr>
      <w:tr w:rsidR="004817DA" w:rsidRPr="00C646CE" w14:paraId="5B9829F7"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00589060"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40%~50%</w:t>
            </w:r>
          </w:p>
        </w:tc>
        <w:tc>
          <w:tcPr>
            <w:tcW w:w="2075" w:type="dxa"/>
            <w:noWrap/>
            <w:hideMark/>
          </w:tcPr>
          <w:p w14:paraId="60A759FC"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2.84</w:t>
            </w:r>
          </w:p>
        </w:tc>
        <w:tc>
          <w:tcPr>
            <w:tcW w:w="2610" w:type="dxa"/>
            <w:noWrap/>
            <w:hideMark/>
          </w:tcPr>
          <w:p w14:paraId="0F3411B6"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2.85</w:t>
            </w:r>
          </w:p>
        </w:tc>
      </w:tr>
      <w:tr w:rsidR="004817DA" w:rsidRPr="00C646CE" w14:paraId="285E9424"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778EC111"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50%~60%</w:t>
            </w:r>
          </w:p>
        </w:tc>
        <w:tc>
          <w:tcPr>
            <w:tcW w:w="2075" w:type="dxa"/>
            <w:noWrap/>
            <w:hideMark/>
          </w:tcPr>
          <w:p w14:paraId="3A91AF4C"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2.87</w:t>
            </w:r>
          </w:p>
        </w:tc>
        <w:tc>
          <w:tcPr>
            <w:tcW w:w="2610" w:type="dxa"/>
            <w:noWrap/>
            <w:hideMark/>
          </w:tcPr>
          <w:p w14:paraId="01FED5D9"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2.85</w:t>
            </w:r>
          </w:p>
        </w:tc>
      </w:tr>
      <w:tr w:rsidR="004817DA" w:rsidRPr="00C646CE" w14:paraId="53B5312A"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4F65E64C"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60%~70%</w:t>
            </w:r>
          </w:p>
        </w:tc>
        <w:tc>
          <w:tcPr>
            <w:tcW w:w="2075" w:type="dxa"/>
            <w:noWrap/>
            <w:hideMark/>
          </w:tcPr>
          <w:p w14:paraId="1340CB74"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2.83</w:t>
            </w:r>
          </w:p>
        </w:tc>
        <w:tc>
          <w:tcPr>
            <w:tcW w:w="2610" w:type="dxa"/>
            <w:noWrap/>
            <w:hideMark/>
          </w:tcPr>
          <w:p w14:paraId="37C9CC73"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2.80</w:t>
            </w:r>
          </w:p>
        </w:tc>
      </w:tr>
      <w:tr w:rsidR="004817DA" w:rsidRPr="00C646CE" w14:paraId="0933567B"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692C0CD8"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70%~80%</w:t>
            </w:r>
          </w:p>
        </w:tc>
        <w:tc>
          <w:tcPr>
            <w:tcW w:w="2075" w:type="dxa"/>
            <w:noWrap/>
            <w:hideMark/>
          </w:tcPr>
          <w:p w14:paraId="59F5AC95"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2.76</w:t>
            </w:r>
          </w:p>
        </w:tc>
        <w:tc>
          <w:tcPr>
            <w:tcW w:w="2610" w:type="dxa"/>
            <w:noWrap/>
            <w:hideMark/>
          </w:tcPr>
          <w:p w14:paraId="40EAC278"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2.78</w:t>
            </w:r>
          </w:p>
        </w:tc>
      </w:tr>
      <w:tr w:rsidR="004817DA" w:rsidRPr="00C646CE" w14:paraId="449CE601"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11895AD8"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80%~90%</w:t>
            </w:r>
          </w:p>
        </w:tc>
        <w:tc>
          <w:tcPr>
            <w:tcW w:w="2075" w:type="dxa"/>
            <w:noWrap/>
            <w:hideMark/>
          </w:tcPr>
          <w:p w14:paraId="5D6EBFBF"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2.66</w:t>
            </w:r>
          </w:p>
        </w:tc>
        <w:tc>
          <w:tcPr>
            <w:tcW w:w="2610" w:type="dxa"/>
            <w:noWrap/>
            <w:hideMark/>
          </w:tcPr>
          <w:p w14:paraId="7CBEF3D3"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2.66</w:t>
            </w:r>
          </w:p>
        </w:tc>
      </w:tr>
      <w:tr w:rsidR="004817DA" w:rsidRPr="00C646CE" w14:paraId="0655126F" w14:textId="77777777" w:rsidTr="008E73AE">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hideMark/>
          </w:tcPr>
          <w:p w14:paraId="5230940C" w14:textId="77777777" w:rsidR="004817DA" w:rsidRPr="00C646CE" w:rsidRDefault="004817DA" w:rsidP="00D878AF">
            <w:pPr>
              <w:rPr>
                <w:rFonts w:ascii="Calibri" w:eastAsia="Times New Roman" w:hAnsi="Calibri" w:cs="Times New Roman"/>
                <w:b w:val="0"/>
                <w:bCs w:val="0"/>
                <w:color w:val="000000"/>
              </w:rPr>
            </w:pPr>
            <w:r w:rsidRPr="00C646CE">
              <w:rPr>
                <w:rFonts w:ascii="Calibri" w:eastAsia="Times New Roman" w:hAnsi="Calibri" w:cs="Times New Roman"/>
                <w:color w:val="000000"/>
              </w:rPr>
              <w:t>90%~100%</w:t>
            </w:r>
          </w:p>
        </w:tc>
        <w:tc>
          <w:tcPr>
            <w:tcW w:w="2075" w:type="dxa"/>
            <w:noWrap/>
            <w:hideMark/>
          </w:tcPr>
          <w:p w14:paraId="2CAC687A"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2.42</w:t>
            </w:r>
          </w:p>
        </w:tc>
        <w:tc>
          <w:tcPr>
            <w:tcW w:w="2610" w:type="dxa"/>
            <w:noWrap/>
            <w:hideMark/>
          </w:tcPr>
          <w:p w14:paraId="6D30DB2C" w14:textId="77777777" w:rsidR="004817DA" w:rsidRPr="00C646CE" w:rsidRDefault="004817DA" w:rsidP="00D878A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6CE">
              <w:rPr>
                <w:rFonts w:ascii="Calibri" w:eastAsia="Times New Roman" w:hAnsi="Calibri" w:cs="Times New Roman"/>
                <w:color w:val="000000"/>
              </w:rPr>
              <w:t>2.49</w:t>
            </w:r>
          </w:p>
        </w:tc>
      </w:tr>
    </w:tbl>
    <w:p w14:paraId="0936ADD0" w14:textId="03606370" w:rsidR="004817DA" w:rsidRDefault="004817DA" w:rsidP="00F66E9E">
      <w:pPr>
        <w:autoSpaceDE w:val="0"/>
        <w:autoSpaceDN w:val="0"/>
        <w:adjustRightInd w:val="0"/>
        <w:spacing w:line="240" w:lineRule="auto"/>
        <w:ind w:left="1080"/>
        <w:rPr>
          <w:rFonts w:eastAsia="Times New Roman" w:cstheme="minorHAnsi"/>
          <w:color w:val="000000" w:themeColor="text1"/>
        </w:rPr>
      </w:pPr>
      <w:r w:rsidRPr="00B44EBC">
        <w:rPr>
          <w:rFonts w:eastAsia="Times New Roman" w:cstheme="minorHAnsi"/>
          <w:color w:val="000000" w:themeColor="text1"/>
        </w:rPr>
        <w:t>There is a moderate but meaningful inverse relationship between volume and measure outcome (RSCR) for both clinicians and clinician groups.</w:t>
      </w:r>
    </w:p>
    <w:p w14:paraId="23D37710" w14:textId="623BA081" w:rsidR="00D97D46" w:rsidRPr="00D97D46" w:rsidRDefault="00D97D46" w:rsidP="00F66E9E">
      <w:pPr>
        <w:autoSpaceDE w:val="0"/>
        <w:autoSpaceDN w:val="0"/>
        <w:adjustRightInd w:val="0"/>
        <w:spacing w:line="240" w:lineRule="auto"/>
        <w:ind w:left="1080"/>
        <w:rPr>
          <w:rFonts w:eastAsia="Times New Roman" w:cstheme="minorHAnsi"/>
          <w:color w:val="000000" w:themeColor="text1"/>
          <w:u w:val="single"/>
        </w:rPr>
      </w:pPr>
      <w:r w:rsidRPr="00D97D46">
        <w:rPr>
          <w:rFonts w:eastAsia="Times New Roman" w:cstheme="minorHAnsi"/>
          <w:color w:val="000000" w:themeColor="text1"/>
          <w:u w:val="single"/>
        </w:rPr>
        <w:t>References</w:t>
      </w:r>
    </w:p>
    <w:p w14:paraId="248966C2" w14:textId="68AF0506" w:rsidR="00D97D46" w:rsidRPr="001A32D1" w:rsidRDefault="00D97D46" w:rsidP="00F66E9E">
      <w:pPr>
        <w:pStyle w:val="ListParagraph"/>
        <w:numPr>
          <w:ilvl w:val="0"/>
          <w:numId w:val="23"/>
        </w:numPr>
        <w:autoSpaceDE w:val="0"/>
        <w:autoSpaceDN w:val="0"/>
        <w:adjustRightInd w:val="0"/>
        <w:spacing w:line="240" w:lineRule="auto"/>
        <w:contextualSpacing w:val="0"/>
        <w:rPr>
          <w:rFonts w:eastAsia="Times New Roman" w:cstheme="minorHAnsi"/>
          <w:color w:val="000000" w:themeColor="text1"/>
        </w:rPr>
      </w:pPr>
      <w:r w:rsidRPr="00610068">
        <w:t>Battaglia TC1, Mulhall KJ, Brown TE, Saleh KJ.</w:t>
      </w:r>
      <w:r>
        <w:t xml:space="preserve"> </w:t>
      </w:r>
      <w:r w:rsidRPr="00610068">
        <w:t>Increased surgical volume is associated with lower THA dislocation rates.</w:t>
      </w:r>
      <w:r>
        <w:t xml:space="preserve"> </w:t>
      </w:r>
      <w:r w:rsidRPr="00610068">
        <w:t xml:space="preserve">Clin </w:t>
      </w:r>
      <w:proofErr w:type="spellStart"/>
      <w:r w:rsidRPr="00610068">
        <w:t>Orthop</w:t>
      </w:r>
      <w:proofErr w:type="spellEnd"/>
      <w:r w:rsidRPr="00610068">
        <w:t xml:space="preserve"> </w:t>
      </w:r>
      <w:proofErr w:type="spellStart"/>
      <w:r w:rsidRPr="00610068">
        <w:t>Relat</w:t>
      </w:r>
      <w:proofErr w:type="spellEnd"/>
      <w:r w:rsidRPr="00610068">
        <w:t xml:space="preserve"> Res. 2006 </w:t>
      </w:r>
      <w:r w:rsidR="00B718A3" w:rsidRPr="00610068">
        <w:t>Jun; 447:28</w:t>
      </w:r>
      <w:r w:rsidRPr="00610068">
        <w:t>-33.</w:t>
      </w:r>
    </w:p>
    <w:p w14:paraId="490B62C9" w14:textId="77777777" w:rsidR="00554D00" w:rsidRDefault="00554D00" w:rsidP="001A32D1">
      <w:pPr>
        <w:autoSpaceDE w:val="0"/>
        <w:autoSpaceDN w:val="0"/>
        <w:adjustRightInd w:val="0"/>
        <w:spacing w:line="240" w:lineRule="auto"/>
        <w:ind w:left="1080"/>
        <w:rPr>
          <w:rFonts w:eastAsia="Times New Roman" w:cstheme="minorHAnsi"/>
          <w:color w:val="000000" w:themeColor="text1"/>
          <w:u w:val="single"/>
        </w:rPr>
        <w:sectPr w:rsidR="00554D00" w:rsidSect="00E45B08">
          <w:pgSz w:w="12240" w:h="15840"/>
          <w:pgMar w:top="720" w:right="720" w:bottom="720" w:left="720" w:header="720" w:footer="720" w:gutter="0"/>
          <w:cols w:space="720"/>
          <w:docGrid w:linePitch="360"/>
        </w:sectPr>
      </w:pPr>
    </w:p>
    <w:p w14:paraId="67DBA604" w14:textId="2B32704F" w:rsidR="001A32D1" w:rsidRDefault="001A32D1" w:rsidP="001A32D1">
      <w:pPr>
        <w:autoSpaceDE w:val="0"/>
        <w:autoSpaceDN w:val="0"/>
        <w:adjustRightInd w:val="0"/>
        <w:spacing w:line="240" w:lineRule="auto"/>
        <w:ind w:left="1080"/>
        <w:rPr>
          <w:rFonts w:eastAsia="Times New Roman" w:cstheme="minorHAnsi"/>
          <w:color w:val="000000" w:themeColor="text1"/>
          <w:u w:val="single"/>
        </w:rPr>
      </w:pPr>
      <w:r w:rsidRPr="001A32D1">
        <w:rPr>
          <w:rFonts w:eastAsia="Times New Roman" w:cstheme="minorHAnsi"/>
          <w:color w:val="000000" w:themeColor="text1"/>
          <w:u w:val="single"/>
        </w:rPr>
        <w:lastRenderedPageBreak/>
        <w:t>Topped-Out Analysis</w:t>
      </w:r>
    </w:p>
    <w:p w14:paraId="6F6D88EC" w14:textId="3E438088" w:rsidR="00554D00" w:rsidRPr="00554D00" w:rsidRDefault="00554D00" w:rsidP="001A32D1">
      <w:pPr>
        <w:autoSpaceDE w:val="0"/>
        <w:autoSpaceDN w:val="0"/>
        <w:adjustRightInd w:val="0"/>
        <w:spacing w:line="240" w:lineRule="auto"/>
        <w:ind w:left="1080"/>
        <w:rPr>
          <w:rFonts w:eastAsia="Times New Roman" w:cstheme="minorHAnsi"/>
          <w:color w:val="000000" w:themeColor="text1"/>
        </w:rPr>
      </w:pPr>
      <w:r>
        <w:rPr>
          <w:rFonts w:eastAsia="Times New Roman" w:cstheme="minorHAnsi"/>
          <w:color w:val="000000" w:themeColor="text1"/>
        </w:rPr>
        <w:t>Summary of “Topped-Out” Status for MIPS HKC measure (2013-2016 period)</w:t>
      </w:r>
    </w:p>
    <w:tbl>
      <w:tblPr>
        <w:tblW w:w="147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4"/>
        <w:gridCol w:w="929"/>
        <w:gridCol w:w="663"/>
        <w:gridCol w:w="810"/>
        <w:gridCol w:w="720"/>
        <w:gridCol w:w="971"/>
        <w:gridCol w:w="1620"/>
        <w:gridCol w:w="1061"/>
        <w:gridCol w:w="1061"/>
        <w:gridCol w:w="1350"/>
        <w:gridCol w:w="1260"/>
        <w:gridCol w:w="911"/>
        <w:gridCol w:w="2160"/>
      </w:tblGrid>
      <w:tr w:rsidR="00554D00" w:rsidRPr="00554D00" w14:paraId="3EF68B9F" w14:textId="77777777" w:rsidTr="001A42BB">
        <w:trPr>
          <w:trHeight w:val="1485"/>
        </w:trPr>
        <w:tc>
          <w:tcPr>
            <w:tcW w:w="1141" w:type="dxa"/>
            <w:shd w:val="clear" w:color="auto" w:fill="F5F7F1"/>
            <w:tcMar>
              <w:top w:w="0" w:type="dxa"/>
              <w:left w:w="108" w:type="dxa"/>
              <w:bottom w:w="0" w:type="dxa"/>
              <w:right w:w="108" w:type="dxa"/>
            </w:tcMar>
            <w:vAlign w:val="center"/>
            <w:hideMark/>
          </w:tcPr>
          <w:p w14:paraId="7E6C0794" w14:textId="77777777" w:rsidR="00554D00" w:rsidRPr="00311A71" w:rsidRDefault="00554D00">
            <w:pPr>
              <w:spacing w:line="360" w:lineRule="auto"/>
              <w:jc w:val="center"/>
              <w:rPr>
                <w:b/>
                <w:bCs/>
                <w:color w:val="000000"/>
                <w:sz w:val="20"/>
                <w:szCs w:val="18"/>
              </w:rPr>
            </w:pPr>
            <w:r w:rsidRPr="00311A71">
              <w:rPr>
                <w:b/>
                <w:bCs/>
                <w:color w:val="000000"/>
                <w:sz w:val="20"/>
                <w:szCs w:val="18"/>
              </w:rPr>
              <w:t>Provider</w:t>
            </w:r>
          </w:p>
          <w:p w14:paraId="710CB093" w14:textId="77777777" w:rsidR="00554D00" w:rsidRPr="00311A71" w:rsidRDefault="00554D00">
            <w:pPr>
              <w:spacing w:line="360" w:lineRule="auto"/>
              <w:jc w:val="center"/>
              <w:rPr>
                <w:b/>
                <w:bCs/>
                <w:color w:val="000000"/>
                <w:sz w:val="20"/>
                <w:szCs w:val="18"/>
              </w:rPr>
            </w:pPr>
            <w:r w:rsidRPr="00311A71">
              <w:rPr>
                <w:b/>
                <w:bCs/>
                <w:color w:val="000000"/>
                <w:sz w:val="20"/>
                <w:szCs w:val="18"/>
              </w:rPr>
              <w:t>EC=Eligible Clinician</w:t>
            </w:r>
          </w:p>
          <w:p w14:paraId="7512FABA" w14:textId="16C45593" w:rsidR="00554D00" w:rsidRPr="00311A71" w:rsidRDefault="00554D00">
            <w:pPr>
              <w:spacing w:line="360" w:lineRule="auto"/>
              <w:jc w:val="center"/>
              <w:rPr>
                <w:b/>
                <w:bCs/>
                <w:color w:val="000000"/>
                <w:sz w:val="20"/>
                <w:szCs w:val="18"/>
              </w:rPr>
            </w:pPr>
            <w:r w:rsidRPr="00311A71">
              <w:rPr>
                <w:b/>
                <w:bCs/>
                <w:color w:val="000000"/>
                <w:sz w:val="20"/>
                <w:szCs w:val="18"/>
              </w:rPr>
              <w:t>ECG=Eligible Clinician Group</w:t>
            </w:r>
          </w:p>
        </w:tc>
        <w:tc>
          <w:tcPr>
            <w:tcW w:w="929" w:type="dxa"/>
            <w:shd w:val="clear" w:color="auto" w:fill="F5F7F1"/>
            <w:tcMar>
              <w:top w:w="0" w:type="dxa"/>
              <w:left w:w="108" w:type="dxa"/>
              <w:bottom w:w="0" w:type="dxa"/>
              <w:right w:w="108" w:type="dxa"/>
            </w:tcMar>
            <w:vAlign w:val="center"/>
            <w:hideMark/>
          </w:tcPr>
          <w:p w14:paraId="7429B699" w14:textId="77777777" w:rsidR="00554D00" w:rsidRPr="00311A71" w:rsidRDefault="00554D00">
            <w:pPr>
              <w:spacing w:line="360" w:lineRule="auto"/>
              <w:jc w:val="center"/>
              <w:rPr>
                <w:b/>
                <w:bCs/>
                <w:color w:val="000000"/>
                <w:sz w:val="20"/>
                <w:szCs w:val="18"/>
              </w:rPr>
            </w:pPr>
            <w:r w:rsidRPr="00311A71">
              <w:rPr>
                <w:b/>
                <w:bCs/>
                <w:color w:val="000000"/>
                <w:sz w:val="20"/>
                <w:szCs w:val="18"/>
              </w:rPr>
              <w:t>Volume Cutoff</w:t>
            </w:r>
          </w:p>
        </w:tc>
        <w:tc>
          <w:tcPr>
            <w:tcW w:w="630" w:type="dxa"/>
            <w:shd w:val="clear" w:color="auto" w:fill="F5F7F1"/>
            <w:tcMar>
              <w:top w:w="0" w:type="dxa"/>
              <w:left w:w="108" w:type="dxa"/>
              <w:bottom w:w="0" w:type="dxa"/>
              <w:right w:w="108" w:type="dxa"/>
            </w:tcMar>
            <w:vAlign w:val="center"/>
            <w:hideMark/>
          </w:tcPr>
          <w:p w14:paraId="7F4F044A" w14:textId="77777777" w:rsidR="00554D00" w:rsidRPr="00311A71" w:rsidRDefault="00554D00">
            <w:pPr>
              <w:spacing w:line="360" w:lineRule="auto"/>
              <w:jc w:val="center"/>
              <w:rPr>
                <w:b/>
                <w:bCs/>
                <w:color w:val="000000"/>
                <w:sz w:val="20"/>
                <w:szCs w:val="18"/>
              </w:rPr>
            </w:pPr>
            <w:r w:rsidRPr="00311A71">
              <w:rPr>
                <w:b/>
                <w:bCs/>
                <w:color w:val="000000"/>
                <w:sz w:val="20"/>
                <w:szCs w:val="18"/>
              </w:rPr>
              <w:t>N</w:t>
            </w:r>
          </w:p>
        </w:tc>
        <w:tc>
          <w:tcPr>
            <w:tcW w:w="810" w:type="dxa"/>
            <w:shd w:val="clear" w:color="auto" w:fill="F5F7F1"/>
            <w:tcMar>
              <w:top w:w="0" w:type="dxa"/>
              <w:left w:w="108" w:type="dxa"/>
              <w:bottom w:w="0" w:type="dxa"/>
              <w:right w:w="108" w:type="dxa"/>
            </w:tcMar>
            <w:vAlign w:val="center"/>
            <w:hideMark/>
          </w:tcPr>
          <w:p w14:paraId="15647CB4" w14:textId="77777777" w:rsidR="00554D00" w:rsidRPr="00311A71" w:rsidRDefault="00554D00">
            <w:pPr>
              <w:spacing w:line="360" w:lineRule="auto"/>
              <w:jc w:val="center"/>
              <w:rPr>
                <w:b/>
                <w:bCs/>
                <w:color w:val="000000"/>
                <w:sz w:val="20"/>
                <w:szCs w:val="18"/>
              </w:rPr>
            </w:pPr>
            <w:r w:rsidRPr="00311A71">
              <w:rPr>
                <w:b/>
                <w:bCs/>
                <w:color w:val="000000"/>
                <w:sz w:val="20"/>
                <w:szCs w:val="18"/>
              </w:rPr>
              <w:t>P75th</w:t>
            </w:r>
          </w:p>
        </w:tc>
        <w:tc>
          <w:tcPr>
            <w:tcW w:w="720" w:type="dxa"/>
            <w:shd w:val="clear" w:color="auto" w:fill="F5F7F1"/>
            <w:tcMar>
              <w:top w:w="0" w:type="dxa"/>
              <w:left w:w="108" w:type="dxa"/>
              <w:bottom w:w="0" w:type="dxa"/>
              <w:right w:w="108" w:type="dxa"/>
            </w:tcMar>
            <w:vAlign w:val="center"/>
            <w:hideMark/>
          </w:tcPr>
          <w:p w14:paraId="4B10B592" w14:textId="77777777" w:rsidR="00554D00" w:rsidRPr="00311A71" w:rsidRDefault="00554D00">
            <w:pPr>
              <w:spacing w:line="360" w:lineRule="auto"/>
              <w:jc w:val="center"/>
              <w:rPr>
                <w:b/>
                <w:bCs/>
                <w:color w:val="000000"/>
                <w:sz w:val="20"/>
                <w:szCs w:val="18"/>
              </w:rPr>
            </w:pPr>
            <w:r w:rsidRPr="00311A71">
              <w:rPr>
                <w:b/>
                <w:bCs/>
                <w:color w:val="000000"/>
                <w:sz w:val="20"/>
                <w:szCs w:val="18"/>
              </w:rPr>
              <w:t>P90th</w:t>
            </w:r>
          </w:p>
        </w:tc>
        <w:tc>
          <w:tcPr>
            <w:tcW w:w="900" w:type="dxa"/>
            <w:shd w:val="clear" w:color="auto" w:fill="F5F7F1"/>
            <w:tcMar>
              <w:top w:w="0" w:type="dxa"/>
              <w:left w:w="108" w:type="dxa"/>
              <w:bottom w:w="0" w:type="dxa"/>
              <w:right w:w="108" w:type="dxa"/>
            </w:tcMar>
            <w:vAlign w:val="center"/>
            <w:hideMark/>
          </w:tcPr>
          <w:p w14:paraId="5B127402" w14:textId="77777777" w:rsidR="00554D00" w:rsidRPr="00311A71" w:rsidRDefault="00554D00">
            <w:pPr>
              <w:spacing w:line="360" w:lineRule="auto"/>
              <w:jc w:val="center"/>
              <w:rPr>
                <w:b/>
                <w:bCs/>
                <w:color w:val="000000"/>
                <w:sz w:val="20"/>
                <w:szCs w:val="18"/>
              </w:rPr>
            </w:pPr>
            <w:r w:rsidRPr="00311A71">
              <w:rPr>
                <w:b/>
                <w:bCs/>
                <w:color w:val="000000"/>
                <w:sz w:val="20"/>
                <w:szCs w:val="18"/>
              </w:rPr>
              <w:t>Standard Error</w:t>
            </w:r>
          </w:p>
        </w:tc>
        <w:tc>
          <w:tcPr>
            <w:tcW w:w="1620" w:type="dxa"/>
            <w:shd w:val="clear" w:color="auto" w:fill="F5F7F1"/>
            <w:tcMar>
              <w:top w:w="0" w:type="dxa"/>
              <w:left w:w="108" w:type="dxa"/>
              <w:bottom w:w="0" w:type="dxa"/>
              <w:right w:w="108" w:type="dxa"/>
            </w:tcMar>
            <w:vAlign w:val="center"/>
            <w:hideMark/>
          </w:tcPr>
          <w:p w14:paraId="6DF965FD" w14:textId="77777777" w:rsidR="00554D00" w:rsidRPr="00311A71" w:rsidRDefault="00554D00">
            <w:pPr>
              <w:spacing w:line="360" w:lineRule="auto"/>
              <w:jc w:val="center"/>
              <w:rPr>
                <w:b/>
                <w:bCs/>
                <w:color w:val="000000"/>
                <w:sz w:val="20"/>
                <w:szCs w:val="18"/>
              </w:rPr>
            </w:pPr>
            <w:r w:rsidRPr="00311A71">
              <w:rPr>
                <w:b/>
                <w:bCs/>
                <w:color w:val="000000"/>
                <w:sz w:val="20"/>
                <w:szCs w:val="18"/>
              </w:rPr>
              <w:t>75th and 90th percentiles within 2 standard errors of each other (or 10th and 25th percentiles, for inverse measures)</w:t>
            </w:r>
          </w:p>
        </w:tc>
        <w:tc>
          <w:tcPr>
            <w:tcW w:w="990" w:type="dxa"/>
            <w:shd w:val="clear" w:color="auto" w:fill="F5F7F1"/>
            <w:tcMar>
              <w:top w:w="0" w:type="dxa"/>
              <w:left w:w="108" w:type="dxa"/>
              <w:bottom w:w="0" w:type="dxa"/>
              <w:right w:w="108" w:type="dxa"/>
            </w:tcMar>
            <w:vAlign w:val="center"/>
            <w:hideMark/>
          </w:tcPr>
          <w:p w14:paraId="13CA7F04" w14:textId="77777777" w:rsidR="00554D00" w:rsidRPr="00311A71" w:rsidRDefault="00554D00">
            <w:pPr>
              <w:spacing w:line="360" w:lineRule="auto"/>
              <w:jc w:val="center"/>
              <w:rPr>
                <w:b/>
                <w:bCs/>
                <w:color w:val="000000"/>
                <w:sz w:val="20"/>
                <w:szCs w:val="18"/>
              </w:rPr>
            </w:pPr>
            <w:r w:rsidRPr="00311A71">
              <w:rPr>
                <w:b/>
                <w:bCs/>
                <w:color w:val="000000"/>
                <w:sz w:val="20"/>
                <w:szCs w:val="18"/>
              </w:rPr>
              <w:t>Truncated Mean</w:t>
            </w:r>
          </w:p>
        </w:tc>
        <w:tc>
          <w:tcPr>
            <w:tcW w:w="990" w:type="dxa"/>
            <w:shd w:val="clear" w:color="auto" w:fill="F5F7F1"/>
            <w:tcMar>
              <w:top w:w="0" w:type="dxa"/>
              <w:left w:w="108" w:type="dxa"/>
              <w:bottom w:w="0" w:type="dxa"/>
              <w:right w:w="108" w:type="dxa"/>
            </w:tcMar>
            <w:vAlign w:val="center"/>
            <w:hideMark/>
          </w:tcPr>
          <w:p w14:paraId="5A7789B4" w14:textId="77777777" w:rsidR="00554D00" w:rsidRPr="00311A71" w:rsidRDefault="00554D00">
            <w:pPr>
              <w:spacing w:line="360" w:lineRule="auto"/>
              <w:jc w:val="center"/>
              <w:rPr>
                <w:b/>
                <w:bCs/>
                <w:color w:val="000000"/>
                <w:sz w:val="20"/>
                <w:szCs w:val="18"/>
              </w:rPr>
            </w:pPr>
            <w:r w:rsidRPr="00311A71">
              <w:rPr>
                <w:b/>
                <w:bCs/>
                <w:color w:val="000000"/>
                <w:sz w:val="20"/>
                <w:szCs w:val="18"/>
              </w:rPr>
              <w:t>Truncated SD</w:t>
            </w:r>
          </w:p>
        </w:tc>
        <w:tc>
          <w:tcPr>
            <w:tcW w:w="1350" w:type="dxa"/>
            <w:shd w:val="clear" w:color="auto" w:fill="F5F7F1"/>
            <w:tcMar>
              <w:top w:w="0" w:type="dxa"/>
              <w:left w:w="108" w:type="dxa"/>
              <w:bottom w:w="0" w:type="dxa"/>
              <w:right w:w="108" w:type="dxa"/>
            </w:tcMar>
            <w:vAlign w:val="center"/>
            <w:hideMark/>
          </w:tcPr>
          <w:p w14:paraId="36EAA2A5" w14:textId="77777777" w:rsidR="00554D00" w:rsidRPr="00311A71" w:rsidRDefault="00554D00">
            <w:pPr>
              <w:spacing w:line="360" w:lineRule="auto"/>
              <w:jc w:val="center"/>
              <w:rPr>
                <w:b/>
                <w:bCs/>
                <w:color w:val="000000"/>
                <w:sz w:val="20"/>
                <w:szCs w:val="18"/>
              </w:rPr>
            </w:pPr>
            <w:r w:rsidRPr="00311A71">
              <w:rPr>
                <w:b/>
                <w:bCs/>
                <w:color w:val="000000"/>
                <w:sz w:val="20"/>
                <w:szCs w:val="18"/>
              </w:rPr>
              <w:t>Truncated Coefficient of Variation (TCV)</w:t>
            </w:r>
          </w:p>
        </w:tc>
        <w:tc>
          <w:tcPr>
            <w:tcW w:w="1260" w:type="dxa"/>
            <w:shd w:val="clear" w:color="auto" w:fill="F5F7F1"/>
            <w:tcMar>
              <w:top w:w="0" w:type="dxa"/>
              <w:left w:w="108" w:type="dxa"/>
              <w:bottom w:w="0" w:type="dxa"/>
              <w:right w:w="108" w:type="dxa"/>
            </w:tcMar>
            <w:vAlign w:val="center"/>
            <w:hideMark/>
          </w:tcPr>
          <w:p w14:paraId="626E6F21" w14:textId="77777777" w:rsidR="00554D00" w:rsidRPr="00311A71" w:rsidRDefault="00554D00">
            <w:pPr>
              <w:spacing w:line="360" w:lineRule="auto"/>
              <w:jc w:val="center"/>
              <w:rPr>
                <w:b/>
                <w:bCs/>
                <w:color w:val="000000"/>
                <w:sz w:val="20"/>
                <w:szCs w:val="18"/>
              </w:rPr>
            </w:pPr>
            <w:r w:rsidRPr="00311A71">
              <w:rPr>
                <w:b/>
                <w:bCs/>
                <w:color w:val="000000"/>
                <w:sz w:val="20"/>
                <w:szCs w:val="18"/>
              </w:rPr>
              <w:t>Truncated Coefficient of Variation less than 0.10</w:t>
            </w:r>
          </w:p>
        </w:tc>
        <w:tc>
          <w:tcPr>
            <w:tcW w:w="1260" w:type="dxa"/>
            <w:shd w:val="clear" w:color="auto" w:fill="F2F2F2"/>
            <w:vAlign w:val="center"/>
          </w:tcPr>
          <w:p w14:paraId="4D2E96A8" w14:textId="5E85C937" w:rsidR="00554D00" w:rsidRPr="00311A71" w:rsidRDefault="00554D00">
            <w:pPr>
              <w:spacing w:line="360" w:lineRule="auto"/>
              <w:jc w:val="center"/>
              <w:rPr>
                <w:b/>
                <w:bCs/>
                <w:color w:val="000000"/>
                <w:sz w:val="20"/>
                <w:szCs w:val="19"/>
              </w:rPr>
            </w:pPr>
            <w:r w:rsidRPr="00311A71">
              <w:rPr>
                <w:b/>
                <w:bCs/>
                <w:color w:val="000000"/>
                <w:sz w:val="20"/>
                <w:szCs w:val="19"/>
              </w:rPr>
              <w:t>Topped Out</w:t>
            </w:r>
          </w:p>
        </w:tc>
        <w:tc>
          <w:tcPr>
            <w:tcW w:w="2160" w:type="dxa"/>
            <w:shd w:val="clear" w:color="auto" w:fill="F2F2F2"/>
            <w:tcMar>
              <w:top w:w="0" w:type="dxa"/>
              <w:left w:w="108" w:type="dxa"/>
              <w:bottom w:w="0" w:type="dxa"/>
              <w:right w:w="108" w:type="dxa"/>
            </w:tcMar>
            <w:vAlign w:val="center"/>
            <w:hideMark/>
          </w:tcPr>
          <w:p w14:paraId="36C0D8F0" w14:textId="38D7E30F" w:rsidR="00554D00" w:rsidRPr="00311A71" w:rsidRDefault="00554D00">
            <w:pPr>
              <w:spacing w:line="360" w:lineRule="auto"/>
              <w:jc w:val="center"/>
              <w:rPr>
                <w:b/>
                <w:bCs/>
                <w:color w:val="000000"/>
                <w:sz w:val="20"/>
                <w:szCs w:val="19"/>
              </w:rPr>
            </w:pPr>
            <w:r w:rsidRPr="00311A71">
              <w:rPr>
                <w:b/>
                <w:bCs/>
                <w:color w:val="000000"/>
                <w:sz w:val="20"/>
                <w:szCs w:val="19"/>
              </w:rPr>
              <w:t>Signal to Noise Reliability</w:t>
            </w:r>
          </w:p>
        </w:tc>
      </w:tr>
      <w:tr w:rsidR="00554D00" w:rsidRPr="00554D00" w14:paraId="732C668D" w14:textId="77777777" w:rsidTr="001A42BB">
        <w:trPr>
          <w:trHeight w:val="495"/>
        </w:trPr>
        <w:tc>
          <w:tcPr>
            <w:tcW w:w="1141" w:type="dxa"/>
            <w:shd w:val="clear" w:color="auto" w:fill="FFFFFF"/>
            <w:noWrap/>
            <w:tcMar>
              <w:top w:w="0" w:type="dxa"/>
              <w:left w:w="108" w:type="dxa"/>
              <w:bottom w:w="0" w:type="dxa"/>
              <w:right w:w="108" w:type="dxa"/>
            </w:tcMar>
            <w:vAlign w:val="center"/>
            <w:hideMark/>
          </w:tcPr>
          <w:p w14:paraId="2735FE3D" w14:textId="0D4610F1" w:rsidR="00554D00" w:rsidRPr="00311A71" w:rsidRDefault="00554D00">
            <w:pPr>
              <w:spacing w:line="360" w:lineRule="auto"/>
              <w:rPr>
                <w:color w:val="000000"/>
                <w:sz w:val="20"/>
                <w:szCs w:val="19"/>
              </w:rPr>
            </w:pPr>
            <w:r w:rsidRPr="00311A71">
              <w:rPr>
                <w:color w:val="000000"/>
                <w:sz w:val="20"/>
                <w:szCs w:val="19"/>
              </w:rPr>
              <w:t>EC</w:t>
            </w:r>
          </w:p>
        </w:tc>
        <w:tc>
          <w:tcPr>
            <w:tcW w:w="929" w:type="dxa"/>
            <w:noWrap/>
            <w:tcMar>
              <w:top w:w="0" w:type="dxa"/>
              <w:left w:w="108" w:type="dxa"/>
              <w:bottom w:w="0" w:type="dxa"/>
              <w:right w:w="108" w:type="dxa"/>
            </w:tcMar>
            <w:vAlign w:val="center"/>
            <w:hideMark/>
          </w:tcPr>
          <w:p w14:paraId="5D672C52" w14:textId="77777777" w:rsidR="00554D00" w:rsidRPr="00311A71" w:rsidRDefault="00554D00">
            <w:pPr>
              <w:spacing w:line="360" w:lineRule="auto"/>
              <w:jc w:val="center"/>
              <w:rPr>
                <w:color w:val="000000"/>
                <w:sz w:val="20"/>
                <w:szCs w:val="19"/>
              </w:rPr>
            </w:pPr>
            <w:r w:rsidRPr="00311A71">
              <w:rPr>
                <w:color w:val="000000"/>
                <w:sz w:val="20"/>
                <w:szCs w:val="19"/>
              </w:rPr>
              <w:t>25</w:t>
            </w:r>
          </w:p>
        </w:tc>
        <w:tc>
          <w:tcPr>
            <w:tcW w:w="630" w:type="dxa"/>
            <w:noWrap/>
            <w:tcMar>
              <w:top w:w="0" w:type="dxa"/>
              <w:left w:w="108" w:type="dxa"/>
              <w:bottom w:w="0" w:type="dxa"/>
              <w:right w:w="108" w:type="dxa"/>
            </w:tcMar>
            <w:vAlign w:val="center"/>
            <w:hideMark/>
          </w:tcPr>
          <w:p w14:paraId="5A1C2E8A" w14:textId="77777777" w:rsidR="00554D00" w:rsidRPr="00311A71" w:rsidRDefault="00554D00">
            <w:pPr>
              <w:spacing w:line="360" w:lineRule="auto"/>
              <w:jc w:val="center"/>
              <w:rPr>
                <w:color w:val="000000"/>
                <w:sz w:val="20"/>
                <w:szCs w:val="19"/>
              </w:rPr>
            </w:pPr>
            <w:r w:rsidRPr="00311A71">
              <w:rPr>
                <w:color w:val="000000"/>
                <w:sz w:val="20"/>
                <w:szCs w:val="19"/>
              </w:rPr>
              <w:t>7928</w:t>
            </w:r>
          </w:p>
        </w:tc>
        <w:tc>
          <w:tcPr>
            <w:tcW w:w="810" w:type="dxa"/>
            <w:noWrap/>
            <w:tcMar>
              <w:top w:w="0" w:type="dxa"/>
              <w:left w:w="108" w:type="dxa"/>
              <w:bottom w:w="0" w:type="dxa"/>
              <w:right w:w="108" w:type="dxa"/>
            </w:tcMar>
            <w:vAlign w:val="center"/>
            <w:hideMark/>
          </w:tcPr>
          <w:p w14:paraId="06323B6E" w14:textId="77777777" w:rsidR="00554D00" w:rsidRPr="00311A71" w:rsidRDefault="00554D00">
            <w:pPr>
              <w:spacing w:line="360" w:lineRule="auto"/>
              <w:jc w:val="center"/>
              <w:rPr>
                <w:color w:val="000000"/>
                <w:sz w:val="20"/>
                <w:szCs w:val="19"/>
              </w:rPr>
            </w:pPr>
            <w:r w:rsidRPr="00311A71">
              <w:rPr>
                <w:color w:val="000000"/>
                <w:sz w:val="20"/>
                <w:szCs w:val="19"/>
              </w:rPr>
              <w:t>3.16</w:t>
            </w:r>
          </w:p>
        </w:tc>
        <w:tc>
          <w:tcPr>
            <w:tcW w:w="720" w:type="dxa"/>
            <w:noWrap/>
            <w:tcMar>
              <w:top w:w="0" w:type="dxa"/>
              <w:left w:w="108" w:type="dxa"/>
              <w:bottom w:w="0" w:type="dxa"/>
              <w:right w:w="108" w:type="dxa"/>
            </w:tcMar>
            <w:vAlign w:val="center"/>
            <w:hideMark/>
          </w:tcPr>
          <w:p w14:paraId="501E8F86" w14:textId="77777777" w:rsidR="00554D00" w:rsidRPr="00311A71" w:rsidRDefault="00554D00">
            <w:pPr>
              <w:spacing w:line="360" w:lineRule="auto"/>
              <w:jc w:val="center"/>
              <w:rPr>
                <w:color w:val="000000"/>
                <w:sz w:val="20"/>
                <w:szCs w:val="19"/>
              </w:rPr>
            </w:pPr>
            <w:r w:rsidRPr="00311A71">
              <w:rPr>
                <w:color w:val="000000"/>
                <w:sz w:val="20"/>
                <w:szCs w:val="19"/>
              </w:rPr>
              <w:t>3.68</w:t>
            </w:r>
          </w:p>
        </w:tc>
        <w:tc>
          <w:tcPr>
            <w:tcW w:w="900" w:type="dxa"/>
            <w:noWrap/>
            <w:tcMar>
              <w:top w:w="0" w:type="dxa"/>
              <w:left w:w="108" w:type="dxa"/>
              <w:bottom w:w="0" w:type="dxa"/>
              <w:right w:w="108" w:type="dxa"/>
            </w:tcMar>
            <w:vAlign w:val="center"/>
            <w:hideMark/>
          </w:tcPr>
          <w:p w14:paraId="3F74FA18" w14:textId="77777777" w:rsidR="00554D00" w:rsidRPr="00311A71" w:rsidRDefault="00554D00">
            <w:pPr>
              <w:spacing w:line="360" w:lineRule="auto"/>
              <w:jc w:val="center"/>
              <w:rPr>
                <w:color w:val="000000"/>
                <w:sz w:val="20"/>
                <w:szCs w:val="19"/>
              </w:rPr>
            </w:pPr>
            <w:r w:rsidRPr="00311A71">
              <w:rPr>
                <w:color w:val="000000"/>
                <w:sz w:val="20"/>
                <w:szCs w:val="19"/>
              </w:rPr>
              <w:t>0.01</w:t>
            </w:r>
          </w:p>
        </w:tc>
        <w:tc>
          <w:tcPr>
            <w:tcW w:w="1620" w:type="dxa"/>
            <w:noWrap/>
            <w:tcMar>
              <w:top w:w="0" w:type="dxa"/>
              <w:left w:w="108" w:type="dxa"/>
              <w:bottom w:w="0" w:type="dxa"/>
              <w:right w:w="108" w:type="dxa"/>
            </w:tcMar>
            <w:vAlign w:val="center"/>
            <w:hideMark/>
          </w:tcPr>
          <w:p w14:paraId="05AB5293" w14:textId="77777777" w:rsidR="00554D00" w:rsidRPr="00311A71" w:rsidRDefault="00554D00">
            <w:pPr>
              <w:spacing w:line="360" w:lineRule="auto"/>
              <w:jc w:val="center"/>
              <w:rPr>
                <w:color w:val="000000"/>
                <w:sz w:val="20"/>
                <w:szCs w:val="19"/>
              </w:rPr>
            </w:pPr>
            <w:r w:rsidRPr="00311A71">
              <w:rPr>
                <w:color w:val="000000"/>
                <w:sz w:val="20"/>
                <w:szCs w:val="19"/>
              </w:rPr>
              <w:t>No</w:t>
            </w:r>
          </w:p>
        </w:tc>
        <w:tc>
          <w:tcPr>
            <w:tcW w:w="990" w:type="dxa"/>
            <w:noWrap/>
            <w:tcMar>
              <w:top w:w="0" w:type="dxa"/>
              <w:left w:w="108" w:type="dxa"/>
              <w:bottom w:w="0" w:type="dxa"/>
              <w:right w:w="108" w:type="dxa"/>
            </w:tcMar>
            <w:vAlign w:val="center"/>
            <w:hideMark/>
          </w:tcPr>
          <w:p w14:paraId="188B7B71" w14:textId="77777777" w:rsidR="00554D00" w:rsidRPr="00311A71" w:rsidRDefault="00554D00">
            <w:pPr>
              <w:spacing w:line="360" w:lineRule="auto"/>
              <w:jc w:val="center"/>
              <w:rPr>
                <w:color w:val="000000"/>
                <w:sz w:val="20"/>
                <w:szCs w:val="19"/>
              </w:rPr>
            </w:pPr>
            <w:r w:rsidRPr="00311A71">
              <w:rPr>
                <w:color w:val="000000"/>
                <w:sz w:val="20"/>
                <w:szCs w:val="19"/>
              </w:rPr>
              <w:t>2.79</w:t>
            </w:r>
          </w:p>
        </w:tc>
        <w:tc>
          <w:tcPr>
            <w:tcW w:w="990" w:type="dxa"/>
            <w:noWrap/>
            <w:tcMar>
              <w:top w:w="0" w:type="dxa"/>
              <w:left w:w="108" w:type="dxa"/>
              <w:bottom w:w="0" w:type="dxa"/>
              <w:right w:w="108" w:type="dxa"/>
            </w:tcMar>
            <w:vAlign w:val="center"/>
            <w:hideMark/>
          </w:tcPr>
          <w:p w14:paraId="3A0B4DB5" w14:textId="77777777" w:rsidR="00554D00" w:rsidRPr="00311A71" w:rsidRDefault="00554D00">
            <w:pPr>
              <w:spacing w:line="360" w:lineRule="auto"/>
              <w:jc w:val="center"/>
              <w:rPr>
                <w:color w:val="000000"/>
                <w:sz w:val="20"/>
                <w:szCs w:val="19"/>
              </w:rPr>
            </w:pPr>
            <w:r w:rsidRPr="00311A71">
              <w:rPr>
                <w:color w:val="000000"/>
                <w:sz w:val="20"/>
                <w:szCs w:val="19"/>
              </w:rPr>
              <w:t>0.47</w:t>
            </w:r>
          </w:p>
        </w:tc>
        <w:tc>
          <w:tcPr>
            <w:tcW w:w="1350" w:type="dxa"/>
            <w:noWrap/>
            <w:tcMar>
              <w:top w:w="0" w:type="dxa"/>
              <w:left w:w="108" w:type="dxa"/>
              <w:bottom w:w="0" w:type="dxa"/>
              <w:right w:w="108" w:type="dxa"/>
            </w:tcMar>
            <w:vAlign w:val="center"/>
            <w:hideMark/>
          </w:tcPr>
          <w:p w14:paraId="5EB0E04F" w14:textId="77777777" w:rsidR="00554D00" w:rsidRPr="00311A71" w:rsidRDefault="00554D00">
            <w:pPr>
              <w:spacing w:line="360" w:lineRule="auto"/>
              <w:jc w:val="center"/>
              <w:rPr>
                <w:color w:val="000000"/>
                <w:sz w:val="20"/>
                <w:szCs w:val="19"/>
              </w:rPr>
            </w:pPr>
            <w:r w:rsidRPr="00311A71">
              <w:rPr>
                <w:color w:val="000000"/>
                <w:sz w:val="20"/>
                <w:szCs w:val="19"/>
              </w:rPr>
              <w:t>0.17</w:t>
            </w:r>
          </w:p>
        </w:tc>
        <w:tc>
          <w:tcPr>
            <w:tcW w:w="1260" w:type="dxa"/>
            <w:noWrap/>
            <w:tcMar>
              <w:top w:w="0" w:type="dxa"/>
              <w:left w:w="108" w:type="dxa"/>
              <w:bottom w:w="0" w:type="dxa"/>
              <w:right w:w="108" w:type="dxa"/>
            </w:tcMar>
            <w:vAlign w:val="center"/>
            <w:hideMark/>
          </w:tcPr>
          <w:p w14:paraId="429A2272" w14:textId="77777777" w:rsidR="00554D00" w:rsidRPr="00311A71" w:rsidRDefault="00554D00">
            <w:pPr>
              <w:spacing w:line="360" w:lineRule="auto"/>
              <w:jc w:val="center"/>
              <w:rPr>
                <w:color w:val="000000"/>
                <w:sz w:val="20"/>
                <w:szCs w:val="19"/>
              </w:rPr>
            </w:pPr>
            <w:r w:rsidRPr="00311A71">
              <w:rPr>
                <w:color w:val="000000"/>
                <w:sz w:val="20"/>
                <w:szCs w:val="19"/>
              </w:rPr>
              <w:t>No</w:t>
            </w:r>
          </w:p>
        </w:tc>
        <w:tc>
          <w:tcPr>
            <w:tcW w:w="1260" w:type="dxa"/>
          </w:tcPr>
          <w:p w14:paraId="0681A1B0" w14:textId="0B3BA196" w:rsidR="00554D00" w:rsidRPr="00311A71" w:rsidRDefault="00554D00">
            <w:pPr>
              <w:spacing w:line="360" w:lineRule="auto"/>
              <w:jc w:val="center"/>
              <w:rPr>
                <w:color w:val="000000"/>
                <w:sz w:val="20"/>
                <w:szCs w:val="19"/>
              </w:rPr>
            </w:pPr>
            <w:r w:rsidRPr="00311A71">
              <w:rPr>
                <w:color w:val="000000"/>
                <w:sz w:val="20"/>
                <w:szCs w:val="19"/>
              </w:rPr>
              <w:t>No</w:t>
            </w:r>
          </w:p>
        </w:tc>
        <w:tc>
          <w:tcPr>
            <w:tcW w:w="2160" w:type="dxa"/>
            <w:tcMar>
              <w:top w:w="0" w:type="dxa"/>
              <w:left w:w="108" w:type="dxa"/>
              <w:bottom w:w="0" w:type="dxa"/>
              <w:right w:w="108" w:type="dxa"/>
            </w:tcMar>
            <w:vAlign w:val="center"/>
            <w:hideMark/>
          </w:tcPr>
          <w:p w14:paraId="5BB44718" w14:textId="0F568D91" w:rsidR="00554D00" w:rsidRPr="00311A71" w:rsidRDefault="00554D00">
            <w:pPr>
              <w:spacing w:line="360" w:lineRule="auto"/>
              <w:jc w:val="center"/>
              <w:rPr>
                <w:color w:val="000000"/>
                <w:sz w:val="20"/>
                <w:szCs w:val="19"/>
              </w:rPr>
            </w:pPr>
            <w:r w:rsidRPr="00311A71">
              <w:rPr>
                <w:color w:val="000000"/>
                <w:sz w:val="20"/>
                <w:szCs w:val="19"/>
              </w:rPr>
              <w:t xml:space="preserve">Median (IQR) 0.793 </w:t>
            </w:r>
            <w:r w:rsidRPr="00311A71">
              <w:rPr>
                <w:color w:val="000000"/>
                <w:sz w:val="20"/>
                <w:szCs w:val="19"/>
              </w:rPr>
              <w:br/>
              <w:t>(0.695-0.878)</w:t>
            </w:r>
          </w:p>
        </w:tc>
      </w:tr>
      <w:tr w:rsidR="00554D00" w:rsidRPr="00554D00" w14:paraId="48E79D13" w14:textId="77777777" w:rsidTr="001A42BB">
        <w:trPr>
          <w:trHeight w:val="240"/>
        </w:trPr>
        <w:tc>
          <w:tcPr>
            <w:tcW w:w="1141" w:type="dxa"/>
            <w:shd w:val="clear" w:color="auto" w:fill="FFFFFF"/>
            <w:noWrap/>
            <w:tcMar>
              <w:top w:w="0" w:type="dxa"/>
              <w:left w:w="108" w:type="dxa"/>
              <w:bottom w:w="0" w:type="dxa"/>
              <w:right w:w="108" w:type="dxa"/>
            </w:tcMar>
            <w:hideMark/>
          </w:tcPr>
          <w:p w14:paraId="52602AB6" w14:textId="6702D3DC" w:rsidR="00554D00" w:rsidRPr="00311A71" w:rsidRDefault="00554D00" w:rsidP="00554D00">
            <w:pPr>
              <w:spacing w:line="360" w:lineRule="auto"/>
              <w:rPr>
                <w:color w:val="000000"/>
                <w:sz w:val="20"/>
                <w:szCs w:val="19"/>
              </w:rPr>
            </w:pPr>
            <w:r w:rsidRPr="00311A71">
              <w:rPr>
                <w:color w:val="000000"/>
                <w:sz w:val="20"/>
                <w:szCs w:val="19"/>
              </w:rPr>
              <w:t>EC</w:t>
            </w:r>
          </w:p>
        </w:tc>
        <w:tc>
          <w:tcPr>
            <w:tcW w:w="929" w:type="dxa"/>
            <w:noWrap/>
            <w:tcMar>
              <w:top w:w="0" w:type="dxa"/>
              <w:left w:w="108" w:type="dxa"/>
              <w:bottom w:w="0" w:type="dxa"/>
              <w:right w:w="108" w:type="dxa"/>
            </w:tcMar>
            <w:vAlign w:val="bottom"/>
            <w:hideMark/>
          </w:tcPr>
          <w:p w14:paraId="4E536F38" w14:textId="77777777" w:rsidR="00554D00" w:rsidRPr="00311A71" w:rsidRDefault="00554D00" w:rsidP="00554D00">
            <w:pPr>
              <w:spacing w:line="360" w:lineRule="auto"/>
              <w:jc w:val="center"/>
              <w:rPr>
                <w:color w:val="000000"/>
                <w:sz w:val="20"/>
                <w:szCs w:val="19"/>
              </w:rPr>
            </w:pPr>
            <w:r w:rsidRPr="00311A71">
              <w:rPr>
                <w:color w:val="000000"/>
                <w:sz w:val="20"/>
                <w:szCs w:val="19"/>
              </w:rPr>
              <w:t>50</w:t>
            </w:r>
          </w:p>
        </w:tc>
        <w:tc>
          <w:tcPr>
            <w:tcW w:w="630" w:type="dxa"/>
            <w:noWrap/>
            <w:tcMar>
              <w:top w:w="0" w:type="dxa"/>
              <w:left w:w="108" w:type="dxa"/>
              <w:bottom w:w="0" w:type="dxa"/>
              <w:right w:w="108" w:type="dxa"/>
            </w:tcMar>
            <w:vAlign w:val="bottom"/>
            <w:hideMark/>
          </w:tcPr>
          <w:p w14:paraId="71DE8EC8" w14:textId="77777777" w:rsidR="00554D00" w:rsidRPr="00311A71" w:rsidRDefault="00554D00" w:rsidP="00554D00">
            <w:pPr>
              <w:spacing w:line="360" w:lineRule="auto"/>
              <w:jc w:val="center"/>
              <w:rPr>
                <w:color w:val="000000"/>
                <w:sz w:val="20"/>
                <w:szCs w:val="19"/>
              </w:rPr>
            </w:pPr>
            <w:r w:rsidRPr="00311A71">
              <w:rPr>
                <w:color w:val="000000"/>
                <w:sz w:val="20"/>
                <w:szCs w:val="19"/>
              </w:rPr>
              <w:t>5183</w:t>
            </w:r>
          </w:p>
        </w:tc>
        <w:tc>
          <w:tcPr>
            <w:tcW w:w="810" w:type="dxa"/>
            <w:noWrap/>
            <w:tcMar>
              <w:top w:w="0" w:type="dxa"/>
              <w:left w:w="108" w:type="dxa"/>
              <w:bottom w:w="0" w:type="dxa"/>
              <w:right w:w="108" w:type="dxa"/>
            </w:tcMar>
            <w:vAlign w:val="bottom"/>
            <w:hideMark/>
          </w:tcPr>
          <w:p w14:paraId="02188DE3" w14:textId="77777777" w:rsidR="00554D00" w:rsidRPr="00311A71" w:rsidRDefault="00554D00" w:rsidP="00554D00">
            <w:pPr>
              <w:spacing w:line="360" w:lineRule="auto"/>
              <w:jc w:val="center"/>
              <w:rPr>
                <w:color w:val="000000"/>
                <w:sz w:val="20"/>
                <w:szCs w:val="19"/>
              </w:rPr>
            </w:pPr>
            <w:r w:rsidRPr="00311A71">
              <w:rPr>
                <w:color w:val="000000"/>
                <w:sz w:val="20"/>
                <w:szCs w:val="19"/>
              </w:rPr>
              <w:t>3.15</w:t>
            </w:r>
          </w:p>
        </w:tc>
        <w:tc>
          <w:tcPr>
            <w:tcW w:w="720" w:type="dxa"/>
            <w:noWrap/>
            <w:tcMar>
              <w:top w:w="0" w:type="dxa"/>
              <w:left w:w="108" w:type="dxa"/>
              <w:bottom w:w="0" w:type="dxa"/>
              <w:right w:w="108" w:type="dxa"/>
            </w:tcMar>
            <w:vAlign w:val="bottom"/>
            <w:hideMark/>
          </w:tcPr>
          <w:p w14:paraId="0308016E" w14:textId="77777777" w:rsidR="00554D00" w:rsidRPr="00311A71" w:rsidRDefault="00554D00" w:rsidP="00554D00">
            <w:pPr>
              <w:spacing w:line="360" w:lineRule="auto"/>
              <w:jc w:val="center"/>
              <w:rPr>
                <w:color w:val="000000"/>
                <w:sz w:val="20"/>
                <w:szCs w:val="19"/>
              </w:rPr>
            </w:pPr>
            <w:r w:rsidRPr="00311A71">
              <w:rPr>
                <w:color w:val="000000"/>
                <w:sz w:val="20"/>
                <w:szCs w:val="19"/>
              </w:rPr>
              <w:t>3.70</w:t>
            </w:r>
          </w:p>
        </w:tc>
        <w:tc>
          <w:tcPr>
            <w:tcW w:w="900" w:type="dxa"/>
            <w:noWrap/>
            <w:tcMar>
              <w:top w:w="0" w:type="dxa"/>
              <w:left w:w="108" w:type="dxa"/>
              <w:bottom w:w="0" w:type="dxa"/>
              <w:right w:w="108" w:type="dxa"/>
            </w:tcMar>
            <w:vAlign w:val="bottom"/>
            <w:hideMark/>
          </w:tcPr>
          <w:p w14:paraId="652B82C5" w14:textId="77777777" w:rsidR="00554D00" w:rsidRPr="00311A71" w:rsidRDefault="00554D00" w:rsidP="00554D00">
            <w:pPr>
              <w:spacing w:line="360" w:lineRule="auto"/>
              <w:jc w:val="center"/>
              <w:rPr>
                <w:color w:val="000000"/>
                <w:sz w:val="20"/>
                <w:szCs w:val="19"/>
              </w:rPr>
            </w:pPr>
            <w:r w:rsidRPr="00311A71">
              <w:rPr>
                <w:color w:val="000000"/>
                <w:sz w:val="20"/>
                <w:szCs w:val="19"/>
              </w:rPr>
              <w:t>0.01</w:t>
            </w:r>
          </w:p>
        </w:tc>
        <w:tc>
          <w:tcPr>
            <w:tcW w:w="1620" w:type="dxa"/>
            <w:noWrap/>
            <w:tcMar>
              <w:top w:w="0" w:type="dxa"/>
              <w:left w:w="108" w:type="dxa"/>
              <w:bottom w:w="0" w:type="dxa"/>
              <w:right w:w="108" w:type="dxa"/>
            </w:tcMar>
            <w:vAlign w:val="bottom"/>
            <w:hideMark/>
          </w:tcPr>
          <w:p w14:paraId="5144BE0A"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990" w:type="dxa"/>
            <w:noWrap/>
            <w:tcMar>
              <w:top w:w="0" w:type="dxa"/>
              <w:left w:w="108" w:type="dxa"/>
              <w:bottom w:w="0" w:type="dxa"/>
              <w:right w:w="108" w:type="dxa"/>
            </w:tcMar>
            <w:vAlign w:val="bottom"/>
            <w:hideMark/>
          </w:tcPr>
          <w:p w14:paraId="553B6F35" w14:textId="77777777" w:rsidR="00554D00" w:rsidRPr="00311A71" w:rsidRDefault="00554D00" w:rsidP="00554D00">
            <w:pPr>
              <w:spacing w:line="360" w:lineRule="auto"/>
              <w:jc w:val="center"/>
              <w:rPr>
                <w:color w:val="000000"/>
                <w:sz w:val="20"/>
                <w:szCs w:val="19"/>
              </w:rPr>
            </w:pPr>
            <w:r w:rsidRPr="00311A71">
              <w:rPr>
                <w:color w:val="000000"/>
                <w:sz w:val="20"/>
                <w:szCs w:val="19"/>
              </w:rPr>
              <w:t>2.75</w:t>
            </w:r>
          </w:p>
        </w:tc>
        <w:tc>
          <w:tcPr>
            <w:tcW w:w="990" w:type="dxa"/>
            <w:noWrap/>
            <w:tcMar>
              <w:top w:w="0" w:type="dxa"/>
              <w:left w:w="108" w:type="dxa"/>
              <w:bottom w:w="0" w:type="dxa"/>
              <w:right w:w="108" w:type="dxa"/>
            </w:tcMar>
            <w:vAlign w:val="bottom"/>
            <w:hideMark/>
          </w:tcPr>
          <w:p w14:paraId="64261B78" w14:textId="77777777" w:rsidR="00554D00" w:rsidRPr="00311A71" w:rsidRDefault="00554D00" w:rsidP="00554D00">
            <w:pPr>
              <w:spacing w:line="360" w:lineRule="auto"/>
              <w:jc w:val="center"/>
              <w:rPr>
                <w:color w:val="000000"/>
                <w:sz w:val="20"/>
                <w:szCs w:val="19"/>
              </w:rPr>
            </w:pPr>
            <w:r w:rsidRPr="00311A71">
              <w:rPr>
                <w:color w:val="000000"/>
                <w:sz w:val="20"/>
                <w:szCs w:val="19"/>
              </w:rPr>
              <w:t>0.51</w:t>
            </w:r>
          </w:p>
        </w:tc>
        <w:tc>
          <w:tcPr>
            <w:tcW w:w="1350" w:type="dxa"/>
            <w:noWrap/>
            <w:tcMar>
              <w:top w:w="0" w:type="dxa"/>
              <w:left w:w="108" w:type="dxa"/>
              <w:bottom w:w="0" w:type="dxa"/>
              <w:right w:w="108" w:type="dxa"/>
            </w:tcMar>
            <w:vAlign w:val="bottom"/>
            <w:hideMark/>
          </w:tcPr>
          <w:p w14:paraId="24F8B4EB" w14:textId="77777777" w:rsidR="00554D00" w:rsidRPr="00311A71" w:rsidRDefault="00554D00" w:rsidP="00554D00">
            <w:pPr>
              <w:spacing w:line="360" w:lineRule="auto"/>
              <w:jc w:val="center"/>
              <w:rPr>
                <w:color w:val="000000"/>
                <w:sz w:val="20"/>
                <w:szCs w:val="19"/>
              </w:rPr>
            </w:pPr>
            <w:r w:rsidRPr="00311A71">
              <w:rPr>
                <w:color w:val="000000"/>
                <w:sz w:val="20"/>
                <w:szCs w:val="19"/>
              </w:rPr>
              <w:t>0.18</w:t>
            </w:r>
          </w:p>
        </w:tc>
        <w:tc>
          <w:tcPr>
            <w:tcW w:w="1260" w:type="dxa"/>
            <w:noWrap/>
            <w:tcMar>
              <w:top w:w="0" w:type="dxa"/>
              <w:left w:w="108" w:type="dxa"/>
              <w:bottom w:w="0" w:type="dxa"/>
              <w:right w:w="108" w:type="dxa"/>
            </w:tcMar>
            <w:vAlign w:val="bottom"/>
            <w:hideMark/>
          </w:tcPr>
          <w:p w14:paraId="74416B8B"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1260" w:type="dxa"/>
          </w:tcPr>
          <w:p w14:paraId="310D637A" w14:textId="0A2E2914"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2160" w:type="dxa"/>
            <w:noWrap/>
            <w:tcMar>
              <w:top w:w="0" w:type="dxa"/>
              <w:left w:w="108" w:type="dxa"/>
              <w:bottom w:w="0" w:type="dxa"/>
              <w:right w:w="108" w:type="dxa"/>
            </w:tcMar>
            <w:vAlign w:val="center"/>
            <w:hideMark/>
          </w:tcPr>
          <w:p w14:paraId="60911673" w14:textId="36247E48" w:rsidR="00554D00" w:rsidRPr="00311A71" w:rsidRDefault="00554D00" w:rsidP="00554D00">
            <w:pPr>
              <w:spacing w:line="360" w:lineRule="auto"/>
              <w:jc w:val="center"/>
              <w:rPr>
                <w:color w:val="000000"/>
                <w:sz w:val="20"/>
                <w:szCs w:val="19"/>
              </w:rPr>
            </w:pPr>
            <w:r w:rsidRPr="00311A71">
              <w:rPr>
                <w:color w:val="000000"/>
                <w:sz w:val="20"/>
                <w:szCs w:val="19"/>
              </w:rPr>
              <w:t>-</w:t>
            </w:r>
          </w:p>
        </w:tc>
      </w:tr>
      <w:tr w:rsidR="00554D00" w:rsidRPr="00554D00" w14:paraId="0BB894E0" w14:textId="77777777" w:rsidTr="001A42BB">
        <w:trPr>
          <w:trHeight w:val="240"/>
        </w:trPr>
        <w:tc>
          <w:tcPr>
            <w:tcW w:w="1141" w:type="dxa"/>
            <w:shd w:val="clear" w:color="auto" w:fill="FFFFFF"/>
            <w:noWrap/>
            <w:tcMar>
              <w:top w:w="0" w:type="dxa"/>
              <w:left w:w="108" w:type="dxa"/>
              <w:bottom w:w="0" w:type="dxa"/>
              <w:right w:w="108" w:type="dxa"/>
            </w:tcMar>
            <w:hideMark/>
          </w:tcPr>
          <w:p w14:paraId="23AD5DF7" w14:textId="317C6155" w:rsidR="00554D00" w:rsidRPr="00311A71" w:rsidRDefault="00554D00" w:rsidP="00554D00">
            <w:pPr>
              <w:spacing w:line="360" w:lineRule="auto"/>
              <w:rPr>
                <w:color w:val="000000"/>
                <w:sz w:val="20"/>
                <w:szCs w:val="19"/>
              </w:rPr>
            </w:pPr>
            <w:r w:rsidRPr="00311A71">
              <w:rPr>
                <w:color w:val="000000"/>
                <w:sz w:val="20"/>
                <w:szCs w:val="19"/>
              </w:rPr>
              <w:t>EC</w:t>
            </w:r>
          </w:p>
        </w:tc>
        <w:tc>
          <w:tcPr>
            <w:tcW w:w="929" w:type="dxa"/>
            <w:noWrap/>
            <w:tcMar>
              <w:top w:w="0" w:type="dxa"/>
              <w:left w:w="108" w:type="dxa"/>
              <w:bottom w:w="0" w:type="dxa"/>
              <w:right w:w="108" w:type="dxa"/>
            </w:tcMar>
            <w:vAlign w:val="bottom"/>
            <w:hideMark/>
          </w:tcPr>
          <w:p w14:paraId="4CFA94BC" w14:textId="77777777" w:rsidR="00554D00" w:rsidRPr="00311A71" w:rsidRDefault="00554D00" w:rsidP="00554D00">
            <w:pPr>
              <w:spacing w:line="360" w:lineRule="auto"/>
              <w:jc w:val="center"/>
              <w:rPr>
                <w:color w:val="000000"/>
                <w:sz w:val="20"/>
                <w:szCs w:val="19"/>
              </w:rPr>
            </w:pPr>
            <w:r w:rsidRPr="00311A71">
              <w:rPr>
                <w:color w:val="000000"/>
                <w:sz w:val="20"/>
                <w:szCs w:val="19"/>
              </w:rPr>
              <w:t>100</w:t>
            </w:r>
          </w:p>
        </w:tc>
        <w:tc>
          <w:tcPr>
            <w:tcW w:w="630" w:type="dxa"/>
            <w:noWrap/>
            <w:tcMar>
              <w:top w:w="0" w:type="dxa"/>
              <w:left w:w="108" w:type="dxa"/>
              <w:bottom w:w="0" w:type="dxa"/>
              <w:right w:w="108" w:type="dxa"/>
            </w:tcMar>
            <w:vAlign w:val="bottom"/>
            <w:hideMark/>
          </w:tcPr>
          <w:p w14:paraId="4428DF7E" w14:textId="77777777" w:rsidR="00554D00" w:rsidRPr="00311A71" w:rsidRDefault="00554D00" w:rsidP="00554D00">
            <w:pPr>
              <w:spacing w:line="360" w:lineRule="auto"/>
              <w:jc w:val="center"/>
              <w:rPr>
                <w:color w:val="000000"/>
                <w:sz w:val="20"/>
                <w:szCs w:val="19"/>
              </w:rPr>
            </w:pPr>
            <w:r w:rsidRPr="00311A71">
              <w:rPr>
                <w:color w:val="000000"/>
                <w:sz w:val="20"/>
                <w:szCs w:val="19"/>
              </w:rPr>
              <w:t>2747</w:t>
            </w:r>
          </w:p>
        </w:tc>
        <w:tc>
          <w:tcPr>
            <w:tcW w:w="810" w:type="dxa"/>
            <w:noWrap/>
            <w:tcMar>
              <w:top w:w="0" w:type="dxa"/>
              <w:left w:w="108" w:type="dxa"/>
              <w:bottom w:w="0" w:type="dxa"/>
              <w:right w:w="108" w:type="dxa"/>
            </w:tcMar>
            <w:vAlign w:val="bottom"/>
            <w:hideMark/>
          </w:tcPr>
          <w:p w14:paraId="6F12AD87" w14:textId="77777777" w:rsidR="00554D00" w:rsidRPr="00311A71" w:rsidRDefault="00554D00" w:rsidP="00554D00">
            <w:pPr>
              <w:spacing w:line="360" w:lineRule="auto"/>
              <w:jc w:val="center"/>
              <w:rPr>
                <w:color w:val="000000"/>
                <w:sz w:val="20"/>
                <w:szCs w:val="19"/>
              </w:rPr>
            </w:pPr>
            <w:r w:rsidRPr="00311A71">
              <w:rPr>
                <w:color w:val="000000"/>
                <w:sz w:val="20"/>
                <w:szCs w:val="19"/>
              </w:rPr>
              <w:t>3.07</w:t>
            </w:r>
          </w:p>
        </w:tc>
        <w:tc>
          <w:tcPr>
            <w:tcW w:w="720" w:type="dxa"/>
            <w:noWrap/>
            <w:tcMar>
              <w:top w:w="0" w:type="dxa"/>
              <w:left w:w="108" w:type="dxa"/>
              <w:bottom w:w="0" w:type="dxa"/>
              <w:right w:w="108" w:type="dxa"/>
            </w:tcMar>
            <w:vAlign w:val="bottom"/>
            <w:hideMark/>
          </w:tcPr>
          <w:p w14:paraId="3A97FC32" w14:textId="77777777" w:rsidR="00554D00" w:rsidRPr="00311A71" w:rsidRDefault="00554D00" w:rsidP="00554D00">
            <w:pPr>
              <w:spacing w:line="360" w:lineRule="auto"/>
              <w:jc w:val="center"/>
              <w:rPr>
                <w:color w:val="000000"/>
                <w:sz w:val="20"/>
                <w:szCs w:val="19"/>
              </w:rPr>
            </w:pPr>
            <w:r w:rsidRPr="00311A71">
              <w:rPr>
                <w:color w:val="000000"/>
                <w:sz w:val="20"/>
                <w:szCs w:val="19"/>
              </w:rPr>
              <w:t>3.64</w:t>
            </w:r>
          </w:p>
        </w:tc>
        <w:tc>
          <w:tcPr>
            <w:tcW w:w="900" w:type="dxa"/>
            <w:noWrap/>
            <w:tcMar>
              <w:top w:w="0" w:type="dxa"/>
              <w:left w:w="108" w:type="dxa"/>
              <w:bottom w:w="0" w:type="dxa"/>
              <w:right w:w="108" w:type="dxa"/>
            </w:tcMar>
            <w:vAlign w:val="bottom"/>
            <w:hideMark/>
          </w:tcPr>
          <w:p w14:paraId="73B2D038" w14:textId="77777777" w:rsidR="00554D00" w:rsidRPr="00311A71" w:rsidRDefault="00554D00" w:rsidP="00554D00">
            <w:pPr>
              <w:spacing w:line="360" w:lineRule="auto"/>
              <w:jc w:val="center"/>
              <w:rPr>
                <w:color w:val="000000"/>
                <w:sz w:val="20"/>
                <w:szCs w:val="19"/>
              </w:rPr>
            </w:pPr>
            <w:r w:rsidRPr="00311A71">
              <w:rPr>
                <w:color w:val="000000"/>
                <w:sz w:val="20"/>
                <w:szCs w:val="19"/>
              </w:rPr>
              <w:t>0.01</w:t>
            </w:r>
          </w:p>
        </w:tc>
        <w:tc>
          <w:tcPr>
            <w:tcW w:w="1620" w:type="dxa"/>
            <w:noWrap/>
            <w:tcMar>
              <w:top w:w="0" w:type="dxa"/>
              <w:left w:w="108" w:type="dxa"/>
              <w:bottom w:w="0" w:type="dxa"/>
              <w:right w:w="108" w:type="dxa"/>
            </w:tcMar>
            <w:vAlign w:val="bottom"/>
            <w:hideMark/>
          </w:tcPr>
          <w:p w14:paraId="2DEAEE2E"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990" w:type="dxa"/>
            <w:noWrap/>
            <w:tcMar>
              <w:top w:w="0" w:type="dxa"/>
              <w:left w:w="108" w:type="dxa"/>
              <w:bottom w:w="0" w:type="dxa"/>
              <w:right w:w="108" w:type="dxa"/>
            </w:tcMar>
            <w:vAlign w:val="bottom"/>
            <w:hideMark/>
          </w:tcPr>
          <w:p w14:paraId="28C01BAD" w14:textId="77777777" w:rsidR="00554D00" w:rsidRPr="00311A71" w:rsidRDefault="00554D00" w:rsidP="00554D00">
            <w:pPr>
              <w:spacing w:line="360" w:lineRule="auto"/>
              <w:jc w:val="center"/>
              <w:rPr>
                <w:color w:val="000000"/>
                <w:sz w:val="20"/>
                <w:szCs w:val="19"/>
              </w:rPr>
            </w:pPr>
            <w:r w:rsidRPr="00311A71">
              <w:rPr>
                <w:color w:val="000000"/>
                <w:sz w:val="20"/>
                <w:szCs w:val="19"/>
              </w:rPr>
              <w:t>2.66</w:t>
            </w:r>
          </w:p>
        </w:tc>
        <w:tc>
          <w:tcPr>
            <w:tcW w:w="990" w:type="dxa"/>
            <w:noWrap/>
            <w:tcMar>
              <w:top w:w="0" w:type="dxa"/>
              <w:left w:w="108" w:type="dxa"/>
              <w:bottom w:w="0" w:type="dxa"/>
              <w:right w:w="108" w:type="dxa"/>
            </w:tcMar>
            <w:vAlign w:val="bottom"/>
            <w:hideMark/>
          </w:tcPr>
          <w:p w14:paraId="6CF281D4" w14:textId="77777777" w:rsidR="00554D00" w:rsidRPr="00311A71" w:rsidRDefault="00554D00" w:rsidP="00554D00">
            <w:pPr>
              <w:spacing w:line="360" w:lineRule="auto"/>
              <w:jc w:val="center"/>
              <w:rPr>
                <w:color w:val="000000"/>
                <w:sz w:val="20"/>
                <w:szCs w:val="19"/>
              </w:rPr>
            </w:pPr>
            <w:r w:rsidRPr="00311A71">
              <w:rPr>
                <w:color w:val="000000"/>
                <w:sz w:val="20"/>
                <w:szCs w:val="19"/>
              </w:rPr>
              <w:t>0.53</w:t>
            </w:r>
          </w:p>
        </w:tc>
        <w:tc>
          <w:tcPr>
            <w:tcW w:w="1350" w:type="dxa"/>
            <w:noWrap/>
            <w:tcMar>
              <w:top w:w="0" w:type="dxa"/>
              <w:left w:w="108" w:type="dxa"/>
              <w:bottom w:w="0" w:type="dxa"/>
              <w:right w:w="108" w:type="dxa"/>
            </w:tcMar>
            <w:vAlign w:val="bottom"/>
            <w:hideMark/>
          </w:tcPr>
          <w:p w14:paraId="2E6B94E2" w14:textId="77777777" w:rsidR="00554D00" w:rsidRPr="00311A71" w:rsidRDefault="00554D00" w:rsidP="00554D00">
            <w:pPr>
              <w:spacing w:line="360" w:lineRule="auto"/>
              <w:jc w:val="center"/>
              <w:rPr>
                <w:color w:val="000000"/>
                <w:sz w:val="20"/>
                <w:szCs w:val="19"/>
              </w:rPr>
            </w:pPr>
            <w:r w:rsidRPr="00311A71">
              <w:rPr>
                <w:color w:val="000000"/>
                <w:sz w:val="20"/>
                <w:szCs w:val="19"/>
              </w:rPr>
              <w:t>0.20</w:t>
            </w:r>
          </w:p>
        </w:tc>
        <w:tc>
          <w:tcPr>
            <w:tcW w:w="1260" w:type="dxa"/>
            <w:noWrap/>
            <w:tcMar>
              <w:top w:w="0" w:type="dxa"/>
              <w:left w:w="108" w:type="dxa"/>
              <w:bottom w:w="0" w:type="dxa"/>
              <w:right w:w="108" w:type="dxa"/>
            </w:tcMar>
            <w:vAlign w:val="bottom"/>
            <w:hideMark/>
          </w:tcPr>
          <w:p w14:paraId="703B671C"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1260" w:type="dxa"/>
          </w:tcPr>
          <w:p w14:paraId="56F10C9A" w14:textId="27EA957F"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2160" w:type="dxa"/>
            <w:noWrap/>
            <w:tcMar>
              <w:top w:w="0" w:type="dxa"/>
              <w:left w:w="108" w:type="dxa"/>
              <w:bottom w:w="0" w:type="dxa"/>
              <w:right w:w="108" w:type="dxa"/>
            </w:tcMar>
            <w:vAlign w:val="center"/>
            <w:hideMark/>
          </w:tcPr>
          <w:p w14:paraId="4C61CC7E" w14:textId="69AE188F" w:rsidR="00554D00" w:rsidRPr="00311A71" w:rsidRDefault="00554D00" w:rsidP="00554D00">
            <w:pPr>
              <w:spacing w:line="360" w:lineRule="auto"/>
              <w:jc w:val="center"/>
              <w:rPr>
                <w:color w:val="000000"/>
                <w:sz w:val="20"/>
                <w:szCs w:val="19"/>
              </w:rPr>
            </w:pPr>
            <w:r w:rsidRPr="00311A71">
              <w:rPr>
                <w:color w:val="000000"/>
                <w:sz w:val="20"/>
                <w:szCs w:val="19"/>
              </w:rPr>
              <w:t>-</w:t>
            </w:r>
          </w:p>
        </w:tc>
      </w:tr>
      <w:tr w:rsidR="00554D00" w:rsidRPr="00554D00" w14:paraId="0B53C4A7" w14:textId="77777777" w:rsidTr="001A42BB">
        <w:trPr>
          <w:trHeight w:val="240"/>
        </w:trPr>
        <w:tc>
          <w:tcPr>
            <w:tcW w:w="1141" w:type="dxa"/>
            <w:shd w:val="clear" w:color="auto" w:fill="FFFFFF"/>
            <w:noWrap/>
            <w:tcMar>
              <w:top w:w="0" w:type="dxa"/>
              <w:left w:w="108" w:type="dxa"/>
              <w:bottom w:w="0" w:type="dxa"/>
              <w:right w:w="108" w:type="dxa"/>
            </w:tcMar>
            <w:hideMark/>
          </w:tcPr>
          <w:p w14:paraId="3E0247D8" w14:textId="4C229558" w:rsidR="00554D00" w:rsidRPr="00311A71" w:rsidRDefault="00554D00" w:rsidP="00554D00">
            <w:pPr>
              <w:spacing w:line="360" w:lineRule="auto"/>
              <w:rPr>
                <w:color w:val="000000"/>
                <w:sz w:val="20"/>
                <w:szCs w:val="19"/>
              </w:rPr>
            </w:pPr>
            <w:r w:rsidRPr="00311A71">
              <w:rPr>
                <w:color w:val="000000"/>
                <w:sz w:val="20"/>
                <w:szCs w:val="19"/>
              </w:rPr>
              <w:t>EC</w:t>
            </w:r>
          </w:p>
        </w:tc>
        <w:tc>
          <w:tcPr>
            <w:tcW w:w="929" w:type="dxa"/>
            <w:noWrap/>
            <w:tcMar>
              <w:top w:w="0" w:type="dxa"/>
              <w:left w:w="108" w:type="dxa"/>
              <w:bottom w:w="0" w:type="dxa"/>
              <w:right w:w="108" w:type="dxa"/>
            </w:tcMar>
            <w:vAlign w:val="bottom"/>
            <w:hideMark/>
          </w:tcPr>
          <w:p w14:paraId="788AEE8D" w14:textId="77777777" w:rsidR="00554D00" w:rsidRPr="00311A71" w:rsidRDefault="00554D00" w:rsidP="00554D00">
            <w:pPr>
              <w:spacing w:line="360" w:lineRule="auto"/>
              <w:jc w:val="center"/>
              <w:rPr>
                <w:color w:val="000000"/>
                <w:sz w:val="20"/>
                <w:szCs w:val="19"/>
              </w:rPr>
            </w:pPr>
            <w:r w:rsidRPr="00311A71">
              <w:rPr>
                <w:color w:val="000000"/>
                <w:sz w:val="20"/>
                <w:szCs w:val="19"/>
              </w:rPr>
              <w:t>200</w:t>
            </w:r>
          </w:p>
        </w:tc>
        <w:tc>
          <w:tcPr>
            <w:tcW w:w="630" w:type="dxa"/>
            <w:noWrap/>
            <w:tcMar>
              <w:top w:w="0" w:type="dxa"/>
              <w:left w:w="108" w:type="dxa"/>
              <w:bottom w:w="0" w:type="dxa"/>
              <w:right w:w="108" w:type="dxa"/>
            </w:tcMar>
            <w:vAlign w:val="bottom"/>
            <w:hideMark/>
          </w:tcPr>
          <w:p w14:paraId="04EE8333" w14:textId="77777777" w:rsidR="00554D00" w:rsidRPr="00311A71" w:rsidRDefault="00554D00" w:rsidP="00554D00">
            <w:pPr>
              <w:spacing w:line="360" w:lineRule="auto"/>
              <w:jc w:val="center"/>
              <w:rPr>
                <w:color w:val="000000"/>
                <w:sz w:val="20"/>
                <w:szCs w:val="19"/>
              </w:rPr>
            </w:pPr>
            <w:r w:rsidRPr="00311A71">
              <w:rPr>
                <w:color w:val="000000"/>
                <w:sz w:val="20"/>
                <w:szCs w:val="19"/>
              </w:rPr>
              <w:t>1056</w:t>
            </w:r>
          </w:p>
        </w:tc>
        <w:tc>
          <w:tcPr>
            <w:tcW w:w="810" w:type="dxa"/>
            <w:noWrap/>
            <w:tcMar>
              <w:top w:w="0" w:type="dxa"/>
              <w:left w:w="108" w:type="dxa"/>
              <w:bottom w:w="0" w:type="dxa"/>
              <w:right w:w="108" w:type="dxa"/>
            </w:tcMar>
            <w:vAlign w:val="bottom"/>
            <w:hideMark/>
          </w:tcPr>
          <w:p w14:paraId="4D2BE543" w14:textId="77777777" w:rsidR="00554D00" w:rsidRPr="00311A71" w:rsidRDefault="00554D00" w:rsidP="00554D00">
            <w:pPr>
              <w:spacing w:line="360" w:lineRule="auto"/>
              <w:jc w:val="center"/>
              <w:rPr>
                <w:color w:val="000000"/>
                <w:sz w:val="20"/>
                <w:szCs w:val="19"/>
              </w:rPr>
            </w:pPr>
            <w:r w:rsidRPr="00311A71">
              <w:rPr>
                <w:color w:val="000000"/>
                <w:sz w:val="20"/>
                <w:szCs w:val="19"/>
              </w:rPr>
              <w:t>2.93</w:t>
            </w:r>
          </w:p>
        </w:tc>
        <w:tc>
          <w:tcPr>
            <w:tcW w:w="720" w:type="dxa"/>
            <w:noWrap/>
            <w:tcMar>
              <w:top w:w="0" w:type="dxa"/>
              <w:left w:w="108" w:type="dxa"/>
              <w:bottom w:w="0" w:type="dxa"/>
              <w:right w:w="108" w:type="dxa"/>
            </w:tcMar>
            <w:vAlign w:val="bottom"/>
            <w:hideMark/>
          </w:tcPr>
          <w:p w14:paraId="28071BD9" w14:textId="77777777" w:rsidR="00554D00" w:rsidRPr="00311A71" w:rsidRDefault="00554D00" w:rsidP="00554D00">
            <w:pPr>
              <w:spacing w:line="360" w:lineRule="auto"/>
              <w:jc w:val="center"/>
              <w:rPr>
                <w:color w:val="000000"/>
                <w:sz w:val="20"/>
                <w:szCs w:val="19"/>
              </w:rPr>
            </w:pPr>
            <w:r w:rsidRPr="00311A71">
              <w:rPr>
                <w:color w:val="000000"/>
                <w:sz w:val="20"/>
                <w:szCs w:val="19"/>
              </w:rPr>
              <w:t>3.46</w:t>
            </w:r>
          </w:p>
        </w:tc>
        <w:tc>
          <w:tcPr>
            <w:tcW w:w="900" w:type="dxa"/>
            <w:noWrap/>
            <w:tcMar>
              <w:top w:w="0" w:type="dxa"/>
              <w:left w:w="108" w:type="dxa"/>
              <w:bottom w:w="0" w:type="dxa"/>
              <w:right w:w="108" w:type="dxa"/>
            </w:tcMar>
            <w:vAlign w:val="bottom"/>
            <w:hideMark/>
          </w:tcPr>
          <w:p w14:paraId="33C42BE0" w14:textId="77777777" w:rsidR="00554D00" w:rsidRPr="00311A71" w:rsidRDefault="00554D00" w:rsidP="00554D00">
            <w:pPr>
              <w:spacing w:line="360" w:lineRule="auto"/>
              <w:jc w:val="center"/>
              <w:rPr>
                <w:color w:val="000000"/>
                <w:sz w:val="20"/>
                <w:szCs w:val="19"/>
              </w:rPr>
            </w:pPr>
            <w:r w:rsidRPr="00311A71">
              <w:rPr>
                <w:color w:val="000000"/>
                <w:sz w:val="20"/>
                <w:szCs w:val="19"/>
              </w:rPr>
              <w:t>0.02</w:t>
            </w:r>
          </w:p>
        </w:tc>
        <w:tc>
          <w:tcPr>
            <w:tcW w:w="1620" w:type="dxa"/>
            <w:noWrap/>
            <w:tcMar>
              <w:top w:w="0" w:type="dxa"/>
              <w:left w:w="108" w:type="dxa"/>
              <w:bottom w:w="0" w:type="dxa"/>
              <w:right w:w="108" w:type="dxa"/>
            </w:tcMar>
            <w:vAlign w:val="bottom"/>
            <w:hideMark/>
          </w:tcPr>
          <w:p w14:paraId="07D3F444"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990" w:type="dxa"/>
            <w:noWrap/>
            <w:tcMar>
              <w:top w:w="0" w:type="dxa"/>
              <w:left w:w="108" w:type="dxa"/>
              <w:bottom w:w="0" w:type="dxa"/>
              <w:right w:w="108" w:type="dxa"/>
            </w:tcMar>
            <w:vAlign w:val="bottom"/>
            <w:hideMark/>
          </w:tcPr>
          <w:p w14:paraId="694E778B" w14:textId="77777777" w:rsidR="00554D00" w:rsidRPr="00311A71" w:rsidRDefault="00554D00" w:rsidP="00554D00">
            <w:pPr>
              <w:spacing w:line="360" w:lineRule="auto"/>
              <w:jc w:val="center"/>
              <w:rPr>
                <w:color w:val="000000"/>
                <w:sz w:val="20"/>
                <w:szCs w:val="19"/>
              </w:rPr>
            </w:pPr>
            <w:r w:rsidRPr="00311A71">
              <w:rPr>
                <w:color w:val="000000"/>
                <w:sz w:val="20"/>
                <w:szCs w:val="19"/>
              </w:rPr>
              <w:t>2.49</w:t>
            </w:r>
          </w:p>
        </w:tc>
        <w:tc>
          <w:tcPr>
            <w:tcW w:w="990" w:type="dxa"/>
            <w:noWrap/>
            <w:tcMar>
              <w:top w:w="0" w:type="dxa"/>
              <w:left w:w="108" w:type="dxa"/>
              <w:bottom w:w="0" w:type="dxa"/>
              <w:right w:w="108" w:type="dxa"/>
            </w:tcMar>
            <w:vAlign w:val="bottom"/>
            <w:hideMark/>
          </w:tcPr>
          <w:p w14:paraId="024CFB19" w14:textId="77777777" w:rsidR="00554D00" w:rsidRPr="00311A71" w:rsidRDefault="00554D00" w:rsidP="00554D00">
            <w:pPr>
              <w:spacing w:line="360" w:lineRule="auto"/>
              <w:jc w:val="center"/>
              <w:rPr>
                <w:color w:val="000000"/>
                <w:sz w:val="20"/>
                <w:szCs w:val="19"/>
              </w:rPr>
            </w:pPr>
            <w:r w:rsidRPr="00311A71">
              <w:rPr>
                <w:color w:val="000000"/>
                <w:sz w:val="20"/>
                <w:szCs w:val="19"/>
              </w:rPr>
              <w:t>0.53</w:t>
            </w:r>
          </w:p>
        </w:tc>
        <w:tc>
          <w:tcPr>
            <w:tcW w:w="1350" w:type="dxa"/>
            <w:noWrap/>
            <w:tcMar>
              <w:top w:w="0" w:type="dxa"/>
              <w:left w:w="108" w:type="dxa"/>
              <w:bottom w:w="0" w:type="dxa"/>
              <w:right w:w="108" w:type="dxa"/>
            </w:tcMar>
            <w:vAlign w:val="bottom"/>
            <w:hideMark/>
          </w:tcPr>
          <w:p w14:paraId="5E499B43" w14:textId="77777777" w:rsidR="00554D00" w:rsidRPr="00311A71" w:rsidRDefault="00554D00" w:rsidP="00554D00">
            <w:pPr>
              <w:spacing w:line="360" w:lineRule="auto"/>
              <w:jc w:val="center"/>
              <w:rPr>
                <w:color w:val="000000"/>
                <w:sz w:val="20"/>
                <w:szCs w:val="19"/>
              </w:rPr>
            </w:pPr>
            <w:r w:rsidRPr="00311A71">
              <w:rPr>
                <w:color w:val="000000"/>
                <w:sz w:val="20"/>
                <w:szCs w:val="19"/>
              </w:rPr>
              <w:t>0.21</w:t>
            </w:r>
          </w:p>
        </w:tc>
        <w:tc>
          <w:tcPr>
            <w:tcW w:w="1260" w:type="dxa"/>
            <w:noWrap/>
            <w:tcMar>
              <w:top w:w="0" w:type="dxa"/>
              <w:left w:w="108" w:type="dxa"/>
              <w:bottom w:w="0" w:type="dxa"/>
              <w:right w:w="108" w:type="dxa"/>
            </w:tcMar>
            <w:vAlign w:val="bottom"/>
            <w:hideMark/>
          </w:tcPr>
          <w:p w14:paraId="48D6477D"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1260" w:type="dxa"/>
          </w:tcPr>
          <w:p w14:paraId="78A43FC7" w14:textId="6D75E993"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2160" w:type="dxa"/>
            <w:noWrap/>
            <w:tcMar>
              <w:top w:w="0" w:type="dxa"/>
              <w:left w:w="108" w:type="dxa"/>
              <w:bottom w:w="0" w:type="dxa"/>
              <w:right w:w="108" w:type="dxa"/>
            </w:tcMar>
            <w:vAlign w:val="center"/>
            <w:hideMark/>
          </w:tcPr>
          <w:p w14:paraId="7F1A42A7" w14:textId="787D43F0" w:rsidR="00554D00" w:rsidRPr="00311A71" w:rsidRDefault="00554D00" w:rsidP="00554D00">
            <w:pPr>
              <w:spacing w:line="360" w:lineRule="auto"/>
              <w:jc w:val="center"/>
              <w:rPr>
                <w:color w:val="000000"/>
                <w:sz w:val="20"/>
                <w:szCs w:val="19"/>
              </w:rPr>
            </w:pPr>
            <w:r w:rsidRPr="00311A71">
              <w:rPr>
                <w:color w:val="000000"/>
                <w:sz w:val="20"/>
                <w:szCs w:val="19"/>
              </w:rPr>
              <w:t>-</w:t>
            </w:r>
          </w:p>
        </w:tc>
      </w:tr>
      <w:tr w:rsidR="00554D00" w:rsidRPr="00554D00" w14:paraId="4A17DFA8" w14:textId="77777777" w:rsidTr="001A42BB">
        <w:trPr>
          <w:trHeight w:val="495"/>
        </w:trPr>
        <w:tc>
          <w:tcPr>
            <w:tcW w:w="1141" w:type="dxa"/>
            <w:shd w:val="clear" w:color="auto" w:fill="FFFFFF"/>
            <w:noWrap/>
            <w:tcMar>
              <w:top w:w="0" w:type="dxa"/>
              <w:left w:w="108" w:type="dxa"/>
              <w:bottom w:w="0" w:type="dxa"/>
              <w:right w:w="108" w:type="dxa"/>
            </w:tcMar>
            <w:vAlign w:val="center"/>
            <w:hideMark/>
          </w:tcPr>
          <w:p w14:paraId="0B5FE1A8" w14:textId="32653976" w:rsidR="00554D00" w:rsidRPr="00311A71" w:rsidRDefault="00554D00" w:rsidP="00554D00">
            <w:pPr>
              <w:spacing w:line="360" w:lineRule="auto"/>
              <w:rPr>
                <w:color w:val="000000"/>
                <w:sz w:val="20"/>
                <w:szCs w:val="19"/>
              </w:rPr>
            </w:pPr>
            <w:r w:rsidRPr="00311A71">
              <w:rPr>
                <w:color w:val="000000"/>
                <w:sz w:val="20"/>
                <w:szCs w:val="19"/>
              </w:rPr>
              <w:t>ECG</w:t>
            </w:r>
          </w:p>
        </w:tc>
        <w:tc>
          <w:tcPr>
            <w:tcW w:w="929" w:type="dxa"/>
            <w:noWrap/>
            <w:tcMar>
              <w:top w:w="0" w:type="dxa"/>
              <w:left w:w="108" w:type="dxa"/>
              <w:bottom w:w="0" w:type="dxa"/>
              <w:right w:w="108" w:type="dxa"/>
            </w:tcMar>
            <w:vAlign w:val="center"/>
            <w:hideMark/>
          </w:tcPr>
          <w:p w14:paraId="7860B029" w14:textId="77777777" w:rsidR="00554D00" w:rsidRPr="00311A71" w:rsidRDefault="00554D00" w:rsidP="00554D00">
            <w:pPr>
              <w:spacing w:line="360" w:lineRule="auto"/>
              <w:jc w:val="center"/>
              <w:rPr>
                <w:color w:val="000000"/>
                <w:sz w:val="20"/>
                <w:szCs w:val="19"/>
              </w:rPr>
            </w:pPr>
            <w:r w:rsidRPr="00311A71">
              <w:rPr>
                <w:color w:val="000000"/>
                <w:sz w:val="20"/>
                <w:szCs w:val="19"/>
              </w:rPr>
              <w:t>25</w:t>
            </w:r>
          </w:p>
        </w:tc>
        <w:tc>
          <w:tcPr>
            <w:tcW w:w="630" w:type="dxa"/>
            <w:noWrap/>
            <w:tcMar>
              <w:top w:w="0" w:type="dxa"/>
              <w:left w:w="108" w:type="dxa"/>
              <w:bottom w:w="0" w:type="dxa"/>
              <w:right w:w="108" w:type="dxa"/>
            </w:tcMar>
            <w:vAlign w:val="center"/>
            <w:hideMark/>
          </w:tcPr>
          <w:p w14:paraId="305315B3" w14:textId="77777777" w:rsidR="00554D00" w:rsidRPr="00311A71" w:rsidRDefault="00554D00" w:rsidP="00554D00">
            <w:pPr>
              <w:spacing w:line="360" w:lineRule="auto"/>
              <w:jc w:val="center"/>
              <w:rPr>
                <w:color w:val="000000"/>
                <w:sz w:val="20"/>
                <w:szCs w:val="19"/>
              </w:rPr>
            </w:pPr>
            <w:r w:rsidRPr="00311A71">
              <w:rPr>
                <w:color w:val="000000"/>
                <w:sz w:val="20"/>
                <w:szCs w:val="19"/>
              </w:rPr>
              <w:t>3572</w:t>
            </w:r>
          </w:p>
        </w:tc>
        <w:tc>
          <w:tcPr>
            <w:tcW w:w="810" w:type="dxa"/>
            <w:noWrap/>
            <w:tcMar>
              <w:top w:w="0" w:type="dxa"/>
              <w:left w:w="108" w:type="dxa"/>
              <w:bottom w:w="0" w:type="dxa"/>
              <w:right w:w="108" w:type="dxa"/>
            </w:tcMar>
            <w:vAlign w:val="center"/>
            <w:hideMark/>
          </w:tcPr>
          <w:p w14:paraId="7E7430CA" w14:textId="77777777" w:rsidR="00554D00" w:rsidRPr="00311A71" w:rsidRDefault="00554D00" w:rsidP="00554D00">
            <w:pPr>
              <w:spacing w:line="360" w:lineRule="auto"/>
              <w:jc w:val="center"/>
              <w:rPr>
                <w:color w:val="000000"/>
                <w:sz w:val="20"/>
                <w:szCs w:val="19"/>
              </w:rPr>
            </w:pPr>
            <w:r w:rsidRPr="00311A71">
              <w:rPr>
                <w:color w:val="000000"/>
                <w:sz w:val="20"/>
                <w:szCs w:val="19"/>
              </w:rPr>
              <w:t>3.09</w:t>
            </w:r>
          </w:p>
        </w:tc>
        <w:tc>
          <w:tcPr>
            <w:tcW w:w="720" w:type="dxa"/>
            <w:noWrap/>
            <w:tcMar>
              <w:top w:w="0" w:type="dxa"/>
              <w:left w:w="108" w:type="dxa"/>
              <w:bottom w:w="0" w:type="dxa"/>
              <w:right w:w="108" w:type="dxa"/>
            </w:tcMar>
            <w:vAlign w:val="center"/>
            <w:hideMark/>
          </w:tcPr>
          <w:p w14:paraId="4A80C180" w14:textId="77777777" w:rsidR="00554D00" w:rsidRPr="00311A71" w:rsidRDefault="00554D00" w:rsidP="00554D00">
            <w:pPr>
              <w:spacing w:line="360" w:lineRule="auto"/>
              <w:jc w:val="center"/>
              <w:rPr>
                <w:color w:val="000000"/>
                <w:sz w:val="20"/>
                <w:szCs w:val="19"/>
              </w:rPr>
            </w:pPr>
            <w:r w:rsidRPr="00311A71">
              <w:rPr>
                <w:color w:val="000000"/>
                <w:sz w:val="20"/>
                <w:szCs w:val="19"/>
              </w:rPr>
              <w:t>3.47</w:t>
            </w:r>
          </w:p>
        </w:tc>
        <w:tc>
          <w:tcPr>
            <w:tcW w:w="900" w:type="dxa"/>
            <w:noWrap/>
            <w:tcMar>
              <w:top w:w="0" w:type="dxa"/>
              <w:left w:w="108" w:type="dxa"/>
              <w:bottom w:w="0" w:type="dxa"/>
              <w:right w:w="108" w:type="dxa"/>
            </w:tcMar>
            <w:vAlign w:val="center"/>
            <w:hideMark/>
          </w:tcPr>
          <w:p w14:paraId="488C18C0" w14:textId="77777777" w:rsidR="00554D00" w:rsidRPr="00311A71" w:rsidRDefault="00554D00" w:rsidP="00554D00">
            <w:pPr>
              <w:spacing w:line="360" w:lineRule="auto"/>
              <w:jc w:val="center"/>
              <w:rPr>
                <w:color w:val="000000"/>
                <w:sz w:val="20"/>
                <w:szCs w:val="19"/>
              </w:rPr>
            </w:pPr>
            <w:r w:rsidRPr="00311A71">
              <w:rPr>
                <w:color w:val="000000"/>
                <w:sz w:val="20"/>
                <w:szCs w:val="19"/>
              </w:rPr>
              <w:t>0.01</w:t>
            </w:r>
          </w:p>
        </w:tc>
        <w:tc>
          <w:tcPr>
            <w:tcW w:w="1620" w:type="dxa"/>
            <w:noWrap/>
            <w:tcMar>
              <w:top w:w="0" w:type="dxa"/>
              <w:left w:w="108" w:type="dxa"/>
              <w:bottom w:w="0" w:type="dxa"/>
              <w:right w:w="108" w:type="dxa"/>
            </w:tcMar>
            <w:vAlign w:val="center"/>
            <w:hideMark/>
          </w:tcPr>
          <w:p w14:paraId="419E6201"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990" w:type="dxa"/>
            <w:noWrap/>
            <w:tcMar>
              <w:top w:w="0" w:type="dxa"/>
              <w:left w:w="108" w:type="dxa"/>
              <w:bottom w:w="0" w:type="dxa"/>
              <w:right w:w="108" w:type="dxa"/>
            </w:tcMar>
            <w:vAlign w:val="center"/>
            <w:hideMark/>
          </w:tcPr>
          <w:p w14:paraId="74229B8C" w14:textId="77777777" w:rsidR="00554D00" w:rsidRPr="00311A71" w:rsidRDefault="00554D00" w:rsidP="00554D00">
            <w:pPr>
              <w:spacing w:line="360" w:lineRule="auto"/>
              <w:jc w:val="center"/>
              <w:rPr>
                <w:color w:val="000000"/>
                <w:sz w:val="20"/>
                <w:szCs w:val="19"/>
              </w:rPr>
            </w:pPr>
            <w:r w:rsidRPr="00311A71">
              <w:rPr>
                <w:color w:val="000000"/>
                <w:sz w:val="20"/>
                <w:szCs w:val="19"/>
              </w:rPr>
              <w:t>2.79</w:t>
            </w:r>
          </w:p>
        </w:tc>
        <w:tc>
          <w:tcPr>
            <w:tcW w:w="990" w:type="dxa"/>
            <w:noWrap/>
            <w:tcMar>
              <w:top w:w="0" w:type="dxa"/>
              <w:left w:w="108" w:type="dxa"/>
              <w:bottom w:w="0" w:type="dxa"/>
              <w:right w:w="108" w:type="dxa"/>
            </w:tcMar>
            <w:vAlign w:val="center"/>
            <w:hideMark/>
          </w:tcPr>
          <w:p w14:paraId="6EB64C3B" w14:textId="77777777" w:rsidR="00554D00" w:rsidRPr="00311A71" w:rsidRDefault="00554D00" w:rsidP="00554D00">
            <w:pPr>
              <w:spacing w:line="360" w:lineRule="auto"/>
              <w:jc w:val="center"/>
              <w:rPr>
                <w:color w:val="000000"/>
                <w:sz w:val="20"/>
                <w:szCs w:val="19"/>
              </w:rPr>
            </w:pPr>
            <w:r w:rsidRPr="00311A71">
              <w:rPr>
                <w:color w:val="000000"/>
                <w:sz w:val="20"/>
                <w:szCs w:val="19"/>
              </w:rPr>
              <w:t>0.37</w:t>
            </w:r>
          </w:p>
        </w:tc>
        <w:tc>
          <w:tcPr>
            <w:tcW w:w="1350" w:type="dxa"/>
            <w:noWrap/>
            <w:tcMar>
              <w:top w:w="0" w:type="dxa"/>
              <w:left w:w="108" w:type="dxa"/>
              <w:bottom w:w="0" w:type="dxa"/>
              <w:right w:w="108" w:type="dxa"/>
            </w:tcMar>
            <w:vAlign w:val="center"/>
            <w:hideMark/>
          </w:tcPr>
          <w:p w14:paraId="629775BB" w14:textId="77777777" w:rsidR="00554D00" w:rsidRPr="00311A71" w:rsidRDefault="00554D00" w:rsidP="00554D00">
            <w:pPr>
              <w:spacing w:line="360" w:lineRule="auto"/>
              <w:jc w:val="center"/>
              <w:rPr>
                <w:color w:val="000000"/>
                <w:sz w:val="20"/>
                <w:szCs w:val="19"/>
              </w:rPr>
            </w:pPr>
            <w:r w:rsidRPr="00311A71">
              <w:rPr>
                <w:color w:val="000000"/>
                <w:sz w:val="20"/>
                <w:szCs w:val="19"/>
              </w:rPr>
              <w:t>0.13</w:t>
            </w:r>
          </w:p>
        </w:tc>
        <w:tc>
          <w:tcPr>
            <w:tcW w:w="1260" w:type="dxa"/>
            <w:noWrap/>
            <w:tcMar>
              <w:top w:w="0" w:type="dxa"/>
              <w:left w:w="108" w:type="dxa"/>
              <w:bottom w:w="0" w:type="dxa"/>
              <w:right w:w="108" w:type="dxa"/>
            </w:tcMar>
            <w:vAlign w:val="center"/>
            <w:hideMark/>
          </w:tcPr>
          <w:p w14:paraId="678C8257"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1260" w:type="dxa"/>
          </w:tcPr>
          <w:p w14:paraId="4DAF44C9" w14:textId="5F8E8E55"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2160" w:type="dxa"/>
            <w:tcMar>
              <w:top w:w="0" w:type="dxa"/>
              <w:left w:w="108" w:type="dxa"/>
              <w:bottom w:w="0" w:type="dxa"/>
              <w:right w:w="108" w:type="dxa"/>
            </w:tcMar>
            <w:vAlign w:val="center"/>
            <w:hideMark/>
          </w:tcPr>
          <w:p w14:paraId="5372055A" w14:textId="502F9D38" w:rsidR="00554D00" w:rsidRPr="00311A71" w:rsidRDefault="00554D00" w:rsidP="00554D00">
            <w:pPr>
              <w:spacing w:line="360" w:lineRule="auto"/>
              <w:jc w:val="center"/>
              <w:rPr>
                <w:color w:val="000000"/>
                <w:sz w:val="20"/>
                <w:szCs w:val="19"/>
              </w:rPr>
            </w:pPr>
            <w:r w:rsidRPr="00311A71">
              <w:rPr>
                <w:color w:val="000000"/>
                <w:sz w:val="20"/>
                <w:szCs w:val="19"/>
              </w:rPr>
              <w:t xml:space="preserve">Median (IQR) 0.790 </w:t>
            </w:r>
            <w:r w:rsidRPr="00311A71">
              <w:rPr>
                <w:color w:val="000000"/>
                <w:sz w:val="20"/>
                <w:szCs w:val="19"/>
              </w:rPr>
              <w:br/>
              <w:t>(0.647-0.907)</w:t>
            </w:r>
          </w:p>
        </w:tc>
      </w:tr>
      <w:tr w:rsidR="00554D00" w:rsidRPr="00554D00" w14:paraId="4CA431FF" w14:textId="77777777" w:rsidTr="001A42BB">
        <w:trPr>
          <w:trHeight w:val="240"/>
        </w:trPr>
        <w:tc>
          <w:tcPr>
            <w:tcW w:w="1141" w:type="dxa"/>
            <w:shd w:val="clear" w:color="auto" w:fill="FFFFFF"/>
            <w:noWrap/>
            <w:tcMar>
              <w:top w:w="0" w:type="dxa"/>
              <w:left w:w="108" w:type="dxa"/>
              <w:bottom w:w="0" w:type="dxa"/>
              <w:right w:w="108" w:type="dxa"/>
            </w:tcMar>
            <w:hideMark/>
          </w:tcPr>
          <w:p w14:paraId="4A57A0C7" w14:textId="25CE48F0" w:rsidR="00554D00" w:rsidRPr="00311A71" w:rsidRDefault="00554D00" w:rsidP="00554D00">
            <w:pPr>
              <w:spacing w:line="360" w:lineRule="auto"/>
              <w:rPr>
                <w:color w:val="000000"/>
                <w:sz w:val="20"/>
                <w:szCs w:val="19"/>
              </w:rPr>
            </w:pPr>
            <w:r w:rsidRPr="00311A71">
              <w:rPr>
                <w:color w:val="000000"/>
                <w:sz w:val="20"/>
                <w:szCs w:val="19"/>
              </w:rPr>
              <w:t>ECG</w:t>
            </w:r>
          </w:p>
        </w:tc>
        <w:tc>
          <w:tcPr>
            <w:tcW w:w="929" w:type="dxa"/>
            <w:noWrap/>
            <w:tcMar>
              <w:top w:w="0" w:type="dxa"/>
              <w:left w:w="108" w:type="dxa"/>
              <w:bottom w:w="0" w:type="dxa"/>
              <w:right w:w="108" w:type="dxa"/>
            </w:tcMar>
            <w:vAlign w:val="bottom"/>
            <w:hideMark/>
          </w:tcPr>
          <w:p w14:paraId="1EBFD533" w14:textId="77777777" w:rsidR="00554D00" w:rsidRPr="00311A71" w:rsidRDefault="00554D00" w:rsidP="00554D00">
            <w:pPr>
              <w:spacing w:line="360" w:lineRule="auto"/>
              <w:jc w:val="center"/>
              <w:rPr>
                <w:color w:val="000000"/>
                <w:sz w:val="20"/>
                <w:szCs w:val="19"/>
              </w:rPr>
            </w:pPr>
            <w:r w:rsidRPr="00311A71">
              <w:rPr>
                <w:color w:val="000000"/>
                <w:sz w:val="20"/>
                <w:szCs w:val="19"/>
              </w:rPr>
              <w:t>50</w:t>
            </w:r>
          </w:p>
        </w:tc>
        <w:tc>
          <w:tcPr>
            <w:tcW w:w="630" w:type="dxa"/>
            <w:noWrap/>
            <w:tcMar>
              <w:top w:w="0" w:type="dxa"/>
              <w:left w:w="108" w:type="dxa"/>
              <w:bottom w:w="0" w:type="dxa"/>
              <w:right w:w="108" w:type="dxa"/>
            </w:tcMar>
            <w:vAlign w:val="bottom"/>
            <w:hideMark/>
          </w:tcPr>
          <w:p w14:paraId="4062D660" w14:textId="77777777" w:rsidR="00554D00" w:rsidRPr="00311A71" w:rsidRDefault="00554D00" w:rsidP="00554D00">
            <w:pPr>
              <w:spacing w:line="360" w:lineRule="auto"/>
              <w:jc w:val="center"/>
              <w:rPr>
                <w:color w:val="000000"/>
                <w:sz w:val="20"/>
                <w:szCs w:val="19"/>
              </w:rPr>
            </w:pPr>
            <w:r w:rsidRPr="00311A71">
              <w:rPr>
                <w:color w:val="000000"/>
                <w:sz w:val="20"/>
                <w:szCs w:val="19"/>
              </w:rPr>
              <w:t>2744</w:t>
            </w:r>
          </w:p>
        </w:tc>
        <w:tc>
          <w:tcPr>
            <w:tcW w:w="810" w:type="dxa"/>
            <w:noWrap/>
            <w:tcMar>
              <w:top w:w="0" w:type="dxa"/>
              <w:left w:w="108" w:type="dxa"/>
              <w:bottom w:w="0" w:type="dxa"/>
              <w:right w:w="108" w:type="dxa"/>
            </w:tcMar>
            <w:vAlign w:val="bottom"/>
            <w:hideMark/>
          </w:tcPr>
          <w:p w14:paraId="2AC6FA57" w14:textId="77777777" w:rsidR="00554D00" w:rsidRPr="00311A71" w:rsidRDefault="00554D00" w:rsidP="00554D00">
            <w:pPr>
              <w:spacing w:line="360" w:lineRule="auto"/>
              <w:jc w:val="center"/>
              <w:rPr>
                <w:color w:val="000000"/>
                <w:sz w:val="20"/>
                <w:szCs w:val="19"/>
              </w:rPr>
            </w:pPr>
            <w:r w:rsidRPr="00311A71">
              <w:rPr>
                <w:color w:val="000000"/>
                <w:sz w:val="20"/>
                <w:szCs w:val="19"/>
              </w:rPr>
              <w:t>3.10</w:t>
            </w:r>
          </w:p>
        </w:tc>
        <w:tc>
          <w:tcPr>
            <w:tcW w:w="720" w:type="dxa"/>
            <w:noWrap/>
            <w:tcMar>
              <w:top w:w="0" w:type="dxa"/>
              <w:left w:w="108" w:type="dxa"/>
              <w:bottom w:w="0" w:type="dxa"/>
              <w:right w:w="108" w:type="dxa"/>
            </w:tcMar>
            <w:vAlign w:val="bottom"/>
            <w:hideMark/>
          </w:tcPr>
          <w:p w14:paraId="2E7EB0CD" w14:textId="77777777" w:rsidR="00554D00" w:rsidRPr="00311A71" w:rsidRDefault="00554D00" w:rsidP="00554D00">
            <w:pPr>
              <w:spacing w:line="360" w:lineRule="auto"/>
              <w:jc w:val="center"/>
              <w:rPr>
                <w:color w:val="000000"/>
                <w:sz w:val="20"/>
                <w:szCs w:val="19"/>
              </w:rPr>
            </w:pPr>
            <w:r w:rsidRPr="00311A71">
              <w:rPr>
                <w:color w:val="000000"/>
                <w:sz w:val="20"/>
                <w:szCs w:val="19"/>
              </w:rPr>
              <w:t>3.51</w:t>
            </w:r>
          </w:p>
        </w:tc>
        <w:tc>
          <w:tcPr>
            <w:tcW w:w="900" w:type="dxa"/>
            <w:noWrap/>
            <w:tcMar>
              <w:top w:w="0" w:type="dxa"/>
              <w:left w:w="108" w:type="dxa"/>
              <w:bottom w:w="0" w:type="dxa"/>
              <w:right w:w="108" w:type="dxa"/>
            </w:tcMar>
            <w:vAlign w:val="bottom"/>
            <w:hideMark/>
          </w:tcPr>
          <w:p w14:paraId="4D51701B" w14:textId="77777777" w:rsidR="00554D00" w:rsidRPr="00311A71" w:rsidRDefault="00554D00" w:rsidP="00554D00">
            <w:pPr>
              <w:spacing w:line="360" w:lineRule="auto"/>
              <w:jc w:val="center"/>
              <w:rPr>
                <w:color w:val="000000"/>
                <w:sz w:val="20"/>
                <w:szCs w:val="19"/>
              </w:rPr>
            </w:pPr>
            <w:r w:rsidRPr="00311A71">
              <w:rPr>
                <w:color w:val="000000"/>
                <w:sz w:val="20"/>
                <w:szCs w:val="19"/>
              </w:rPr>
              <w:t>0.01</w:t>
            </w:r>
          </w:p>
        </w:tc>
        <w:tc>
          <w:tcPr>
            <w:tcW w:w="1620" w:type="dxa"/>
            <w:noWrap/>
            <w:tcMar>
              <w:top w:w="0" w:type="dxa"/>
              <w:left w:w="108" w:type="dxa"/>
              <w:bottom w:w="0" w:type="dxa"/>
              <w:right w:w="108" w:type="dxa"/>
            </w:tcMar>
            <w:vAlign w:val="bottom"/>
            <w:hideMark/>
          </w:tcPr>
          <w:p w14:paraId="48468829"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990" w:type="dxa"/>
            <w:noWrap/>
            <w:tcMar>
              <w:top w:w="0" w:type="dxa"/>
              <w:left w:w="108" w:type="dxa"/>
              <w:bottom w:w="0" w:type="dxa"/>
              <w:right w:w="108" w:type="dxa"/>
            </w:tcMar>
            <w:vAlign w:val="bottom"/>
            <w:hideMark/>
          </w:tcPr>
          <w:p w14:paraId="54E26A41" w14:textId="77777777" w:rsidR="00554D00" w:rsidRPr="00311A71" w:rsidRDefault="00554D00" w:rsidP="00554D00">
            <w:pPr>
              <w:spacing w:line="360" w:lineRule="auto"/>
              <w:jc w:val="center"/>
              <w:rPr>
                <w:color w:val="000000"/>
                <w:sz w:val="20"/>
                <w:szCs w:val="19"/>
              </w:rPr>
            </w:pPr>
            <w:r w:rsidRPr="00311A71">
              <w:rPr>
                <w:color w:val="000000"/>
                <w:sz w:val="20"/>
                <w:szCs w:val="19"/>
              </w:rPr>
              <w:t>2.77</w:t>
            </w:r>
          </w:p>
        </w:tc>
        <w:tc>
          <w:tcPr>
            <w:tcW w:w="990" w:type="dxa"/>
            <w:noWrap/>
            <w:tcMar>
              <w:top w:w="0" w:type="dxa"/>
              <w:left w:w="108" w:type="dxa"/>
              <w:bottom w:w="0" w:type="dxa"/>
              <w:right w:w="108" w:type="dxa"/>
            </w:tcMar>
            <w:vAlign w:val="bottom"/>
            <w:hideMark/>
          </w:tcPr>
          <w:p w14:paraId="0D1325E5" w14:textId="77777777" w:rsidR="00554D00" w:rsidRPr="00311A71" w:rsidRDefault="00554D00" w:rsidP="00554D00">
            <w:pPr>
              <w:spacing w:line="360" w:lineRule="auto"/>
              <w:jc w:val="center"/>
              <w:rPr>
                <w:color w:val="000000"/>
                <w:sz w:val="20"/>
                <w:szCs w:val="19"/>
              </w:rPr>
            </w:pPr>
            <w:r w:rsidRPr="00311A71">
              <w:rPr>
                <w:color w:val="000000"/>
                <w:sz w:val="20"/>
                <w:szCs w:val="19"/>
              </w:rPr>
              <w:t>0.41</w:t>
            </w:r>
          </w:p>
        </w:tc>
        <w:tc>
          <w:tcPr>
            <w:tcW w:w="1350" w:type="dxa"/>
            <w:noWrap/>
            <w:tcMar>
              <w:top w:w="0" w:type="dxa"/>
              <w:left w:w="108" w:type="dxa"/>
              <w:bottom w:w="0" w:type="dxa"/>
              <w:right w:w="108" w:type="dxa"/>
            </w:tcMar>
            <w:vAlign w:val="bottom"/>
            <w:hideMark/>
          </w:tcPr>
          <w:p w14:paraId="32A17358" w14:textId="77777777" w:rsidR="00554D00" w:rsidRPr="00311A71" w:rsidRDefault="00554D00" w:rsidP="00554D00">
            <w:pPr>
              <w:spacing w:line="360" w:lineRule="auto"/>
              <w:jc w:val="center"/>
              <w:rPr>
                <w:color w:val="000000"/>
                <w:sz w:val="20"/>
                <w:szCs w:val="19"/>
              </w:rPr>
            </w:pPr>
            <w:r w:rsidRPr="00311A71">
              <w:rPr>
                <w:color w:val="000000"/>
                <w:sz w:val="20"/>
                <w:szCs w:val="19"/>
              </w:rPr>
              <w:t>0.15</w:t>
            </w:r>
          </w:p>
        </w:tc>
        <w:tc>
          <w:tcPr>
            <w:tcW w:w="1260" w:type="dxa"/>
            <w:noWrap/>
            <w:tcMar>
              <w:top w:w="0" w:type="dxa"/>
              <w:left w:w="108" w:type="dxa"/>
              <w:bottom w:w="0" w:type="dxa"/>
              <w:right w:w="108" w:type="dxa"/>
            </w:tcMar>
            <w:vAlign w:val="bottom"/>
            <w:hideMark/>
          </w:tcPr>
          <w:p w14:paraId="76D2D6CD"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1260" w:type="dxa"/>
          </w:tcPr>
          <w:p w14:paraId="7A44E746" w14:textId="7AF73C4D"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2160" w:type="dxa"/>
            <w:noWrap/>
            <w:tcMar>
              <w:top w:w="0" w:type="dxa"/>
              <w:left w:w="108" w:type="dxa"/>
              <w:bottom w:w="0" w:type="dxa"/>
              <w:right w:w="108" w:type="dxa"/>
            </w:tcMar>
            <w:vAlign w:val="center"/>
            <w:hideMark/>
          </w:tcPr>
          <w:p w14:paraId="10F569CF" w14:textId="57EEABE2" w:rsidR="00554D00" w:rsidRPr="00311A71" w:rsidRDefault="00554D00" w:rsidP="00554D00">
            <w:pPr>
              <w:spacing w:line="360" w:lineRule="auto"/>
              <w:jc w:val="center"/>
              <w:rPr>
                <w:color w:val="000000"/>
                <w:sz w:val="20"/>
                <w:szCs w:val="19"/>
              </w:rPr>
            </w:pPr>
            <w:r w:rsidRPr="00311A71">
              <w:rPr>
                <w:color w:val="000000"/>
                <w:sz w:val="20"/>
                <w:szCs w:val="19"/>
              </w:rPr>
              <w:t>-</w:t>
            </w:r>
          </w:p>
        </w:tc>
      </w:tr>
      <w:tr w:rsidR="00554D00" w:rsidRPr="00554D00" w14:paraId="2942FC6A" w14:textId="77777777" w:rsidTr="001A42BB">
        <w:trPr>
          <w:trHeight w:val="240"/>
        </w:trPr>
        <w:tc>
          <w:tcPr>
            <w:tcW w:w="1141" w:type="dxa"/>
            <w:shd w:val="clear" w:color="auto" w:fill="FFFFFF"/>
            <w:noWrap/>
            <w:tcMar>
              <w:top w:w="0" w:type="dxa"/>
              <w:left w:w="108" w:type="dxa"/>
              <w:bottom w:w="0" w:type="dxa"/>
              <w:right w:w="108" w:type="dxa"/>
            </w:tcMar>
            <w:hideMark/>
          </w:tcPr>
          <w:p w14:paraId="035A578F" w14:textId="69DAB6A6" w:rsidR="00554D00" w:rsidRPr="00311A71" w:rsidRDefault="00554D00" w:rsidP="00554D00">
            <w:pPr>
              <w:spacing w:line="360" w:lineRule="auto"/>
              <w:rPr>
                <w:color w:val="000000"/>
                <w:sz w:val="20"/>
                <w:szCs w:val="19"/>
              </w:rPr>
            </w:pPr>
            <w:r w:rsidRPr="00311A71">
              <w:rPr>
                <w:color w:val="000000"/>
                <w:sz w:val="20"/>
                <w:szCs w:val="19"/>
              </w:rPr>
              <w:t>ECG</w:t>
            </w:r>
          </w:p>
        </w:tc>
        <w:tc>
          <w:tcPr>
            <w:tcW w:w="929" w:type="dxa"/>
            <w:noWrap/>
            <w:tcMar>
              <w:top w:w="0" w:type="dxa"/>
              <w:left w:w="108" w:type="dxa"/>
              <w:bottom w:w="0" w:type="dxa"/>
              <w:right w:w="108" w:type="dxa"/>
            </w:tcMar>
            <w:vAlign w:val="bottom"/>
            <w:hideMark/>
          </w:tcPr>
          <w:p w14:paraId="3BDDBF0C" w14:textId="77777777" w:rsidR="00554D00" w:rsidRPr="00311A71" w:rsidRDefault="00554D00" w:rsidP="00554D00">
            <w:pPr>
              <w:spacing w:line="360" w:lineRule="auto"/>
              <w:jc w:val="center"/>
              <w:rPr>
                <w:color w:val="000000"/>
                <w:sz w:val="20"/>
                <w:szCs w:val="19"/>
              </w:rPr>
            </w:pPr>
            <w:r w:rsidRPr="00311A71">
              <w:rPr>
                <w:color w:val="000000"/>
                <w:sz w:val="20"/>
                <w:szCs w:val="19"/>
              </w:rPr>
              <w:t>100</w:t>
            </w:r>
          </w:p>
        </w:tc>
        <w:tc>
          <w:tcPr>
            <w:tcW w:w="630" w:type="dxa"/>
            <w:noWrap/>
            <w:tcMar>
              <w:top w:w="0" w:type="dxa"/>
              <w:left w:w="108" w:type="dxa"/>
              <w:bottom w:w="0" w:type="dxa"/>
              <w:right w:w="108" w:type="dxa"/>
            </w:tcMar>
            <w:vAlign w:val="bottom"/>
            <w:hideMark/>
          </w:tcPr>
          <w:p w14:paraId="44F70EBE" w14:textId="77777777" w:rsidR="00554D00" w:rsidRPr="00311A71" w:rsidRDefault="00554D00" w:rsidP="00554D00">
            <w:pPr>
              <w:spacing w:line="360" w:lineRule="auto"/>
              <w:jc w:val="center"/>
              <w:rPr>
                <w:color w:val="000000"/>
                <w:sz w:val="20"/>
                <w:szCs w:val="19"/>
              </w:rPr>
            </w:pPr>
            <w:r w:rsidRPr="00311A71">
              <w:rPr>
                <w:color w:val="000000"/>
                <w:sz w:val="20"/>
                <w:szCs w:val="19"/>
              </w:rPr>
              <w:t>1900</w:t>
            </w:r>
          </w:p>
        </w:tc>
        <w:tc>
          <w:tcPr>
            <w:tcW w:w="810" w:type="dxa"/>
            <w:noWrap/>
            <w:tcMar>
              <w:top w:w="0" w:type="dxa"/>
              <w:left w:w="108" w:type="dxa"/>
              <w:bottom w:w="0" w:type="dxa"/>
              <w:right w:w="108" w:type="dxa"/>
            </w:tcMar>
            <w:vAlign w:val="bottom"/>
            <w:hideMark/>
          </w:tcPr>
          <w:p w14:paraId="54FD71A1" w14:textId="77777777" w:rsidR="00554D00" w:rsidRPr="00311A71" w:rsidRDefault="00554D00" w:rsidP="00554D00">
            <w:pPr>
              <w:spacing w:line="360" w:lineRule="auto"/>
              <w:jc w:val="center"/>
              <w:rPr>
                <w:color w:val="000000"/>
                <w:sz w:val="20"/>
                <w:szCs w:val="19"/>
              </w:rPr>
            </w:pPr>
            <w:r w:rsidRPr="00311A71">
              <w:rPr>
                <w:color w:val="000000"/>
                <w:sz w:val="20"/>
                <w:szCs w:val="19"/>
              </w:rPr>
              <w:t>3.09</w:t>
            </w:r>
          </w:p>
        </w:tc>
        <w:tc>
          <w:tcPr>
            <w:tcW w:w="720" w:type="dxa"/>
            <w:noWrap/>
            <w:tcMar>
              <w:top w:w="0" w:type="dxa"/>
              <w:left w:w="108" w:type="dxa"/>
              <w:bottom w:w="0" w:type="dxa"/>
              <w:right w:w="108" w:type="dxa"/>
            </w:tcMar>
            <w:vAlign w:val="bottom"/>
            <w:hideMark/>
          </w:tcPr>
          <w:p w14:paraId="19FD08D4" w14:textId="77777777" w:rsidR="00554D00" w:rsidRPr="00311A71" w:rsidRDefault="00554D00" w:rsidP="00554D00">
            <w:pPr>
              <w:spacing w:line="360" w:lineRule="auto"/>
              <w:jc w:val="center"/>
              <w:rPr>
                <w:color w:val="000000"/>
                <w:sz w:val="20"/>
                <w:szCs w:val="19"/>
              </w:rPr>
            </w:pPr>
            <w:r w:rsidRPr="00311A71">
              <w:rPr>
                <w:color w:val="000000"/>
                <w:sz w:val="20"/>
                <w:szCs w:val="19"/>
              </w:rPr>
              <w:t>3.55</w:t>
            </w:r>
          </w:p>
        </w:tc>
        <w:tc>
          <w:tcPr>
            <w:tcW w:w="900" w:type="dxa"/>
            <w:noWrap/>
            <w:tcMar>
              <w:top w:w="0" w:type="dxa"/>
              <w:left w:w="108" w:type="dxa"/>
              <w:bottom w:w="0" w:type="dxa"/>
              <w:right w:w="108" w:type="dxa"/>
            </w:tcMar>
            <w:vAlign w:val="bottom"/>
            <w:hideMark/>
          </w:tcPr>
          <w:p w14:paraId="1B48709A" w14:textId="77777777" w:rsidR="00554D00" w:rsidRPr="00311A71" w:rsidRDefault="00554D00" w:rsidP="00554D00">
            <w:pPr>
              <w:spacing w:line="360" w:lineRule="auto"/>
              <w:jc w:val="center"/>
              <w:rPr>
                <w:color w:val="000000"/>
                <w:sz w:val="20"/>
                <w:szCs w:val="19"/>
              </w:rPr>
            </w:pPr>
            <w:r w:rsidRPr="00311A71">
              <w:rPr>
                <w:color w:val="000000"/>
                <w:sz w:val="20"/>
                <w:szCs w:val="19"/>
              </w:rPr>
              <w:t>0.01</w:t>
            </w:r>
          </w:p>
        </w:tc>
        <w:tc>
          <w:tcPr>
            <w:tcW w:w="1620" w:type="dxa"/>
            <w:noWrap/>
            <w:tcMar>
              <w:top w:w="0" w:type="dxa"/>
              <w:left w:w="108" w:type="dxa"/>
              <w:bottom w:w="0" w:type="dxa"/>
              <w:right w:w="108" w:type="dxa"/>
            </w:tcMar>
            <w:vAlign w:val="bottom"/>
            <w:hideMark/>
          </w:tcPr>
          <w:p w14:paraId="451497A4"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990" w:type="dxa"/>
            <w:noWrap/>
            <w:tcMar>
              <w:top w:w="0" w:type="dxa"/>
              <w:left w:w="108" w:type="dxa"/>
              <w:bottom w:w="0" w:type="dxa"/>
              <w:right w:w="108" w:type="dxa"/>
            </w:tcMar>
            <w:vAlign w:val="bottom"/>
            <w:hideMark/>
          </w:tcPr>
          <w:p w14:paraId="420A444C" w14:textId="77777777" w:rsidR="00554D00" w:rsidRPr="00311A71" w:rsidRDefault="00554D00" w:rsidP="00554D00">
            <w:pPr>
              <w:spacing w:line="360" w:lineRule="auto"/>
              <w:jc w:val="center"/>
              <w:rPr>
                <w:color w:val="000000"/>
                <w:sz w:val="20"/>
                <w:szCs w:val="19"/>
              </w:rPr>
            </w:pPr>
            <w:r w:rsidRPr="00311A71">
              <w:rPr>
                <w:color w:val="000000"/>
                <w:sz w:val="20"/>
                <w:szCs w:val="19"/>
              </w:rPr>
              <w:t>2.73</w:t>
            </w:r>
          </w:p>
        </w:tc>
        <w:tc>
          <w:tcPr>
            <w:tcW w:w="990" w:type="dxa"/>
            <w:noWrap/>
            <w:tcMar>
              <w:top w:w="0" w:type="dxa"/>
              <w:left w:w="108" w:type="dxa"/>
              <w:bottom w:w="0" w:type="dxa"/>
              <w:right w:w="108" w:type="dxa"/>
            </w:tcMar>
            <w:vAlign w:val="bottom"/>
            <w:hideMark/>
          </w:tcPr>
          <w:p w14:paraId="1EEAE9A8" w14:textId="77777777" w:rsidR="00554D00" w:rsidRPr="00311A71" w:rsidRDefault="00554D00" w:rsidP="00554D00">
            <w:pPr>
              <w:spacing w:line="360" w:lineRule="auto"/>
              <w:jc w:val="center"/>
              <w:rPr>
                <w:color w:val="000000"/>
                <w:sz w:val="20"/>
                <w:szCs w:val="19"/>
              </w:rPr>
            </w:pPr>
            <w:r w:rsidRPr="00311A71">
              <w:rPr>
                <w:color w:val="000000"/>
                <w:sz w:val="20"/>
                <w:szCs w:val="19"/>
              </w:rPr>
              <w:t>0.45</w:t>
            </w:r>
          </w:p>
        </w:tc>
        <w:tc>
          <w:tcPr>
            <w:tcW w:w="1350" w:type="dxa"/>
            <w:noWrap/>
            <w:tcMar>
              <w:top w:w="0" w:type="dxa"/>
              <w:left w:w="108" w:type="dxa"/>
              <w:bottom w:w="0" w:type="dxa"/>
              <w:right w:w="108" w:type="dxa"/>
            </w:tcMar>
            <w:vAlign w:val="bottom"/>
            <w:hideMark/>
          </w:tcPr>
          <w:p w14:paraId="3512A7E6" w14:textId="77777777" w:rsidR="00554D00" w:rsidRPr="00311A71" w:rsidRDefault="00554D00" w:rsidP="00554D00">
            <w:pPr>
              <w:spacing w:line="360" w:lineRule="auto"/>
              <w:jc w:val="center"/>
              <w:rPr>
                <w:color w:val="000000"/>
                <w:sz w:val="20"/>
                <w:szCs w:val="19"/>
              </w:rPr>
            </w:pPr>
            <w:r w:rsidRPr="00311A71">
              <w:rPr>
                <w:color w:val="000000"/>
                <w:sz w:val="20"/>
                <w:szCs w:val="19"/>
              </w:rPr>
              <w:t>0.16</w:t>
            </w:r>
          </w:p>
        </w:tc>
        <w:tc>
          <w:tcPr>
            <w:tcW w:w="1260" w:type="dxa"/>
            <w:noWrap/>
            <w:tcMar>
              <w:top w:w="0" w:type="dxa"/>
              <w:left w:w="108" w:type="dxa"/>
              <w:bottom w:w="0" w:type="dxa"/>
              <w:right w:w="108" w:type="dxa"/>
            </w:tcMar>
            <w:vAlign w:val="bottom"/>
            <w:hideMark/>
          </w:tcPr>
          <w:p w14:paraId="27C0028A" w14:textId="77777777"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1260" w:type="dxa"/>
          </w:tcPr>
          <w:p w14:paraId="23566943" w14:textId="79D1459D" w:rsidR="00554D00" w:rsidRPr="00311A71" w:rsidRDefault="00554D00" w:rsidP="00554D00">
            <w:pPr>
              <w:spacing w:line="360" w:lineRule="auto"/>
              <w:jc w:val="center"/>
              <w:rPr>
                <w:color w:val="000000"/>
                <w:sz w:val="20"/>
                <w:szCs w:val="19"/>
              </w:rPr>
            </w:pPr>
            <w:r w:rsidRPr="00311A71">
              <w:rPr>
                <w:color w:val="000000"/>
                <w:sz w:val="20"/>
                <w:szCs w:val="19"/>
              </w:rPr>
              <w:t>No</w:t>
            </w:r>
          </w:p>
        </w:tc>
        <w:tc>
          <w:tcPr>
            <w:tcW w:w="2160" w:type="dxa"/>
            <w:noWrap/>
            <w:tcMar>
              <w:top w:w="0" w:type="dxa"/>
              <w:left w:w="108" w:type="dxa"/>
              <w:bottom w:w="0" w:type="dxa"/>
              <w:right w:w="108" w:type="dxa"/>
            </w:tcMar>
            <w:vAlign w:val="center"/>
            <w:hideMark/>
          </w:tcPr>
          <w:p w14:paraId="63D13435" w14:textId="40695108" w:rsidR="00554D00" w:rsidRPr="00311A71" w:rsidRDefault="00554D00" w:rsidP="00554D00">
            <w:pPr>
              <w:spacing w:line="360" w:lineRule="auto"/>
              <w:jc w:val="center"/>
              <w:rPr>
                <w:color w:val="000000"/>
                <w:sz w:val="20"/>
                <w:szCs w:val="19"/>
              </w:rPr>
            </w:pPr>
            <w:r w:rsidRPr="00311A71">
              <w:rPr>
                <w:color w:val="000000"/>
                <w:sz w:val="20"/>
                <w:szCs w:val="19"/>
              </w:rPr>
              <w:t>-</w:t>
            </w:r>
          </w:p>
        </w:tc>
      </w:tr>
      <w:tr w:rsidR="00554D00" w:rsidRPr="00554D00" w14:paraId="507E2483" w14:textId="77777777" w:rsidTr="001A42BB">
        <w:trPr>
          <w:trHeight w:val="240"/>
        </w:trPr>
        <w:tc>
          <w:tcPr>
            <w:tcW w:w="1141" w:type="dxa"/>
            <w:shd w:val="clear" w:color="auto" w:fill="FFFFFF"/>
            <w:noWrap/>
            <w:tcMar>
              <w:top w:w="0" w:type="dxa"/>
              <w:left w:w="108" w:type="dxa"/>
              <w:bottom w:w="0" w:type="dxa"/>
              <w:right w:w="108" w:type="dxa"/>
            </w:tcMar>
            <w:hideMark/>
          </w:tcPr>
          <w:p w14:paraId="13C62AA6" w14:textId="72E6B92D" w:rsidR="00554D00" w:rsidRPr="00311A71" w:rsidRDefault="00554D00" w:rsidP="00554D00">
            <w:pPr>
              <w:spacing w:line="360" w:lineRule="auto"/>
              <w:rPr>
                <w:color w:val="000000"/>
                <w:szCs w:val="19"/>
              </w:rPr>
            </w:pPr>
            <w:r w:rsidRPr="00311A71">
              <w:rPr>
                <w:color w:val="000000"/>
                <w:szCs w:val="19"/>
              </w:rPr>
              <w:t>ECG</w:t>
            </w:r>
          </w:p>
        </w:tc>
        <w:tc>
          <w:tcPr>
            <w:tcW w:w="929" w:type="dxa"/>
            <w:noWrap/>
            <w:tcMar>
              <w:top w:w="0" w:type="dxa"/>
              <w:left w:w="108" w:type="dxa"/>
              <w:bottom w:w="0" w:type="dxa"/>
              <w:right w:w="108" w:type="dxa"/>
            </w:tcMar>
            <w:vAlign w:val="bottom"/>
            <w:hideMark/>
          </w:tcPr>
          <w:p w14:paraId="345EDA47" w14:textId="77777777" w:rsidR="00554D00" w:rsidRPr="00311A71" w:rsidRDefault="00554D00" w:rsidP="00554D00">
            <w:pPr>
              <w:spacing w:line="360" w:lineRule="auto"/>
              <w:jc w:val="center"/>
              <w:rPr>
                <w:color w:val="000000"/>
                <w:szCs w:val="19"/>
              </w:rPr>
            </w:pPr>
            <w:r w:rsidRPr="00311A71">
              <w:rPr>
                <w:color w:val="000000"/>
                <w:szCs w:val="19"/>
              </w:rPr>
              <w:t>200</w:t>
            </w:r>
          </w:p>
        </w:tc>
        <w:tc>
          <w:tcPr>
            <w:tcW w:w="630" w:type="dxa"/>
            <w:noWrap/>
            <w:tcMar>
              <w:top w:w="0" w:type="dxa"/>
              <w:left w:w="108" w:type="dxa"/>
              <w:bottom w:w="0" w:type="dxa"/>
              <w:right w:w="108" w:type="dxa"/>
            </w:tcMar>
            <w:vAlign w:val="bottom"/>
            <w:hideMark/>
          </w:tcPr>
          <w:p w14:paraId="35E8A392" w14:textId="77777777" w:rsidR="00554D00" w:rsidRPr="00311A71" w:rsidRDefault="00554D00" w:rsidP="00554D00">
            <w:pPr>
              <w:spacing w:line="360" w:lineRule="auto"/>
              <w:jc w:val="center"/>
              <w:rPr>
                <w:color w:val="000000"/>
                <w:szCs w:val="19"/>
              </w:rPr>
            </w:pPr>
            <w:r w:rsidRPr="00311A71">
              <w:rPr>
                <w:color w:val="000000"/>
                <w:szCs w:val="19"/>
              </w:rPr>
              <w:t>1187</w:t>
            </w:r>
          </w:p>
        </w:tc>
        <w:tc>
          <w:tcPr>
            <w:tcW w:w="810" w:type="dxa"/>
            <w:noWrap/>
            <w:tcMar>
              <w:top w:w="0" w:type="dxa"/>
              <w:left w:w="108" w:type="dxa"/>
              <w:bottom w:w="0" w:type="dxa"/>
              <w:right w:w="108" w:type="dxa"/>
            </w:tcMar>
            <w:vAlign w:val="bottom"/>
            <w:hideMark/>
          </w:tcPr>
          <w:p w14:paraId="38D7E058" w14:textId="77777777" w:rsidR="00554D00" w:rsidRPr="00311A71" w:rsidRDefault="00554D00" w:rsidP="00554D00">
            <w:pPr>
              <w:spacing w:line="360" w:lineRule="auto"/>
              <w:jc w:val="center"/>
              <w:rPr>
                <w:color w:val="000000"/>
                <w:szCs w:val="19"/>
              </w:rPr>
            </w:pPr>
            <w:r w:rsidRPr="00311A71">
              <w:rPr>
                <w:color w:val="000000"/>
                <w:szCs w:val="19"/>
              </w:rPr>
              <w:t>3.06</w:t>
            </w:r>
          </w:p>
        </w:tc>
        <w:tc>
          <w:tcPr>
            <w:tcW w:w="720" w:type="dxa"/>
            <w:noWrap/>
            <w:tcMar>
              <w:top w:w="0" w:type="dxa"/>
              <w:left w:w="108" w:type="dxa"/>
              <w:bottom w:w="0" w:type="dxa"/>
              <w:right w:w="108" w:type="dxa"/>
            </w:tcMar>
            <w:vAlign w:val="bottom"/>
            <w:hideMark/>
          </w:tcPr>
          <w:p w14:paraId="4CC674AC" w14:textId="77777777" w:rsidR="00554D00" w:rsidRPr="00311A71" w:rsidRDefault="00554D00" w:rsidP="00554D00">
            <w:pPr>
              <w:spacing w:line="360" w:lineRule="auto"/>
              <w:jc w:val="center"/>
              <w:rPr>
                <w:color w:val="000000"/>
                <w:szCs w:val="19"/>
              </w:rPr>
            </w:pPr>
            <w:r w:rsidRPr="00311A71">
              <w:rPr>
                <w:color w:val="000000"/>
                <w:szCs w:val="19"/>
              </w:rPr>
              <w:t>3.51</w:t>
            </w:r>
          </w:p>
        </w:tc>
        <w:tc>
          <w:tcPr>
            <w:tcW w:w="900" w:type="dxa"/>
            <w:noWrap/>
            <w:tcMar>
              <w:top w:w="0" w:type="dxa"/>
              <w:left w:w="108" w:type="dxa"/>
              <w:bottom w:w="0" w:type="dxa"/>
              <w:right w:w="108" w:type="dxa"/>
            </w:tcMar>
            <w:vAlign w:val="bottom"/>
            <w:hideMark/>
          </w:tcPr>
          <w:p w14:paraId="7476C91E" w14:textId="77777777" w:rsidR="00554D00" w:rsidRPr="00311A71" w:rsidRDefault="00554D00" w:rsidP="00554D00">
            <w:pPr>
              <w:spacing w:line="360" w:lineRule="auto"/>
              <w:jc w:val="center"/>
              <w:rPr>
                <w:color w:val="000000"/>
                <w:szCs w:val="19"/>
              </w:rPr>
            </w:pPr>
            <w:r w:rsidRPr="00311A71">
              <w:rPr>
                <w:color w:val="000000"/>
                <w:szCs w:val="19"/>
              </w:rPr>
              <w:t>0.02</w:t>
            </w:r>
          </w:p>
        </w:tc>
        <w:tc>
          <w:tcPr>
            <w:tcW w:w="1620" w:type="dxa"/>
            <w:noWrap/>
            <w:tcMar>
              <w:top w:w="0" w:type="dxa"/>
              <w:left w:w="108" w:type="dxa"/>
              <w:bottom w:w="0" w:type="dxa"/>
              <w:right w:w="108" w:type="dxa"/>
            </w:tcMar>
            <w:vAlign w:val="bottom"/>
            <w:hideMark/>
          </w:tcPr>
          <w:p w14:paraId="0C0E6D8D" w14:textId="77777777" w:rsidR="00554D00" w:rsidRPr="00311A71" w:rsidRDefault="00554D00" w:rsidP="00554D00">
            <w:pPr>
              <w:spacing w:line="360" w:lineRule="auto"/>
              <w:jc w:val="center"/>
              <w:rPr>
                <w:color w:val="000000"/>
                <w:szCs w:val="19"/>
              </w:rPr>
            </w:pPr>
            <w:r w:rsidRPr="00311A71">
              <w:rPr>
                <w:color w:val="000000"/>
                <w:szCs w:val="19"/>
              </w:rPr>
              <w:t>No</w:t>
            </w:r>
          </w:p>
        </w:tc>
        <w:tc>
          <w:tcPr>
            <w:tcW w:w="990" w:type="dxa"/>
            <w:noWrap/>
            <w:tcMar>
              <w:top w:w="0" w:type="dxa"/>
              <w:left w:w="108" w:type="dxa"/>
              <w:bottom w:w="0" w:type="dxa"/>
              <w:right w:w="108" w:type="dxa"/>
            </w:tcMar>
            <w:vAlign w:val="bottom"/>
            <w:hideMark/>
          </w:tcPr>
          <w:p w14:paraId="208D7232" w14:textId="77777777" w:rsidR="00554D00" w:rsidRPr="00311A71" w:rsidRDefault="00554D00" w:rsidP="00554D00">
            <w:pPr>
              <w:spacing w:line="360" w:lineRule="auto"/>
              <w:jc w:val="center"/>
              <w:rPr>
                <w:color w:val="000000"/>
                <w:szCs w:val="19"/>
              </w:rPr>
            </w:pPr>
            <w:r w:rsidRPr="00311A71">
              <w:rPr>
                <w:color w:val="000000"/>
                <w:szCs w:val="19"/>
              </w:rPr>
              <w:t>2.67</w:t>
            </w:r>
          </w:p>
        </w:tc>
        <w:tc>
          <w:tcPr>
            <w:tcW w:w="990" w:type="dxa"/>
            <w:noWrap/>
            <w:tcMar>
              <w:top w:w="0" w:type="dxa"/>
              <w:left w:w="108" w:type="dxa"/>
              <w:bottom w:w="0" w:type="dxa"/>
              <w:right w:w="108" w:type="dxa"/>
            </w:tcMar>
            <w:vAlign w:val="bottom"/>
            <w:hideMark/>
          </w:tcPr>
          <w:p w14:paraId="6D62B5F0" w14:textId="77777777" w:rsidR="00554D00" w:rsidRPr="00311A71" w:rsidRDefault="00554D00" w:rsidP="00554D00">
            <w:pPr>
              <w:spacing w:line="360" w:lineRule="auto"/>
              <w:jc w:val="center"/>
              <w:rPr>
                <w:color w:val="000000"/>
                <w:szCs w:val="19"/>
              </w:rPr>
            </w:pPr>
            <w:r w:rsidRPr="00311A71">
              <w:rPr>
                <w:color w:val="000000"/>
                <w:szCs w:val="19"/>
              </w:rPr>
              <w:t>0.46</w:t>
            </w:r>
          </w:p>
        </w:tc>
        <w:tc>
          <w:tcPr>
            <w:tcW w:w="1350" w:type="dxa"/>
            <w:noWrap/>
            <w:tcMar>
              <w:top w:w="0" w:type="dxa"/>
              <w:left w:w="108" w:type="dxa"/>
              <w:bottom w:w="0" w:type="dxa"/>
              <w:right w:w="108" w:type="dxa"/>
            </w:tcMar>
            <w:vAlign w:val="bottom"/>
            <w:hideMark/>
          </w:tcPr>
          <w:p w14:paraId="7EEAA6DA" w14:textId="77777777" w:rsidR="00554D00" w:rsidRPr="00311A71" w:rsidRDefault="00554D00" w:rsidP="00554D00">
            <w:pPr>
              <w:spacing w:line="360" w:lineRule="auto"/>
              <w:jc w:val="center"/>
              <w:rPr>
                <w:color w:val="000000"/>
                <w:szCs w:val="19"/>
              </w:rPr>
            </w:pPr>
            <w:r w:rsidRPr="00311A71">
              <w:rPr>
                <w:color w:val="000000"/>
                <w:szCs w:val="19"/>
              </w:rPr>
              <w:t>0.17</w:t>
            </w:r>
          </w:p>
        </w:tc>
        <w:tc>
          <w:tcPr>
            <w:tcW w:w="1260" w:type="dxa"/>
            <w:noWrap/>
            <w:tcMar>
              <w:top w:w="0" w:type="dxa"/>
              <w:left w:w="108" w:type="dxa"/>
              <w:bottom w:w="0" w:type="dxa"/>
              <w:right w:w="108" w:type="dxa"/>
            </w:tcMar>
            <w:vAlign w:val="bottom"/>
            <w:hideMark/>
          </w:tcPr>
          <w:p w14:paraId="0B100457" w14:textId="77777777" w:rsidR="00554D00" w:rsidRPr="00311A71" w:rsidRDefault="00554D00" w:rsidP="00554D00">
            <w:pPr>
              <w:spacing w:line="360" w:lineRule="auto"/>
              <w:jc w:val="center"/>
              <w:rPr>
                <w:color w:val="000000"/>
                <w:szCs w:val="19"/>
              </w:rPr>
            </w:pPr>
            <w:r w:rsidRPr="00311A71">
              <w:rPr>
                <w:color w:val="000000"/>
                <w:szCs w:val="19"/>
              </w:rPr>
              <w:t>No</w:t>
            </w:r>
          </w:p>
        </w:tc>
        <w:tc>
          <w:tcPr>
            <w:tcW w:w="1260" w:type="dxa"/>
          </w:tcPr>
          <w:p w14:paraId="389A26E5" w14:textId="6C688ABF" w:rsidR="00554D00" w:rsidRPr="00311A71" w:rsidRDefault="00554D00" w:rsidP="00554D00">
            <w:pPr>
              <w:spacing w:line="360" w:lineRule="auto"/>
              <w:jc w:val="center"/>
              <w:rPr>
                <w:color w:val="000000"/>
                <w:szCs w:val="19"/>
              </w:rPr>
            </w:pPr>
            <w:r w:rsidRPr="00311A71">
              <w:rPr>
                <w:color w:val="000000"/>
                <w:szCs w:val="19"/>
              </w:rPr>
              <w:t>No</w:t>
            </w:r>
          </w:p>
        </w:tc>
        <w:tc>
          <w:tcPr>
            <w:tcW w:w="2160" w:type="dxa"/>
            <w:noWrap/>
            <w:tcMar>
              <w:top w:w="0" w:type="dxa"/>
              <w:left w:w="108" w:type="dxa"/>
              <w:bottom w:w="0" w:type="dxa"/>
              <w:right w:w="108" w:type="dxa"/>
            </w:tcMar>
            <w:vAlign w:val="center"/>
            <w:hideMark/>
          </w:tcPr>
          <w:p w14:paraId="45C4EFDE" w14:textId="45110283" w:rsidR="00554D00" w:rsidRPr="00311A71" w:rsidRDefault="00554D00" w:rsidP="00554D00">
            <w:pPr>
              <w:spacing w:line="360" w:lineRule="auto"/>
              <w:jc w:val="center"/>
              <w:rPr>
                <w:color w:val="000000"/>
                <w:szCs w:val="19"/>
              </w:rPr>
            </w:pPr>
            <w:r w:rsidRPr="00311A71">
              <w:rPr>
                <w:color w:val="000000"/>
                <w:szCs w:val="19"/>
              </w:rPr>
              <w:t>-</w:t>
            </w:r>
          </w:p>
        </w:tc>
      </w:tr>
    </w:tbl>
    <w:p w14:paraId="0108E5BA" w14:textId="4D61AFAA" w:rsidR="001A32D1" w:rsidRDefault="001A32D1" w:rsidP="001A32D1">
      <w:pPr>
        <w:autoSpaceDE w:val="0"/>
        <w:autoSpaceDN w:val="0"/>
        <w:adjustRightInd w:val="0"/>
        <w:spacing w:line="240" w:lineRule="auto"/>
        <w:rPr>
          <w:rFonts w:eastAsia="Times New Roman" w:cstheme="minorHAnsi"/>
          <w:color w:val="000000" w:themeColor="text1"/>
        </w:rPr>
      </w:pPr>
    </w:p>
    <w:p w14:paraId="3B3FA3F2" w14:textId="77777777" w:rsidR="00554D00" w:rsidRDefault="00554D00" w:rsidP="00F66E9E">
      <w:pPr>
        <w:pStyle w:val="ListParagraph"/>
        <w:numPr>
          <w:ilvl w:val="0"/>
          <w:numId w:val="14"/>
        </w:numPr>
        <w:spacing w:line="240" w:lineRule="auto"/>
        <w:ind w:left="1080"/>
        <w:rPr>
          <w:rFonts w:ascii="Arial" w:hAnsi="Arial" w:cs="Arial"/>
          <w:i/>
        </w:rPr>
        <w:sectPr w:rsidR="00554D00" w:rsidSect="00554D00">
          <w:pgSz w:w="15840" w:h="12240" w:orient="landscape"/>
          <w:pgMar w:top="720" w:right="720" w:bottom="720" w:left="720" w:header="720" w:footer="720" w:gutter="0"/>
          <w:cols w:space="720"/>
          <w:docGrid w:linePitch="360"/>
        </w:sectPr>
      </w:pPr>
    </w:p>
    <w:p w14:paraId="7F1885DF" w14:textId="54D99BED" w:rsidR="00632AFC" w:rsidRDefault="00632AFC" w:rsidP="00F66E9E">
      <w:pPr>
        <w:pStyle w:val="ListParagraph"/>
        <w:numPr>
          <w:ilvl w:val="0"/>
          <w:numId w:val="14"/>
        </w:numPr>
        <w:spacing w:line="240" w:lineRule="auto"/>
        <w:ind w:left="1080"/>
        <w:rPr>
          <w:rFonts w:ascii="Arial" w:hAnsi="Arial" w:cs="Arial"/>
          <w:i/>
        </w:rPr>
      </w:pPr>
      <w:r w:rsidRPr="00BF6DE9">
        <w:rPr>
          <w:rFonts w:ascii="Arial" w:hAnsi="Arial" w:cs="Arial"/>
          <w:i/>
        </w:rPr>
        <w:lastRenderedPageBreak/>
        <w:t>Exclusion frequency:</w:t>
      </w:r>
    </w:p>
    <w:p w14:paraId="220EEEB9" w14:textId="575B1303" w:rsidR="00293256" w:rsidRPr="004817DA" w:rsidRDefault="00632AFC" w:rsidP="00F66E9E">
      <w:pPr>
        <w:pStyle w:val="ListParagraph"/>
        <w:numPr>
          <w:ilvl w:val="0"/>
          <w:numId w:val="11"/>
        </w:numPr>
        <w:spacing w:line="240" w:lineRule="auto"/>
        <w:contextualSpacing w:val="0"/>
        <w:rPr>
          <w:rFonts w:ascii="Arial" w:hAnsi="Arial" w:cs="Arial"/>
          <w:i/>
        </w:rPr>
      </w:pPr>
      <w:r w:rsidRPr="00293256">
        <w:rPr>
          <w:rFonts w:ascii="Arial" w:hAnsi="Arial" w:cs="Arial"/>
          <w:i/>
        </w:rPr>
        <w:t>What were the minimum sample sizes used for reliability results?</w:t>
      </w:r>
      <w:r w:rsidRPr="00293256">
        <w:rPr>
          <w:rFonts w:ascii="Arial" w:hAnsi="Arial" w:cs="Arial"/>
        </w:rPr>
        <w:t xml:space="preserve"> </w:t>
      </w:r>
      <w:r w:rsidR="00293256" w:rsidRPr="00293256">
        <w:rPr>
          <w:rFonts w:ascii="Arial" w:hAnsi="Arial" w:cs="Arial"/>
        </w:rPr>
        <w:t>Other Information</w:t>
      </w:r>
    </w:p>
    <w:p w14:paraId="31E8E24F" w14:textId="77777777" w:rsidR="00293256" w:rsidRPr="00BF6DE9" w:rsidRDefault="00293256" w:rsidP="00F66E9E">
      <w:pPr>
        <w:pStyle w:val="ListParagraph"/>
        <w:numPr>
          <w:ilvl w:val="0"/>
          <w:numId w:val="17"/>
        </w:numPr>
        <w:spacing w:line="240" w:lineRule="auto"/>
        <w:ind w:left="1080"/>
        <w:rPr>
          <w:rFonts w:ascii="Arial" w:hAnsi="Arial" w:cs="Arial"/>
          <w:i/>
        </w:rPr>
      </w:pPr>
      <w:r w:rsidRPr="00BF6DE9">
        <w:rPr>
          <w:rFonts w:ascii="Arial" w:hAnsi="Arial" w:cs="Arial"/>
          <w:i/>
        </w:rPr>
        <w:t>Is it risk adjusted? If so, how?</w:t>
      </w:r>
    </w:p>
    <w:p w14:paraId="796760DF" w14:textId="54CAE461" w:rsidR="004D30EA" w:rsidRPr="004D30EA" w:rsidRDefault="004D30EA" w:rsidP="00F66E9E">
      <w:pPr>
        <w:autoSpaceDE w:val="0"/>
        <w:autoSpaceDN w:val="0"/>
        <w:adjustRightInd w:val="0"/>
        <w:spacing w:line="240" w:lineRule="auto"/>
        <w:ind w:left="1080"/>
        <w:rPr>
          <w:rFonts w:eastAsia="Times New Roman" w:cstheme="minorHAnsi"/>
          <w:color w:val="000000" w:themeColor="text1"/>
          <w:u w:val="single"/>
        </w:rPr>
      </w:pPr>
      <w:r w:rsidRPr="004D30EA">
        <w:rPr>
          <w:rFonts w:eastAsia="Times New Roman" w:cstheme="minorHAnsi"/>
          <w:color w:val="000000" w:themeColor="text1"/>
          <w:u w:val="single"/>
        </w:rPr>
        <w:t>Risk Adjustment</w:t>
      </w:r>
    </w:p>
    <w:p w14:paraId="48DFD2A7" w14:textId="77777777" w:rsidR="004D30EA" w:rsidRDefault="004D30EA" w:rsidP="00F66E9E">
      <w:pPr>
        <w:spacing w:line="240" w:lineRule="auto"/>
        <w:ind w:left="1080"/>
        <w:rPr>
          <w:rFonts w:cstheme="minorHAnsi"/>
        </w:rPr>
      </w:pPr>
      <w:r w:rsidRPr="004D30EA">
        <w:rPr>
          <w:rFonts w:eastAsia="Times New Roman" w:cstheme="minorHAnsi"/>
          <w:color w:val="000000" w:themeColor="text1"/>
        </w:rPr>
        <w:t>The goal of risk adjustment is to account for patient age, whether the patient had one or two procedures, and comorbid conditions that are clinically relevant and have strong relationships with the outcome, while illuminating important quality differences between</w:t>
      </w:r>
      <w:r w:rsidRPr="00B5050A">
        <w:rPr>
          <w:rFonts w:cstheme="minorHAnsi"/>
        </w:rPr>
        <w:t xml:space="preserve"> hospitals. The measure adjusts for case-mix differences based on the clinical status of the patient at the time of admission. Conditions that may represent adverse outcomes due to care received during the index admission are not considered for inclusion in the risk adjustment. Although they may increase the risk of mortality and complications, including them as covariates in risk adjustment could attenuate the measure’s ability to characterize the quality of care delivered by hospitals. </w:t>
      </w:r>
      <w:r w:rsidRPr="00FD4275">
        <w:t>For each patient</w:t>
      </w:r>
      <w:r>
        <w:t xml:space="preserve">, </w:t>
      </w:r>
      <w:r w:rsidRPr="00FD4275">
        <w:t>risk-adjustment variables are obtained from inpatient</w:t>
      </w:r>
      <w:r>
        <w:t xml:space="preserve">, </w:t>
      </w:r>
      <w:r w:rsidRPr="00FD4275">
        <w:t>outpatient</w:t>
      </w:r>
      <w:r>
        <w:t xml:space="preserve">, </w:t>
      </w:r>
      <w:r w:rsidRPr="00FD4275">
        <w:t>and physician Medicare administrative claims data extending 12 months prior to the index admission</w:t>
      </w:r>
      <w:r>
        <w:t xml:space="preserve"> </w:t>
      </w:r>
      <w:r w:rsidRPr="00FD4275">
        <w:t>and all claims data for the index admission itself.</w:t>
      </w:r>
    </w:p>
    <w:p w14:paraId="4DA13D50" w14:textId="77777777" w:rsidR="004D30EA" w:rsidRPr="00B5050A" w:rsidRDefault="004D30EA" w:rsidP="00F66E9E">
      <w:pPr>
        <w:spacing w:line="240" w:lineRule="auto"/>
        <w:ind w:left="1080"/>
        <w:rPr>
          <w:rFonts w:cstheme="minorHAnsi"/>
        </w:rPr>
      </w:pPr>
      <w:r w:rsidRPr="00B5050A">
        <w:rPr>
          <w:rFonts w:cstheme="minorHAnsi"/>
        </w:rPr>
        <w:t>In keeping with our key principle regarding alignment with the hospital</w:t>
      </w:r>
      <w:r>
        <w:rPr>
          <w:rFonts w:cstheme="minorHAnsi"/>
        </w:rPr>
        <w:t>-level</w:t>
      </w:r>
      <w:r w:rsidRPr="00B5050A">
        <w:rPr>
          <w:rFonts w:cstheme="minorHAnsi"/>
        </w:rPr>
        <w:t xml:space="preserve"> measure, and because the hospital risk model was developed and validated at the patient-level using the same cohort adopted for this MIPS THA/TKA complication measure, we used the same risk factors as used by CMS’s hospital-level THA/TKA complication measure.</w:t>
      </w:r>
    </w:p>
    <w:p w14:paraId="3DBA0E70" w14:textId="5CD908C5" w:rsidR="004D30EA" w:rsidRPr="00B5050A" w:rsidRDefault="004D30EA" w:rsidP="007172B9">
      <w:pPr>
        <w:spacing w:line="240" w:lineRule="auto"/>
        <w:ind w:left="1080"/>
        <w:rPr>
          <w:rFonts w:cstheme="minorHAnsi"/>
        </w:rPr>
      </w:pPr>
      <w:r w:rsidRPr="00B5050A">
        <w:rPr>
          <w:rFonts w:cstheme="minorHAnsi"/>
        </w:rPr>
        <w:t xml:space="preserve">Comorbidities for inclusion in risk adjustment are identified in administrative claims during the 12 months prior to and including the index admission. </w:t>
      </w:r>
      <w:bookmarkStart w:id="1" w:name="_Hlk524347351"/>
      <w:r>
        <w:rPr>
          <w:rFonts w:cstheme="minorHAnsi"/>
        </w:rPr>
        <w:t>To assemble the more than 16</w:t>
      </w:r>
      <w:r w:rsidRPr="00B5050A">
        <w:rPr>
          <w:rFonts w:cstheme="minorHAnsi"/>
        </w:rPr>
        <w:t>,000 ICD-9</w:t>
      </w:r>
      <w:r>
        <w:rPr>
          <w:rFonts w:cstheme="minorHAnsi"/>
        </w:rPr>
        <w:t xml:space="preserve"> codes and 70,000 ICD-10</w:t>
      </w:r>
      <w:r w:rsidRPr="00B5050A">
        <w:rPr>
          <w:rFonts w:cstheme="minorHAnsi"/>
        </w:rPr>
        <w:t xml:space="preserve"> codes into clinically coherent variables for risk adjustment, the measure employs</w:t>
      </w:r>
      <w:r w:rsidRPr="00B5050A" w:rsidDel="00B8027C">
        <w:rPr>
          <w:rFonts w:cstheme="minorHAnsi"/>
        </w:rPr>
        <w:t xml:space="preserve"> </w:t>
      </w:r>
      <w:r w:rsidRPr="00B5050A">
        <w:rPr>
          <w:rFonts w:cstheme="minorHAnsi"/>
        </w:rPr>
        <w:t xml:space="preserve">the publicly available CMS hierarchical </w:t>
      </w:r>
      <w:r w:rsidRPr="004D30EA">
        <w:rPr>
          <w:rStyle w:val="Hyperlink"/>
          <w:rFonts w:cstheme="minorHAnsi"/>
          <w:color w:val="auto"/>
          <w:u w:val="none"/>
        </w:rPr>
        <w:t>condition categories</w:t>
      </w:r>
      <w:r w:rsidRPr="004D30EA">
        <w:rPr>
          <w:rFonts w:cstheme="minorHAnsi"/>
        </w:rPr>
        <w:t xml:space="preserve"> (CCs) to group codes </w:t>
      </w:r>
      <w:bookmarkStart w:id="2" w:name="_Hlk527107727"/>
      <w:bookmarkStart w:id="3" w:name="_Hlk527107805"/>
      <w:r w:rsidRPr="004D30EA">
        <w:rPr>
          <w:rFonts w:cstheme="minorHAnsi"/>
        </w:rPr>
        <w:t xml:space="preserve">into </w:t>
      </w:r>
      <w:bookmarkStart w:id="4" w:name="_Hlk527107673"/>
      <w:r w:rsidRPr="004D30EA">
        <w:rPr>
          <w:rFonts w:cstheme="minorHAnsi"/>
        </w:rPr>
        <w:t>CCs</w:t>
      </w:r>
      <w:r w:rsidRPr="004D30EA">
        <w:rPr>
          <w:rFonts w:cstheme="minorHAnsi"/>
          <w:sz w:val="24"/>
        </w:rPr>
        <w:fldChar w:fldCharType="begin"/>
      </w:r>
      <w:r w:rsidR="00A46BCA">
        <w:rPr>
          <w:rFonts w:cstheme="minorHAnsi"/>
          <w:sz w:val="24"/>
        </w:rPr>
        <w:instrText xml:space="preserve"> ADDIN EN.CITE &lt;EndNote&gt;&lt;Cite&gt;&lt;Author&gt;Pope&lt;/Author&gt;&lt;Year&gt;2000&lt;/Year&gt;&lt;RecNum&gt;89&lt;/RecNum&gt;&lt;DisplayText&gt;&lt;style face="superscript"&gt;23,24&lt;/style&gt;&lt;/DisplayText&gt;&lt;record&gt;&lt;rec-number&gt;89&lt;/rec-number&gt;&lt;foreign-keys&gt;&lt;key app="EN" db-id="xwzx0eewb59sajexvskptatrdwr0ds0s5fd0" timestamp="1537323755"&gt;89&lt;/key&gt;&lt;/foreign-keys&gt;&lt;ref-type name="Journal Article"&gt;17&lt;/ref-type&gt;&lt;contributors&gt;&lt;authors&gt;&lt;author&gt;Pope, GC&lt;/author&gt;&lt;author&gt;Ellis, RP&lt;/author&gt;&lt;author&gt;Ash, AS&lt;/author&gt;&lt;author&gt;Liu, CF&lt;/author&gt;&lt;author&gt;Ayanian, JZ&lt;/author&gt;&lt;author&gt;Bates, DW&lt;/author&gt;&lt;author&gt;Burstin, H&lt;/author&gt;&lt;author&gt;Iezzoni, LI&lt;/author&gt;&lt;author&gt;Ingber, MJ&lt;/author&gt;&lt;/authors&gt;&lt;/contributors&gt;&lt;titles&gt;&lt;title&gt;Principal Inpatient Diagnostic Cost Group Models for Medicare Risk Adjustment&lt;/title&gt;&lt;secondary-title&gt;Health Care Financing Review&lt;/secondary-title&gt;&lt;/titles&gt;&lt;periodical&gt;&lt;full-title&gt;Health Care Financing Review&lt;/full-title&gt;&lt;/periodical&gt;&lt;pages&gt;26&lt;/pages&gt;&lt;volume&gt;21&lt;/volume&gt;&lt;number&gt;3&lt;/number&gt;&lt;section&gt;93&lt;/section&gt;&lt;dates&gt;&lt;year&gt;2000&lt;/year&gt;&lt;/dates&gt;&lt;urls&gt;&lt;/urls&gt;&lt;/record&gt;&lt;/Cite&gt;&lt;Cite&gt;&lt;Author&gt;Centers for Medicaid and Medicare Services&lt;/Author&gt;&lt;Year&gt;2016&lt;/Year&gt;&lt;RecNum&gt;76&lt;/RecNum&gt;&lt;record&gt;&lt;rec-number&gt;76&lt;/rec-number&gt;&lt;foreign-keys&gt;&lt;key app="EN" db-id="xwzx0eewb59sajexvskptatrdwr0ds0s5fd0" timestamp="1536682205"&gt;76&lt;/key&gt;&lt;/foreign-keys&gt;&lt;ref-type name="Web Page"&gt;12&lt;/ref-type&gt;&lt;contributors&gt;&lt;authors&gt;&lt;author&gt;Centers for Medicaid and Medicare Services,&lt;/author&gt;&lt;/authors&gt;&lt;secondary-authors&gt;&lt;author&gt;Center for Consumer Information &amp;amp; Insurance Oversight&lt;/author&gt;&lt;/secondary-authors&gt;&lt;/contributors&gt;&lt;titles&gt;&lt;title&gt;March 31, 2016, HHS-Operated Risk Adjustment Methodology Meeting&lt;/title&gt;&lt;/titles&gt;&lt;number&gt;August 15, 2018&lt;/number&gt;&lt;dates&gt;&lt;year&gt;2016&lt;/year&gt;&lt;/dates&gt;&lt;publisher&gt;Centers for Medicaid and Medicare Services&lt;/publisher&gt;&lt;urls&gt;&lt;related-urls&gt;&lt;url&gt;https://www.cms.gov/CCIIO/Resources/Forms-Reports-and-Other-Resources/Downloads/RA-March-31-White-Paper-032416.pdf&lt;/url&gt;&lt;/related-urls&gt;&lt;/urls&gt;&lt;access-date&gt;August 15, 2018&lt;/access-date&gt;&lt;/record&gt;&lt;/Cite&gt;&lt;/EndNote&gt;</w:instrText>
      </w:r>
      <w:r w:rsidRPr="004D30EA">
        <w:rPr>
          <w:rFonts w:cstheme="minorHAnsi"/>
          <w:sz w:val="24"/>
        </w:rPr>
        <w:fldChar w:fldCharType="end"/>
      </w:r>
      <w:bookmarkStart w:id="5" w:name="_Hlk527105186"/>
      <w:bookmarkEnd w:id="2"/>
      <w:r w:rsidR="00DF3A26" w:rsidRPr="004D30EA">
        <w:t xml:space="preserve"> </w:t>
      </w:r>
      <w:r w:rsidRPr="004D30EA">
        <w:t>an</w:t>
      </w:r>
      <w:bookmarkEnd w:id="5"/>
      <w:r w:rsidRPr="004D30EA">
        <w:rPr>
          <w:rFonts w:cstheme="minorHAnsi"/>
        </w:rPr>
        <w:t xml:space="preserve">d </w:t>
      </w:r>
      <w:bookmarkEnd w:id="3"/>
      <w:r w:rsidRPr="004D30EA">
        <w:rPr>
          <w:rFonts w:cstheme="minorHAnsi"/>
        </w:rPr>
        <w:t>s</w:t>
      </w:r>
      <w:bookmarkEnd w:id="4"/>
      <w:r w:rsidRPr="004D30EA">
        <w:rPr>
          <w:rFonts w:cstheme="minorHAnsi"/>
        </w:rPr>
        <w:t xml:space="preserve">elects comorbidities for inclusion in risk adjustment on the basis </w:t>
      </w:r>
      <w:r w:rsidRPr="00B5050A">
        <w:rPr>
          <w:rFonts w:cstheme="minorHAnsi"/>
        </w:rPr>
        <w:t>of clinical relevance and statistical significance</w:t>
      </w:r>
      <w:r w:rsidR="00DF3A26">
        <w:rPr>
          <w:rFonts w:cstheme="minorHAnsi"/>
        </w:rPr>
        <w:t xml:space="preserve"> [</w:t>
      </w:r>
      <w:r w:rsidR="00D97D46">
        <w:rPr>
          <w:rFonts w:cstheme="minorHAnsi"/>
        </w:rPr>
        <w:t>1-4</w:t>
      </w:r>
      <w:r w:rsidR="00DF3A26">
        <w:rPr>
          <w:rFonts w:cstheme="minorHAnsi"/>
        </w:rPr>
        <w:t>]</w:t>
      </w:r>
      <w:r w:rsidRPr="00B5050A">
        <w:rPr>
          <w:rFonts w:cstheme="minorHAnsi"/>
        </w:rPr>
        <w:t>.</w:t>
      </w:r>
    </w:p>
    <w:bookmarkEnd w:id="1"/>
    <w:p w14:paraId="25C8B981" w14:textId="142DC39E" w:rsidR="004D30EA" w:rsidRDefault="004817DA" w:rsidP="00F66E9E">
      <w:pPr>
        <w:spacing w:line="240" w:lineRule="auto"/>
        <w:ind w:left="1080"/>
      </w:pPr>
      <w:r>
        <w:rPr>
          <w:rFonts w:cstheme="minorHAnsi"/>
        </w:rPr>
        <w:t xml:space="preserve">The </w:t>
      </w:r>
      <w:r w:rsidR="00612A96">
        <w:rPr>
          <w:rFonts w:cstheme="minorHAnsi"/>
        </w:rPr>
        <w:t>following model variables</w:t>
      </w:r>
      <w:r>
        <w:rPr>
          <w:rFonts w:cstheme="minorHAnsi"/>
        </w:rPr>
        <w:t xml:space="preserve"> below</w:t>
      </w:r>
      <w:r w:rsidR="004D30EA" w:rsidRPr="00560534">
        <w:rPr>
          <w:rFonts w:cstheme="minorHAnsi"/>
        </w:rPr>
        <w:t xml:space="preserve"> </w:t>
      </w:r>
      <w:r w:rsidR="004D30EA" w:rsidRPr="004D30EA">
        <w:rPr>
          <w:rFonts w:cstheme="minorHAnsi"/>
        </w:rPr>
        <w:t xml:space="preserve">lists </w:t>
      </w:r>
      <w:r w:rsidR="004D30EA" w:rsidRPr="00DD1BDF">
        <w:rPr>
          <w:rFonts w:cstheme="minorHAnsi"/>
        </w:rPr>
        <w:t xml:space="preserve">the conditions not adjusted for if they only appear in the index admission and not in the 12 months prior to admission. </w:t>
      </w:r>
      <w:r w:rsidR="004D30EA" w:rsidRPr="00735948">
        <w:t xml:space="preserve">The </w:t>
      </w:r>
      <w:r w:rsidR="004D30EA" w:rsidRPr="00B24994">
        <w:rPr>
          <w:rFonts w:ascii="Calibri" w:hAnsi="Calibri"/>
        </w:rPr>
        <w:t>CCs</w:t>
      </w:r>
      <w:r w:rsidR="004D30EA" w:rsidRPr="00735948">
        <w:t xml:space="preserve"> outlined</w:t>
      </w:r>
      <w:r w:rsidR="00612A96">
        <w:t xml:space="preserve"> below</w:t>
      </w:r>
      <w:r w:rsidR="004D30EA" w:rsidRPr="00DD1BDF">
        <w:t xml:space="preserve"> are used to identify risk variables in claims for discharges on or after October 1, 2015 as well as discharges prior to October 1, 2015. The </w:t>
      </w:r>
      <w:r w:rsidR="004D30EA" w:rsidRPr="00DD1BDF" w:rsidDel="0007411C">
        <w:t>ICD-</w:t>
      </w:r>
      <w:r w:rsidR="004D30EA" w:rsidRPr="00DD1BDF">
        <w:t xml:space="preserve">10 </w:t>
      </w:r>
      <w:r w:rsidR="004D30EA" w:rsidRPr="00DD1BDF" w:rsidDel="0007411C">
        <w:t>code</w:t>
      </w:r>
      <w:r w:rsidR="004D30EA" w:rsidRPr="00DD1BDF">
        <w:t xml:space="preserve"> lists referenced in the tables that are </w:t>
      </w:r>
      <w:r w:rsidR="004D30EA" w:rsidRPr="00DD1BDF" w:rsidDel="0007411C">
        <w:t xml:space="preserve">used to </w:t>
      </w:r>
      <w:r w:rsidR="004D30EA" w:rsidRPr="00DD1BDF">
        <w:t>identify certain risk variables (</w:t>
      </w:r>
      <w:r w:rsidR="004D30EA">
        <w:t>e.g.</w:t>
      </w:r>
      <w:r w:rsidR="004D30EA" w:rsidRPr="00DD1BDF">
        <w:t xml:space="preserve">, Post traumatic osteoarthritis) in discharges on or after October 1, 2015 are posted </w:t>
      </w:r>
      <w:r w:rsidR="004D30EA" w:rsidRPr="00D70253">
        <w:t xml:space="preserve">on </w:t>
      </w:r>
      <w:hyperlink r:id="rId12" w:history="1">
        <w:proofErr w:type="spellStart"/>
        <w:r w:rsidR="004D30EA" w:rsidRPr="00B24994">
          <w:rPr>
            <w:rStyle w:val="Hyperlink"/>
            <w:i/>
          </w:rPr>
          <w:t>QualityNet</w:t>
        </w:r>
        <w:proofErr w:type="spellEnd"/>
      </w:hyperlink>
      <w:r w:rsidR="004D30EA" w:rsidRPr="00D70253">
        <w:t>.</w:t>
      </w:r>
      <w:r w:rsidR="004D30EA" w:rsidRPr="00DD1BDF">
        <w:t xml:space="preserve"> For a list of ICD-9 codes used to identify these variables for discharges prior to October 1, 2015, please refer to the 2016 procedure-specific complication measure updates and specifications report posted on </w:t>
      </w:r>
      <w:hyperlink r:id="rId13" w:history="1">
        <w:proofErr w:type="spellStart"/>
        <w:r w:rsidR="004D30EA" w:rsidRPr="00DD1BDF">
          <w:rPr>
            <w:rStyle w:val="Hyperlink"/>
            <w:i/>
          </w:rPr>
          <w:t>QualityNet</w:t>
        </w:r>
        <w:proofErr w:type="spellEnd"/>
      </w:hyperlink>
      <w:r w:rsidR="004D30EA" w:rsidRPr="00DD1BDF">
        <w:t>.</w:t>
      </w:r>
    </w:p>
    <w:p w14:paraId="0571E321" w14:textId="150C396E" w:rsidR="004817DA" w:rsidRPr="004817DA" w:rsidRDefault="004817DA" w:rsidP="00F66E9E">
      <w:pPr>
        <w:spacing w:line="240" w:lineRule="auto"/>
        <w:ind w:left="360" w:firstLine="720"/>
        <w:rPr>
          <w:rFonts w:cstheme="minorHAnsi"/>
          <w:u w:val="single"/>
        </w:rPr>
      </w:pPr>
      <w:r>
        <w:rPr>
          <w:rFonts w:cstheme="minorHAnsi"/>
          <w:u w:val="single"/>
        </w:rPr>
        <w:t>Model Variables</w:t>
      </w:r>
    </w:p>
    <w:p w14:paraId="0814028A"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Age minus 65 (years above 65, continuous)</w:t>
      </w:r>
    </w:p>
    <w:p w14:paraId="3F390E11" w14:textId="4933A5DD" w:rsidR="004817DA" w:rsidRDefault="004817DA" w:rsidP="00F66E9E">
      <w:pPr>
        <w:pStyle w:val="ListParagraph"/>
        <w:numPr>
          <w:ilvl w:val="0"/>
          <w:numId w:val="17"/>
        </w:numPr>
        <w:spacing w:after="0" w:line="240" w:lineRule="auto"/>
        <w:ind w:left="1800"/>
        <w:rPr>
          <w:rFonts w:cstheme="minorHAnsi"/>
        </w:rPr>
      </w:pPr>
      <w:r w:rsidRPr="004817DA">
        <w:rPr>
          <w:rFonts w:cstheme="minorHAnsi"/>
        </w:rPr>
        <w:t>Male</w:t>
      </w:r>
    </w:p>
    <w:p w14:paraId="542BEE19"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Index admissions with an elective THA procedure</w:t>
      </w:r>
    </w:p>
    <w:p w14:paraId="345A0F39"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Number of procedures (two vs. one)</w:t>
      </w:r>
    </w:p>
    <w:p w14:paraId="7E06C4E3"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Other congenital deformity of hip (joint)</w:t>
      </w:r>
    </w:p>
    <w:p w14:paraId="64BC27BB"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Post traumatic osteoarthritis</w:t>
      </w:r>
    </w:p>
    <w:p w14:paraId="214D2719"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Metastatic cancer and acute leukemia (CC 8)</w:t>
      </w:r>
    </w:p>
    <w:p w14:paraId="64CDC5D3" w14:textId="3456887B"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Other major cancers (CC 9-12)</w:t>
      </w:r>
    </w:p>
    <w:p w14:paraId="49BA7E95" w14:textId="2852B3C6"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Respiratory/heart/digestive/urinary/other neoplasms (CC 13-15)</w:t>
      </w:r>
    </w:p>
    <w:p w14:paraId="019043D4" w14:textId="6ABBBC2B"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Diabetes mellitus (DM) or DM complications (CC 17-19, 122-123)</w:t>
      </w:r>
    </w:p>
    <w:p w14:paraId="1686C322"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Protein-calorie malnutrition (CC 21)</w:t>
      </w:r>
    </w:p>
    <w:p w14:paraId="4AF89BC9"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Morbid obesity (CC 22)</w:t>
      </w:r>
    </w:p>
    <w:p w14:paraId="3E7D4859"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Bone/joint/muscle infections/necrosis (CC 39)</w:t>
      </w:r>
    </w:p>
    <w:p w14:paraId="674D43B7"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Rheumatoid arthritis and inflammatory connective tissue disease (CC 40)</w:t>
      </w:r>
    </w:p>
    <w:p w14:paraId="1A2BA4F7"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Osteoarthritis of hip or knee (CC 42)</w:t>
      </w:r>
    </w:p>
    <w:p w14:paraId="17645746" w14:textId="152A6CB2"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lastRenderedPageBreak/>
        <w:t>Osteoporosis and other b</w:t>
      </w:r>
      <w:r w:rsidR="003E5977">
        <w:rPr>
          <w:rFonts w:cstheme="minorHAnsi"/>
        </w:rPr>
        <w:t>one/cartilage disorders (CC 43)</w:t>
      </w:r>
    </w:p>
    <w:p w14:paraId="31918C6F" w14:textId="5A4EC7D5"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Dementia or other specified brain disorders (CC 51-53)</w:t>
      </w:r>
    </w:p>
    <w:p w14:paraId="2EE7E9B2" w14:textId="782F709D"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Major psychiatric disorders (CC 57-59)</w:t>
      </w:r>
    </w:p>
    <w:p w14:paraId="7478BF65" w14:textId="770F50A9"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Hemiplegia, paraplegia, paralysis, functional disability (CC 70-74, 103-104, 189-190)</w:t>
      </w:r>
    </w:p>
    <w:p w14:paraId="57538CC9"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Cardio-respiratory failure and shock</w:t>
      </w:r>
    </w:p>
    <w:p w14:paraId="106EAC7D" w14:textId="75AD602D"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Coronary atherosclerosis or angina (CC 88-89)</w:t>
      </w:r>
    </w:p>
    <w:p w14:paraId="129D77CF" w14:textId="2D79E0EE"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Stroke (CC 99-100)</w:t>
      </w:r>
    </w:p>
    <w:p w14:paraId="45D1820C" w14:textId="00584428"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Vascular or circulatory disease (CC 106-109)</w:t>
      </w:r>
    </w:p>
    <w:p w14:paraId="1176F136"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Chronic obstructive pulmonary disease (COPD) (CC 111)</w:t>
      </w:r>
    </w:p>
    <w:p w14:paraId="275B92A0" w14:textId="67802480"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Pneumonia (CC 114-116)</w:t>
      </w:r>
    </w:p>
    <w:p w14:paraId="7F14D618" w14:textId="77777777" w:rsidR="004817DA" w:rsidRPr="004817DA" w:rsidRDefault="004817DA" w:rsidP="007172B9">
      <w:pPr>
        <w:pStyle w:val="ListParagraph"/>
        <w:numPr>
          <w:ilvl w:val="0"/>
          <w:numId w:val="17"/>
        </w:numPr>
        <w:spacing w:after="0" w:line="240" w:lineRule="auto"/>
        <w:ind w:left="1800"/>
        <w:rPr>
          <w:rFonts w:cstheme="minorHAnsi"/>
        </w:rPr>
      </w:pPr>
      <w:r w:rsidRPr="004817DA">
        <w:rPr>
          <w:rFonts w:cstheme="minorHAnsi"/>
        </w:rPr>
        <w:t>Pleural effusion/pneumothorax (CC 117)</w:t>
      </w:r>
    </w:p>
    <w:p w14:paraId="5D664BFB"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Dialysis status (CC 134)</w:t>
      </w:r>
    </w:p>
    <w:p w14:paraId="409DF1A6" w14:textId="67539686"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Renal failure (CC 135-140)</w:t>
      </w:r>
    </w:p>
    <w:p w14:paraId="5B38A025" w14:textId="667D5C5B"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Decubitus ulcer or chronic skin ulcer (CC 157-161)</w:t>
      </w:r>
    </w:p>
    <w:p w14:paraId="0071D603" w14:textId="42A147C1"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Trauma (CC 166-168, 170-173)</w:t>
      </w:r>
    </w:p>
    <w:p w14:paraId="2A2BE278"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Vertebral fractures without spinal cord injury (CC 169)</w:t>
      </w:r>
    </w:p>
    <w:p w14:paraId="709BE3F8" w14:textId="77777777" w:rsidR="004817DA" w:rsidRPr="004817DA" w:rsidRDefault="004817DA" w:rsidP="00F66E9E">
      <w:pPr>
        <w:pStyle w:val="ListParagraph"/>
        <w:numPr>
          <w:ilvl w:val="0"/>
          <w:numId w:val="17"/>
        </w:numPr>
        <w:spacing w:after="0" w:line="240" w:lineRule="auto"/>
        <w:ind w:left="1800"/>
        <w:rPr>
          <w:rFonts w:cstheme="minorHAnsi"/>
        </w:rPr>
      </w:pPr>
      <w:r w:rsidRPr="004817DA">
        <w:rPr>
          <w:rFonts w:cstheme="minorHAnsi"/>
        </w:rPr>
        <w:t>Other injuries (CC 174)</w:t>
      </w:r>
    </w:p>
    <w:p w14:paraId="27858649" w14:textId="77777777" w:rsidR="004817DA" w:rsidRPr="004817DA" w:rsidRDefault="004817DA" w:rsidP="00F66E9E">
      <w:pPr>
        <w:pStyle w:val="ListParagraph"/>
        <w:numPr>
          <w:ilvl w:val="0"/>
          <w:numId w:val="17"/>
        </w:numPr>
        <w:spacing w:line="240" w:lineRule="auto"/>
        <w:ind w:left="1800"/>
        <w:rPr>
          <w:rFonts w:cstheme="minorHAnsi"/>
        </w:rPr>
      </w:pPr>
      <w:r w:rsidRPr="004817DA">
        <w:rPr>
          <w:rFonts w:cstheme="minorHAnsi"/>
        </w:rPr>
        <w:t>Major complications of medical care and trauma (CC 176-177)</w:t>
      </w:r>
    </w:p>
    <w:p w14:paraId="20814309" w14:textId="7BBBEC68" w:rsidR="004D30EA" w:rsidRDefault="004D30EA" w:rsidP="007172B9">
      <w:pPr>
        <w:spacing w:line="240" w:lineRule="auto"/>
        <w:ind w:left="1080"/>
        <w:rPr>
          <w:rFonts w:cstheme="minorHAnsi"/>
        </w:rPr>
      </w:pPr>
      <w:bookmarkStart w:id="6" w:name="_Hlk524347426"/>
      <w:r w:rsidRPr="00295D4B">
        <w:rPr>
          <w:rFonts w:cstheme="minorHAnsi"/>
        </w:rPr>
        <w:t>Additionally, the measure does not adjust for the patients’ admission source or their discharge disposition (e.g.</w:t>
      </w:r>
      <w:r>
        <w:rPr>
          <w:rFonts w:cstheme="minorHAnsi"/>
        </w:rPr>
        <w:t>,</w:t>
      </w:r>
      <w:r w:rsidRPr="00295D4B">
        <w:rPr>
          <w:rFonts w:cstheme="minorHAnsi"/>
        </w:rPr>
        <w:t xml:space="preserve"> skilled nursing facility) because these factors are associated w</w:t>
      </w:r>
      <w:r>
        <w:rPr>
          <w:rFonts w:cstheme="minorHAnsi"/>
        </w:rPr>
        <w:t>ith the structure of the health</w:t>
      </w:r>
      <w:r w:rsidRPr="00295D4B">
        <w:rPr>
          <w:rFonts w:cstheme="minorHAnsi"/>
        </w:rPr>
        <w:t>care system, not solely patients’ clinical risk factors. Regional differences in resource availability and practice patterns may exert an undue influence on model results. Moreover, the accuracy of these admission and discharge disposition codes is not known. The measure also does not adjust for socioeconomic status (SES), race</w:t>
      </w:r>
      <w:r>
        <w:rPr>
          <w:rFonts w:cstheme="minorHAnsi"/>
        </w:rPr>
        <w:t>,</w:t>
      </w:r>
      <w:r w:rsidRPr="00295D4B">
        <w:rPr>
          <w:rFonts w:cstheme="minorHAnsi"/>
        </w:rPr>
        <w:t xml:space="preserve"> or ethnicity. Variation in quality associated with these characteristics may be indicative of disparities in the quality of the care provided to vulnerable populations and adjusting for these factors would obscure these disparities. The measure does not adjust for provider characteristics either</w:t>
      </w:r>
      <w:r>
        <w:rPr>
          <w:rFonts w:cstheme="minorHAnsi"/>
        </w:rPr>
        <w:t xml:space="preserve">, </w:t>
      </w:r>
      <w:r w:rsidRPr="00295D4B">
        <w:rPr>
          <w:rFonts w:cstheme="minorHAnsi"/>
        </w:rPr>
        <w:t xml:space="preserve">since this would hold different types of providers to different quality standards, and because such characteristics may exist on a causal pathway to the outcome, rather than act as confounders. This approach is consistent with </w:t>
      </w:r>
      <w:r>
        <w:rPr>
          <w:rFonts w:cstheme="minorHAnsi"/>
        </w:rPr>
        <w:t>CMS’s hospital-level THA/TKA complication</w:t>
      </w:r>
      <w:r w:rsidRPr="00582562">
        <w:rPr>
          <w:rFonts w:cstheme="minorHAnsi"/>
        </w:rPr>
        <w:t xml:space="preserve"> measure. The intent is for the measure to adjust for age and clinical characteristics while illuminating important quality differences. </w:t>
      </w:r>
      <w:r>
        <w:rPr>
          <w:rFonts w:cstheme="minorHAnsi"/>
        </w:rPr>
        <w:t>CMS’s hospital-level THA/TKA complication</w:t>
      </w:r>
      <w:r w:rsidRPr="00582562">
        <w:rPr>
          <w:rFonts w:cstheme="minorHAnsi"/>
        </w:rPr>
        <w:t xml:space="preserve"> measure </w:t>
      </w:r>
      <w:r>
        <w:rPr>
          <w:rFonts w:cstheme="minorHAnsi"/>
        </w:rPr>
        <w:t xml:space="preserve">was </w:t>
      </w:r>
      <w:r w:rsidRPr="00582562">
        <w:rPr>
          <w:rFonts w:cstheme="minorHAnsi"/>
        </w:rPr>
        <w:t xml:space="preserve">endorsed by the NQF without adjustment for patient-level SES factors. For more information about this decision, please refer to the </w:t>
      </w:r>
      <w:hyperlink r:id="rId14" w:history="1">
        <w:r w:rsidRPr="004B7119">
          <w:rPr>
            <w:rStyle w:val="Hyperlink"/>
            <w:rFonts w:cstheme="minorHAnsi"/>
            <w:i/>
          </w:rPr>
          <w:t>NQF website</w:t>
        </w:r>
      </w:hyperlink>
      <w:r w:rsidRPr="00582562">
        <w:rPr>
          <w:rFonts w:cstheme="minorHAnsi"/>
        </w:rPr>
        <w:t>.</w:t>
      </w:r>
    </w:p>
    <w:p w14:paraId="736956A0" w14:textId="3EC232C6" w:rsidR="00D97D46" w:rsidRPr="00D97D46" w:rsidRDefault="00D97D46" w:rsidP="00F66E9E">
      <w:pPr>
        <w:spacing w:line="240" w:lineRule="auto"/>
        <w:ind w:left="1080"/>
        <w:rPr>
          <w:rFonts w:cstheme="minorHAnsi"/>
          <w:u w:val="single"/>
        </w:rPr>
      </w:pPr>
      <w:r w:rsidRPr="00D97D46">
        <w:rPr>
          <w:rFonts w:cstheme="minorHAnsi"/>
          <w:u w:val="single"/>
        </w:rPr>
        <w:t>References</w:t>
      </w:r>
    </w:p>
    <w:p w14:paraId="486425BB" w14:textId="0BB9527D" w:rsidR="00D97D46" w:rsidRPr="00D97D46" w:rsidRDefault="00D97D46" w:rsidP="00F66E9E">
      <w:pPr>
        <w:pStyle w:val="ListParagraph"/>
        <w:numPr>
          <w:ilvl w:val="0"/>
          <w:numId w:val="25"/>
        </w:numPr>
        <w:spacing w:line="240" w:lineRule="auto"/>
        <w:rPr>
          <w:rFonts w:cs="Arial"/>
        </w:rPr>
      </w:pPr>
      <w:r w:rsidRPr="00D97D46">
        <w:rPr>
          <w:rFonts w:cs="Arial"/>
        </w:rPr>
        <w:t>Pope G, Ellis R, Ash A, et al. Principal Inpatient Diagnostic Cost Group Models for Medicare Risk Adjustment. Health Care Financing Review. 2000;21(3):26.</w:t>
      </w:r>
    </w:p>
    <w:p w14:paraId="45085C29" w14:textId="5FD62AA9" w:rsidR="00D97D46" w:rsidRPr="00D97D46" w:rsidRDefault="00D97D46" w:rsidP="00F66E9E">
      <w:pPr>
        <w:pStyle w:val="ListParagraph"/>
        <w:numPr>
          <w:ilvl w:val="0"/>
          <w:numId w:val="25"/>
        </w:numPr>
        <w:spacing w:after="0" w:line="240" w:lineRule="auto"/>
        <w:contextualSpacing w:val="0"/>
        <w:rPr>
          <w:rFonts w:cs="Arial"/>
        </w:rPr>
      </w:pPr>
      <w:r w:rsidRPr="00D97D46">
        <w:rPr>
          <w:rFonts w:cs="Arial"/>
        </w:rPr>
        <w:t xml:space="preserve">Centers for Medicaid and Medicare Services. March 31, 2016, HHS-Operated Risk Adjustment Methodology Meeting. 2016; </w:t>
      </w:r>
      <w:hyperlink r:id="rId15" w:history="1">
        <w:r w:rsidRPr="00D97D46">
          <w:rPr>
            <w:rFonts w:cs="Arial"/>
          </w:rPr>
          <w:t>https://www.cms.gov/CCIIO/Resources/Forms-Reports-and-Other-Resources/Downloads/RA-March-31-White-Paper-032416.pdf</w:t>
        </w:r>
      </w:hyperlink>
      <w:r w:rsidRPr="00D97D46">
        <w:rPr>
          <w:rFonts w:cs="Arial"/>
        </w:rPr>
        <w:t>. Accessed August 15, 2018.</w:t>
      </w:r>
    </w:p>
    <w:p w14:paraId="3921EDBE" w14:textId="63A74B51" w:rsidR="00D97D46" w:rsidRPr="00D97D46" w:rsidRDefault="00D97D46" w:rsidP="007172B9">
      <w:pPr>
        <w:pStyle w:val="ListParagraph"/>
        <w:numPr>
          <w:ilvl w:val="0"/>
          <w:numId w:val="25"/>
        </w:numPr>
        <w:spacing w:after="0" w:line="240" w:lineRule="auto"/>
        <w:contextualSpacing w:val="0"/>
        <w:rPr>
          <w:rFonts w:cs="Arial"/>
        </w:rPr>
      </w:pPr>
      <w:r w:rsidRPr="00D97D46">
        <w:rPr>
          <w:rFonts w:cs="Arial"/>
        </w:rPr>
        <w:t>Spearman C. Correlation Calculated from Faulty Data. Brit J Psychol. 1910;3(3):271-295.</w:t>
      </w:r>
    </w:p>
    <w:p w14:paraId="041C076D" w14:textId="0727D950" w:rsidR="00D97D46" w:rsidRPr="00D97D46" w:rsidRDefault="00D97D46" w:rsidP="00F66E9E">
      <w:pPr>
        <w:pStyle w:val="ListParagraph"/>
        <w:numPr>
          <w:ilvl w:val="0"/>
          <w:numId w:val="25"/>
        </w:numPr>
        <w:spacing w:line="240" w:lineRule="auto"/>
        <w:contextualSpacing w:val="0"/>
        <w:rPr>
          <w:rFonts w:cs="Arial"/>
        </w:rPr>
      </w:pPr>
      <w:r w:rsidRPr="00D97D46">
        <w:rPr>
          <w:rFonts w:cs="Arial"/>
        </w:rPr>
        <w:t>Brown W. Some Experimental Results in the Correlation of Mental Abilities. Brit J Psychol. 1910;3:296-322.</w:t>
      </w:r>
    </w:p>
    <w:p w14:paraId="7E78B0A7" w14:textId="717FCFC5" w:rsidR="004817DA" w:rsidRPr="008E136B" w:rsidRDefault="004817DA" w:rsidP="00F66E9E">
      <w:pPr>
        <w:pStyle w:val="ListParagraph"/>
        <w:numPr>
          <w:ilvl w:val="0"/>
          <w:numId w:val="17"/>
        </w:numPr>
        <w:spacing w:line="240" w:lineRule="auto"/>
        <w:ind w:left="1080"/>
        <w:contextualSpacing w:val="0"/>
        <w:rPr>
          <w:rFonts w:ascii="Arial" w:hAnsi="Arial" w:cs="Arial"/>
          <w:i/>
        </w:rPr>
      </w:pPr>
      <w:r w:rsidRPr="00BF6DE9">
        <w:rPr>
          <w:rFonts w:ascii="Arial" w:hAnsi="Arial" w:cs="Arial"/>
          <w:i/>
        </w:rPr>
        <w:t>What benchmarking information is available?</w:t>
      </w:r>
    </w:p>
    <w:bookmarkEnd w:id="6"/>
    <w:p w14:paraId="3A77603C" w14:textId="0DC72473" w:rsidR="006934A3" w:rsidRPr="003F5A46" w:rsidRDefault="006934A3" w:rsidP="00F66E9E">
      <w:pPr>
        <w:spacing w:line="240" w:lineRule="auto"/>
        <w:ind w:left="1080"/>
        <w:rPr>
          <w:rFonts w:cs="Arial"/>
        </w:rPr>
      </w:pPr>
      <w:r w:rsidRPr="003F5A46">
        <w:rPr>
          <w:rFonts w:cs="Arial"/>
        </w:rPr>
        <w:t>We have not established any benchmarks for this measure. For MIPS quality measures, CMS establishes benchmarks using historical data and displays them in terms of deciles</w:t>
      </w:r>
      <w:r w:rsidR="00054CDC" w:rsidRPr="003F5A46">
        <w:rPr>
          <w:rFonts w:cs="Arial"/>
        </w:rPr>
        <w:t xml:space="preserve"> [1]</w:t>
      </w:r>
      <w:r w:rsidRPr="003F5A46">
        <w:rPr>
          <w:rFonts w:cs="Arial"/>
        </w:rPr>
        <w:t>.</w:t>
      </w:r>
    </w:p>
    <w:p w14:paraId="07BC4182" w14:textId="16ACC8AE" w:rsidR="008E136B" w:rsidRDefault="008E136B" w:rsidP="00F66E9E">
      <w:pPr>
        <w:spacing w:line="240" w:lineRule="auto"/>
        <w:ind w:left="1080"/>
        <w:rPr>
          <w:rFonts w:cs="Arial"/>
        </w:rPr>
      </w:pPr>
      <w:r>
        <w:rPr>
          <w:rFonts w:cs="Arial"/>
        </w:rPr>
        <w:t>For more information on CMS quality measure benchmarking, please see the QPP 2019 Qualit</w:t>
      </w:r>
      <w:r w:rsidR="00C22262">
        <w:rPr>
          <w:rFonts w:cs="Arial"/>
        </w:rPr>
        <w:t>y measure Benchmarks Overview [</w:t>
      </w:r>
      <w:r w:rsidR="00054CDC">
        <w:rPr>
          <w:rFonts w:cs="Arial"/>
        </w:rPr>
        <w:t>2</w:t>
      </w:r>
      <w:r>
        <w:rPr>
          <w:rFonts w:cs="Arial"/>
        </w:rPr>
        <w:t>]</w:t>
      </w:r>
      <w:r w:rsidR="00C22262">
        <w:rPr>
          <w:rFonts w:cs="Arial"/>
        </w:rPr>
        <w:t>.</w:t>
      </w:r>
    </w:p>
    <w:p w14:paraId="5C29D2BF" w14:textId="77777777" w:rsidR="008E136B" w:rsidRDefault="008E136B" w:rsidP="00F66E9E">
      <w:pPr>
        <w:spacing w:line="240" w:lineRule="auto"/>
        <w:ind w:left="1080"/>
        <w:rPr>
          <w:rFonts w:cs="Arial"/>
          <w:u w:val="single"/>
        </w:rPr>
      </w:pPr>
      <w:r>
        <w:rPr>
          <w:rFonts w:cs="Arial"/>
          <w:u w:val="single"/>
        </w:rPr>
        <w:lastRenderedPageBreak/>
        <w:t>References</w:t>
      </w:r>
    </w:p>
    <w:p w14:paraId="59C4FE4C" w14:textId="7ECEB64E" w:rsidR="00054CDC" w:rsidRPr="00054CDC" w:rsidRDefault="00E859ED" w:rsidP="00F66E9E">
      <w:pPr>
        <w:pStyle w:val="ListParagraph"/>
        <w:numPr>
          <w:ilvl w:val="0"/>
          <w:numId w:val="26"/>
        </w:numPr>
        <w:spacing w:line="240" w:lineRule="auto"/>
        <w:rPr>
          <w:rFonts w:cs="Arial"/>
        </w:rPr>
      </w:pPr>
      <w:r w:rsidRPr="00712EA9">
        <w:rPr>
          <w:noProof/>
        </w:rPr>
        <w:t>Centers for Medicaid and Medicare Services</w:t>
      </w:r>
      <w:r w:rsidR="00054CDC" w:rsidRPr="00054CDC">
        <w:rPr>
          <w:rFonts w:cs="Arial"/>
        </w:rPr>
        <w:t>. MIPS Quality Measure Benchmarks Overview. 2019</w:t>
      </w:r>
      <w:r w:rsidR="00F61545">
        <w:rPr>
          <w:rFonts w:cs="Arial"/>
        </w:rPr>
        <w:t xml:space="preserve">; </w:t>
      </w:r>
      <w:hyperlink r:id="rId16" w:history="1">
        <w:r w:rsidR="00F61545" w:rsidRPr="00BF5D83">
          <w:rPr>
            <w:rStyle w:val="Hyperlink"/>
            <w:rFonts w:cs="Arial"/>
          </w:rPr>
          <w:t>https://mdinteractive.com/2019-mips-quality-benchmarks</w:t>
        </w:r>
      </w:hyperlink>
      <w:r w:rsidR="00F61545">
        <w:rPr>
          <w:rFonts w:cs="Arial"/>
        </w:rPr>
        <w:t xml:space="preserve"> </w:t>
      </w:r>
    </w:p>
    <w:p w14:paraId="6BA7AA38" w14:textId="78CD624B" w:rsidR="00F61545" w:rsidRPr="00F61545" w:rsidRDefault="00F61545" w:rsidP="00F61545">
      <w:pPr>
        <w:pStyle w:val="ListParagraph"/>
        <w:numPr>
          <w:ilvl w:val="0"/>
          <w:numId w:val="26"/>
        </w:numPr>
        <w:spacing w:line="240" w:lineRule="auto"/>
        <w:contextualSpacing w:val="0"/>
        <w:rPr>
          <w:rFonts w:cs="Arial"/>
        </w:rPr>
      </w:pPr>
      <w:r w:rsidRPr="00712EA9">
        <w:rPr>
          <w:noProof/>
        </w:rPr>
        <w:t>Centers for Medicaid and Medicare Services</w:t>
      </w:r>
      <w:r w:rsidRPr="00054CDC">
        <w:rPr>
          <w:rFonts w:cs="Arial"/>
        </w:rPr>
        <w:t>.</w:t>
      </w:r>
      <w:r>
        <w:rPr>
          <w:rFonts w:cs="Arial"/>
        </w:rPr>
        <w:t xml:space="preserve"> </w:t>
      </w:r>
      <w:r w:rsidR="008E136B">
        <w:rPr>
          <w:rFonts w:cs="Arial"/>
        </w:rPr>
        <w:t>Quality Measure Benchmarks Overview.</w:t>
      </w:r>
      <w:r>
        <w:rPr>
          <w:rFonts w:cs="Arial"/>
        </w:rPr>
        <w:t xml:space="preserve"> 2019; </w:t>
      </w:r>
      <w:hyperlink r:id="rId17" w:history="1">
        <w:r w:rsidRPr="00BF5D83">
          <w:rPr>
            <w:rStyle w:val="Hyperlink"/>
          </w:rPr>
          <w:t>https://qpp-cm-prod-content.s3.amazonaws.com</w:t>
        </w:r>
      </w:hyperlink>
    </w:p>
    <w:p w14:paraId="044CABAD" w14:textId="77777777" w:rsidR="00300FD4" w:rsidRPr="00BF6DE9" w:rsidRDefault="00300FD4" w:rsidP="00F66E9E">
      <w:pPr>
        <w:pStyle w:val="ListParagraph"/>
        <w:numPr>
          <w:ilvl w:val="0"/>
          <w:numId w:val="1"/>
        </w:numPr>
        <w:spacing w:line="240" w:lineRule="auto"/>
        <w:rPr>
          <w:rFonts w:ascii="Arial" w:hAnsi="Arial" w:cs="Arial"/>
          <w:b/>
        </w:rPr>
      </w:pPr>
      <w:r w:rsidRPr="00BF6DE9">
        <w:rPr>
          <w:rFonts w:ascii="Arial" w:hAnsi="Arial" w:cs="Arial"/>
          <w:b/>
        </w:rPr>
        <w:t>Endorsement</w:t>
      </w:r>
    </w:p>
    <w:p w14:paraId="0C62B30A" w14:textId="0119AEDE" w:rsidR="00300FD4" w:rsidRDefault="007E7FDE" w:rsidP="00F66E9E">
      <w:pPr>
        <w:pStyle w:val="ListParagraph"/>
        <w:numPr>
          <w:ilvl w:val="0"/>
          <w:numId w:val="7"/>
        </w:numPr>
        <w:spacing w:line="240" w:lineRule="auto"/>
        <w:ind w:left="1080"/>
        <w:contextualSpacing w:val="0"/>
        <w:rPr>
          <w:rFonts w:ascii="Arial" w:hAnsi="Arial" w:cs="Arial"/>
          <w:i/>
        </w:rPr>
      </w:pPr>
      <w:r w:rsidRPr="00BF6DE9">
        <w:rPr>
          <w:rFonts w:ascii="Arial" w:hAnsi="Arial" w:cs="Arial"/>
          <w:i/>
        </w:rPr>
        <w:t xml:space="preserve">Provide </w:t>
      </w:r>
      <w:r w:rsidR="00300FD4" w:rsidRPr="00BF6DE9">
        <w:rPr>
          <w:rFonts w:ascii="Arial" w:hAnsi="Arial" w:cs="Arial"/>
          <w:i/>
        </w:rPr>
        <w:t xml:space="preserve">NQF </w:t>
      </w:r>
      <w:r w:rsidRPr="00BF6DE9">
        <w:rPr>
          <w:rFonts w:ascii="Arial" w:hAnsi="Arial" w:cs="Arial"/>
          <w:i/>
        </w:rPr>
        <w:t>endorsement status</w:t>
      </w:r>
      <w:r w:rsidR="00363D3C" w:rsidRPr="00BF6DE9">
        <w:rPr>
          <w:rFonts w:ascii="Arial" w:hAnsi="Arial" w:cs="Arial"/>
          <w:i/>
        </w:rPr>
        <w:t xml:space="preserve"> (and ID)</w:t>
      </w:r>
      <w:r w:rsidRPr="00BF6DE9">
        <w:rPr>
          <w:rFonts w:ascii="Arial" w:hAnsi="Arial" w:cs="Arial"/>
          <w:i/>
        </w:rPr>
        <w:t xml:space="preserve"> and/</w:t>
      </w:r>
      <w:r w:rsidR="00300FD4" w:rsidRPr="00BF6DE9">
        <w:rPr>
          <w:rFonts w:ascii="Arial" w:hAnsi="Arial" w:cs="Arial"/>
          <w:i/>
        </w:rPr>
        <w:t>or other endorsing body</w:t>
      </w:r>
      <w:r w:rsidR="009B2AD1" w:rsidRPr="00BF6DE9">
        <w:rPr>
          <w:rFonts w:ascii="Arial" w:hAnsi="Arial" w:cs="Arial"/>
          <w:i/>
        </w:rPr>
        <w:t xml:space="preserve"> (</w:t>
      </w:r>
      <w:r w:rsidR="0061473D" w:rsidRPr="00BF6DE9">
        <w:rPr>
          <w:rFonts w:ascii="Arial" w:hAnsi="Arial" w:cs="Arial"/>
          <w:i/>
        </w:rPr>
        <w:t xml:space="preserve">If measure is only endorsed for paper records, please </w:t>
      </w:r>
      <w:r w:rsidR="009B2AD1" w:rsidRPr="00BF6DE9">
        <w:rPr>
          <w:rFonts w:ascii="Arial" w:hAnsi="Arial" w:cs="Arial"/>
          <w:i/>
        </w:rPr>
        <w:t xml:space="preserve">note </w:t>
      </w:r>
      <w:r w:rsidR="0061473D" w:rsidRPr="00BF6DE9">
        <w:rPr>
          <w:rFonts w:ascii="Arial" w:hAnsi="Arial" w:cs="Arial"/>
          <w:i/>
        </w:rPr>
        <w:t xml:space="preserve">endorsement for </w:t>
      </w:r>
      <w:r w:rsidR="009B2AD1" w:rsidRPr="00BF6DE9">
        <w:rPr>
          <w:rFonts w:ascii="Arial" w:hAnsi="Arial" w:cs="Arial"/>
          <w:i/>
        </w:rPr>
        <w:t xml:space="preserve">only </w:t>
      </w:r>
      <w:r w:rsidR="0061473D" w:rsidRPr="00BF6DE9">
        <w:rPr>
          <w:rFonts w:ascii="Arial" w:hAnsi="Arial" w:cs="Arial"/>
          <w:i/>
        </w:rPr>
        <w:t>the</w:t>
      </w:r>
      <w:r w:rsidR="009B2AD1" w:rsidRPr="00BF6DE9">
        <w:rPr>
          <w:rFonts w:ascii="Arial" w:hAnsi="Arial" w:cs="Arial"/>
          <w:i/>
        </w:rPr>
        <w:t xml:space="preserve"> data source being submitted)</w:t>
      </w:r>
    </w:p>
    <w:p w14:paraId="51563C36" w14:textId="37587D29" w:rsidR="006D5E6F" w:rsidRPr="0092385C" w:rsidRDefault="00D665B9" w:rsidP="00F66E9E">
      <w:pPr>
        <w:spacing w:line="240" w:lineRule="auto"/>
        <w:ind w:left="1080"/>
        <w:rPr>
          <w:rFonts w:cstheme="minorHAnsi"/>
        </w:rPr>
      </w:pPr>
      <w:r w:rsidRPr="0092385C">
        <w:rPr>
          <w:rFonts w:ascii="Calibri" w:eastAsia="Times New Roman" w:hAnsi="Calibri" w:cs="Times New Roman"/>
          <w:color w:val="000000" w:themeColor="text1"/>
        </w:rPr>
        <w:t xml:space="preserve">The MIPS THA/TKA complication measure for MIPS eligible clinicians </w:t>
      </w:r>
      <w:r w:rsidR="0088228C" w:rsidRPr="0092385C">
        <w:rPr>
          <w:rFonts w:ascii="Calibri" w:eastAsia="Times New Roman" w:hAnsi="Calibri" w:cs="Times New Roman"/>
          <w:color w:val="000000" w:themeColor="text1"/>
        </w:rPr>
        <w:t>has completed</w:t>
      </w:r>
      <w:r w:rsidRPr="0092385C">
        <w:rPr>
          <w:rFonts w:ascii="Calibri" w:eastAsia="Times New Roman" w:hAnsi="Calibri" w:cs="Times New Roman"/>
          <w:color w:val="000000" w:themeColor="text1"/>
        </w:rPr>
        <w:t xml:space="preserve"> development</w:t>
      </w:r>
      <w:r w:rsidRPr="0092385C">
        <w:rPr>
          <w:rFonts w:cstheme="minorHAnsi"/>
        </w:rPr>
        <w:t xml:space="preserve">. </w:t>
      </w:r>
      <w:r w:rsidR="00632AFC" w:rsidRPr="0092385C">
        <w:rPr>
          <w:rFonts w:cstheme="minorHAnsi"/>
        </w:rPr>
        <w:t>This measure has been submitted to NQF</w:t>
      </w:r>
      <w:r w:rsidR="008E136B">
        <w:rPr>
          <w:rFonts w:cstheme="minorHAnsi"/>
        </w:rPr>
        <w:t xml:space="preserve"> and is currently undergoing initial endorsement</w:t>
      </w:r>
      <w:r w:rsidR="003E5977">
        <w:rPr>
          <w:rFonts w:cstheme="minorHAnsi"/>
        </w:rPr>
        <w:t>.</w:t>
      </w:r>
    </w:p>
    <w:p w14:paraId="2F6E35F9" w14:textId="019EFFB9" w:rsidR="00300FD4" w:rsidRDefault="00300FD4" w:rsidP="00F66E9E">
      <w:pPr>
        <w:pStyle w:val="ListParagraph"/>
        <w:numPr>
          <w:ilvl w:val="0"/>
          <w:numId w:val="1"/>
        </w:numPr>
        <w:spacing w:line="240" w:lineRule="auto"/>
        <w:rPr>
          <w:rFonts w:ascii="Arial" w:hAnsi="Arial" w:cs="Arial"/>
          <w:b/>
        </w:rPr>
      </w:pPr>
      <w:r w:rsidRPr="00BF6DE9">
        <w:rPr>
          <w:rFonts w:ascii="Arial" w:hAnsi="Arial" w:cs="Arial"/>
          <w:b/>
        </w:rPr>
        <w:t>Summary</w:t>
      </w:r>
    </w:p>
    <w:p w14:paraId="64338482" w14:textId="2C8B53B1" w:rsidR="00632AFC" w:rsidRDefault="00632AFC" w:rsidP="00F66E9E">
      <w:pPr>
        <w:pStyle w:val="ListParagraph"/>
        <w:numPr>
          <w:ilvl w:val="0"/>
          <w:numId w:val="13"/>
        </w:numPr>
        <w:spacing w:line="240" w:lineRule="auto"/>
        <w:ind w:left="1080"/>
        <w:rPr>
          <w:rFonts w:ascii="Arial" w:hAnsi="Arial" w:cs="Arial"/>
          <w:i/>
        </w:rPr>
      </w:pPr>
      <w:r w:rsidRPr="00BF6DE9">
        <w:rPr>
          <w:rFonts w:ascii="Arial" w:hAnsi="Arial" w:cs="Arial"/>
          <w:i/>
        </w:rPr>
        <w:t>Alignment wit</w:t>
      </w:r>
      <w:r w:rsidR="00293256">
        <w:rPr>
          <w:rFonts w:ascii="Arial" w:hAnsi="Arial" w:cs="Arial"/>
          <w:i/>
        </w:rPr>
        <w:t>h CMS Quality Strategy or MACRA</w:t>
      </w:r>
      <w:r w:rsidRPr="00BF6DE9">
        <w:rPr>
          <w:rFonts w:ascii="Arial" w:hAnsi="Arial" w:cs="Arial"/>
          <w:i/>
        </w:rPr>
        <w:t xml:space="preserve"> (If applicable)</w:t>
      </w:r>
    </w:p>
    <w:p w14:paraId="78167647" w14:textId="187439E5" w:rsidR="008E136B" w:rsidRPr="008E136B" w:rsidRDefault="008E136B" w:rsidP="00F66E9E">
      <w:pPr>
        <w:spacing w:line="240" w:lineRule="auto"/>
        <w:ind w:left="1080"/>
        <w:rPr>
          <w:rFonts w:ascii="Arial" w:hAnsi="Arial" w:cs="Arial"/>
          <w:i/>
        </w:rPr>
      </w:pPr>
      <w:r>
        <w:t>The proposed measure is intended to align with the Medicare Access &amp; CHIP Reauthorization Act (MACRA) domains of</w:t>
      </w:r>
      <w:r w:rsidR="00612A96">
        <w:t xml:space="preserve"> patient safety.</w:t>
      </w:r>
    </w:p>
    <w:p w14:paraId="276F6BFC" w14:textId="1A882388" w:rsidR="00632AFC" w:rsidRDefault="00632AFC" w:rsidP="00F66E9E">
      <w:pPr>
        <w:pStyle w:val="ListParagraph"/>
        <w:numPr>
          <w:ilvl w:val="0"/>
          <w:numId w:val="13"/>
        </w:numPr>
        <w:spacing w:line="240" w:lineRule="auto"/>
        <w:ind w:left="1080"/>
        <w:rPr>
          <w:rFonts w:ascii="Arial" w:hAnsi="Arial" w:cs="Arial"/>
          <w:i/>
        </w:rPr>
      </w:pPr>
      <w:r w:rsidRPr="00BF6DE9">
        <w:rPr>
          <w:rFonts w:ascii="Arial" w:hAnsi="Arial" w:cs="Arial"/>
          <w:i/>
        </w:rPr>
        <w:t>Importance to MIPS or other CMS programs</w:t>
      </w:r>
    </w:p>
    <w:p w14:paraId="73C7E0EF" w14:textId="0FED62D5" w:rsidR="008E136B" w:rsidRPr="008E136B" w:rsidRDefault="008E136B" w:rsidP="00F66E9E">
      <w:pPr>
        <w:spacing w:line="240" w:lineRule="auto"/>
        <w:ind w:left="1080"/>
        <w:rPr>
          <w:rFonts w:ascii="Arial" w:hAnsi="Arial" w:cs="Arial"/>
          <w:i/>
        </w:rPr>
      </w:pPr>
      <w:r w:rsidRPr="008E136B">
        <w:rPr>
          <w:rFonts w:cstheme="minorHAnsi"/>
        </w:rPr>
        <w:t>By incentivizing improved coordi</w:t>
      </w:r>
      <w:r>
        <w:rPr>
          <w:rFonts w:cstheme="minorHAnsi"/>
        </w:rPr>
        <w:t>nation of care for patients having elective THA and/or TKA procedures</w:t>
      </w:r>
      <w:r w:rsidRPr="008E136B">
        <w:rPr>
          <w:rFonts w:cstheme="minorHAnsi"/>
        </w:rPr>
        <w:t>, this measure is expected to reduce the number of hospitalizations and</w:t>
      </w:r>
      <w:r>
        <w:rPr>
          <w:rFonts w:cstheme="minorHAnsi"/>
        </w:rPr>
        <w:t xml:space="preserve"> days hospitalized for patients,</w:t>
      </w:r>
      <w:r w:rsidRPr="008E136B">
        <w:rPr>
          <w:rFonts w:cstheme="minorHAnsi"/>
        </w:rPr>
        <w:t xml:space="preserve"> </w:t>
      </w:r>
      <w:r>
        <w:rPr>
          <w:rFonts w:cstheme="minorHAnsi"/>
        </w:rPr>
        <w:t>reduce</w:t>
      </w:r>
      <w:r w:rsidRPr="008E136B">
        <w:rPr>
          <w:rFonts w:cstheme="minorHAnsi"/>
        </w:rPr>
        <w:t xml:space="preserve"> rates of c</w:t>
      </w:r>
      <w:r>
        <w:rPr>
          <w:rFonts w:cstheme="minorHAnsi"/>
        </w:rPr>
        <w:t>omplications,</w:t>
      </w:r>
      <w:r w:rsidRPr="008E136B">
        <w:rPr>
          <w:rFonts w:cstheme="minorHAnsi"/>
        </w:rPr>
        <w:t xml:space="preserve"> and produce cost savings resulting from fewer hospitalizations.</w:t>
      </w:r>
    </w:p>
    <w:p w14:paraId="788E6694" w14:textId="20F52FDE" w:rsidR="00632AFC" w:rsidRDefault="00632AFC" w:rsidP="00F66E9E">
      <w:pPr>
        <w:pStyle w:val="ListParagraph"/>
        <w:numPr>
          <w:ilvl w:val="0"/>
          <w:numId w:val="13"/>
        </w:numPr>
        <w:spacing w:line="240" w:lineRule="auto"/>
        <w:ind w:left="1080"/>
        <w:rPr>
          <w:rFonts w:ascii="Arial" w:hAnsi="Arial" w:cs="Arial"/>
          <w:i/>
        </w:rPr>
      </w:pPr>
      <w:r w:rsidRPr="00BF6DE9">
        <w:rPr>
          <w:rFonts w:ascii="Arial" w:hAnsi="Arial" w:cs="Arial"/>
          <w:i/>
        </w:rPr>
        <w:t>Rationale: Use of measure for inclusion in program (specialty society, regional collaborative, other)</w:t>
      </w:r>
    </w:p>
    <w:p w14:paraId="793A0ABF" w14:textId="0049FE8F" w:rsidR="008E136B" w:rsidRPr="008E136B" w:rsidRDefault="008E136B" w:rsidP="00F66E9E">
      <w:pPr>
        <w:spacing w:line="240" w:lineRule="auto"/>
        <w:ind w:left="1080"/>
        <w:rPr>
          <w:rFonts w:ascii="Calibri" w:eastAsia="Times New Roman" w:hAnsi="Calibri" w:cs="Times New Roman"/>
          <w:color w:val="000000" w:themeColor="text1"/>
        </w:rPr>
      </w:pPr>
      <w:r w:rsidRPr="008E136B">
        <w:rPr>
          <w:rFonts w:ascii="Calibri" w:eastAsia="Times New Roman" w:hAnsi="Calibri" w:cs="Times New Roman"/>
          <w:color w:val="000000" w:themeColor="text1"/>
        </w:rPr>
        <w:t>This measure is an adaptation of an existing, publicly reported measure for hospitals. The hospital measure is currently used in CMS programs for hospitals: it has been used by the Hospital Inpatient Quality Reporting Program (FY 2015 – FY 201</w:t>
      </w:r>
      <w:r w:rsidR="00566618">
        <w:rPr>
          <w:rFonts w:ascii="Calibri" w:eastAsia="Times New Roman" w:hAnsi="Calibri" w:cs="Times New Roman"/>
          <w:color w:val="000000" w:themeColor="text1"/>
        </w:rPr>
        <w:t>9</w:t>
      </w:r>
      <w:r w:rsidRPr="008E136B">
        <w:rPr>
          <w:rFonts w:ascii="Calibri" w:eastAsia="Times New Roman" w:hAnsi="Calibri" w:cs="Times New Roman"/>
          <w:color w:val="000000" w:themeColor="text1"/>
        </w:rPr>
        <w:t xml:space="preserve">) and the Hospital Value-Based Purchasing Program (FY 2019). </w:t>
      </w:r>
      <w:r>
        <w:rPr>
          <w:rFonts w:ascii="Calibri" w:eastAsia="Times New Roman" w:hAnsi="Calibri" w:cs="Times New Roman"/>
          <w:color w:val="000000" w:themeColor="text1"/>
        </w:rPr>
        <w:t xml:space="preserve">Although this measure has not yet been implemented, </w:t>
      </w:r>
      <w:r>
        <w:rPr>
          <w:rFonts w:cs="Arial"/>
        </w:rPr>
        <w:t>CMS developed the MIPS THA/TKA complications</w:t>
      </w:r>
      <w:r w:rsidRPr="008E136B">
        <w:rPr>
          <w:rFonts w:cs="Arial"/>
        </w:rPr>
        <w:t xml:space="preserve"> measure for use in the MIPS program.</w:t>
      </w:r>
    </w:p>
    <w:p w14:paraId="0A023946" w14:textId="0AF355F1" w:rsidR="00632AFC" w:rsidRDefault="00632AFC" w:rsidP="00F66E9E">
      <w:pPr>
        <w:pStyle w:val="ListParagraph"/>
        <w:numPr>
          <w:ilvl w:val="0"/>
          <w:numId w:val="13"/>
        </w:numPr>
        <w:spacing w:line="240" w:lineRule="auto"/>
        <w:ind w:left="1080"/>
        <w:rPr>
          <w:rFonts w:ascii="Arial" w:hAnsi="Arial" w:cs="Arial"/>
          <w:i/>
        </w:rPr>
      </w:pPr>
      <w:r w:rsidRPr="00BF6DE9">
        <w:rPr>
          <w:rFonts w:ascii="Arial" w:hAnsi="Arial" w:cs="Arial"/>
          <w:i/>
        </w:rPr>
        <w:t>Public reporting (if applicable)</w:t>
      </w:r>
    </w:p>
    <w:p w14:paraId="3434B64C" w14:textId="5350AB45" w:rsidR="008E136B" w:rsidRPr="008E136B" w:rsidRDefault="008E136B" w:rsidP="00F66E9E">
      <w:pPr>
        <w:spacing w:line="240" w:lineRule="auto"/>
        <w:ind w:left="1080"/>
        <w:rPr>
          <w:rFonts w:ascii="Arial" w:hAnsi="Arial" w:cs="Arial"/>
          <w:i/>
        </w:rPr>
      </w:pPr>
      <w:r w:rsidRPr="008E136B">
        <w:rPr>
          <w:rFonts w:cstheme="minorHAnsi"/>
        </w:rPr>
        <w:t>N/A; this measur</w:t>
      </w:r>
      <w:r w:rsidR="003E5977">
        <w:rPr>
          <w:rFonts w:cstheme="minorHAnsi"/>
        </w:rPr>
        <w:t>e has not yet been implemented.</w:t>
      </w:r>
    </w:p>
    <w:p w14:paraId="125BEF80" w14:textId="131D0E43" w:rsidR="00632AFC" w:rsidRPr="008E136B" w:rsidRDefault="00632AFC" w:rsidP="00F66E9E">
      <w:pPr>
        <w:pStyle w:val="ListParagraph"/>
        <w:numPr>
          <w:ilvl w:val="0"/>
          <w:numId w:val="13"/>
        </w:numPr>
        <w:spacing w:line="240" w:lineRule="auto"/>
        <w:ind w:left="1080"/>
        <w:rPr>
          <w:rFonts w:ascii="Arial" w:hAnsi="Arial" w:cs="Arial"/>
          <w:b/>
        </w:rPr>
      </w:pPr>
      <w:r w:rsidRPr="00BF6DE9">
        <w:rPr>
          <w:rFonts w:ascii="Arial" w:hAnsi="Arial" w:cs="Arial"/>
          <w:i/>
        </w:rPr>
        <w:t>Preferable relevant Peer-Review Journal for publication</w:t>
      </w:r>
    </w:p>
    <w:p w14:paraId="5CB8D9CF" w14:textId="2AF55505" w:rsidR="008E136B" w:rsidRPr="008E136B" w:rsidRDefault="008E136B" w:rsidP="00F66E9E">
      <w:pPr>
        <w:spacing w:line="240" w:lineRule="auto"/>
        <w:ind w:left="1080"/>
        <w:rPr>
          <w:rFonts w:cs="Arial"/>
        </w:rPr>
      </w:pPr>
      <w:bookmarkStart w:id="7" w:name="_Hlk9981619"/>
      <w:r w:rsidRPr="008E136B">
        <w:rPr>
          <w:rFonts w:cs="Arial"/>
        </w:rPr>
        <w:t xml:space="preserve">We </w:t>
      </w:r>
      <w:r w:rsidRPr="00100D09">
        <w:rPr>
          <w:rFonts w:cs="Arial"/>
        </w:rPr>
        <w:t>recommend</w:t>
      </w:r>
      <w:r w:rsidRPr="008E136B">
        <w:rPr>
          <w:rFonts w:cs="Arial"/>
        </w:rPr>
        <w:t xml:space="preserve"> submitting this measure to Medicare Care</w:t>
      </w:r>
      <w:r w:rsidR="00612A96">
        <w:rPr>
          <w:rFonts w:cs="Arial"/>
        </w:rPr>
        <w:t xml:space="preserve">, </w:t>
      </w:r>
      <w:r w:rsidRPr="008E136B">
        <w:rPr>
          <w:rFonts w:cs="Arial"/>
        </w:rPr>
        <w:t>Health Affairs</w:t>
      </w:r>
      <w:r w:rsidR="00612A96">
        <w:rPr>
          <w:rFonts w:cs="Arial"/>
        </w:rPr>
        <w:t xml:space="preserve">, </w:t>
      </w:r>
      <w:r w:rsidR="007F4413" w:rsidRPr="007F4413">
        <w:rPr>
          <w:rFonts w:cs="Arial"/>
        </w:rPr>
        <w:t xml:space="preserve">Health Services Research </w:t>
      </w:r>
      <w:r w:rsidR="00612A96">
        <w:rPr>
          <w:rFonts w:cs="Arial"/>
        </w:rPr>
        <w:t>or JAMA Network Open</w:t>
      </w:r>
      <w:r w:rsidR="00C22262">
        <w:rPr>
          <w:rFonts w:cs="Arial"/>
        </w:rPr>
        <w:t>.</w:t>
      </w:r>
      <w:bookmarkEnd w:id="7"/>
    </w:p>
    <w:sectPr w:rsidR="008E136B" w:rsidRPr="008E136B" w:rsidSect="00E45B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8A6EC" w14:textId="77777777" w:rsidR="00B739E1" w:rsidRDefault="00B739E1" w:rsidP="00007C75">
      <w:pPr>
        <w:spacing w:after="0" w:line="240" w:lineRule="auto"/>
      </w:pPr>
      <w:r>
        <w:separator/>
      </w:r>
    </w:p>
  </w:endnote>
  <w:endnote w:type="continuationSeparator" w:id="0">
    <w:p w14:paraId="66EF0AEC" w14:textId="77777777" w:rsidR="00B739E1" w:rsidRDefault="00B739E1" w:rsidP="0000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489715"/>
      <w:docPartObj>
        <w:docPartGallery w:val="Page Numbers (Bottom of Page)"/>
        <w:docPartUnique/>
      </w:docPartObj>
    </w:sdtPr>
    <w:sdtEndPr>
      <w:rPr>
        <w:noProof/>
      </w:rPr>
    </w:sdtEndPr>
    <w:sdtContent>
      <w:p w14:paraId="142DCE29" w14:textId="4BAA05B0" w:rsidR="00D82D04" w:rsidRDefault="00D82D04">
        <w:pPr>
          <w:pStyle w:val="Footer"/>
        </w:pPr>
        <w:r>
          <w:fldChar w:fldCharType="begin"/>
        </w:r>
        <w:r>
          <w:instrText xml:space="preserve"> PAGE   \* MERGEFORMAT </w:instrText>
        </w:r>
        <w:r>
          <w:fldChar w:fldCharType="separate"/>
        </w:r>
        <w:r w:rsidR="009B676A">
          <w:rPr>
            <w:noProof/>
          </w:rPr>
          <w:t>8</w:t>
        </w:r>
        <w:r>
          <w:rPr>
            <w:noProof/>
          </w:rPr>
          <w:fldChar w:fldCharType="end"/>
        </w:r>
      </w:p>
    </w:sdtContent>
  </w:sdt>
  <w:p w14:paraId="164D9AAC" w14:textId="3E738D00" w:rsidR="00D82D04" w:rsidRDefault="004D3EFB" w:rsidP="00B51B6B">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82D04">
          <w:rPr>
            <w:caps/>
            <w:color w:val="5B9BD5" w:themeColor="accent1"/>
            <w:sz w:val="20"/>
            <w:szCs w:val="20"/>
          </w:rPr>
          <w:t>Peer Reviewed Journal Article Requirement</w:t>
        </w:r>
      </w:sdtContent>
    </w:sdt>
    <w:r w:rsidR="00D82D0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82D04">
          <w:rPr>
            <w:color w:val="808080" w:themeColor="background1" w:themeShade="80"/>
            <w:sz w:val="20"/>
            <w:szCs w:val="20"/>
          </w:rPr>
          <w:t>Revised for 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36C02" w14:textId="77777777" w:rsidR="00B739E1" w:rsidRDefault="00B739E1" w:rsidP="00007C75">
      <w:pPr>
        <w:spacing w:after="0" w:line="240" w:lineRule="auto"/>
      </w:pPr>
      <w:r>
        <w:separator/>
      </w:r>
    </w:p>
  </w:footnote>
  <w:footnote w:type="continuationSeparator" w:id="0">
    <w:p w14:paraId="25FBAAF3" w14:textId="77777777" w:rsidR="00B739E1" w:rsidRDefault="00B739E1" w:rsidP="0000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6EE8"/>
    <w:multiLevelType w:val="hybridMultilevel"/>
    <w:tmpl w:val="CB46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312F0"/>
    <w:multiLevelType w:val="hybridMultilevel"/>
    <w:tmpl w:val="D3260D6A"/>
    <w:lvl w:ilvl="0" w:tplc="757C7E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42372F"/>
    <w:multiLevelType w:val="hybridMultilevel"/>
    <w:tmpl w:val="7AF69800"/>
    <w:lvl w:ilvl="0" w:tplc="D312011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C92D80"/>
    <w:multiLevelType w:val="hybridMultilevel"/>
    <w:tmpl w:val="38DA55BC"/>
    <w:lvl w:ilvl="0" w:tplc="8550BE3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50758"/>
    <w:multiLevelType w:val="hybridMultilevel"/>
    <w:tmpl w:val="AFD6191A"/>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19185A"/>
    <w:multiLevelType w:val="hybridMultilevel"/>
    <w:tmpl w:val="B5865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0773B9"/>
    <w:multiLevelType w:val="hybridMultilevel"/>
    <w:tmpl w:val="9A72AA4A"/>
    <w:lvl w:ilvl="0" w:tplc="A5AAE1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5F2EBE"/>
    <w:multiLevelType w:val="hybridMultilevel"/>
    <w:tmpl w:val="C6868750"/>
    <w:lvl w:ilvl="0" w:tplc="5C1057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96741"/>
    <w:multiLevelType w:val="hybridMultilevel"/>
    <w:tmpl w:val="C65A1CE2"/>
    <w:lvl w:ilvl="0" w:tplc="AF48EF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BA483E"/>
    <w:multiLevelType w:val="hybridMultilevel"/>
    <w:tmpl w:val="BF22F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B841FD"/>
    <w:multiLevelType w:val="hybridMultilevel"/>
    <w:tmpl w:val="3BEE7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513200"/>
    <w:multiLevelType w:val="hybridMultilevel"/>
    <w:tmpl w:val="93A80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8D4E36"/>
    <w:multiLevelType w:val="multilevel"/>
    <w:tmpl w:val="9610580A"/>
    <w:lvl w:ilvl="0">
      <w:start w:val="1"/>
      <w:numFmt w:val="decimal"/>
      <w:pStyle w:val="Heading1"/>
      <w:lvlText w:val="%1."/>
      <w:lvlJc w:val="left"/>
      <w:pPr>
        <w:ind w:left="720" w:hanging="360"/>
      </w:pPr>
    </w:lvl>
    <w:lvl w:ilvl="1">
      <w:start w:val="1"/>
      <w:numFmt w:val="decimal"/>
      <w:pStyle w:val="Heading3"/>
      <w:isLgl/>
      <w:lvlText w:val="%1.%2"/>
      <w:lvlJc w:val="left"/>
      <w:pPr>
        <w:ind w:left="4140" w:hanging="720"/>
      </w:pPr>
      <w:rPr>
        <w:rFonts w:hint="default"/>
      </w:rPr>
    </w:lvl>
    <w:lvl w:ilvl="2">
      <w:start w:val="1"/>
      <w:numFmt w:val="decimal"/>
      <w:pStyle w:val="Heading4"/>
      <w:isLgl/>
      <w:lvlText w:val="%1.%2.%3"/>
      <w:lvlJc w:val="left"/>
      <w:pPr>
        <w:ind w:left="396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7E291B"/>
    <w:multiLevelType w:val="hybridMultilevel"/>
    <w:tmpl w:val="32427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8541F"/>
    <w:multiLevelType w:val="hybridMultilevel"/>
    <w:tmpl w:val="7AF69800"/>
    <w:lvl w:ilvl="0" w:tplc="D312011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072D0F"/>
    <w:multiLevelType w:val="hybridMultilevel"/>
    <w:tmpl w:val="C390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54ED2"/>
    <w:multiLevelType w:val="hybridMultilevel"/>
    <w:tmpl w:val="4C7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775AB"/>
    <w:multiLevelType w:val="hybridMultilevel"/>
    <w:tmpl w:val="E2AC6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84419D"/>
    <w:multiLevelType w:val="hybridMultilevel"/>
    <w:tmpl w:val="B4687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64BD7"/>
    <w:multiLevelType w:val="hybridMultilevel"/>
    <w:tmpl w:val="9AE8526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7492B"/>
    <w:multiLevelType w:val="hybridMultilevel"/>
    <w:tmpl w:val="8E748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D545D"/>
    <w:multiLevelType w:val="hybridMultilevel"/>
    <w:tmpl w:val="AC862A3A"/>
    <w:lvl w:ilvl="0" w:tplc="2E828F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177845"/>
    <w:multiLevelType w:val="hybridMultilevel"/>
    <w:tmpl w:val="C392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D37D3E"/>
    <w:multiLevelType w:val="hybridMultilevel"/>
    <w:tmpl w:val="25A4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E4C04"/>
    <w:multiLevelType w:val="hybridMultilevel"/>
    <w:tmpl w:val="03ECB09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F3364"/>
    <w:multiLevelType w:val="hybridMultilevel"/>
    <w:tmpl w:val="442E0402"/>
    <w:lvl w:ilvl="0" w:tplc="C6C6334C">
      <w:start w:val="1"/>
      <w:numFmt w:val="decimal"/>
      <w:lvlText w:val="%1."/>
      <w:lvlJc w:val="left"/>
      <w:pPr>
        <w:ind w:left="1440" w:hanging="360"/>
      </w:pPr>
      <w:rPr>
        <w:rFonts w:eastAsia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2"/>
  </w:num>
  <w:num w:numId="3">
    <w:abstractNumId w:val="11"/>
  </w:num>
  <w:num w:numId="4">
    <w:abstractNumId w:val="10"/>
  </w:num>
  <w:num w:numId="5">
    <w:abstractNumId w:val="17"/>
  </w:num>
  <w:num w:numId="6">
    <w:abstractNumId w:val="5"/>
  </w:num>
  <w:num w:numId="7">
    <w:abstractNumId w:val="18"/>
  </w:num>
  <w:num w:numId="8">
    <w:abstractNumId w:val="13"/>
  </w:num>
  <w:num w:numId="9">
    <w:abstractNumId w:val="16"/>
  </w:num>
  <w:num w:numId="10">
    <w:abstractNumId w:val="0"/>
  </w:num>
  <w:num w:numId="11">
    <w:abstractNumId w:val="14"/>
  </w:num>
  <w:num w:numId="12">
    <w:abstractNumId w:val="15"/>
  </w:num>
  <w:num w:numId="13">
    <w:abstractNumId w:val="24"/>
  </w:num>
  <w:num w:numId="14">
    <w:abstractNumId w:val="23"/>
  </w:num>
  <w:num w:numId="15">
    <w:abstractNumId w:val="19"/>
  </w:num>
  <w:num w:numId="16">
    <w:abstractNumId w:val="2"/>
  </w:num>
  <w:num w:numId="17">
    <w:abstractNumId w:val="4"/>
  </w:num>
  <w:num w:numId="18">
    <w:abstractNumId w:val="12"/>
  </w:num>
  <w:num w:numId="19">
    <w:abstractNumId w:val="20"/>
  </w:num>
  <w:num w:numId="20">
    <w:abstractNumId w:val="7"/>
  </w:num>
  <w:num w:numId="21">
    <w:abstractNumId w:val="1"/>
  </w:num>
  <w:num w:numId="22">
    <w:abstractNumId w:val="9"/>
  </w:num>
  <w:num w:numId="23">
    <w:abstractNumId w:val="25"/>
  </w:num>
  <w:num w:numId="24">
    <w:abstractNumId w:val="8"/>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ListTable4-Accent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D2120"/>
    <w:rsid w:val="00007C75"/>
    <w:rsid w:val="00015204"/>
    <w:rsid w:val="000156AE"/>
    <w:rsid w:val="00036070"/>
    <w:rsid w:val="00054CDC"/>
    <w:rsid w:val="00066E47"/>
    <w:rsid w:val="000836BC"/>
    <w:rsid w:val="00087B73"/>
    <w:rsid w:val="000C0A29"/>
    <w:rsid w:val="000D2399"/>
    <w:rsid w:val="000D2530"/>
    <w:rsid w:val="000D38B8"/>
    <w:rsid w:val="000D5344"/>
    <w:rsid w:val="00100D09"/>
    <w:rsid w:val="0011093F"/>
    <w:rsid w:val="001121DA"/>
    <w:rsid w:val="001443E8"/>
    <w:rsid w:val="00146E9D"/>
    <w:rsid w:val="00191E83"/>
    <w:rsid w:val="001A05DA"/>
    <w:rsid w:val="001A32D1"/>
    <w:rsid w:val="001A42BB"/>
    <w:rsid w:val="001C137A"/>
    <w:rsid w:val="001E685C"/>
    <w:rsid w:val="001F1CE2"/>
    <w:rsid w:val="0022441B"/>
    <w:rsid w:val="002449AA"/>
    <w:rsid w:val="002704D1"/>
    <w:rsid w:val="00273264"/>
    <w:rsid w:val="00277876"/>
    <w:rsid w:val="00293256"/>
    <w:rsid w:val="002C60EB"/>
    <w:rsid w:val="002E5674"/>
    <w:rsid w:val="00300FD4"/>
    <w:rsid w:val="00311A71"/>
    <w:rsid w:val="0034493F"/>
    <w:rsid w:val="003550F7"/>
    <w:rsid w:val="00362A32"/>
    <w:rsid w:val="00363D3C"/>
    <w:rsid w:val="003C0E4F"/>
    <w:rsid w:val="003D0235"/>
    <w:rsid w:val="003E5035"/>
    <w:rsid w:val="003E5977"/>
    <w:rsid w:val="003E7269"/>
    <w:rsid w:val="003F5A46"/>
    <w:rsid w:val="00402E99"/>
    <w:rsid w:val="004041F7"/>
    <w:rsid w:val="0041080A"/>
    <w:rsid w:val="00417DF7"/>
    <w:rsid w:val="00433536"/>
    <w:rsid w:val="00440356"/>
    <w:rsid w:val="00455C48"/>
    <w:rsid w:val="00461E06"/>
    <w:rsid w:val="00462ADD"/>
    <w:rsid w:val="00465F0A"/>
    <w:rsid w:val="00466BD1"/>
    <w:rsid w:val="004817DA"/>
    <w:rsid w:val="00484B72"/>
    <w:rsid w:val="004D30EA"/>
    <w:rsid w:val="004D3EFB"/>
    <w:rsid w:val="004D63A3"/>
    <w:rsid w:val="004E4440"/>
    <w:rsid w:val="004F5BA1"/>
    <w:rsid w:val="00523040"/>
    <w:rsid w:val="00524245"/>
    <w:rsid w:val="0052505C"/>
    <w:rsid w:val="00545F9F"/>
    <w:rsid w:val="00554D00"/>
    <w:rsid w:val="00556405"/>
    <w:rsid w:val="00566618"/>
    <w:rsid w:val="005A4EC4"/>
    <w:rsid w:val="005C731D"/>
    <w:rsid w:val="005D614E"/>
    <w:rsid w:val="005D7582"/>
    <w:rsid w:val="005E7A4F"/>
    <w:rsid w:val="00600662"/>
    <w:rsid w:val="00612A96"/>
    <w:rsid w:val="0061473D"/>
    <w:rsid w:val="00617429"/>
    <w:rsid w:val="00632AFC"/>
    <w:rsid w:val="006357EE"/>
    <w:rsid w:val="00645D04"/>
    <w:rsid w:val="006656BE"/>
    <w:rsid w:val="00673099"/>
    <w:rsid w:val="00682B56"/>
    <w:rsid w:val="00684986"/>
    <w:rsid w:val="006934A3"/>
    <w:rsid w:val="006A2487"/>
    <w:rsid w:val="006A588F"/>
    <w:rsid w:val="006D5E6F"/>
    <w:rsid w:val="006E7361"/>
    <w:rsid w:val="007172B9"/>
    <w:rsid w:val="00724C2F"/>
    <w:rsid w:val="007400CF"/>
    <w:rsid w:val="00750ED0"/>
    <w:rsid w:val="00751171"/>
    <w:rsid w:val="00751641"/>
    <w:rsid w:val="0075249B"/>
    <w:rsid w:val="00775EDC"/>
    <w:rsid w:val="007A0EB0"/>
    <w:rsid w:val="007B0045"/>
    <w:rsid w:val="007E6FBF"/>
    <w:rsid w:val="007E7FDE"/>
    <w:rsid w:val="007F4413"/>
    <w:rsid w:val="0080512F"/>
    <w:rsid w:val="008137A5"/>
    <w:rsid w:val="00817C4F"/>
    <w:rsid w:val="00857B18"/>
    <w:rsid w:val="0088228C"/>
    <w:rsid w:val="008852FA"/>
    <w:rsid w:val="0088744A"/>
    <w:rsid w:val="008909CD"/>
    <w:rsid w:val="00892218"/>
    <w:rsid w:val="008D04B8"/>
    <w:rsid w:val="008D6226"/>
    <w:rsid w:val="008E136B"/>
    <w:rsid w:val="008E73AE"/>
    <w:rsid w:val="00902D7C"/>
    <w:rsid w:val="0092385C"/>
    <w:rsid w:val="00945940"/>
    <w:rsid w:val="00954B4A"/>
    <w:rsid w:val="00964940"/>
    <w:rsid w:val="009679A9"/>
    <w:rsid w:val="00987651"/>
    <w:rsid w:val="009920EC"/>
    <w:rsid w:val="009A57C4"/>
    <w:rsid w:val="009B2AD1"/>
    <w:rsid w:val="009B676A"/>
    <w:rsid w:val="009C176A"/>
    <w:rsid w:val="009E02D1"/>
    <w:rsid w:val="009E0454"/>
    <w:rsid w:val="009F1013"/>
    <w:rsid w:val="00A0743B"/>
    <w:rsid w:val="00A134A1"/>
    <w:rsid w:val="00A46BCA"/>
    <w:rsid w:val="00A656CD"/>
    <w:rsid w:val="00A701A6"/>
    <w:rsid w:val="00AA179C"/>
    <w:rsid w:val="00AB3D59"/>
    <w:rsid w:val="00AD0E94"/>
    <w:rsid w:val="00AF2B03"/>
    <w:rsid w:val="00B22857"/>
    <w:rsid w:val="00B44EBC"/>
    <w:rsid w:val="00B51B6B"/>
    <w:rsid w:val="00B718A3"/>
    <w:rsid w:val="00B739E1"/>
    <w:rsid w:val="00BC200B"/>
    <w:rsid w:val="00BD2120"/>
    <w:rsid w:val="00BF6DCB"/>
    <w:rsid w:val="00BF6DE9"/>
    <w:rsid w:val="00C22262"/>
    <w:rsid w:val="00C44428"/>
    <w:rsid w:val="00C66D43"/>
    <w:rsid w:val="00C8488B"/>
    <w:rsid w:val="00C901C9"/>
    <w:rsid w:val="00CB7DB4"/>
    <w:rsid w:val="00CC0462"/>
    <w:rsid w:val="00CC0C7E"/>
    <w:rsid w:val="00CF59D3"/>
    <w:rsid w:val="00D14DFA"/>
    <w:rsid w:val="00D269FF"/>
    <w:rsid w:val="00D34443"/>
    <w:rsid w:val="00D665B9"/>
    <w:rsid w:val="00D775F7"/>
    <w:rsid w:val="00D8059C"/>
    <w:rsid w:val="00D82D04"/>
    <w:rsid w:val="00D87585"/>
    <w:rsid w:val="00D878AF"/>
    <w:rsid w:val="00D97D46"/>
    <w:rsid w:val="00DA2669"/>
    <w:rsid w:val="00DB1AED"/>
    <w:rsid w:val="00DC1D2B"/>
    <w:rsid w:val="00DC5A31"/>
    <w:rsid w:val="00DD5758"/>
    <w:rsid w:val="00DD6485"/>
    <w:rsid w:val="00DF3A26"/>
    <w:rsid w:val="00E45B08"/>
    <w:rsid w:val="00E52D07"/>
    <w:rsid w:val="00E60FCE"/>
    <w:rsid w:val="00E67DD6"/>
    <w:rsid w:val="00E7375D"/>
    <w:rsid w:val="00E859ED"/>
    <w:rsid w:val="00EB515A"/>
    <w:rsid w:val="00EC0E40"/>
    <w:rsid w:val="00F435D2"/>
    <w:rsid w:val="00F55132"/>
    <w:rsid w:val="00F61545"/>
    <w:rsid w:val="00F66E9E"/>
    <w:rsid w:val="00F74053"/>
    <w:rsid w:val="00F862BA"/>
    <w:rsid w:val="00F96B55"/>
    <w:rsid w:val="00FB01AE"/>
    <w:rsid w:val="00FB3A6A"/>
    <w:rsid w:val="00FC510D"/>
    <w:rsid w:val="00FD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402D8"/>
  <w15:chartTrackingRefBased/>
  <w15:docId w15:val="{504AC71F-4CA2-46BE-8BBE-6A162352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228C"/>
    <w:pPr>
      <w:keepNext/>
      <w:numPr>
        <w:numId w:val="18"/>
      </w:numPr>
      <w:spacing w:before="240" w:after="240" w:line="240" w:lineRule="auto"/>
      <w:jc w:val="center"/>
      <w:outlineLvl w:val="0"/>
    </w:pPr>
    <w:rPr>
      <w:rFonts w:ascii="Calibri" w:eastAsia="Times New Roman" w:hAnsi="Calibri" w:cs="Arial"/>
      <w:b/>
      <w:bCs/>
      <w:kern w:val="32"/>
      <w:szCs w:val="32"/>
    </w:rPr>
  </w:style>
  <w:style w:type="paragraph" w:styleId="Heading2">
    <w:name w:val="heading 2"/>
    <w:basedOn w:val="Normal"/>
    <w:next w:val="Normal"/>
    <w:link w:val="Heading2Char"/>
    <w:uiPriority w:val="9"/>
    <w:semiHidden/>
    <w:unhideWhenUsed/>
    <w:qFormat/>
    <w:rsid w:val="008822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8228C"/>
    <w:pPr>
      <w:keepLines w:val="0"/>
      <w:numPr>
        <w:ilvl w:val="1"/>
        <w:numId w:val="18"/>
      </w:numPr>
      <w:spacing w:before="240" w:after="240" w:line="240" w:lineRule="auto"/>
      <w:ind w:left="1080"/>
      <w:outlineLvl w:val="2"/>
    </w:pPr>
    <w:rPr>
      <w:rFonts w:ascii="Calibri" w:eastAsia="Times New Roman" w:hAnsi="Calibri" w:cs="Arial"/>
      <w:b/>
      <w:bCs/>
      <w:color w:val="auto"/>
      <w:kern w:val="32"/>
      <w:sz w:val="22"/>
      <w:szCs w:val="32"/>
    </w:rPr>
  </w:style>
  <w:style w:type="paragraph" w:styleId="Heading4">
    <w:name w:val="heading 4"/>
    <w:basedOn w:val="Heading3"/>
    <w:next w:val="Normal"/>
    <w:link w:val="Heading4Char"/>
    <w:qFormat/>
    <w:rsid w:val="0088228C"/>
    <w:pPr>
      <w:numPr>
        <w:ilvl w:val="2"/>
      </w:numPr>
      <w:ind w:left="12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Level 1"/>
    <w:basedOn w:val="Normal"/>
    <w:link w:val="ListParagraphChar"/>
    <w:uiPriority w:val="34"/>
    <w:qFormat/>
    <w:rsid w:val="00E45B08"/>
    <w:pPr>
      <w:ind w:left="720"/>
      <w:contextualSpacing/>
    </w:pPr>
  </w:style>
  <w:style w:type="paragraph" w:styleId="BalloonText">
    <w:name w:val="Balloon Text"/>
    <w:basedOn w:val="Normal"/>
    <w:link w:val="BalloonTextChar"/>
    <w:uiPriority w:val="99"/>
    <w:semiHidden/>
    <w:unhideWhenUsed/>
    <w:rsid w:val="00E4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B08"/>
    <w:rPr>
      <w:rFonts w:ascii="Segoe UI" w:hAnsi="Segoe UI" w:cs="Segoe UI"/>
      <w:sz w:val="18"/>
      <w:szCs w:val="18"/>
    </w:rPr>
  </w:style>
  <w:style w:type="table" w:styleId="TableGrid">
    <w:name w:val="Table Grid"/>
    <w:basedOn w:val="TableNormal"/>
    <w:uiPriority w:val="39"/>
    <w:rsid w:val="009E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AD1"/>
    <w:rPr>
      <w:sz w:val="16"/>
      <w:szCs w:val="16"/>
    </w:rPr>
  </w:style>
  <w:style w:type="paragraph" w:styleId="CommentText">
    <w:name w:val="annotation text"/>
    <w:basedOn w:val="Normal"/>
    <w:link w:val="CommentTextChar"/>
    <w:uiPriority w:val="99"/>
    <w:semiHidden/>
    <w:unhideWhenUsed/>
    <w:rsid w:val="009B2AD1"/>
    <w:pPr>
      <w:spacing w:line="240" w:lineRule="auto"/>
    </w:pPr>
    <w:rPr>
      <w:sz w:val="20"/>
      <w:szCs w:val="20"/>
    </w:rPr>
  </w:style>
  <w:style w:type="character" w:customStyle="1" w:styleId="CommentTextChar">
    <w:name w:val="Comment Text Char"/>
    <w:basedOn w:val="DefaultParagraphFont"/>
    <w:link w:val="CommentText"/>
    <w:uiPriority w:val="99"/>
    <w:semiHidden/>
    <w:rsid w:val="009B2AD1"/>
    <w:rPr>
      <w:sz w:val="20"/>
      <w:szCs w:val="20"/>
    </w:rPr>
  </w:style>
  <w:style w:type="paragraph" w:styleId="CommentSubject">
    <w:name w:val="annotation subject"/>
    <w:basedOn w:val="CommentText"/>
    <w:next w:val="CommentText"/>
    <w:link w:val="CommentSubjectChar"/>
    <w:uiPriority w:val="99"/>
    <w:semiHidden/>
    <w:unhideWhenUsed/>
    <w:rsid w:val="009B2AD1"/>
    <w:rPr>
      <w:b/>
      <w:bCs/>
    </w:rPr>
  </w:style>
  <w:style w:type="character" w:customStyle="1" w:styleId="CommentSubjectChar">
    <w:name w:val="Comment Subject Char"/>
    <w:basedOn w:val="CommentTextChar"/>
    <w:link w:val="CommentSubject"/>
    <w:uiPriority w:val="99"/>
    <w:semiHidden/>
    <w:rsid w:val="009B2AD1"/>
    <w:rPr>
      <w:b/>
      <w:bCs/>
      <w:sz w:val="20"/>
      <w:szCs w:val="20"/>
    </w:rPr>
  </w:style>
  <w:style w:type="paragraph" w:styleId="Header">
    <w:name w:val="header"/>
    <w:basedOn w:val="Normal"/>
    <w:link w:val="HeaderChar"/>
    <w:uiPriority w:val="99"/>
    <w:unhideWhenUsed/>
    <w:rsid w:val="0000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C75"/>
  </w:style>
  <w:style w:type="paragraph" w:styleId="Footer">
    <w:name w:val="footer"/>
    <w:basedOn w:val="Normal"/>
    <w:link w:val="FooterChar"/>
    <w:uiPriority w:val="99"/>
    <w:unhideWhenUsed/>
    <w:rsid w:val="0000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C75"/>
  </w:style>
  <w:style w:type="paragraph" w:styleId="Title">
    <w:name w:val="Title"/>
    <w:basedOn w:val="Normal"/>
    <w:next w:val="Normal"/>
    <w:link w:val="TitleChar"/>
    <w:uiPriority w:val="10"/>
    <w:qFormat/>
    <w:rsid w:val="00DA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669"/>
    <w:pPr>
      <w:numPr>
        <w:ilvl w:val="1"/>
      </w:numPr>
      <w:jc w:val="center"/>
    </w:pPr>
    <w:rPr>
      <w:rFonts w:ascii="Arial" w:eastAsiaTheme="minorEastAsia" w:hAnsi="Arial"/>
      <w:spacing w:val="15"/>
      <w:sz w:val="24"/>
    </w:rPr>
  </w:style>
  <w:style w:type="character" w:customStyle="1" w:styleId="SubtitleChar">
    <w:name w:val="Subtitle Char"/>
    <w:basedOn w:val="DefaultParagraphFont"/>
    <w:link w:val="Subtitle"/>
    <w:uiPriority w:val="11"/>
    <w:rsid w:val="00DA2669"/>
    <w:rPr>
      <w:rFonts w:ascii="Arial" w:eastAsiaTheme="minorEastAsia" w:hAnsi="Arial"/>
      <w:spacing w:val="15"/>
      <w:sz w:val="24"/>
    </w:rPr>
  </w:style>
  <w:style w:type="character" w:styleId="Hyperlink">
    <w:name w:val="Hyperlink"/>
    <w:basedOn w:val="DefaultParagraphFont"/>
    <w:uiPriority w:val="99"/>
    <w:unhideWhenUsed/>
    <w:rsid w:val="00293256"/>
    <w:rPr>
      <w:color w:val="0563C1" w:themeColor="hyperlink"/>
      <w:u w:val="single"/>
    </w:rPr>
  </w:style>
  <w:style w:type="character" w:styleId="UnresolvedMention">
    <w:name w:val="Unresolved Mention"/>
    <w:basedOn w:val="DefaultParagraphFont"/>
    <w:uiPriority w:val="99"/>
    <w:semiHidden/>
    <w:unhideWhenUsed/>
    <w:rsid w:val="00293256"/>
    <w:rPr>
      <w:color w:val="808080"/>
      <w:shd w:val="clear" w:color="auto" w:fill="E6E6E6"/>
    </w:rPr>
  </w:style>
  <w:style w:type="character" w:styleId="FollowedHyperlink">
    <w:name w:val="FollowedHyperlink"/>
    <w:basedOn w:val="DefaultParagraphFont"/>
    <w:uiPriority w:val="99"/>
    <w:semiHidden/>
    <w:unhideWhenUsed/>
    <w:rsid w:val="00293256"/>
    <w:rPr>
      <w:color w:val="954F72" w:themeColor="followedHyperlink"/>
      <w:u w:val="single"/>
    </w:rPr>
  </w:style>
  <w:style w:type="character" w:customStyle="1" w:styleId="Heading1Char">
    <w:name w:val="Heading 1 Char"/>
    <w:basedOn w:val="DefaultParagraphFont"/>
    <w:link w:val="Heading1"/>
    <w:rsid w:val="0088228C"/>
    <w:rPr>
      <w:rFonts w:ascii="Calibri" w:eastAsia="Times New Roman" w:hAnsi="Calibri" w:cs="Arial"/>
      <w:b/>
      <w:bCs/>
      <w:kern w:val="32"/>
      <w:szCs w:val="32"/>
    </w:rPr>
  </w:style>
  <w:style w:type="character" w:customStyle="1" w:styleId="Heading3Char">
    <w:name w:val="Heading 3 Char"/>
    <w:basedOn w:val="DefaultParagraphFont"/>
    <w:link w:val="Heading3"/>
    <w:rsid w:val="0088228C"/>
    <w:rPr>
      <w:rFonts w:ascii="Calibri" w:eastAsia="Times New Roman" w:hAnsi="Calibri" w:cs="Arial"/>
      <w:b/>
      <w:bCs/>
      <w:kern w:val="32"/>
      <w:szCs w:val="32"/>
    </w:rPr>
  </w:style>
  <w:style w:type="character" w:customStyle="1" w:styleId="Heading4Char">
    <w:name w:val="Heading 4 Char"/>
    <w:basedOn w:val="DefaultParagraphFont"/>
    <w:link w:val="Heading4"/>
    <w:rsid w:val="0088228C"/>
    <w:rPr>
      <w:rFonts w:ascii="Calibri" w:eastAsia="Times New Roman" w:hAnsi="Calibri" w:cs="Arial"/>
      <w:b/>
      <w:bCs/>
      <w:kern w:val="32"/>
      <w:szCs w:val="32"/>
    </w:rPr>
  </w:style>
  <w:style w:type="character" w:customStyle="1" w:styleId="Heading2Char">
    <w:name w:val="Heading 2 Char"/>
    <w:basedOn w:val="DefaultParagraphFont"/>
    <w:link w:val="Heading2"/>
    <w:uiPriority w:val="9"/>
    <w:semiHidden/>
    <w:rsid w:val="0088228C"/>
    <w:rPr>
      <w:rFonts w:asciiTheme="majorHAnsi" w:eastAsiaTheme="majorEastAsia" w:hAnsiTheme="majorHAnsi" w:cstheme="majorBidi"/>
      <w:color w:val="2E74B5" w:themeColor="accent1" w:themeShade="BF"/>
      <w:sz w:val="26"/>
      <w:szCs w:val="26"/>
    </w:rPr>
  </w:style>
  <w:style w:type="paragraph" w:customStyle="1" w:styleId="EndNoteBibliography">
    <w:name w:val="EndNote Bibliography"/>
    <w:basedOn w:val="Normal"/>
    <w:link w:val="EndNoteBibliographyChar"/>
    <w:rsid w:val="0088228C"/>
    <w:pPr>
      <w:spacing w:after="200" w:line="240" w:lineRule="auto"/>
    </w:pPr>
    <w:rPr>
      <w:rFonts w:ascii="Calibri" w:eastAsia="Calibri" w:hAnsi="Calibri" w:cs="Calibri"/>
      <w:szCs w:val="20"/>
      <w:lang w:val="x-none" w:eastAsia="x-none"/>
    </w:rPr>
  </w:style>
  <w:style w:type="character" w:customStyle="1" w:styleId="EndNoteBibliographyChar">
    <w:name w:val="EndNote Bibliography Char"/>
    <w:basedOn w:val="DefaultParagraphFont"/>
    <w:link w:val="EndNoteBibliography"/>
    <w:rsid w:val="0088228C"/>
    <w:rPr>
      <w:rFonts w:ascii="Calibri" w:eastAsia="Calibri" w:hAnsi="Calibri" w:cs="Calibri"/>
      <w:szCs w:val="20"/>
      <w:lang w:val="x-none" w:eastAsia="x-none"/>
    </w:rPr>
  </w:style>
  <w:style w:type="paragraph" w:customStyle="1" w:styleId="EndNoteBibliographyTitle">
    <w:name w:val="EndNote Bibliography Title"/>
    <w:basedOn w:val="Normal"/>
    <w:link w:val="EndNoteBibliographyTitleChar"/>
    <w:rsid w:val="006934A3"/>
    <w:pPr>
      <w:spacing w:after="0"/>
      <w:jc w:val="center"/>
    </w:pPr>
    <w:rPr>
      <w:rFonts w:ascii="Calibri" w:hAnsi="Calibri" w:cs="Calibri"/>
      <w:noProof/>
    </w:rPr>
  </w:style>
  <w:style w:type="character" w:customStyle="1" w:styleId="ListParagraphChar">
    <w:name w:val="List Paragraph Char"/>
    <w:aliases w:val="Bulleted List Level 1 Char"/>
    <w:basedOn w:val="DefaultParagraphFont"/>
    <w:link w:val="ListParagraph"/>
    <w:uiPriority w:val="34"/>
    <w:rsid w:val="006934A3"/>
  </w:style>
  <w:style w:type="character" w:customStyle="1" w:styleId="EndNoteBibliographyTitleChar">
    <w:name w:val="EndNote Bibliography Title Char"/>
    <w:basedOn w:val="ListParagraphChar"/>
    <w:link w:val="EndNoteBibliographyTitle"/>
    <w:rsid w:val="006934A3"/>
    <w:rPr>
      <w:rFonts w:ascii="Calibri" w:hAnsi="Calibri" w:cs="Calibri"/>
      <w:noProof/>
    </w:rPr>
  </w:style>
  <w:style w:type="paragraph" w:styleId="Revision">
    <w:name w:val="Revision"/>
    <w:hidden/>
    <w:uiPriority w:val="99"/>
    <w:semiHidden/>
    <w:rsid w:val="004D30EA"/>
    <w:pPr>
      <w:spacing w:after="0" w:line="240" w:lineRule="auto"/>
    </w:pPr>
  </w:style>
  <w:style w:type="table" w:styleId="ListTable4-Accent5">
    <w:name w:val="List Table 4 Accent 5"/>
    <w:basedOn w:val="TableNormal"/>
    <w:uiPriority w:val="49"/>
    <w:rsid w:val="006E73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1">
    <w:name w:val="Grid Table 1 Light Accent 1"/>
    <w:basedOn w:val="TableNormal"/>
    <w:uiPriority w:val="46"/>
    <w:rsid w:val="008E73A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59497">
      <w:bodyDiv w:val="1"/>
      <w:marLeft w:val="0"/>
      <w:marRight w:val="0"/>
      <w:marTop w:val="0"/>
      <w:marBottom w:val="0"/>
      <w:divBdr>
        <w:top w:val="none" w:sz="0" w:space="0" w:color="auto"/>
        <w:left w:val="none" w:sz="0" w:space="0" w:color="auto"/>
        <w:bottom w:val="none" w:sz="0" w:space="0" w:color="auto"/>
        <w:right w:val="none" w:sz="0" w:space="0" w:color="auto"/>
      </w:divBdr>
    </w:div>
    <w:div w:id="205720172">
      <w:bodyDiv w:val="1"/>
      <w:marLeft w:val="0"/>
      <w:marRight w:val="0"/>
      <w:marTop w:val="0"/>
      <w:marBottom w:val="0"/>
      <w:divBdr>
        <w:top w:val="none" w:sz="0" w:space="0" w:color="auto"/>
        <w:left w:val="none" w:sz="0" w:space="0" w:color="auto"/>
        <w:bottom w:val="none" w:sz="0" w:space="0" w:color="auto"/>
        <w:right w:val="none" w:sz="0" w:space="0" w:color="auto"/>
      </w:divBdr>
    </w:div>
    <w:div w:id="246233174">
      <w:bodyDiv w:val="1"/>
      <w:marLeft w:val="0"/>
      <w:marRight w:val="0"/>
      <w:marTop w:val="0"/>
      <w:marBottom w:val="0"/>
      <w:divBdr>
        <w:top w:val="none" w:sz="0" w:space="0" w:color="auto"/>
        <w:left w:val="none" w:sz="0" w:space="0" w:color="auto"/>
        <w:bottom w:val="none" w:sz="0" w:space="0" w:color="auto"/>
        <w:right w:val="none" w:sz="0" w:space="0" w:color="auto"/>
      </w:divBdr>
    </w:div>
    <w:div w:id="307712877">
      <w:bodyDiv w:val="1"/>
      <w:marLeft w:val="0"/>
      <w:marRight w:val="0"/>
      <w:marTop w:val="0"/>
      <w:marBottom w:val="0"/>
      <w:divBdr>
        <w:top w:val="none" w:sz="0" w:space="0" w:color="auto"/>
        <w:left w:val="none" w:sz="0" w:space="0" w:color="auto"/>
        <w:bottom w:val="none" w:sz="0" w:space="0" w:color="auto"/>
        <w:right w:val="none" w:sz="0" w:space="0" w:color="auto"/>
      </w:divBdr>
    </w:div>
    <w:div w:id="354962403">
      <w:bodyDiv w:val="1"/>
      <w:marLeft w:val="0"/>
      <w:marRight w:val="0"/>
      <w:marTop w:val="0"/>
      <w:marBottom w:val="0"/>
      <w:divBdr>
        <w:top w:val="none" w:sz="0" w:space="0" w:color="auto"/>
        <w:left w:val="none" w:sz="0" w:space="0" w:color="auto"/>
        <w:bottom w:val="none" w:sz="0" w:space="0" w:color="auto"/>
        <w:right w:val="none" w:sz="0" w:space="0" w:color="auto"/>
      </w:divBdr>
    </w:div>
    <w:div w:id="573046937">
      <w:bodyDiv w:val="1"/>
      <w:marLeft w:val="0"/>
      <w:marRight w:val="0"/>
      <w:marTop w:val="0"/>
      <w:marBottom w:val="0"/>
      <w:divBdr>
        <w:top w:val="none" w:sz="0" w:space="0" w:color="auto"/>
        <w:left w:val="none" w:sz="0" w:space="0" w:color="auto"/>
        <w:bottom w:val="none" w:sz="0" w:space="0" w:color="auto"/>
        <w:right w:val="none" w:sz="0" w:space="0" w:color="auto"/>
      </w:divBdr>
    </w:div>
    <w:div w:id="758865732">
      <w:bodyDiv w:val="1"/>
      <w:marLeft w:val="0"/>
      <w:marRight w:val="0"/>
      <w:marTop w:val="0"/>
      <w:marBottom w:val="0"/>
      <w:divBdr>
        <w:top w:val="none" w:sz="0" w:space="0" w:color="auto"/>
        <w:left w:val="none" w:sz="0" w:space="0" w:color="auto"/>
        <w:bottom w:val="none" w:sz="0" w:space="0" w:color="auto"/>
        <w:right w:val="none" w:sz="0" w:space="0" w:color="auto"/>
      </w:divBdr>
    </w:div>
    <w:div w:id="1319306216">
      <w:bodyDiv w:val="1"/>
      <w:marLeft w:val="0"/>
      <w:marRight w:val="0"/>
      <w:marTop w:val="0"/>
      <w:marBottom w:val="0"/>
      <w:divBdr>
        <w:top w:val="none" w:sz="0" w:space="0" w:color="auto"/>
        <w:left w:val="none" w:sz="0" w:space="0" w:color="auto"/>
        <w:bottom w:val="none" w:sz="0" w:space="0" w:color="auto"/>
        <w:right w:val="none" w:sz="0" w:space="0" w:color="auto"/>
      </w:divBdr>
    </w:div>
    <w:div w:id="1319310640">
      <w:bodyDiv w:val="1"/>
      <w:marLeft w:val="0"/>
      <w:marRight w:val="0"/>
      <w:marTop w:val="0"/>
      <w:marBottom w:val="0"/>
      <w:divBdr>
        <w:top w:val="none" w:sz="0" w:space="0" w:color="auto"/>
        <w:left w:val="none" w:sz="0" w:space="0" w:color="auto"/>
        <w:bottom w:val="none" w:sz="0" w:space="0" w:color="auto"/>
        <w:right w:val="none" w:sz="0" w:space="0" w:color="auto"/>
      </w:divBdr>
    </w:div>
    <w:div w:id="1430277191">
      <w:bodyDiv w:val="1"/>
      <w:marLeft w:val="0"/>
      <w:marRight w:val="0"/>
      <w:marTop w:val="0"/>
      <w:marBottom w:val="0"/>
      <w:divBdr>
        <w:top w:val="none" w:sz="0" w:space="0" w:color="auto"/>
        <w:left w:val="none" w:sz="0" w:space="0" w:color="auto"/>
        <w:bottom w:val="none" w:sz="0" w:space="0" w:color="auto"/>
        <w:right w:val="none" w:sz="0" w:space="0" w:color="auto"/>
      </w:divBdr>
    </w:div>
    <w:div w:id="1669475339">
      <w:bodyDiv w:val="1"/>
      <w:marLeft w:val="0"/>
      <w:marRight w:val="0"/>
      <w:marTop w:val="0"/>
      <w:marBottom w:val="0"/>
      <w:divBdr>
        <w:top w:val="none" w:sz="0" w:space="0" w:color="auto"/>
        <w:left w:val="none" w:sz="0" w:space="0" w:color="auto"/>
        <w:bottom w:val="none" w:sz="0" w:space="0" w:color="auto"/>
        <w:right w:val="none" w:sz="0" w:space="0" w:color="auto"/>
      </w:divBdr>
    </w:div>
    <w:div w:id="1683120622">
      <w:bodyDiv w:val="1"/>
      <w:marLeft w:val="0"/>
      <w:marRight w:val="0"/>
      <w:marTop w:val="0"/>
      <w:marBottom w:val="0"/>
      <w:divBdr>
        <w:top w:val="none" w:sz="0" w:space="0" w:color="auto"/>
        <w:left w:val="none" w:sz="0" w:space="0" w:color="auto"/>
        <w:bottom w:val="none" w:sz="0" w:space="0" w:color="auto"/>
        <w:right w:val="none" w:sz="0" w:space="0" w:color="auto"/>
      </w:divBdr>
    </w:div>
    <w:div w:id="1731882442">
      <w:bodyDiv w:val="1"/>
      <w:marLeft w:val="0"/>
      <w:marRight w:val="0"/>
      <w:marTop w:val="0"/>
      <w:marBottom w:val="0"/>
      <w:divBdr>
        <w:top w:val="none" w:sz="0" w:space="0" w:color="auto"/>
        <w:left w:val="none" w:sz="0" w:space="0" w:color="auto"/>
        <w:bottom w:val="none" w:sz="0" w:space="0" w:color="auto"/>
        <w:right w:val="none" w:sz="0" w:space="0" w:color="auto"/>
      </w:divBdr>
    </w:div>
    <w:div w:id="1853950999">
      <w:bodyDiv w:val="1"/>
      <w:marLeft w:val="0"/>
      <w:marRight w:val="0"/>
      <w:marTop w:val="0"/>
      <w:marBottom w:val="0"/>
      <w:divBdr>
        <w:top w:val="none" w:sz="0" w:space="0" w:color="auto"/>
        <w:left w:val="none" w:sz="0" w:space="0" w:color="auto"/>
        <w:bottom w:val="none" w:sz="0" w:space="0" w:color="auto"/>
        <w:right w:val="none" w:sz="0" w:space="0" w:color="auto"/>
      </w:divBdr>
    </w:div>
    <w:div w:id="20897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litynet.org/dcs/ContentServer?c=Page&amp;pagename=QnetPublic%2FPage%2FQnetTier3&amp;cid=12287747194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alitynet.org/dcs/ContentServer?c=Page&amp;pagename=QnetPublic%2FPage%2FQnetTier4&amp;cid=1228772782693%20%20" TargetMode="External"/><Relationship Id="rId17" Type="http://schemas.openxmlformats.org/officeDocument/2006/relationships/hyperlink" Target="https://qpp-cm-prod-content.s3.amazonaws.com" TargetMode="External"/><Relationship Id="rId2" Type="http://schemas.openxmlformats.org/officeDocument/2006/relationships/customXml" Target="../customXml/item2.xml"/><Relationship Id="rId16" Type="http://schemas.openxmlformats.org/officeDocument/2006/relationships/hyperlink" Target="https://mdinteractive.com/2019-mips-quality-benchma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ms.gov/CCIIO/Resources/Forms-Reports-and-Other-Resources/Downloads/RA-March-31-White-Paper-032416.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lity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E3FB-6EE6-4082-A3FB-F0D31E4C06E6}">
  <ds:schemaRefs>
    <ds:schemaRef ds:uri="http://schemas.microsoft.com/sharepoint/v3/contenttype/forms"/>
  </ds:schemaRefs>
</ds:datastoreItem>
</file>

<file path=customXml/itemProps2.xml><?xml version="1.0" encoding="utf-8"?>
<ds:datastoreItem xmlns:ds="http://schemas.openxmlformats.org/officeDocument/2006/customXml" ds:itemID="{83871067-4B12-4DD8-8C94-6913C5128178}">
  <ds:schemaRefs>
    <ds:schemaRef ds:uri="53ae6ff5-5cd6-450f-8374-44744d73ee2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aae1ca9-fdbd-4e1c-8897-70dfbe687bd0"/>
    <ds:schemaRef ds:uri="http://www.w3.org/XML/1998/namespace"/>
    <ds:schemaRef ds:uri="http://purl.org/dc/dcmitype/"/>
  </ds:schemaRefs>
</ds:datastoreItem>
</file>

<file path=customXml/itemProps3.xml><?xml version="1.0" encoding="utf-8"?>
<ds:datastoreItem xmlns:ds="http://schemas.openxmlformats.org/officeDocument/2006/customXml" ds:itemID="{31665C4D-53E9-4F2F-94BE-4CC8D7C1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F695C-43CC-4122-97C7-7017C944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4500</Words>
  <Characters>25650</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Peer Reviewed Journal Article Requirement</vt:lpstr>
    </vt:vector>
  </TitlesOfParts>
  <Company>CMS</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Reviewed Journal Article Requirement</dc:title>
  <dc:subject>Revised for 2018</dc:subject>
  <dc:creator>CMS</dc:creator>
  <cp:keywords>Peer Reviewed Journal Article Requirement</cp:keywords>
  <dc:description/>
  <cp:lastModifiedBy>Mawuse Matias</cp:lastModifiedBy>
  <cp:revision>2</cp:revision>
  <cp:lastPrinted>2018-06-01T18:08:00Z</cp:lastPrinted>
  <dcterms:created xsi:type="dcterms:W3CDTF">2020-03-24T15:22:00Z</dcterms:created>
  <dcterms:modified xsi:type="dcterms:W3CDTF">2020-03-24T15:22:00Z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0x010100C2A9D58088A83A44A0F2E0FCA177D8B1</vt:lpwstr>
  </property>
</Properties>
</file>