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9E74" w14:textId="6211D38E" w:rsidR="008A7CEC" w:rsidRPr="00D87585" w:rsidRDefault="008909CD" w:rsidP="00D87585">
      <w:pPr>
        <w:pStyle w:val="Title"/>
        <w:spacing w:after="120"/>
        <w:jc w:val="center"/>
        <w:rPr>
          <w:rFonts w:ascii="Arial" w:hAnsi="Arial" w:cs="Arial"/>
          <w:sz w:val="28"/>
          <w:szCs w:val="28"/>
        </w:rPr>
      </w:pPr>
      <w:bookmarkStart w:id="0" w:name="_GoBack"/>
      <w:bookmarkEnd w:id="0"/>
      <w:r w:rsidRPr="00D87585">
        <w:rPr>
          <w:rFonts w:ascii="Arial" w:hAnsi="Arial" w:cs="Arial"/>
          <w:sz w:val="28"/>
          <w:szCs w:val="28"/>
        </w:rPr>
        <w:t>Template</w:t>
      </w:r>
    </w:p>
    <w:p w14:paraId="2349CC9E" w14:textId="77777777" w:rsidR="00BD2120" w:rsidRPr="000156AE" w:rsidRDefault="00BD2120" w:rsidP="00D87585">
      <w:pPr>
        <w:pStyle w:val="Subtitle"/>
      </w:pPr>
      <w:r w:rsidRPr="000156AE">
        <w:t>Peer Reviewed Journal Article Requirement</w:t>
      </w:r>
    </w:p>
    <w:p w14:paraId="27A8C0E1" w14:textId="1991480F" w:rsidR="00BD2120" w:rsidRPr="000156AE" w:rsidRDefault="00BD2120" w:rsidP="00D87585">
      <w:pPr>
        <w:spacing w:line="240" w:lineRule="auto"/>
        <w:rPr>
          <w:rFonts w:ascii="Arial" w:hAnsi="Arial" w:cs="Arial"/>
        </w:rPr>
      </w:pPr>
      <w:r w:rsidRPr="000156AE">
        <w:rPr>
          <w:rFonts w:ascii="Arial" w:hAnsi="Arial" w:cs="Arial"/>
        </w:rPr>
        <w:t>Section 101(c)(1) of the MACRA requires submission of new measures for publication in applicable specialty-appropriate, peer-reviewed journals</w:t>
      </w:r>
      <w:r w:rsidR="000D38B8">
        <w:rPr>
          <w:rFonts w:ascii="Arial" w:hAnsi="Arial" w:cs="Arial"/>
        </w:rPr>
        <w:t xml:space="preserve"> prior to implementing in MIPS</w:t>
      </w:r>
      <w:r w:rsidRPr="000156AE">
        <w:rPr>
          <w:rFonts w:ascii="Arial" w:hAnsi="Arial" w:cs="Arial"/>
        </w:rPr>
        <w:t xml:space="preserve">. These measures will be submitted </w:t>
      </w:r>
      <w:r w:rsidR="002449AA">
        <w:rPr>
          <w:rFonts w:ascii="Arial" w:hAnsi="Arial" w:cs="Arial"/>
        </w:rPr>
        <w:t xml:space="preserve">by CMS, </w:t>
      </w:r>
      <w:r w:rsidR="007B0045" w:rsidRPr="000156AE">
        <w:rPr>
          <w:rFonts w:ascii="Arial" w:hAnsi="Arial" w:cs="Arial"/>
        </w:rPr>
        <w:t xml:space="preserve">to a journal(s) </w:t>
      </w:r>
      <w:r w:rsidRPr="000156AE">
        <w:rPr>
          <w:rFonts w:ascii="Arial" w:hAnsi="Arial" w:cs="Arial"/>
        </w:rPr>
        <w:t xml:space="preserve">before including </w:t>
      </w:r>
      <w:r w:rsidR="007B0045" w:rsidRPr="000156AE">
        <w:rPr>
          <w:rFonts w:ascii="Arial" w:hAnsi="Arial" w:cs="Arial"/>
        </w:rPr>
        <w:t>any new measure</w:t>
      </w:r>
      <w:r w:rsidRPr="000156AE">
        <w:rPr>
          <w:rFonts w:ascii="Arial" w:hAnsi="Arial" w:cs="Arial"/>
        </w:rPr>
        <w:t xml:space="preserve"> in the final list of annual clinical quality measures (CQM) under MIPS.</w:t>
      </w:r>
      <w:r w:rsidR="00DD5758">
        <w:rPr>
          <w:rFonts w:ascii="Arial" w:hAnsi="Arial" w:cs="Arial"/>
        </w:rPr>
        <w:t xml:space="preserve"> </w:t>
      </w:r>
      <w:r w:rsidRPr="000156AE">
        <w:rPr>
          <w:rFonts w:ascii="Arial" w:hAnsi="Arial" w:cs="Arial"/>
        </w:rPr>
        <w:t xml:space="preserve">The measure owner shall provide the required information for article submission under the MACRA per CMS “Call for Measures” submission process. </w:t>
      </w:r>
    </w:p>
    <w:p w14:paraId="0FFC3A94" w14:textId="3B4348E9" w:rsidR="00BD2120" w:rsidRPr="00DD5758" w:rsidRDefault="00BD2120" w:rsidP="00BD2120">
      <w:pPr>
        <w:rPr>
          <w:rFonts w:ascii="Arial" w:hAnsi="Arial" w:cs="Arial"/>
        </w:rPr>
      </w:pPr>
      <w:r w:rsidRPr="000156AE">
        <w:rPr>
          <w:rFonts w:ascii="Arial" w:hAnsi="Arial" w:cs="Arial"/>
        </w:rPr>
        <w:t>Measure owners submitting measures into JIRA must complete the required information</w:t>
      </w:r>
      <w:r w:rsidR="005D7582" w:rsidRPr="000156AE">
        <w:rPr>
          <w:rFonts w:ascii="Arial" w:hAnsi="Arial" w:cs="Arial"/>
        </w:rPr>
        <w:t xml:space="preserve"> by </w:t>
      </w:r>
      <w:r w:rsidR="00FC510D" w:rsidRPr="000156AE">
        <w:rPr>
          <w:rFonts w:ascii="Arial" w:hAnsi="Arial" w:cs="Arial"/>
        </w:rPr>
        <w:t xml:space="preserve">the </w:t>
      </w:r>
      <w:r w:rsidR="002449AA" w:rsidRPr="000156AE">
        <w:rPr>
          <w:rFonts w:ascii="Arial" w:hAnsi="Arial" w:cs="Arial"/>
        </w:rPr>
        <w:t>Call for Measures</w:t>
      </w:r>
      <w:r w:rsidR="002449AA" w:rsidRPr="000156AE" w:rsidDel="002449AA">
        <w:rPr>
          <w:rFonts w:ascii="Arial" w:hAnsi="Arial" w:cs="Arial"/>
        </w:rPr>
        <w:t xml:space="preserve"> </w:t>
      </w:r>
      <w:r w:rsidR="00FC510D" w:rsidRPr="000156AE">
        <w:rPr>
          <w:rFonts w:ascii="Arial" w:hAnsi="Arial" w:cs="Arial"/>
        </w:rPr>
        <w:t>deadline</w:t>
      </w:r>
      <w:r w:rsidR="005C731D" w:rsidRPr="000156AE">
        <w:rPr>
          <w:rFonts w:ascii="Arial" w:hAnsi="Arial" w:cs="Arial"/>
        </w:rPr>
        <w:t>.</w:t>
      </w:r>
      <w:r w:rsidR="00300FD4" w:rsidRPr="000156AE">
        <w:rPr>
          <w:rFonts w:ascii="Arial" w:hAnsi="Arial" w:cs="Arial"/>
        </w:rPr>
        <w:t xml:space="preserve"> Some of the information requested below may be listed in </w:t>
      </w:r>
      <w:r w:rsidR="002704D1" w:rsidRPr="000156AE">
        <w:rPr>
          <w:rFonts w:ascii="Arial" w:hAnsi="Arial" w:cs="Arial"/>
        </w:rPr>
        <w:t xml:space="preserve">specific </w:t>
      </w:r>
      <w:r w:rsidR="00300FD4" w:rsidRPr="000156AE">
        <w:rPr>
          <w:rFonts w:ascii="Arial" w:hAnsi="Arial" w:cs="Arial"/>
        </w:rPr>
        <w:t xml:space="preserve">fields </w:t>
      </w:r>
      <w:r w:rsidR="002704D1" w:rsidRPr="000156AE">
        <w:rPr>
          <w:rFonts w:ascii="Arial" w:hAnsi="Arial" w:cs="Arial"/>
        </w:rPr>
        <w:t>in the</w:t>
      </w:r>
      <w:r w:rsidR="00300FD4" w:rsidRPr="000156AE">
        <w:rPr>
          <w:rFonts w:ascii="Arial" w:hAnsi="Arial" w:cs="Arial"/>
        </w:rPr>
        <w:t xml:space="preserve"> JIRA</w:t>
      </w:r>
      <w:r w:rsidR="002704D1" w:rsidRPr="000156AE">
        <w:rPr>
          <w:rFonts w:ascii="Arial" w:hAnsi="Arial" w:cs="Arial"/>
        </w:rPr>
        <w:t xml:space="preserve"> tool</w:t>
      </w:r>
      <w:r w:rsidR="002E5674">
        <w:rPr>
          <w:rFonts w:ascii="Arial" w:hAnsi="Arial" w:cs="Arial"/>
        </w:rPr>
        <w:t>;</w:t>
      </w:r>
      <w:r w:rsidR="00300FD4" w:rsidRPr="000156AE">
        <w:rPr>
          <w:rFonts w:ascii="Arial" w:hAnsi="Arial" w:cs="Arial"/>
        </w:rPr>
        <w:t xml:space="preserve"> however</w:t>
      </w:r>
      <w:r w:rsidR="002E5674">
        <w:rPr>
          <w:rFonts w:ascii="Arial" w:hAnsi="Arial" w:cs="Arial"/>
        </w:rPr>
        <w:t>,</w:t>
      </w:r>
      <w:r w:rsidR="00300FD4" w:rsidRPr="000156AE">
        <w:rPr>
          <w:rFonts w:ascii="Arial" w:hAnsi="Arial" w:cs="Arial"/>
        </w:rPr>
        <w:t xml:space="preserve"> to ensure that CMS has all of the necessary information</w:t>
      </w:r>
      <w:r w:rsidR="002449AA">
        <w:rPr>
          <w:rFonts w:ascii="Arial" w:hAnsi="Arial" w:cs="Arial"/>
        </w:rPr>
        <w:t xml:space="preserve"> and to avoid delays in the evaluation of your submission</w:t>
      </w:r>
      <w:r w:rsidR="00300FD4" w:rsidRPr="000156AE">
        <w:rPr>
          <w:rFonts w:ascii="Arial" w:hAnsi="Arial" w:cs="Arial"/>
        </w:rPr>
        <w:t xml:space="preserve">, please </w:t>
      </w:r>
      <w:r w:rsidR="002449AA">
        <w:rPr>
          <w:rFonts w:ascii="Arial" w:hAnsi="Arial" w:cs="Arial"/>
        </w:rPr>
        <w:t xml:space="preserve">fully complete this form </w:t>
      </w:r>
      <w:r w:rsidR="00300FD4" w:rsidRPr="000156AE">
        <w:rPr>
          <w:rFonts w:ascii="Arial" w:hAnsi="Arial" w:cs="Arial"/>
        </w:rPr>
        <w:t xml:space="preserve">as an attached </w:t>
      </w:r>
      <w:r w:rsidR="00AB3D59">
        <w:rPr>
          <w:rFonts w:ascii="Arial" w:hAnsi="Arial" w:cs="Arial"/>
        </w:rPr>
        <w:t>W</w:t>
      </w:r>
      <w:r w:rsidR="00AB3D59" w:rsidRPr="000156AE">
        <w:rPr>
          <w:rFonts w:ascii="Arial" w:hAnsi="Arial" w:cs="Arial"/>
        </w:rPr>
        <w:t xml:space="preserve">ord </w:t>
      </w:r>
      <w:r w:rsidR="00300FD4" w:rsidRPr="000156AE">
        <w:rPr>
          <w:rFonts w:ascii="Arial" w:hAnsi="Arial" w:cs="Arial"/>
        </w:rPr>
        <w:t>document</w:t>
      </w:r>
      <w:r w:rsidR="00545F9F" w:rsidRPr="000156AE">
        <w:rPr>
          <w:rFonts w:ascii="Arial" w:hAnsi="Arial" w:cs="Arial"/>
        </w:rPr>
        <w:t xml:space="preserve"> in JIRA</w:t>
      </w:r>
      <w:r w:rsidR="00300FD4" w:rsidRPr="000156AE">
        <w:rPr>
          <w:rFonts w:ascii="Arial" w:hAnsi="Arial" w:cs="Arial"/>
        </w:rPr>
        <w:t>.</w:t>
      </w:r>
      <w:r w:rsidR="005C731D" w:rsidRPr="000156AE">
        <w:rPr>
          <w:rFonts w:ascii="Arial" w:hAnsi="Arial" w:cs="Arial"/>
        </w:rPr>
        <w:t xml:space="preserve"> </w:t>
      </w:r>
      <w:r w:rsidR="002449AA">
        <w:rPr>
          <w:rFonts w:ascii="Arial" w:hAnsi="Arial" w:cs="Arial"/>
        </w:rPr>
        <w:t xml:space="preserve">The information in JIRA must be consistent with the information below. </w:t>
      </w:r>
      <w:r w:rsidR="005C731D" w:rsidRPr="000156AE">
        <w:rPr>
          <w:rFonts w:ascii="Arial" w:hAnsi="Arial" w:cs="Arial"/>
        </w:rPr>
        <w:t>This includes, but is not limited to:</w:t>
      </w:r>
    </w:p>
    <w:p w14:paraId="6E3995AF" w14:textId="6FE38262" w:rsidR="00F03986" w:rsidRDefault="00DB4CDB" w:rsidP="00300FD4">
      <w:pPr>
        <w:spacing w:after="0" w:line="240" w:lineRule="auto"/>
        <w:jc w:val="center"/>
        <w:rPr>
          <w:rFonts w:ascii="Arial" w:hAnsi="Arial" w:cs="Arial"/>
          <w:b/>
          <w:i/>
        </w:rPr>
      </w:pPr>
      <w:r>
        <w:rPr>
          <w:rFonts w:ascii="Arial" w:hAnsi="Arial" w:cs="Arial"/>
          <w:b/>
          <w:i/>
        </w:rPr>
        <w:t xml:space="preserve">Measure Title: </w:t>
      </w:r>
      <w:r w:rsidR="00F03986" w:rsidRPr="00F03986">
        <w:rPr>
          <w:rFonts w:ascii="Arial" w:hAnsi="Arial" w:cs="Arial"/>
          <w:b/>
          <w:i/>
        </w:rPr>
        <w:t xml:space="preserve">Clinician and Clinician Group Risk-standardized Hospital Admission Rates for Patients with Multiple Chronic Conditions </w:t>
      </w:r>
    </w:p>
    <w:p w14:paraId="2E25E1A5" w14:textId="609B9CF7" w:rsidR="00300FD4" w:rsidRPr="00DD5758" w:rsidRDefault="00DB4CDB" w:rsidP="00300FD4">
      <w:pPr>
        <w:spacing w:after="0" w:line="240" w:lineRule="auto"/>
        <w:jc w:val="center"/>
        <w:rPr>
          <w:rFonts w:ascii="Arial" w:hAnsi="Arial" w:cs="Arial"/>
          <w:b/>
          <w:i/>
        </w:rPr>
      </w:pPr>
      <w:r>
        <w:rPr>
          <w:rFonts w:ascii="Arial" w:hAnsi="Arial" w:cs="Arial"/>
          <w:b/>
          <w:i/>
        </w:rPr>
        <w:t>Domain: Communication and Care Coordination</w:t>
      </w:r>
    </w:p>
    <w:p w14:paraId="7E4E453D" w14:textId="77777777" w:rsidR="00300FD4" w:rsidRPr="00DD5758" w:rsidRDefault="00300FD4" w:rsidP="004E4440">
      <w:pPr>
        <w:ind w:firstLine="720"/>
        <w:rPr>
          <w:rFonts w:ascii="Arial" w:hAnsi="Arial" w:cs="Arial"/>
          <w:b/>
        </w:rPr>
      </w:pPr>
      <w:r w:rsidRPr="00DD5758">
        <w:rPr>
          <w:rFonts w:ascii="Arial" w:hAnsi="Arial" w:cs="Arial"/>
          <w:b/>
          <w:i/>
          <w:noProof/>
        </w:rPr>
        <mc:AlternateContent>
          <mc:Choice Requires="wps">
            <w:drawing>
              <wp:inline distT="0" distB="0" distL="0" distR="0" wp14:anchorId="7EEAE8C7" wp14:editId="6D0EE0B1">
                <wp:extent cx="5019675" cy="1250830"/>
                <wp:effectExtent l="0" t="0" r="28575" b="26035"/>
                <wp:docPr id="217" name="Text Box 2" descr="Indicates measure owner, measure developer, and measure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50830"/>
                        </a:xfrm>
                        <a:prstGeom prst="rect">
                          <a:avLst/>
                        </a:prstGeom>
                        <a:solidFill>
                          <a:srgbClr val="FFFFFF"/>
                        </a:solidFill>
                        <a:ln w="9525">
                          <a:solidFill>
                            <a:srgbClr val="000000"/>
                          </a:solidFill>
                          <a:miter lim="800000"/>
                          <a:headEnd/>
                          <a:tailEnd/>
                        </a:ln>
                      </wps:spPr>
                      <wps:txbx>
                        <w:txbxContent>
                          <w:p w14:paraId="281D542B" w14:textId="614CFDC3" w:rsidR="00EB2CA5" w:rsidRPr="000156AE" w:rsidRDefault="00EB2CA5" w:rsidP="00300FD4">
                            <w:pPr>
                              <w:spacing w:after="0" w:line="240" w:lineRule="auto"/>
                              <w:rPr>
                                <w:u w:val="single"/>
                              </w:rPr>
                            </w:pPr>
                            <w:r w:rsidRPr="006500F5">
                              <w:rPr>
                                <w:b/>
                                <w:sz w:val="24"/>
                                <w:szCs w:val="24"/>
                              </w:rPr>
                              <w:t>Measure Owner</w:t>
                            </w:r>
                            <w:r w:rsidRPr="000156AE">
                              <w:rPr>
                                <w:b/>
                                <w:sz w:val="24"/>
                                <w:szCs w:val="24"/>
                              </w:rPr>
                              <w:t>:</w:t>
                            </w:r>
                            <w:r w:rsidRPr="000156AE">
                              <w:rPr>
                                <w:b/>
                              </w:rPr>
                              <w:t xml:space="preserve"> </w:t>
                            </w:r>
                            <w:bookmarkStart w:id="1" w:name="_Hlk8136477"/>
                            <w:r>
                              <w:rPr>
                                <w:i/>
                              </w:rPr>
                              <w:t>C</w:t>
                            </w:r>
                            <w:r w:rsidRPr="00F03986">
                              <w:rPr>
                                <w:i/>
                              </w:rPr>
                              <w:t>enters for M</w:t>
                            </w:r>
                            <w:r>
                              <w:rPr>
                                <w:i/>
                              </w:rPr>
                              <w:t>edicare &amp; Medicaid Services</w:t>
                            </w:r>
                            <w:bookmarkEnd w:id="1"/>
                          </w:p>
                          <w:p w14:paraId="0832BC35" w14:textId="0B0F83A2" w:rsidR="00EB2CA5" w:rsidRPr="000156AE" w:rsidRDefault="00EB2CA5" w:rsidP="00300FD4">
                            <w:pPr>
                              <w:spacing w:after="0" w:line="240" w:lineRule="auto"/>
                            </w:pPr>
                            <w:r w:rsidRPr="000156AE">
                              <w:rPr>
                                <w:b/>
                                <w:sz w:val="24"/>
                                <w:szCs w:val="24"/>
                              </w:rPr>
                              <w:t>Measure Developer:</w:t>
                            </w:r>
                            <w:r w:rsidRPr="000156AE">
                              <w:rPr>
                                <w:b/>
                              </w:rPr>
                              <w:t xml:space="preserve"> </w:t>
                            </w:r>
                            <w:r w:rsidRPr="00F03986">
                              <w:rPr>
                                <w:i/>
                              </w:rPr>
                              <w:t>Yale New Haven Health Services Corporation – Center for O</w:t>
                            </w:r>
                            <w:r>
                              <w:rPr>
                                <w:i/>
                              </w:rPr>
                              <w:t>utcomes Research and Evaluation</w:t>
                            </w:r>
                          </w:p>
                          <w:p w14:paraId="1D6AF4C7" w14:textId="7E1C6226" w:rsidR="00EB2CA5" w:rsidRPr="000156AE" w:rsidRDefault="00EB2CA5" w:rsidP="00300FD4">
                            <w:pPr>
                              <w:spacing w:after="0" w:line="240" w:lineRule="auto"/>
                              <w:rPr>
                                <w:b/>
                                <w:sz w:val="24"/>
                                <w:szCs w:val="24"/>
                              </w:rPr>
                            </w:pPr>
                            <w:r w:rsidRPr="000156AE">
                              <w:rPr>
                                <w:b/>
                                <w:sz w:val="24"/>
                                <w:szCs w:val="24"/>
                              </w:rPr>
                              <w:t>Description:</w:t>
                            </w:r>
                            <w:r>
                              <w:rPr>
                                <w:b/>
                                <w:sz w:val="24"/>
                                <w:szCs w:val="24"/>
                              </w:rPr>
                              <w:t xml:space="preserve"> </w:t>
                            </w:r>
                            <w:r>
                              <w:rPr>
                                <w:i/>
                              </w:rPr>
                              <w:t>The measure</w:t>
                            </w:r>
                            <w:r w:rsidRPr="00F03986">
                              <w:rPr>
                                <w:i/>
                              </w:rPr>
                              <w:t xml:space="preserve"> is a risk-adjusted outcome measure that uses the outcome of acute, unplanned admissions </w:t>
                            </w:r>
                            <w:r>
                              <w:rPr>
                                <w:i/>
                              </w:rPr>
                              <w:t>t</w:t>
                            </w:r>
                            <w:r w:rsidRPr="00F03986">
                              <w:rPr>
                                <w:i/>
                              </w:rPr>
                              <w:t>o assess car</w:t>
                            </w:r>
                            <w:r>
                              <w:rPr>
                                <w:i/>
                              </w:rPr>
                              <w:t>e quality for patients with multiple chronic conditions cared for in the outpatient setting.</w:t>
                            </w:r>
                          </w:p>
                          <w:p w14:paraId="2B3D40A0" w14:textId="77777777" w:rsidR="00EB2CA5" w:rsidRDefault="00EB2CA5" w:rsidP="00300FD4">
                            <w:pPr>
                              <w:spacing w:after="0" w:line="240" w:lineRule="auto"/>
                              <w:rPr>
                                <w:b/>
                              </w:rPr>
                            </w:pPr>
                          </w:p>
                          <w:p w14:paraId="67E4F4CB" w14:textId="77777777" w:rsidR="00EB2CA5" w:rsidRPr="006500F5" w:rsidRDefault="00EB2CA5" w:rsidP="00300FD4">
                            <w:pPr>
                              <w:spacing w:after="0" w:line="240" w:lineRule="auto"/>
                              <w:rPr>
                                <w:b/>
                              </w:rPr>
                            </w:pPr>
                          </w:p>
                        </w:txbxContent>
                      </wps:txbx>
                      <wps:bodyPr rot="0" vert="horz" wrap="square" lIns="91440" tIns="45720" rIns="91440" bIns="45720" anchor="t" anchorCtr="0">
                        <a:noAutofit/>
                      </wps:bodyPr>
                    </wps:wsp>
                  </a:graphicData>
                </a:graphic>
              </wp:inline>
            </w:drawing>
          </mc:Choice>
          <mc:Fallback>
            <w:pict>
              <v:shapetype w14:anchorId="7EEAE8C7" id="_x0000_t202" coordsize="21600,21600" o:spt="202" path="m,l,21600r21600,l21600,xe">
                <v:stroke joinstyle="miter"/>
                <v:path gradientshapeok="t" o:connecttype="rect"/>
              </v:shapetype>
              <v:shape id="Text Box 2" o:spid="_x0000_s1026" type="#_x0000_t202" alt="Indicates measure owner, measure developer, and measure description" style="width:395.2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jUAIAAJMEAAAOAAAAZHJzL2Uyb0RvYy54bWysVNtu1DAQfUfiHyw/Q3Oh20vUbFVaiiqV&#10;i1T4gFnb2VjYnmB7Nylfz9jZLqsCL4g8WB6PfWbmnJlcXE7WsK3yQaNreXVUcqacQKnduuVfv9y+&#10;PuMsRHASDDrV8kcV+OXy5YuLcWhUjT0aqTwjEBeacWh5H+PQFEUQvbIQjnBQjpwdeguRTL8upIeR&#10;0K0p6rI8KUb0cvAoVAh0ejM7+TLjd50S8VPXBRWZaTnlFvPq87pKa7G8gGbtYei12KUB/5CFBe0o&#10;6B7qBiKwjde/QVktPAbs4pFAW2DXaaFyDVRNVT6r5qGHQeVaiJww7GkK/w9WfNx+9kzLltfVKWcO&#10;LIn0RU2RvcWJ1ZxJFQTxdeekFhBVYFZB2HjFcHTKv9qbUm2VIbnoiNQ+OKbneojUHonrcQgNhXwY&#10;KGicKAT1TOYtDPcovgXm8LoHt1ZX3uPYK5BUa5VeFgdPZ5yQQFbjB5SUMmwiZqCp8zYJQdQyQifN&#10;H/c6p7IEHS7K6vzkdMGZIF9VL8qzN7kTCmieng8+xPcKLUublntqpAwP2/sQUzrQPF1J0QIaLW+1&#10;Mdnw69W18WwL1HS3+csVPLtmHBtbfr6oFzMDf4Uo8/cnCKsjTY/RtuVn+0vQJN7eOZl7O4I2855S&#10;Nm5HZOJuZjFOq2knzArlI1HqcZ4Smmra9Oh/cDbShLQ8fN+AV5yZO0eynFfHx2mksnG8OK3J8Iee&#10;1aEHnCColkdO/ZG21zGPYSLM4RXJ1+lMbNJ5zmSXK3V+5ns3pWm0Du1869e/ZPkTAAD//wMAUEsD&#10;BBQABgAIAAAAIQDs8/hW3AAAAAUBAAAPAAAAZHJzL2Rvd25yZXYueG1sTI/NTsMwEITvSLyDtUhc&#10;ELX5a5oQp0JIILhBW8HVjbdJhL0OsZuGt2fhApeRVjOa+bZcTt6JEYfYBdJwMVMgkOpgO2o0bNYP&#10;5wsQMRmyxgVCDV8YYVkdH5WmsOFArziuUiO4hGJhNLQp9YWUsW7RmzgLPRJ7uzB4k/gcGmkHc+By&#10;7+SlUnPpTUe80Joe71usP1Z7r2Fx/TS+x+erl7d6vnN5OsvGx89B69OT6e4WRMIp/YXhB5/RoWKm&#10;bdiTjcJp4EfSr7KX5eoGxJZDeaZAVqX8T199AwAA//8DAFBLAQItABQABgAIAAAAIQC2gziS/gAA&#10;AOEBAAATAAAAAAAAAAAAAAAAAAAAAABbQ29udGVudF9UeXBlc10ueG1sUEsBAi0AFAAGAAgAAAAh&#10;ADj9If/WAAAAlAEAAAsAAAAAAAAAAAAAAAAALwEAAF9yZWxzLy5yZWxzUEsBAi0AFAAGAAgAAAAh&#10;AOYAmCNQAgAAkwQAAA4AAAAAAAAAAAAAAAAALgIAAGRycy9lMm9Eb2MueG1sUEsBAi0AFAAGAAgA&#10;AAAhAOzz+FbcAAAABQEAAA8AAAAAAAAAAAAAAAAAqgQAAGRycy9kb3ducmV2LnhtbFBLBQYAAAAA&#10;BAAEAPMAAACzBQAAAAA=&#10;">
                <v:textbox>
                  <w:txbxContent>
                    <w:p w14:paraId="281D542B" w14:textId="614CFDC3" w:rsidR="00EB2CA5" w:rsidRPr="000156AE" w:rsidRDefault="00EB2CA5" w:rsidP="00300FD4">
                      <w:pPr>
                        <w:spacing w:after="0" w:line="240" w:lineRule="auto"/>
                        <w:rPr>
                          <w:u w:val="single"/>
                        </w:rPr>
                      </w:pPr>
                      <w:r w:rsidRPr="006500F5">
                        <w:rPr>
                          <w:b/>
                          <w:sz w:val="24"/>
                          <w:szCs w:val="24"/>
                        </w:rPr>
                        <w:t>Measure Owner</w:t>
                      </w:r>
                      <w:r w:rsidRPr="000156AE">
                        <w:rPr>
                          <w:b/>
                          <w:sz w:val="24"/>
                          <w:szCs w:val="24"/>
                        </w:rPr>
                        <w:t>:</w:t>
                      </w:r>
                      <w:r w:rsidRPr="000156AE">
                        <w:rPr>
                          <w:b/>
                        </w:rPr>
                        <w:t xml:space="preserve"> </w:t>
                      </w:r>
                      <w:bookmarkStart w:id="2" w:name="_Hlk8136477"/>
                      <w:r>
                        <w:rPr>
                          <w:i/>
                        </w:rPr>
                        <w:t>C</w:t>
                      </w:r>
                      <w:r w:rsidRPr="00F03986">
                        <w:rPr>
                          <w:i/>
                        </w:rPr>
                        <w:t>enters for M</w:t>
                      </w:r>
                      <w:r>
                        <w:rPr>
                          <w:i/>
                        </w:rPr>
                        <w:t>edicare &amp; Medicaid Services</w:t>
                      </w:r>
                      <w:bookmarkEnd w:id="2"/>
                    </w:p>
                    <w:p w14:paraId="0832BC35" w14:textId="0B0F83A2" w:rsidR="00EB2CA5" w:rsidRPr="000156AE" w:rsidRDefault="00EB2CA5" w:rsidP="00300FD4">
                      <w:pPr>
                        <w:spacing w:after="0" w:line="240" w:lineRule="auto"/>
                      </w:pPr>
                      <w:r w:rsidRPr="000156AE">
                        <w:rPr>
                          <w:b/>
                          <w:sz w:val="24"/>
                          <w:szCs w:val="24"/>
                        </w:rPr>
                        <w:t>Measure Developer:</w:t>
                      </w:r>
                      <w:r w:rsidRPr="000156AE">
                        <w:rPr>
                          <w:b/>
                        </w:rPr>
                        <w:t xml:space="preserve"> </w:t>
                      </w:r>
                      <w:r w:rsidRPr="00F03986">
                        <w:rPr>
                          <w:i/>
                        </w:rPr>
                        <w:t>Yale New Haven Health Services Corporation – Center for O</w:t>
                      </w:r>
                      <w:r>
                        <w:rPr>
                          <w:i/>
                        </w:rPr>
                        <w:t>utcomes Research and Evaluation</w:t>
                      </w:r>
                    </w:p>
                    <w:p w14:paraId="1D6AF4C7" w14:textId="7E1C6226" w:rsidR="00EB2CA5" w:rsidRPr="000156AE" w:rsidRDefault="00EB2CA5" w:rsidP="00300FD4">
                      <w:pPr>
                        <w:spacing w:after="0" w:line="240" w:lineRule="auto"/>
                        <w:rPr>
                          <w:b/>
                          <w:sz w:val="24"/>
                          <w:szCs w:val="24"/>
                        </w:rPr>
                      </w:pPr>
                      <w:r w:rsidRPr="000156AE">
                        <w:rPr>
                          <w:b/>
                          <w:sz w:val="24"/>
                          <w:szCs w:val="24"/>
                        </w:rPr>
                        <w:t>Description:</w:t>
                      </w:r>
                      <w:r>
                        <w:rPr>
                          <w:b/>
                          <w:sz w:val="24"/>
                          <w:szCs w:val="24"/>
                        </w:rPr>
                        <w:t xml:space="preserve"> </w:t>
                      </w:r>
                      <w:r>
                        <w:rPr>
                          <w:i/>
                        </w:rPr>
                        <w:t>The measure</w:t>
                      </w:r>
                      <w:r w:rsidRPr="00F03986">
                        <w:rPr>
                          <w:i/>
                        </w:rPr>
                        <w:t xml:space="preserve"> is a risk-adjusted outcome measure that uses the outcome of acute, unplanned admissions </w:t>
                      </w:r>
                      <w:r>
                        <w:rPr>
                          <w:i/>
                        </w:rPr>
                        <w:t>t</w:t>
                      </w:r>
                      <w:r w:rsidRPr="00F03986">
                        <w:rPr>
                          <w:i/>
                        </w:rPr>
                        <w:t>o assess car</w:t>
                      </w:r>
                      <w:r>
                        <w:rPr>
                          <w:i/>
                        </w:rPr>
                        <w:t>e quality for patients with multiple chronic conditions cared for in the outpatient setting.</w:t>
                      </w:r>
                    </w:p>
                    <w:p w14:paraId="2B3D40A0" w14:textId="77777777" w:rsidR="00EB2CA5" w:rsidRDefault="00EB2CA5" w:rsidP="00300FD4">
                      <w:pPr>
                        <w:spacing w:after="0" w:line="240" w:lineRule="auto"/>
                        <w:rPr>
                          <w:b/>
                        </w:rPr>
                      </w:pPr>
                    </w:p>
                    <w:p w14:paraId="67E4F4CB" w14:textId="77777777" w:rsidR="00EB2CA5" w:rsidRPr="006500F5" w:rsidRDefault="00EB2CA5" w:rsidP="00300FD4">
                      <w:pPr>
                        <w:spacing w:after="0" w:line="240" w:lineRule="auto"/>
                        <w:rPr>
                          <w:b/>
                        </w:rPr>
                      </w:pPr>
                    </w:p>
                  </w:txbxContent>
                </v:textbox>
                <w10:anchorlock/>
              </v:shape>
            </w:pict>
          </mc:Fallback>
        </mc:AlternateContent>
      </w:r>
    </w:p>
    <w:p w14:paraId="29D1EEBF" w14:textId="77777777" w:rsidR="00300FD4" w:rsidRPr="00DD5758" w:rsidRDefault="00300FD4" w:rsidP="00300FD4">
      <w:pPr>
        <w:pStyle w:val="ListParagraph"/>
        <w:numPr>
          <w:ilvl w:val="0"/>
          <w:numId w:val="1"/>
        </w:numPr>
        <w:rPr>
          <w:rFonts w:ascii="Arial" w:hAnsi="Arial" w:cs="Arial"/>
          <w:b/>
        </w:rPr>
      </w:pPr>
      <w:r w:rsidRPr="00DD5758">
        <w:rPr>
          <w:rFonts w:ascii="Arial" w:hAnsi="Arial" w:cs="Arial"/>
          <w:b/>
        </w:rPr>
        <w:t>Statement</w:t>
      </w:r>
    </w:p>
    <w:p w14:paraId="47D79BF5" w14:textId="77777777" w:rsidR="0087625D" w:rsidRPr="00DE3992" w:rsidRDefault="00300FD4" w:rsidP="0087625D">
      <w:pPr>
        <w:pStyle w:val="ListParagraph"/>
        <w:numPr>
          <w:ilvl w:val="0"/>
          <w:numId w:val="3"/>
        </w:numPr>
        <w:rPr>
          <w:rFonts w:ascii="Arial" w:hAnsi="Arial" w:cs="Arial"/>
          <w:i/>
          <w:color w:val="1F4E79" w:themeColor="accent1" w:themeShade="80"/>
        </w:rPr>
      </w:pPr>
      <w:r w:rsidRPr="00DE3992">
        <w:rPr>
          <w:rFonts w:ascii="Arial" w:hAnsi="Arial" w:cs="Arial"/>
          <w:i/>
          <w:color w:val="1F4E79" w:themeColor="accent1" w:themeShade="80"/>
        </w:rPr>
        <w:t>Background (Why is this measure important?)</w:t>
      </w:r>
    </w:p>
    <w:p w14:paraId="22EE826F" w14:textId="77777777" w:rsidR="0087625D" w:rsidRPr="002E4214" w:rsidRDefault="0087625D" w:rsidP="0087625D">
      <w:pPr>
        <w:ind w:left="1080"/>
        <w:rPr>
          <w:rFonts w:cstheme="minorHAnsi"/>
        </w:rPr>
      </w:pPr>
      <w:r w:rsidRPr="002E4214">
        <w:rPr>
          <w:rFonts w:cstheme="minorHAnsi"/>
        </w:rPr>
        <w:t>Hospital admission rates are an effective marker of ambulatory care quality. Hospital admissions from the outpatient setting reflect a deterioration in patients’ clinical status and as such reflect an outcome that is meaningful to both patients and providers. Patients receiving optimal, coordinated high-quality care should use fewer inpatient services than patients receiving fragmented, low-quality care. Thus, high population rates of hospitalization may, at least to some extent, signal poor quality of care or inefficiency in health system performance.</w:t>
      </w:r>
    </w:p>
    <w:p w14:paraId="56BAEB60" w14:textId="0624A420" w:rsidR="0087625D" w:rsidRPr="002E4214" w:rsidRDefault="0087625D" w:rsidP="0087625D">
      <w:pPr>
        <w:ind w:left="1080"/>
        <w:rPr>
          <w:rFonts w:cstheme="minorHAnsi"/>
        </w:rPr>
      </w:pPr>
      <w:r w:rsidRPr="002E4214">
        <w:rPr>
          <w:rFonts w:cstheme="minorHAnsi"/>
        </w:rPr>
        <w:t xml:space="preserve">Patients with </w:t>
      </w:r>
      <w:r w:rsidR="001A60D9">
        <w:rPr>
          <w:rFonts w:cstheme="minorHAnsi"/>
        </w:rPr>
        <w:t>multiple chronic conditions (</w:t>
      </w:r>
      <w:r w:rsidRPr="002E4214">
        <w:rPr>
          <w:rFonts w:cstheme="minorHAnsi"/>
        </w:rPr>
        <w:t>MCCs</w:t>
      </w:r>
      <w:r w:rsidR="001A60D9">
        <w:rPr>
          <w:rFonts w:cstheme="minorHAnsi"/>
        </w:rPr>
        <w:t>)</w:t>
      </w:r>
      <w:r w:rsidRPr="002E4214">
        <w:rPr>
          <w:rFonts w:cstheme="minorHAnsi"/>
        </w:rPr>
        <w:t xml:space="preserve"> are at high risk for hospital admission, often for potentially preventable causes, such as exacerbation of pulmonary disease. [1] Evidence from several Medicare demonstration projects suggests that care coordination results in decreased hospital admission rates among high-risk patients. In addition, studies have shown that the types of ambulatory care clinicians this measure targets (for example, primary care providers and specialists caring for pat</w:t>
      </w:r>
      <w:r w:rsidR="00153640">
        <w:rPr>
          <w:rFonts w:cstheme="minorHAnsi"/>
        </w:rPr>
        <w:t>ients with MCCs)</w:t>
      </w:r>
      <w:r w:rsidRPr="002E4214">
        <w:rPr>
          <w:rFonts w:cstheme="minorHAnsi"/>
        </w:rPr>
        <w:t xml:space="preserve"> can influence admission rates through team-based and enhanced access to care, found specifically in the patient-centered medical home (PCMH) model of interventions, and broadly through increased primary care supply and continuity of care. [2-4]</w:t>
      </w:r>
    </w:p>
    <w:p w14:paraId="2E62EF8E" w14:textId="77777777" w:rsidR="0087625D" w:rsidRPr="002E4214" w:rsidRDefault="0087625D" w:rsidP="0087625D">
      <w:pPr>
        <w:ind w:left="1080"/>
        <w:rPr>
          <w:rFonts w:cstheme="minorHAnsi"/>
        </w:rPr>
      </w:pPr>
      <w:r w:rsidRPr="002E4214">
        <w:rPr>
          <w:rFonts w:cstheme="minorHAnsi"/>
        </w:rPr>
        <w:t>Thus, the anticipated net benefits of this unplanned hospital admission measure include, but are not limited to:</w:t>
      </w:r>
    </w:p>
    <w:p w14:paraId="056DA30F" w14:textId="12F0791C" w:rsidR="0087625D" w:rsidRPr="002E4214" w:rsidRDefault="0087625D" w:rsidP="002E4214">
      <w:pPr>
        <w:pStyle w:val="ListParagraph"/>
        <w:numPr>
          <w:ilvl w:val="0"/>
          <w:numId w:val="13"/>
        </w:numPr>
        <w:rPr>
          <w:rFonts w:cstheme="minorHAnsi"/>
        </w:rPr>
      </w:pPr>
      <w:r w:rsidRPr="002E4214">
        <w:rPr>
          <w:rFonts w:cstheme="minorHAnsi"/>
        </w:rPr>
        <w:t>Reduced numbers of hospitalizations and days hospitalized;</w:t>
      </w:r>
    </w:p>
    <w:p w14:paraId="5A1523DB" w14:textId="3D39BEDC" w:rsidR="0087625D" w:rsidRPr="002E4214" w:rsidRDefault="0087625D" w:rsidP="002E4214">
      <w:pPr>
        <w:pStyle w:val="ListParagraph"/>
        <w:numPr>
          <w:ilvl w:val="0"/>
          <w:numId w:val="13"/>
        </w:numPr>
        <w:rPr>
          <w:rFonts w:cstheme="minorHAnsi"/>
        </w:rPr>
      </w:pPr>
      <w:r w:rsidRPr="002E4214">
        <w:rPr>
          <w:rFonts w:cstheme="minorHAnsi"/>
        </w:rPr>
        <w:t>Improved outpatient disease management;</w:t>
      </w:r>
    </w:p>
    <w:p w14:paraId="780D653E" w14:textId="7AEFEEA5" w:rsidR="0087625D" w:rsidRPr="002E4214" w:rsidRDefault="0087625D" w:rsidP="002E4214">
      <w:pPr>
        <w:pStyle w:val="ListParagraph"/>
        <w:numPr>
          <w:ilvl w:val="0"/>
          <w:numId w:val="13"/>
        </w:numPr>
        <w:rPr>
          <w:rFonts w:cstheme="minorHAnsi"/>
        </w:rPr>
      </w:pPr>
      <w:r w:rsidRPr="002E4214">
        <w:rPr>
          <w:rFonts w:cstheme="minorHAnsi"/>
        </w:rPr>
        <w:t>Reduced rates of complications, including mortality; and</w:t>
      </w:r>
    </w:p>
    <w:p w14:paraId="4089D4CE" w14:textId="02B47F68" w:rsidR="0087625D" w:rsidRPr="002E4214" w:rsidRDefault="0087625D" w:rsidP="002E4214">
      <w:pPr>
        <w:pStyle w:val="ListParagraph"/>
        <w:numPr>
          <w:ilvl w:val="0"/>
          <w:numId w:val="13"/>
        </w:numPr>
        <w:rPr>
          <w:rFonts w:cstheme="minorHAnsi"/>
        </w:rPr>
      </w:pPr>
      <w:r w:rsidRPr="002E4214">
        <w:rPr>
          <w:rFonts w:cstheme="minorHAnsi"/>
        </w:rPr>
        <w:t>Cost savings resulting from fewer hospitalizations.</w:t>
      </w:r>
    </w:p>
    <w:p w14:paraId="75C0D047" w14:textId="597E6747" w:rsidR="00300FD4" w:rsidRPr="002E4214" w:rsidRDefault="0087625D" w:rsidP="0087625D">
      <w:pPr>
        <w:ind w:left="1080"/>
        <w:rPr>
          <w:rFonts w:cstheme="minorHAnsi"/>
        </w:rPr>
      </w:pPr>
      <w:r w:rsidRPr="002E4214">
        <w:rPr>
          <w:rFonts w:cstheme="minorHAnsi"/>
        </w:rPr>
        <w:lastRenderedPageBreak/>
        <w:t>Overall, this measure will provi</w:t>
      </w:r>
      <w:r w:rsidRPr="00153640">
        <w:rPr>
          <w:rFonts w:cstheme="minorHAnsi"/>
        </w:rPr>
        <w:t xml:space="preserve">de </w:t>
      </w:r>
      <w:r w:rsidR="00540510">
        <w:rPr>
          <w:rFonts w:cstheme="minorHAnsi"/>
        </w:rPr>
        <w:t>t</w:t>
      </w:r>
      <w:r w:rsidR="00153640">
        <w:rPr>
          <w:rFonts w:cstheme="minorHAnsi"/>
        </w:rPr>
        <w:t xml:space="preserve">he </w:t>
      </w:r>
      <w:r w:rsidR="00153640" w:rsidRPr="00153640">
        <w:rPr>
          <w:rFonts w:cstheme="minorHAnsi"/>
        </w:rPr>
        <w:t xml:space="preserve">Centers for Medicare &amp; Medicaid Services </w:t>
      </w:r>
      <w:r w:rsidR="00153640">
        <w:rPr>
          <w:rFonts w:cstheme="minorHAnsi"/>
        </w:rPr>
        <w:t>(</w:t>
      </w:r>
      <w:r w:rsidRPr="00153640">
        <w:rPr>
          <w:rFonts w:cstheme="minorHAnsi"/>
        </w:rPr>
        <w:t>C</w:t>
      </w:r>
      <w:r w:rsidRPr="002E4214">
        <w:rPr>
          <w:rFonts w:cstheme="minorHAnsi"/>
        </w:rPr>
        <w:t>MS</w:t>
      </w:r>
      <w:r w:rsidR="00153640">
        <w:rPr>
          <w:rFonts w:cstheme="minorHAnsi"/>
        </w:rPr>
        <w:t>)</w:t>
      </w:r>
      <w:r w:rsidRPr="002E4214">
        <w:rPr>
          <w:rFonts w:cstheme="minorHAnsi"/>
        </w:rPr>
        <w:t xml:space="preserve"> with a valuable tool for assessing the performance of outpatient clinicians and groups of clinicians in the </w:t>
      </w:r>
      <w:r w:rsidR="00153640">
        <w:rPr>
          <w:rFonts w:cstheme="minorHAnsi"/>
        </w:rPr>
        <w:t>Merit-Based Incentive Payment System (</w:t>
      </w:r>
      <w:r w:rsidRPr="002E4214">
        <w:rPr>
          <w:rFonts w:cstheme="minorHAnsi"/>
        </w:rPr>
        <w:t>MIPS</w:t>
      </w:r>
      <w:r w:rsidR="00153640">
        <w:rPr>
          <w:rFonts w:cstheme="minorHAnsi"/>
        </w:rPr>
        <w:t>)</w:t>
      </w:r>
      <w:r w:rsidRPr="002E4214">
        <w:rPr>
          <w:rFonts w:cstheme="minorHAnsi"/>
        </w:rPr>
        <w:t xml:space="preserve"> program.</w:t>
      </w:r>
    </w:p>
    <w:p w14:paraId="3547C347" w14:textId="0FC5C9A6" w:rsidR="0087625D" w:rsidRPr="002E4214" w:rsidRDefault="0087625D" w:rsidP="002E4214">
      <w:pPr>
        <w:spacing w:after="80"/>
        <w:ind w:left="1080"/>
        <w:rPr>
          <w:rFonts w:cstheme="minorHAnsi"/>
          <w:u w:val="single"/>
        </w:rPr>
      </w:pPr>
      <w:r w:rsidRPr="002E4214">
        <w:rPr>
          <w:rFonts w:cstheme="minorHAnsi"/>
          <w:u w:val="single"/>
        </w:rPr>
        <w:t>References</w:t>
      </w:r>
    </w:p>
    <w:p w14:paraId="6759D97A" w14:textId="5BFFEE4F" w:rsidR="0087625D" w:rsidRPr="002E4214" w:rsidRDefault="0087625D" w:rsidP="002E4214">
      <w:pPr>
        <w:spacing w:after="80"/>
        <w:ind w:left="1080"/>
        <w:rPr>
          <w:rFonts w:cstheme="minorHAnsi"/>
        </w:rPr>
      </w:pPr>
      <w:r w:rsidRPr="002E4214">
        <w:rPr>
          <w:rFonts w:cstheme="minorHAnsi"/>
        </w:rPr>
        <w:t>1. Abernathy K, Zhang J, Mauldin P, et al. Acute Care Utilization in Patients With Concurrent Mental Health and Complex Chronic Medical Conditions. J</w:t>
      </w:r>
      <w:r w:rsidR="00DB4CDB">
        <w:rPr>
          <w:rFonts w:cstheme="minorHAnsi"/>
        </w:rPr>
        <w:t xml:space="preserve"> Prim Care Community Health</w:t>
      </w:r>
      <w:r w:rsidRPr="002E4214">
        <w:rPr>
          <w:rFonts w:cstheme="minorHAnsi"/>
        </w:rPr>
        <w:t>. 2016;7(4):226-233.</w:t>
      </w:r>
    </w:p>
    <w:p w14:paraId="7CF9065E" w14:textId="77777777" w:rsidR="0087625D" w:rsidRPr="002E4214" w:rsidRDefault="0087625D" w:rsidP="002E4214">
      <w:pPr>
        <w:spacing w:after="80"/>
        <w:ind w:left="1080"/>
        <w:rPr>
          <w:rFonts w:cstheme="minorHAnsi"/>
        </w:rPr>
      </w:pPr>
      <w:r w:rsidRPr="002E4214">
        <w:rPr>
          <w:rFonts w:cstheme="minorHAnsi"/>
        </w:rPr>
        <w:t>2. van Loenen T, van den Berg MJ, Westert GP, Faber MJ. Organizational aspects of primary care related to avoidable hospitalization: a systematic review. Fam Pract. 2014;31(5):502-516.</w:t>
      </w:r>
    </w:p>
    <w:p w14:paraId="7876374F" w14:textId="77777777" w:rsidR="0087625D" w:rsidRPr="002E4214" w:rsidRDefault="0087625D" w:rsidP="002E4214">
      <w:pPr>
        <w:spacing w:after="80"/>
        <w:ind w:left="1080"/>
        <w:rPr>
          <w:rFonts w:cstheme="minorHAnsi"/>
        </w:rPr>
      </w:pPr>
      <w:r w:rsidRPr="002E4214">
        <w:rPr>
          <w:rFonts w:cstheme="minorHAnsi"/>
        </w:rPr>
        <w:t>3. Dale SB, Ghosh A, Peikes DN, et al. Two-Year Costs and Quality in the Comprehensive Primary Care Initiative. N Engl J Med. 2016;374(24):2345-2356.</w:t>
      </w:r>
    </w:p>
    <w:p w14:paraId="5B1D6043" w14:textId="0EB2CAF2" w:rsidR="0087625D" w:rsidRPr="002E4214" w:rsidRDefault="0087625D" w:rsidP="002E4214">
      <w:pPr>
        <w:spacing w:after="80"/>
        <w:ind w:left="1080"/>
        <w:rPr>
          <w:rFonts w:cstheme="minorHAnsi"/>
        </w:rPr>
      </w:pPr>
      <w:r w:rsidRPr="002E4214">
        <w:rPr>
          <w:rFonts w:cstheme="minorHAnsi"/>
        </w:rPr>
        <w:t>4. Casalino LP, Pesko MF, Ryan AM, et al. Small primary care physician practices have low rates of preventable hospital admissions. Health Aff (Millwood). 2014;33(9):1680-1688.</w:t>
      </w:r>
    </w:p>
    <w:p w14:paraId="7C20587D" w14:textId="77777777" w:rsidR="002E4214" w:rsidRPr="0087625D" w:rsidRDefault="002E4214" w:rsidP="002E4214">
      <w:pPr>
        <w:ind w:left="1080"/>
        <w:rPr>
          <w:rFonts w:ascii="Arial" w:hAnsi="Arial" w:cs="Arial"/>
        </w:rPr>
      </w:pPr>
    </w:p>
    <w:p w14:paraId="01032B28" w14:textId="5F11D2B2" w:rsidR="00300FD4" w:rsidRPr="00DE3992" w:rsidRDefault="00300FD4" w:rsidP="00300FD4">
      <w:pPr>
        <w:pStyle w:val="ListParagraph"/>
        <w:numPr>
          <w:ilvl w:val="0"/>
          <w:numId w:val="3"/>
        </w:numPr>
        <w:contextualSpacing w:val="0"/>
        <w:rPr>
          <w:rFonts w:ascii="Arial" w:hAnsi="Arial" w:cs="Arial"/>
          <w:color w:val="1F4E79" w:themeColor="accent1" w:themeShade="80"/>
        </w:rPr>
      </w:pPr>
      <w:r w:rsidRPr="00DE3992">
        <w:rPr>
          <w:rFonts w:ascii="Arial" w:hAnsi="Arial" w:cs="Arial"/>
          <w:i/>
          <w:color w:val="1F4E79" w:themeColor="accent1" w:themeShade="80"/>
        </w:rPr>
        <w:t>Environmental Scan (Are there existing measures in this area?)</w:t>
      </w:r>
    </w:p>
    <w:p w14:paraId="0D730312" w14:textId="39015384" w:rsidR="00C705A5" w:rsidRPr="00C705A5" w:rsidRDefault="00731875">
      <w:pPr>
        <w:ind w:left="1080"/>
        <w:rPr>
          <w:rFonts w:cstheme="minorHAnsi"/>
        </w:rPr>
      </w:pPr>
      <w:r>
        <w:rPr>
          <w:rFonts w:cstheme="minorHAnsi"/>
        </w:rPr>
        <w:t xml:space="preserve"> </w:t>
      </w:r>
      <w:r w:rsidR="00C705A5" w:rsidRPr="00C705A5">
        <w:rPr>
          <w:rFonts w:cstheme="minorHAnsi"/>
        </w:rPr>
        <w:t xml:space="preserve">There is one related measure to the measure being submitted for initial endorsement: ACO-38/NQF #2888 “Risk-Standardized Acute Admission Rates for Patients with Multiple Chronic Conditions”. The measure being submitted is conceptually based on NQF #2888 and is being adapted for the MIPS setting. </w:t>
      </w:r>
    </w:p>
    <w:p w14:paraId="10497108" w14:textId="77777777" w:rsidR="00C705A5" w:rsidRPr="00C705A5" w:rsidRDefault="00C705A5" w:rsidP="00C705A5">
      <w:pPr>
        <w:ind w:left="1080"/>
        <w:rPr>
          <w:rFonts w:cstheme="minorHAnsi"/>
        </w:rPr>
      </w:pPr>
      <w:r w:rsidRPr="00C705A5">
        <w:rPr>
          <w:rFonts w:cstheme="minorHAnsi"/>
        </w:rPr>
        <w:t xml:space="preserve">CMS intends to harmonize the ACO-38/NQF #2888 measure with this MIPS MCC measure in the future. </w:t>
      </w:r>
    </w:p>
    <w:p w14:paraId="07E0D6CF" w14:textId="2BC74D69" w:rsidR="00731875" w:rsidRPr="001A60D9" w:rsidRDefault="00731875" w:rsidP="00C705A5">
      <w:pPr>
        <w:ind w:left="1080"/>
        <w:rPr>
          <w:rFonts w:cstheme="minorHAnsi"/>
        </w:rPr>
      </w:pPr>
    </w:p>
    <w:p w14:paraId="708AB3DC" w14:textId="61070FBB" w:rsidR="00300FD4" w:rsidRPr="00DD5758" w:rsidRDefault="00300FD4" w:rsidP="00300FD4">
      <w:pPr>
        <w:pStyle w:val="ListParagraph"/>
        <w:numPr>
          <w:ilvl w:val="0"/>
          <w:numId w:val="1"/>
        </w:numPr>
        <w:rPr>
          <w:rFonts w:ascii="Arial" w:hAnsi="Arial" w:cs="Arial"/>
          <w:b/>
        </w:rPr>
      </w:pPr>
      <w:r w:rsidRPr="00DD5758">
        <w:rPr>
          <w:rFonts w:ascii="Arial" w:hAnsi="Arial" w:cs="Arial"/>
          <w:b/>
        </w:rPr>
        <w:t>Gap Analysis</w:t>
      </w:r>
    </w:p>
    <w:p w14:paraId="1422F516" w14:textId="68F50BBD" w:rsidR="00300FD4" w:rsidRPr="00DE3992" w:rsidRDefault="007E7FDE" w:rsidP="00300FD4">
      <w:pPr>
        <w:pStyle w:val="ListParagraph"/>
        <w:numPr>
          <w:ilvl w:val="0"/>
          <w:numId w:val="2"/>
        </w:numPr>
        <w:rPr>
          <w:rFonts w:ascii="Arial" w:hAnsi="Arial" w:cs="Arial"/>
          <w:i/>
          <w:color w:val="1F4E79" w:themeColor="accent1" w:themeShade="80"/>
        </w:rPr>
      </w:pPr>
      <w:r w:rsidRPr="00DE3992">
        <w:rPr>
          <w:rFonts w:ascii="Arial" w:hAnsi="Arial" w:cs="Arial"/>
          <w:i/>
          <w:color w:val="1F4E79" w:themeColor="accent1" w:themeShade="80"/>
        </w:rPr>
        <w:t xml:space="preserve">Provide </w:t>
      </w:r>
      <w:r w:rsidR="00300FD4" w:rsidRPr="00DE3992">
        <w:rPr>
          <w:rFonts w:ascii="Arial" w:hAnsi="Arial" w:cs="Arial"/>
          <w:i/>
          <w:color w:val="1F4E79" w:themeColor="accent1" w:themeShade="80"/>
        </w:rPr>
        <w:t xml:space="preserve">Evidence for </w:t>
      </w:r>
      <w:r w:rsidR="002E5674" w:rsidRPr="00DE3992">
        <w:rPr>
          <w:rFonts w:ascii="Arial" w:hAnsi="Arial" w:cs="Arial"/>
          <w:i/>
          <w:color w:val="1F4E79" w:themeColor="accent1" w:themeShade="80"/>
        </w:rPr>
        <w:t xml:space="preserve">the </w:t>
      </w:r>
      <w:r w:rsidR="00300FD4" w:rsidRPr="00DE3992">
        <w:rPr>
          <w:rFonts w:ascii="Arial" w:hAnsi="Arial" w:cs="Arial"/>
          <w:i/>
          <w:color w:val="1F4E79" w:themeColor="accent1" w:themeShade="80"/>
        </w:rPr>
        <w:t>Measure (What are the gaps and opportunities to improve care?)</w:t>
      </w:r>
    </w:p>
    <w:p w14:paraId="1BD04846" w14:textId="3AE2F853" w:rsidR="005C2735" w:rsidRDefault="00B9342A" w:rsidP="00A8094F">
      <w:pPr>
        <w:ind w:left="1080"/>
        <w:rPr>
          <w:rFonts w:cstheme="minorHAnsi"/>
        </w:rPr>
      </w:pPr>
      <w:r w:rsidRPr="00A8094F">
        <w:rPr>
          <w:rFonts w:cstheme="minorHAnsi"/>
        </w:rPr>
        <w:t>Patients with MCCs are at high risk for hospital admission, often for potentially preventable causes, such as exacerbation of pulmonary disease.</w:t>
      </w:r>
      <w:r w:rsidR="00A8094F">
        <w:rPr>
          <w:rFonts w:cstheme="minorHAnsi"/>
        </w:rPr>
        <w:t xml:space="preserve"> [1]</w:t>
      </w:r>
      <w:r w:rsidRPr="00A8094F">
        <w:rPr>
          <w:rFonts w:cstheme="minorHAnsi"/>
        </w:rPr>
        <w:t xml:space="preserve"> </w:t>
      </w:r>
      <w:r w:rsidR="00A8094F">
        <w:rPr>
          <w:rFonts w:cstheme="minorHAnsi"/>
        </w:rPr>
        <w:t>Previous</w:t>
      </w:r>
      <w:r w:rsidRPr="00A8094F">
        <w:rPr>
          <w:rFonts w:cstheme="minorHAnsi"/>
        </w:rPr>
        <w:t xml:space="preserve"> Medicare demonstration projects</w:t>
      </w:r>
      <w:r w:rsidR="00A8094F">
        <w:rPr>
          <w:rFonts w:cstheme="minorHAnsi"/>
        </w:rPr>
        <w:t xml:space="preserve"> show</w:t>
      </w:r>
      <w:r w:rsidRPr="00A8094F">
        <w:rPr>
          <w:rFonts w:cstheme="minorHAnsi"/>
        </w:rPr>
        <w:t xml:space="preserve"> that care coordination resulted in decreased hospital admission rates among hig</w:t>
      </w:r>
      <w:r w:rsidR="00A8094F">
        <w:rPr>
          <w:rFonts w:cstheme="minorHAnsi"/>
        </w:rPr>
        <w:t xml:space="preserve">h-risk patients. [2,3] </w:t>
      </w:r>
      <w:r w:rsidRPr="00A8094F">
        <w:rPr>
          <w:rFonts w:cstheme="minorHAnsi"/>
        </w:rPr>
        <w:t>Using 2013 Chronic Conditions Data Warehouse (CCW) Medicare FFS claims data, we found a high acute unplanned admission rate of 68.5 admissions per 100 person-years (i.e., 68.5% of patients were admitted once per year on average) among MCC patients. In addition, leading causes of admission included potentially preventable reasons, such as septicemia, pneumonia, and obstructive chronic bronchitis with acute exacerbation. Moreover,</w:t>
      </w:r>
      <w:r w:rsidR="00A8094F">
        <w:rPr>
          <w:rFonts w:cstheme="minorHAnsi"/>
        </w:rPr>
        <w:t xml:space="preserve"> the literature suggests t</w:t>
      </w:r>
      <w:r w:rsidRPr="00A8094F">
        <w:rPr>
          <w:rFonts w:cstheme="minorHAnsi"/>
        </w:rPr>
        <w:t>hat the types of ambulatory care clinicians this measure targets can influence admission rates</w:t>
      </w:r>
      <w:r w:rsidR="00A8094F">
        <w:rPr>
          <w:rFonts w:cstheme="minorHAnsi"/>
        </w:rPr>
        <w:t xml:space="preserve"> [4-6]; however, there are </w:t>
      </w:r>
      <w:r w:rsidRPr="00A8094F">
        <w:rPr>
          <w:rFonts w:cstheme="minorHAnsi"/>
        </w:rPr>
        <w:t>mixed</w:t>
      </w:r>
      <w:r w:rsidR="00A8094F">
        <w:rPr>
          <w:rFonts w:cstheme="minorHAnsi"/>
        </w:rPr>
        <w:t xml:space="preserve"> findings in the literature</w:t>
      </w:r>
      <w:r w:rsidRPr="00A8094F">
        <w:rPr>
          <w:rFonts w:cstheme="minorHAnsi"/>
        </w:rPr>
        <w:t>.</w:t>
      </w:r>
      <w:r w:rsidR="00A8094F">
        <w:rPr>
          <w:rFonts w:cstheme="minorHAnsi"/>
        </w:rPr>
        <w:t xml:space="preserve"> [7-10]</w:t>
      </w:r>
      <w:r w:rsidRPr="00A8094F">
        <w:rPr>
          <w:rFonts w:cstheme="minorHAnsi"/>
        </w:rPr>
        <w:t xml:space="preserve"> Given the magnitude of acute unplanned admissions and evidence that ambulatory care clinicians can influence hospital admission rates through optimal care and coordination, this measure will incentivize quality improvement efforts leading to improved patient outcome</w:t>
      </w:r>
      <w:r w:rsidR="00A8094F">
        <w:rPr>
          <w:rFonts w:cstheme="minorHAnsi"/>
        </w:rPr>
        <w:t>s for a large population</w:t>
      </w:r>
      <w:r w:rsidRPr="00A8094F">
        <w:rPr>
          <w:rFonts w:cstheme="minorHAnsi"/>
        </w:rPr>
        <w:t>.</w:t>
      </w:r>
    </w:p>
    <w:p w14:paraId="61F94AD2" w14:textId="7587F913" w:rsidR="00A8094F" w:rsidRDefault="00DB4CDB" w:rsidP="00A8094F">
      <w:pPr>
        <w:ind w:left="1080"/>
        <w:rPr>
          <w:rFonts w:cstheme="minorHAnsi"/>
        </w:rPr>
      </w:pPr>
      <w:r>
        <w:rPr>
          <w:rFonts w:cstheme="minorHAnsi"/>
        </w:rPr>
        <w:t xml:space="preserve">Although </w:t>
      </w:r>
      <w:r w:rsidR="00A8094F">
        <w:rPr>
          <w:rFonts w:cstheme="minorHAnsi"/>
        </w:rPr>
        <w:t xml:space="preserve">MIPS eligible providers are required to report </w:t>
      </w:r>
      <w:r>
        <w:rPr>
          <w:rFonts w:cstheme="minorHAnsi"/>
        </w:rPr>
        <w:t>at least one outcome measure, currently</w:t>
      </w:r>
      <w:r w:rsidR="00A8094F" w:rsidRPr="00A8094F">
        <w:rPr>
          <w:rFonts w:cstheme="minorHAnsi"/>
        </w:rPr>
        <w:t xml:space="preserve"> </w:t>
      </w:r>
      <w:r>
        <w:rPr>
          <w:rFonts w:cstheme="minorHAnsi"/>
        </w:rPr>
        <w:t>t</w:t>
      </w:r>
      <w:r w:rsidR="00A8094F" w:rsidRPr="00A8094F">
        <w:rPr>
          <w:rFonts w:cstheme="minorHAnsi"/>
        </w:rPr>
        <w:t xml:space="preserve">here are few outcome measures available from which </w:t>
      </w:r>
      <w:r>
        <w:rPr>
          <w:rFonts w:cstheme="minorHAnsi"/>
        </w:rPr>
        <w:t xml:space="preserve">they </w:t>
      </w:r>
      <w:r w:rsidR="00A8094F" w:rsidRPr="00A8094F">
        <w:rPr>
          <w:rFonts w:cstheme="minorHAnsi"/>
        </w:rPr>
        <w:t>can select</w:t>
      </w:r>
      <w:r w:rsidR="00A8094F">
        <w:rPr>
          <w:rFonts w:cstheme="minorHAnsi"/>
        </w:rPr>
        <w:t>.</w:t>
      </w:r>
      <w:r w:rsidR="00A8094F" w:rsidRPr="00A8094F">
        <w:rPr>
          <w:rFonts w:cstheme="minorHAnsi"/>
        </w:rPr>
        <w:t xml:space="preserve"> </w:t>
      </w:r>
      <w:r>
        <w:rPr>
          <w:rFonts w:cstheme="minorHAnsi"/>
        </w:rPr>
        <w:t xml:space="preserve">To expand the list of available reporting options for clinicians, </w:t>
      </w:r>
      <w:r w:rsidR="00A8094F" w:rsidRPr="00A8094F">
        <w:rPr>
          <w:rFonts w:cstheme="minorHAnsi"/>
        </w:rPr>
        <w:t>CMS is developing the MCC measure for use in the</w:t>
      </w:r>
      <w:r>
        <w:rPr>
          <w:rFonts w:cstheme="minorHAnsi"/>
        </w:rPr>
        <w:t xml:space="preserve"> MIPS</w:t>
      </w:r>
      <w:r w:rsidR="00A8094F" w:rsidRPr="00A8094F">
        <w:rPr>
          <w:rFonts w:cstheme="minorHAnsi"/>
        </w:rPr>
        <w:t xml:space="preserve"> program. </w:t>
      </w:r>
    </w:p>
    <w:p w14:paraId="696D4019" w14:textId="22E1B310" w:rsidR="00396569" w:rsidRPr="00396569" w:rsidRDefault="00A749A1" w:rsidP="00A749A1">
      <w:pPr>
        <w:ind w:left="1080"/>
        <w:rPr>
          <w:rFonts w:cstheme="minorHAnsi"/>
        </w:rPr>
      </w:pPr>
      <w:r>
        <w:rPr>
          <w:rFonts w:cstheme="minorHAnsi"/>
        </w:rPr>
        <w:t>In measure testing, we calculated risk-standardized acute admission rate (RSAAR) measure scores a</w:t>
      </w:r>
      <w:r w:rsidR="00396569" w:rsidRPr="00396569">
        <w:rPr>
          <w:rFonts w:cstheme="minorHAnsi"/>
        </w:rPr>
        <w:t>cross the 65,242 TINs who had at least one MCC patient</w:t>
      </w:r>
      <w:r>
        <w:rPr>
          <w:rFonts w:cstheme="minorHAnsi"/>
        </w:rPr>
        <w:t>. R</w:t>
      </w:r>
      <w:r w:rsidR="00396569" w:rsidRPr="00396569">
        <w:rPr>
          <w:rFonts w:cstheme="minorHAnsi"/>
        </w:rPr>
        <w:t xml:space="preserve">SAAR measure scores, including adjustment for the social risk factors of AHRQ SES Index, Medicare-Medicaid dual-eligibility status, and specialist density, ranged widely from 17.3 to 113.5 per 100 person-years, with a median of 42.1 and an IQR of 39.6 to 45.4. </w:t>
      </w:r>
    </w:p>
    <w:p w14:paraId="02F8BF7C" w14:textId="39EF3FB5" w:rsidR="00396569" w:rsidRDefault="00396569" w:rsidP="00396569">
      <w:pPr>
        <w:ind w:left="1080"/>
        <w:rPr>
          <w:rFonts w:cstheme="minorHAnsi"/>
        </w:rPr>
      </w:pPr>
      <w:r w:rsidRPr="00396569">
        <w:rPr>
          <w:rFonts w:cstheme="minorHAnsi"/>
        </w:rPr>
        <w:lastRenderedPageBreak/>
        <w:t>Overall, measure results suggest that there is substantial need to both reduce the number of admissions for this patient population and decrease the variation in admissions across providers, and that improvement goals are achievable.</w:t>
      </w:r>
    </w:p>
    <w:p w14:paraId="3063EBC2" w14:textId="25855DB7" w:rsidR="00A8094F" w:rsidRDefault="00A8094F" w:rsidP="00A8094F">
      <w:pPr>
        <w:spacing w:after="80"/>
        <w:ind w:left="1080"/>
        <w:rPr>
          <w:rFonts w:cstheme="minorHAnsi"/>
          <w:u w:val="single"/>
        </w:rPr>
      </w:pPr>
      <w:r w:rsidRPr="00A8094F">
        <w:rPr>
          <w:rFonts w:cstheme="minorHAnsi"/>
          <w:u w:val="single"/>
        </w:rPr>
        <w:t>References</w:t>
      </w:r>
    </w:p>
    <w:p w14:paraId="1152ABC4" w14:textId="77777777" w:rsidR="00A8094F" w:rsidRDefault="00A8094F" w:rsidP="00A8094F">
      <w:pPr>
        <w:spacing w:after="80"/>
        <w:ind w:left="1080"/>
        <w:rPr>
          <w:rFonts w:cstheme="minorHAnsi"/>
        </w:rPr>
      </w:pPr>
      <w:r>
        <w:rPr>
          <w:rFonts w:cstheme="minorHAnsi"/>
        </w:rPr>
        <w:t>1</w:t>
      </w:r>
      <w:r w:rsidRPr="00A8094F">
        <w:rPr>
          <w:rFonts w:cstheme="minorHAnsi"/>
        </w:rPr>
        <w:t xml:space="preserve">. Abernathy K, Zhang J, Mauldin P, et al. Acute care utilization in patients with concurrent mental health and complex chronic medical conditions. J Prim Care Community Health. 2016;7(4):226-233. </w:t>
      </w:r>
    </w:p>
    <w:p w14:paraId="52AD6B26" w14:textId="77777777" w:rsidR="00A8094F" w:rsidRDefault="00A8094F" w:rsidP="00A8094F">
      <w:pPr>
        <w:spacing w:after="80"/>
        <w:ind w:left="1080"/>
        <w:rPr>
          <w:rFonts w:cstheme="minorHAnsi"/>
        </w:rPr>
      </w:pPr>
      <w:r>
        <w:rPr>
          <w:rFonts w:cstheme="minorHAnsi"/>
        </w:rPr>
        <w:t>2</w:t>
      </w:r>
      <w:r w:rsidRPr="00A8094F">
        <w:rPr>
          <w:rFonts w:cstheme="minorHAnsi"/>
        </w:rPr>
        <w:t>. Altaf FK, Peltz A, Alonso AM, Loh K, Drye EE. Environmental scan: adaptation of the multiple chronic conditions accountable care organization admission measure for the Merit-based Incentive Payment System. Yale New Haven Health Services Corporation/Center for Outcomes Research and Evaluation (CORE): Centers for Medicare &amp;</w:t>
      </w:r>
      <w:r>
        <w:rPr>
          <w:rFonts w:cstheme="minorHAnsi"/>
        </w:rPr>
        <w:t xml:space="preserve"> Medicaid Services (CMS);2017. </w:t>
      </w:r>
    </w:p>
    <w:p w14:paraId="3C92E413" w14:textId="77777777" w:rsidR="00A8094F" w:rsidRDefault="00A8094F" w:rsidP="00A8094F">
      <w:pPr>
        <w:spacing w:after="80"/>
        <w:ind w:left="1080"/>
        <w:rPr>
          <w:rFonts w:cstheme="minorHAnsi"/>
        </w:rPr>
      </w:pPr>
      <w:r>
        <w:rPr>
          <w:rFonts w:cstheme="minorHAnsi"/>
        </w:rPr>
        <w:t>3</w:t>
      </w:r>
      <w:r w:rsidRPr="00A8094F">
        <w:rPr>
          <w:rFonts w:cstheme="minorHAnsi"/>
        </w:rPr>
        <w:t>. Brown RS, Peikes D, Peterson G, Schore J, Razafindrakoto CM. Six features of Medicare coordinated care demonstration programs that cut hospital admissions of high-risk patients. Health Aff. (Mi</w:t>
      </w:r>
      <w:r>
        <w:rPr>
          <w:rFonts w:cstheme="minorHAnsi"/>
        </w:rPr>
        <w:t xml:space="preserve">llwood). 2012;31(6):1156-1166. </w:t>
      </w:r>
    </w:p>
    <w:p w14:paraId="37D39102" w14:textId="77777777" w:rsidR="00C64A04" w:rsidRDefault="00A8094F" w:rsidP="00A8094F">
      <w:pPr>
        <w:spacing w:after="80"/>
        <w:ind w:left="1080"/>
        <w:rPr>
          <w:rFonts w:cstheme="minorHAnsi"/>
        </w:rPr>
      </w:pPr>
      <w:r>
        <w:rPr>
          <w:rFonts w:cstheme="minorHAnsi"/>
        </w:rPr>
        <w:t>4</w:t>
      </w:r>
      <w:r w:rsidRPr="00A8094F">
        <w:rPr>
          <w:rFonts w:cstheme="minorHAnsi"/>
        </w:rPr>
        <w:t xml:space="preserve">. van Loenen T, van den Berg MJ, Westert GP, Faber MJ. Organizational aspects of primary care related to avoidable hospitalization: a systematic review. Fam Pract. 2014;31(5):502-516. </w:t>
      </w:r>
    </w:p>
    <w:p w14:paraId="6E6BDE7A" w14:textId="78636F47" w:rsidR="00A8094F" w:rsidRDefault="00C64A04" w:rsidP="00A8094F">
      <w:pPr>
        <w:spacing w:after="80"/>
        <w:ind w:left="1080"/>
        <w:rPr>
          <w:rFonts w:cstheme="minorHAnsi"/>
        </w:rPr>
      </w:pPr>
      <w:r>
        <w:rPr>
          <w:rFonts w:cstheme="minorHAnsi"/>
        </w:rPr>
        <w:t>5</w:t>
      </w:r>
      <w:r w:rsidR="00A8094F" w:rsidRPr="00A8094F">
        <w:rPr>
          <w:rFonts w:cstheme="minorHAnsi"/>
        </w:rPr>
        <w:t xml:space="preserve">. Dale SB, Ghosh A, Peikes DN, et al. Two-year costs and quality in the Comprehensive Primary Care Initiative. N Engl </w:t>
      </w:r>
      <w:r w:rsidR="00A8094F">
        <w:rPr>
          <w:rFonts w:cstheme="minorHAnsi"/>
        </w:rPr>
        <w:t xml:space="preserve">J Med. 2016;374(24):2345-2356. </w:t>
      </w:r>
    </w:p>
    <w:p w14:paraId="46EC4A8D" w14:textId="5A085F2B" w:rsidR="00A8094F" w:rsidRDefault="00C64A04" w:rsidP="00A8094F">
      <w:pPr>
        <w:spacing w:after="80"/>
        <w:ind w:left="1080"/>
        <w:rPr>
          <w:rFonts w:cstheme="minorHAnsi"/>
        </w:rPr>
      </w:pPr>
      <w:r>
        <w:rPr>
          <w:rFonts w:cstheme="minorHAnsi"/>
        </w:rPr>
        <w:t>6</w:t>
      </w:r>
      <w:r w:rsidR="00A8094F" w:rsidRPr="00A8094F">
        <w:rPr>
          <w:rFonts w:cstheme="minorHAnsi"/>
        </w:rPr>
        <w:t>. Casalino LP, Pesko MF, Ryan AM, et al. Small primary care physician practices have low rates of preventable hospital admissions. Health Aff. (Mi</w:t>
      </w:r>
      <w:r w:rsidR="00A8094F">
        <w:rPr>
          <w:rFonts w:cstheme="minorHAnsi"/>
        </w:rPr>
        <w:t xml:space="preserve">llwood). 2014;33(9):1680-1688. </w:t>
      </w:r>
    </w:p>
    <w:p w14:paraId="1891D508" w14:textId="65080699" w:rsidR="00C64A04" w:rsidRDefault="00C64A04" w:rsidP="00A8094F">
      <w:pPr>
        <w:spacing w:after="80"/>
        <w:ind w:left="1080"/>
        <w:rPr>
          <w:rFonts w:cstheme="minorHAnsi"/>
        </w:rPr>
      </w:pPr>
      <w:r>
        <w:rPr>
          <w:rFonts w:cstheme="minorHAnsi"/>
        </w:rPr>
        <w:t>7</w:t>
      </w:r>
      <w:r w:rsidR="00A8094F" w:rsidRPr="00A8094F">
        <w:rPr>
          <w:rFonts w:cstheme="minorHAnsi"/>
        </w:rPr>
        <w:t xml:space="preserve">. Jackson GL, Powers BJ, Chatterjee R, et al. Improving patient care. the patient centered medical home. a systematic review. Ann Intern Med. 2013;158(3):169-178. </w:t>
      </w:r>
    </w:p>
    <w:p w14:paraId="6F07C0B9" w14:textId="479F3DE3" w:rsidR="00A8094F" w:rsidRDefault="00C64A04" w:rsidP="00A8094F">
      <w:pPr>
        <w:spacing w:after="80"/>
        <w:ind w:left="1080"/>
        <w:rPr>
          <w:rFonts w:cstheme="minorHAnsi"/>
        </w:rPr>
      </w:pPr>
      <w:r>
        <w:rPr>
          <w:rFonts w:cstheme="minorHAnsi"/>
        </w:rPr>
        <w:t>8</w:t>
      </w:r>
      <w:r w:rsidR="00A8094F" w:rsidRPr="00A8094F">
        <w:rPr>
          <w:rFonts w:cstheme="minorHAnsi"/>
        </w:rPr>
        <w:t xml:space="preserve">. Mendelson A, Kondo K, Damberg C, et al. The effects of pay-for-performance programs on health, health care use, and processes of care: a systematic </w:t>
      </w:r>
      <w:r w:rsidR="00DB4CDB">
        <w:rPr>
          <w:rFonts w:cstheme="minorHAnsi"/>
        </w:rPr>
        <w:t>review. Ann Intern Med. 2017</w:t>
      </w:r>
      <w:r w:rsidR="00DB4CDB" w:rsidRPr="00DB4CDB">
        <w:rPr>
          <w:rFonts w:cstheme="minorHAnsi"/>
        </w:rPr>
        <w:t>;166(5):341-353</w:t>
      </w:r>
      <w:r w:rsidR="00A749A1">
        <w:rPr>
          <w:rFonts w:cstheme="minorHAnsi"/>
        </w:rPr>
        <w:t>.</w:t>
      </w:r>
    </w:p>
    <w:p w14:paraId="0868F15A" w14:textId="7A2B1811" w:rsidR="00A8094F" w:rsidRDefault="00C64A04" w:rsidP="00A8094F">
      <w:pPr>
        <w:spacing w:after="80"/>
        <w:ind w:left="1080"/>
        <w:rPr>
          <w:rFonts w:cstheme="minorHAnsi"/>
        </w:rPr>
      </w:pPr>
      <w:r>
        <w:rPr>
          <w:rFonts w:cstheme="minorHAnsi"/>
        </w:rPr>
        <w:t>9</w:t>
      </w:r>
      <w:r w:rsidR="00A8094F" w:rsidRPr="00A8094F">
        <w:rPr>
          <w:rFonts w:cstheme="minorHAnsi"/>
        </w:rPr>
        <w:t>. Smith SM, Wallace E, O'Dowd T, Fortin M. Interventions for improving outcomes in patients with multimorbidity in primary care and community settings. Cochrane Database Syst Rev. 2016;3:CD006560.</w:t>
      </w:r>
    </w:p>
    <w:p w14:paraId="0BAB3520" w14:textId="243BA15C" w:rsidR="00A8094F" w:rsidRPr="00A8094F" w:rsidRDefault="00C64A04" w:rsidP="00A8094F">
      <w:pPr>
        <w:spacing w:after="80"/>
        <w:ind w:left="1080"/>
        <w:rPr>
          <w:rFonts w:cstheme="minorHAnsi"/>
        </w:rPr>
      </w:pPr>
      <w:r>
        <w:rPr>
          <w:rFonts w:cstheme="minorHAnsi"/>
        </w:rPr>
        <w:t>10</w:t>
      </w:r>
      <w:r w:rsidR="00A8094F">
        <w:rPr>
          <w:rFonts w:cstheme="minorHAnsi"/>
        </w:rPr>
        <w:t xml:space="preserve">. </w:t>
      </w:r>
      <w:r w:rsidR="00A8094F" w:rsidRPr="00A8094F">
        <w:rPr>
          <w:rFonts w:cstheme="minorHAnsi"/>
        </w:rPr>
        <w:t>Damberg CL, Sorbero ME, Lovejoy SL, Martsolf GR, Raaen L, Mandel D. Measuring success in health care value-based purchasing programs: findings from an environmental scan, literature review, and expert panel discussions. RAND Health Quarterly. 2014;4(3).</w:t>
      </w:r>
    </w:p>
    <w:p w14:paraId="3AC9A9FE" w14:textId="77777777" w:rsidR="00A8094F" w:rsidRPr="00A8094F" w:rsidRDefault="00A8094F" w:rsidP="00A8094F">
      <w:pPr>
        <w:spacing w:after="80"/>
        <w:ind w:left="1080"/>
        <w:rPr>
          <w:rFonts w:cstheme="minorHAnsi"/>
          <w:u w:val="single"/>
        </w:rPr>
      </w:pPr>
    </w:p>
    <w:p w14:paraId="1C2111B4" w14:textId="5AB3AFAA" w:rsidR="00300FD4" w:rsidRPr="00DE3992" w:rsidRDefault="00300FD4" w:rsidP="00300FD4">
      <w:pPr>
        <w:pStyle w:val="ListParagraph"/>
        <w:numPr>
          <w:ilvl w:val="0"/>
          <w:numId w:val="2"/>
        </w:numPr>
        <w:rPr>
          <w:rFonts w:ascii="Arial" w:hAnsi="Arial" w:cs="Arial"/>
          <w:i/>
          <w:color w:val="1F4E79" w:themeColor="accent1" w:themeShade="80"/>
        </w:rPr>
      </w:pPr>
      <w:r w:rsidRPr="00DE3992">
        <w:rPr>
          <w:rFonts w:ascii="Arial" w:hAnsi="Arial" w:cs="Arial"/>
          <w:i/>
          <w:color w:val="1F4E79" w:themeColor="accent1" w:themeShade="80"/>
        </w:rPr>
        <w:t>Expected Outcome (Patient care/patient health improvements, cost savings)</w:t>
      </w:r>
    </w:p>
    <w:p w14:paraId="761E4452" w14:textId="70B06BBA" w:rsidR="00BF2DAE" w:rsidRPr="00BF2DAE" w:rsidRDefault="00BF2DAE" w:rsidP="009F5DCA">
      <w:pPr>
        <w:ind w:left="1080"/>
        <w:rPr>
          <w:rFonts w:cstheme="minorHAnsi"/>
        </w:rPr>
      </w:pPr>
      <w:r w:rsidRPr="00BF2DAE">
        <w:rPr>
          <w:rFonts w:cstheme="minorHAnsi"/>
        </w:rPr>
        <w:t xml:space="preserve">In a comprehensive literature search, </w:t>
      </w:r>
      <w:r>
        <w:rPr>
          <w:rFonts w:cstheme="minorHAnsi"/>
        </w:rPr>
        <w:t>we</w:t>
      </w:r>
      <w:r w:rsidRPr="00BF2DAE">
        <w:rPr>
          <w:rFonts w:cstheme="minorHAnsi"/>
        </w:rPr>
        <w:t xml:space="preserve"> found evidence supporting the assertion that ambulatory care clinicians can influence admission rates through quality of care.</w:t>
      </w:r>
      <w:r>
        <w:rPr>
          <w:rFonts w:cstheme="minorHAnsi"/>
        </w:rPr>
        <w:t xml:space="preserve"> [1,2,</w:t>
      </w:r>
      <w:r w:rsidRPr="00BF2DAE">
        <w:rPr>
          <w:rFonts w:cstheme="minorHAnsi"/>
        </w:rPr>
        <w:t>3</w:t>
      </w:r>
      <w:r>
        <w:rPr>
          <w:rFonts w:cstheme="minorHAnsi"/>
        </w:rPr>
        <w:t>-</w:t>
      </w:r>
      <w:r w:rsidRPr="00BF2DAE">
        <w:rPr>
          <w:rFonts w:cstheme="minorHAnsi"/>
        </w:rPr>
        <w:t>7</w:t>
      </w:r>
      <w:r>
        <w:rPr>
          <w:rFonts w:cstheme="minorHAnsi"/>
        </w:rPr>
        <w:t>]</w:t>
      </w:r>
      <w:r w:rsidRPr="00BF2DAE">
        <w:rPr>
          <w:rFonts w:cstheme="minorHAnsi"/>
        </w:rPr>
        <w:t xml:space="preserve"> For example, Brown et al. pointed to four Medicare Coordinated Care Demonstration programs that reduced hospitalizations for high-risk patients by 13-30 per 100 beneficiaries per year (833% of hospitalizations). Brown et al. highlighted six program features that were associated with successfully reducing hospitalizations: 1) supplementing patient telephone calls with in</w:t>
      </w:r>
      <w:r>
        <w:rPr>
          <w:rFonts w:cstheme="minorHAnsi"/>
        </w:rPr>
        <w:t xml:space="preserve"> </w:t>
      </w:r>
      <w:r w:rsidRPr="00BF2DAE">
        <w:rPr>
          <w:rFonts w:cstheme="minorHAnsi"/>
        </w:rPr>
        <w:t>person meetings; 2) occasionally meeting in person with providers; 3) acting as a communication hub for providers; 4) providing patients with evidence-based education; 5) providing strong medication management; and 6) providing comprehensive and timely transitional care after hospitalizations.</w:t>
      </w:r>
      <w:r>
        <w:rPr>
          <w:rFonts w:cstheme="minorHAnsi"/>
        </w:rPr>
        <w:t xml:space="preserve"> [</w:t>
      </w:r>
      <w:r w:rsidRPr="00BF2DAE">
        <w:rPr>
          <w:rFonts w:cstheme="minorHAnsi"/>
        </w:rPr>
        <w:t>5</w:t>
      </w:r>
      <w:r>
        <w:rPr>
          <w:rFonts w:cstheme="minorHAnsi"/>
        </w:rPr>
        <w:t>]</w:t>
      </w:r>
      <w:r w:rsidRPr="00BF2DAE">
        <w:rPr>
          <w:rFonts w:cstheme="minorHAnsi"/>
        </w:rPr>
        <w:t xml:space="preserve"> In addition, van Loenen et al. found that higher levels of provider continuity decreased the risk of avoidable hospitalizations for ambulatory care</w:t>
      </w:r>
      <w:r>
        <w:rPr>
          <w:rFonts w:cstheme="minorHAnsi"/>
        </w:rPr>
        <w:t xml:space="preserve"> </w:t>
      </w:r>
      <w:r w:rsidRPr="00BF2DAE">
        <w:rPr>
          <w:rFonts w:cstheme="minorHAnsi"/>
        </w:rPr>
        <w:t>sensitive conditions (ACSCs) and chronic diseases, regardless of country and age group.</w:t>
      </w:r>
      <w:r>
        <w:rPr>
          <w:rFonts w:cstheme="minorHAnsi"/>
        </w:rPr>
        <w:t xml:space="preserve"> [</w:t>
      </w:r>
      <w:r w:rsidRPr="00BF2DAE">
        <w:rPr>
          <w:rFonts w:cstheme="minorHAnsi"/>
        </w:rPr>
        <w:t>6</w:t>
      </w:r>
      <w:r>
        <w:rPr>
          <w:rFonts w:cstheme="minorHAnsi"/>
        </w:rPr>
        <w:t>]</w:t>
      </w:r>
      <w:r w:rsidRPr="00BF2DAE">
        <w:rPr>
          <w:rFonts w:cstheme="minorHAnsi"/>
        </w:rPr>
        <w:t xml:space="preserve"> Favorable results were also shown by Dorr et al. (2000), Levine et al. (2012), Littleford et al. (2010), and Zhang et al. (2008).</w:t>
      </w:r>
      <w:r>
        <w:rPr>
          <w:rFonts w:cstheme="minorHAnsi"/>
        </w:rPr>
        <w:t xml:space="preserve"> [3, 5-</w:t>
      </w:r>
      <w:r w:rsidRPr="00BF2DAE">
        <w:rPr>
          <w:rFonts w:cstheme="minorHAnsi"/>
        </w:rPr>
        <w:t>7</w:t>
      </w:r>
      <w:r>
        <w:rPr>
          <w:rFonts w:cstheme="minorHAnsi"/>
        </w:rPr>
        <w:t>]</w:t>
      </w:r>
    </w:p>
    <w:p w14:paraId="3A66ECAB" w14:textId="78BD7FCB" w:rsidR="009F5DCA" w:rsidRPr="00BF2DAE" w:rsidRDefault="00BF2DAE" w:rsidP="009F5DCA">
      <w:pPr>
        <w:ind w:left="1080"/>
        <w:rPr>
          <w:rFonts w:cstheme="minorHAnsi"/>
        </w:rPr>
      </w:pPr>
      <w:r w:rsidRPr="00BF2DAE">
        <w:rPr>
          <w:rFonts w:cstheme="minorHAnsi"/>
        </w:rPr>
        <w:lastRenderedPageBreak/>
        <w:t>The MIPS MCC admission measure is consistent with CMS’s goal of providing eligible clinicians with actionable data, while at the same time providing patients with a meaningful outcome. CORE expects that sharing measure scores with eligible clinicians, in addition to tying reimbursement payment adjustments to these scores, will strongly encourage eligible clinicians to improve care quality and patient outcomes.</w:t>
      </w:r>
    </w:p>
    <w:p w14:paraId="18DC83A1" w14:textId="19ED3CCA" w:rsidR="00BF2DAE" w:rsidRDefault="00BF2DAE" w:rsidP="009F5DCA">
      <w:pPr>
        <w:ind w:left="1080"/>
        <w:rPr>
          <w:rFonts w:cstheme="minorHAnsi"/>
        </w:rPr>
      </w:pPr>
      <w:r w:rsidRPr="00BF2DAE">
        <w:rPr>
          <w:rFonts w:cstheme="minorHAnsi"/>
        </w:rPr>
        <w:t xml:space="preserve">Although difficult to precisely quantify, lowering hospital admission rates among MCC patients would have a direct impact on lowering healthcare costs. As noted above, evidence from the literature indicates that ambulatory care clinicians can lower hospital admission rates by providing high-quality, coordinated care. A recent study found that being in a </w:t>
      </w:r>
      <w:r w:rsidR="008A7CEC">
        <w:rPr>
          <w:rFonts w:cstheme="minorHAnsi"/>
        </w:rPr>
        <w:t>PCMH</w:t>
      </w:r>
      <w:r w:rsidRPr="00BF2DAE">
        <w:rPr>
          <w:rFonts w:cstheme="minorHAnsi"/>
        </w:rPr>
        <w:t xml:space="preserve"> can lead to sustainable, long-term improvements in health outcomes and reduced healthcare costs. Specifically, over a 7.5-year period, total costs associated with </w:t>
      </w:r>
      <w:r w:rsidR="008A7CEC">
        <w:rPr>
          <w:rFonts w:cstheme="minorHAnsi"/>
        </w:rPr>
        <w:t>PCMH</w:t>
      </w:r>
      <w:r w:rsidRPr="00BF2DAE">
        <w:rPr>
          <w:rFonts w:cstheme="minorHAnsi"/>
        </w:rPr>
        <w:t xml:space="preserve"> exposure declined by approximately 7.9%, with the largest source of savings coming from reductions in acute inpatient care.</w:t>
      </w:r>
      <w:r>
        <w:rPr>
          <w:rFonts w:cstheme="minorHAnsi"/>
        </w:rPr>
        <w:t xml:space="preserve"> [8]</w:t>
      </w:r>
      <w:r w:rsidRPr="00BF2DAE">
        <w:rPr>
          <w:rFonts w:cstheme="minorHAnsi"/>
        </w:rPr>
        <w:t xml:space="preserve"> Another recent study found that patients enrolled in a </w:t>
      </w:r>
      <w:r w:rsidR="008A7CEC">
        <w:rPr>
          <w:rFonts w:cstheme="minorHAnsi"/>
        </w:rPr>
        <w:t>PCMH</w:t>
      </w:r>
      <w:r w:rsidRPr="00BF2DAE">
        <w:rPr>
          <w:rFonts w:cstheme="minorHAnsi"/>
        </w:rPr>
        <w:t xml:space="preserve"> experienced a 2.4% reduction in inpatient admissions by Year 3, with a corresponding 42% decline in spending.</w:t>
      </w:r>
      <w:r>
        <w:rPr>
          <w:rFonts w:cstheme="minorHAnsi"/>
        </w:rPr>
        <w:t xml:space="preserve"> [</w:t>
      </w:r>
      <w:r w:rsidRPr="00BF2DAE">
        <w:rPr>
          <w:rFonts w:cstheme="minorHAnsi"/>
        </w:rPr>
        <w:t>9</w:t>
      </w:r>
      <w:r>
        <w:rPr>
          <w:rFonts w:cstheme="minorHAnsi"/>
        </w:rPr>
        <w:t>]</w:t>
      </w:r>
      <w:r w:rsidRPr="00BF2DAE">
        <w:rPr>
          <w:rFonts w:cstheme="minorHAnsi"/>
        </w:rPr>
        <w:t xml:space="preserve"> Given the magnitude of admissions related to ambulatory care and evidence that ambulatory care clinicians can influence hospital admission rates through optimal care and coordination, it is evident that the use of this measure will lower healthcare costs.</w:t>
      </w:r>
    </w:p>
    <w:p w14:paraId="120BCC3A" w14:textId="4187AF53" w:rsidR="00BF2DAE" w:rsidRDefault="00BF2DAE" w:rsidP="009F5DCA">
      <w:pPr>
        <w:ind w:left="1080"/>
        <w:rPr>
          <w:rFonts w:cstheme="minorHAnsi"/>
          <w:u w:val="single"/>
        </w:rPr>
      </w:pPr>
      <w:r>
        <w:rPr>
          <w:rFonts w:cstheme="minorHAnsi"/>
          <w:u w:val="single"/>
        </w:rPr>
        <w:t>References</w:t>
      </w:r>
    </w:p>
    <w:p w14:paraId="2696F77E" w14:textId="67BF76F8" w:rsidR="00BF2DAE" w:rsidRDefault="00BF2DAE" w:rsidP="00BF2DAE">
      <w:pPr>
        <w:spacing w:after="80"/>
        <w:ind w:left="1080"/>
        <w:rPr>
          <w:rFonts w:cstheme="minorHAnsi"/>
        </w:rPr>
      </w:pPr>
      <w:r>
        <w:rPr>
          <w:rFonts w:cstheme="minorHAnsi"/>
        </w:rPr>
        <w:t xml:space="preserve">1. </w:t>
      </w:r>
      <w:r w:rsidRPr="00BF2DAE">
        <w:rPr>
          <w:rFonts w:cstheme="minorHAnsi"/>
        </w:rPr>
        <w:t xml:space="preserve">Brown RS, Peikes D, Peterson G, Schore J, Razafindrakoto CM. Six features of Medicare coordinated care demonstration programs that cut hospital admissions of high-risk patients. Health Aff. (Millwood). 2012;31(6):1156-1166. </w:t>
      </w:r>
    </w:p>
    <w:p w14:paraId="0D5DDA4C" w14:textId="5C5444F9" w:rsidR="00BF2DAE" w:rsidRDefault="00BF2DAE" w:rsidP="00BF2DAE">
      <w:pPr>
        <w:spacing w:after="80"/>
        <w:ind w:left="1080"/>
        <w:rPr>
          <w:rFonts w:cstheme="minorHAnsi"/>
        </w:rPr>
      </w:pPr>
      <w:r>
        <w:rPr>
          <w:rFonts w:cstheme="minorHAnsi"/>
        </w:rPr>
        <w:t xml:space="preserve">2. </w:t>
      </w:r>
      <w:r w:rsidRPr="00BF2DAE">
        <w:rPr>
          <w:rFonts w:cstheme="minorHAnsi"/>
        </w:rPr>
        <w:t>van Loenen T, van den Berg MJ, Westert GP, Faber MJ. Organizational aspects of primary care related to avoidable hospitalization: a systematic review. Fam Pract. 2014;31(5):502-516.</w:t>
      </w:r>
    </w:p>
    <w:p w14:paraId="276FBD87" w14:textId="1E804ECA" w:rsidR="00BF2DAE" w:rsidRDefault="00BF2DAE" w:rsidP="00BF2DAE">
      <w:pPr>
        <w:spacing w:after="80"/>
        <w:ind w:left="1080"/>
        <w:rPr>
          <w:rFonts w:cstheme="minorHAnsi"/>
        </w:rPr>
      </w:pPr>
      <w:r>
        <w:rPr>
          <w:rFonts w:cstheme="minorHAnsi"/>
        </w:rPr>
        <w:t xml:space="preserve">3. </w:t>
      </w:r>
      <w:r w:rsidRPr="00BF2DAE">
        <w:rPr>
          <w:rFonts w:cstheme="minorHAnsi"/>
        </w:rPr>
        <w:t xml:space="preserve">Levine S, Steinman BA, Attaway K, Jung T, Enguidanos S. Home care program for patients at high risk of hospitalization. Am J Manag Care. 2012;18(8):e269-276. </w:t>
      </w:r>
    </w:p>
    <w:p w14:paraId="574FBA32" w14:textId="155AB3FF" w:rsidR="00BF2DAE" w:rsidRDefault="00BF2DAE" w:rsidP="00BF2DAE">
      <w:pPr>
        <w:spacing w:after="80"/>
        <w:ind w:left="1080"/>
        <w:rPr>
          <w:rFonts w:cstheme="minorHAnsi"/>
        </w:rPr>
      </w:pPr>
      <w:r>
        <w:rPr>
          <w:rFonts w:cstheme="minorHAnsi"/>
        </w:rPr>
        <w:t xml:space="preserve">4. </w:t>
      </w:r>
      <w:r w:rsidRPr="00BF2DAE">
        <w:rPr>
          <w:rFonts w:cstheme="minorHAnsi"/>
        </w:rPr>
        <w:t xml:space="preserve">Sommers LS, Marton KI, Barbaccia JC, Randolph J. Physician, nurse, and social worker collaboration in primary care for chronically ill seniors. Archives of internal medicine. 2000;160(12):1825-1833. </w:t>
      </w:r>
    </w:p>
    <w:p w14:paraId="27660EC9" w14:textId="5E206446" w:rsidR="00BF2DAE" w:rsidRDefault="00BF2DAE" w:rsidP="00BF2DAE">
      <w:pPr>
        <w:spacing w:after="80"/>
        <w:ind w:left="1080"/>
        <w:rPr>
          <w:rFonts w:cstheme="minorHAnsi"/>
        </w:rPr>
      </w:pPr>
      <w:r>
        <w:rPr>
          <w:rFonts w:cstheme="minorHAnsi"/>
        </w:rPr>
        <w:t xml:space="preserve">5. </w:t>
      </w:r>
      <w:r w:rsidRPr="00BF2DAE">
        <w:rPr>
          <w:rFonts w:cstheme="minorHAnsi"/>
        </w:rPr>
        <w:t xml:space="preserve">Littleford A, Kralik D. Making a difference through integrated community care for older people. J Nurs Healthc Chronic Illn. 2010;2(3):178-186. </w:t>
      </w:r>
    </w:p>
    <w:p w14:paraId="1202D743" w14:textId="41C8C92B" w:rsidR="00BF2DAE" w:rsidRDefault="00BF2DAE" w:rsidP="00BF2DAE">
      <w:pPr>
        <w:spacing w:after="80"/>
        <w:ind w:left="1080"/>
        <w:rPr>
          <w:rFonts w:cstheme="minorHAnsi"/>
        </w:rPr>
      </w:pPr>
      <w:r>
        <w:rPr>
          <w:rFonts w:cstheme="minorHAnsi"/>
        </w:rPr>
        <w:t xml:space="preserve">6. </w:t>
      </w:r>
      <w:r w:rsidRPr="00BF2DAE">
        <w:rPr>
          <w:rFonts w:cstheme="minorHAnsi"/>
        </w:rPr>
        <w:t xml:space="preserve">Zhang NJ, Wan TT, Rossiter LF, Murawski MM, Patel UB. Evaluation of chronic disease management on outcomes and cost of care for Medicaid beneficiaries. Health policy (Amsterdam, Netherlands). 2008;86(2-3):345-354. </w:t>
      </w:r>
    </w:p>
    <w:p w14:paraId="31C6BF72" w14:textId="3D41CFCC" w:rsidR="00BF2DAE" w:rsidRDefault="00BF2DAE" w:rsidP="00BF2DAE">
      <w:pPr>
        <w:spacing w:after="80"/>
        <w:ind w:left="1080"/>
        <w:rPr>
          <w:rFonts w:cstheme="minorHAnsi"/>
        </w:rPr>
      </w:pPr>
      <w:r>
        <w:rPr>
          <w:rFonts w:cstheme="minorHAnsi"/>
        </w:rPr>
        <w:t xml:space="preserve">7. </w:t>
      </w:r>
      <w:r w:rsidRPr="00BF2DAE">
        <w:rPr>
          <w:rFonts w:cstheme="minorHAnsi"/>
        </w:rPr>
        <w:t>Dorr DA, Wilcox AB, Brunker CP, Burdon RE, Donnelly SM. The effect of technology</w:t>
      </w:r>
      <w:r w:rsidR="008A7CEC">
        <w:rPr>
          <w:rFonts w:cstheme="minorHAnsi"/>
        </w:rPr>
        <w:t xml:space="preserve"> </w:t>
      </w:r>
      <w:r w:rsidRPr="00BF2DAE">
        <w:rPr>
          <w:rFonts w:cstheme="minorHAnsi"/>
        </w:rPr>
        <w:t>supported, multidisease care management on the mortality and hospitalization of seniors. Journal of the American Geriatrics Society. 2008;56(12):2195-2202.</w:t>
      </w:r>
    </w:p>
    <w:p w14:paraId="01A35B4E" w14:textId="5CEABB36" w:rsidR="00BF2DAE" w:rsidRDefault="00BF2DAE" w:rsidP="00BF2DAE">
      <w:pPr>
        <w:spacing w:after="80"/>
        <w:ind w:left="1080"/>
        <w:rPr>
          <w:rFonts w:cstheme="minorHAnsi"/>
        </w:rPr>
      </w:pPr>
      <w:r>
        <w:rPr>
          <w:rFonts w:cstheme="minorHAnsi"/>
        </w:rPr>
        <w:t xml:space="preserve">8. </w:t>
      </w:r>
      <w:r w:rsidRPr="00BF2DAE">
        <w:rPr>
          <w:rFonts w:cstheme="minorHAnsi"/>
        </w:rPr>
        <w:t xml:space="preserve">Maeng DD, Khan N, Tomcavage J, Graf TR, Davis DE, Steele GD. Reduced acute inpatient care was largest savings component of Geisinger Health System's patient-centered medical home. Health Aff. (Millwood). 2015;34(4):636-644. </w:t>
      </w:r>
    </w:p>
    <w:p w14:paraId="7C2A10CA" w14:textId="31FB830A" w:rsidR="00BF2DAE" w:rsidRDefault="00BF2DAE" w:rsidP="00BF2DAE">
      <w:pPr>
        <w:spacing w:after="80"/>
        <w:ind w:left="1080"/>
        <w:rPr>
          <w:rFonts w:cstheme="minorHAnsi"/>
        </w:rPr>
      </w:pPr>
      <w:r>
        <w:rPr>
          <w:rFonts w:cstheme="minorHAnsi"/>
        </w:rPr>
        <w:t xml:space="preserve">9. </w:t>
      </w:r>
      <w:r w:rsidRPr="00BF2DAE">
        <w:rPr>
          <w:rFonts w:cstheme="minorHAnsi"/>
        </w:rPr>
        <w:t>Cuellar A, Helmchen LA, Gimm G, et al. The CareFirst patient-centered medical home program: cost and utilization effects in its first three years. J Gen Intern Med. 2016;31(11):1382-1388.</w:t>
      </w:r>
    </w:p>
    <w:p w14:paraId="18DEF100" w14:textId="77777777" w:rsidR="00BF2DAE" w:rsidRPr="00BF2DAE" w:rsidRDefault="00BF2DAE" w:rsidP="00BF2DAE">
      <w:pPr>
        <w:spacing w:after="80"/>
        <w:ind w:left="1080"/>
        <w:rPr>
          <w:rFonts w:cstheme="minorHAnsi"/>
        </w:rPr>
      </w:pPr>
    </w:p>
    <w:p w14:paraId="3BB0EF85" w14:textId="0FE47518" w:rsidR="00300FD4" w:rsidRPr="00DE3992" w:rsidRDefault="00300FD4" w:rsidP="00300FD4">
      <w:pPr>
        <w:pStyle w:val="ListParagraph"/>
        <w:numPr>
          <w:ilvl w:val="0"/>
          <w:numId w:val="2"/>
        </w:numPr>
        <w:contextualSpacing w:val="0"/>
        <w:rPr>
          <w:rFonts w:ascii="Arial" w:hAnsi="Arial" w:cs="Arial"/>
          <w:i/>
          <w:color w:val="1F4E79" w:themeColor="accent1" w:themeShade="80"/>
        </w:rPr>
      </w:pPr>
      <w:r w:rsidRPr="00DE3992">
        <w:rPr>
          <w:rFonts w:ascii="Arial" w:hAnsi="Arial" w:cs="Arial"/>
          <w:i/>
          <w:color w:val="1F4E79" w:themeColor="accent1" w:themeShade="80"/>
        </w:rPr>
        <w:t xml:space="preserve">Recommendation for </w:t>
      </w:r>
      <w:r w:rsidR="002E5674" w:rsidRPr="00DE3992">
        <w:rPr>
          <w:rFonts w:ascii="Arial" w:hAnsi="Arial" w:cs="Arial"/>
          <w:i/>
          <w:color w:val="1F4E79" w:themeColor="accent1" w:themeShade="80"/>
        </w:rPr>
        <w:t xml:space="preserve">the </w:t>
      </w:r>
      <w:r w:rsidRPr="00DE3992">
        <w:rPr>
          <w:rFonts w:ascii="Arial" w:hAnsi="Arial" w:cs="Arial"/>
          <w:i/>
          <w:color w:val="1F4E79" w:themeColor="accent1" w:themeShade="80"/>
        </w:rPr>
        <w:t>Measure (Is it based on a study, consensus opinion, USPSTF recommendation etc.?)</w:t>
      </w:r>
    </w:p>
    <w:p w14:paraId="4A039B5A" w14:textId="2D41A930" w:rsidR="00EE7763" w:rsidRPr="00EE7763" w:rsidRDefault="00EE7763" w:rsidP="00EE7763">
      <w:pPr>
        <w:pStyle w:val="ListParagraph"/>
        <w:ind w:left="1440"/>
        <w:rPr>
          <w:rFonts w:cstheme="minorHAnsi"/>
        </w:rPr>
      </w:pPr>
      <w:r w:rsidRPr="00EE7763">
        <w:rPr>
          <w:rFonts w:cstheme="minorHAnsi"/>
        </w:rPr>
        <w:t xml:space="preserve">This measure is being developed at the recommendation of CMS to increase the number of outcome measures that providers can report for in the MIPS program. CMS is committed to using at least one </w:t>
      </w:r>
      <w:r w:rsidRPr="00EE7763">
        <w:rPr>
          <w:rFonts w:cstheme="minorHAnsi"/>
        </w:rPr>
        <w:lastRenderedPageBreak/>
        <w:t>outcome measure to assess the quality of care provided by each clinician (81 FR 77290 through 77291, 82 FR 30047, 83 FR 59756), in</w:t>
      </w:r>
      <w:r w:rsidRPr="0017074C">
        <w:t xml:space="preserve"> </w:t>
      </w:r>
      <w:r w:rsidRPr="00EE7763">
        <w:rPr>
          <w:rFonts w:cstheme="minorHAnsi"/>
        </w:rPr>
        <w:t xml:space="preserve">alignment with the statutory requirement to use outcome measures to measure quality under MIPS (Pub L 114–10, 129 Stat 87). Currently, however, there are few outcome measures available from which clinicians can select. CMS is therefore developing this </w:t>
      </w:r>
      <w:r>
        <w:rPr>
          <w:rFonts w:cstheme="minorHAnsi"/>
        </w:rPr>
        <w:t>MCC</w:t>
      </w:r>
      <w:r w:rsidRPr="00EE7763">
        <w:rPr>
          <w:rFonts w:cstheme="minorHAnsi"/>
        </w:rPr>
        <w:t xml:space="preserve"> measure for use </w:t>
      </w:r>
      <w:r>
        <w:rPr>
          <w:rFonts w:cstheme="minorHAnsi"/>
        </w:rPr>
        <w:t>under MIPS</w:t>
      </w:r>
      <w:r w:rsidRPr="00EE7763">
        <w:rPr>
          <w:rFonts w:cstheme="minorHAnsi"/>
        </w:rPr>
        <w:t>. In the context of CMS’s commitment to expanding the list and requirements for reporting outcomes and stakeholders’ support for risk</w:t>
      </w:r>
      <w:r>
        <w:rPr>
          <w:rFonts w:cstheme="minorHAnsi"/>
        </w:rPr>
        <w:t xml:space="preserve">-adjusted quality measures, this MCC </w:t>
      </w:r>
      <w:r w:rsidRPr="00EE7763">
        <w:rPr>
          <w:rFonts w:cstheme="minorHAnsi"/>
        </w:rPr>
        <w:t>measure under development will satisfy CMS’s intent and address stakeholder support for outcome measures.</w:t>
      </w:r>
    </w:p>
    <w:p w14:paraId="24A80C95" w14:textId="77777777" w:rsidR="00300FD4" w:rsidRPr="00BF6DE9" w:rsidRDefault="00300FD4" w:rsidP="00300FD4">
      <w:pPr>
        <w:pStyle w:val="ListParagraph"/>
        <w:numPr>
          <w:ilvl w:val="0"/>
          <w:numId w:val="1"/>
        </w:numPr>
        <w:rPr>
          <w:rFonts w:ascii="Arial" w:hAnsi="Arial" w:cs="Arial"/>
        </w:rPr>
      </w:pPr>
      <w:r w:rsidRPr="00BF6DE9">
        <w:rPr>
          <w:rFonts w:ascii="Arial" w:hAnsi="Arial" w:cs="Arial"/>
          <w:b/>
        </w:rPr>
        <w:t>Reliability/Validity</w:t>
      </w:r>
    </w:p>
    <w:p w14:paraId="25F98AE0" w14:textId="10166FCC" w:rsidR="001121DA" w:rsidRDefault="007E7FDE" w:rsidP="002449AA">
      <w:pPr>
        <w:pStyle w:val="ListParagraph"/>
        <w:numPr>
          <w:ilvl w:val="0"/>
          <w:numId w:val="11"/>
        </w:numPr>
        <w:ind w:left="1170" w:hanging="450"/>
        <w:rPr>
          <w:rFonts w:ascii="Arial" w:hAnsi="Arial" w:cs="Arial"/>
          <w:i/>
        </w:rPr>
      </w:pPr>
      <w:r w:rsidRPr="002449AA">
        <w:rPr>
          <w:rFonts w:ascii="Arial" w:hAnsi="Arial" w:cs="Arial"/>
          <w:i/>
        </w:rPr>
        <w:t xml:space="preserve">What testing has been performed at the clinician level? Please provide testing results including the N value, Bonnie test case results, correlation coefficient and any other pertinent information or values to be considered. </w:t>
      </w:r>
    </w:p>
    <w:p w14:paraId="47CB8C12" w14:textId="77777777" w:rsidR="001216CB" w:rsidRPr="002449AA" w:rsidRDefault="001216CB" w:rsidP="001216CB">
      <w:pPr>
        <w:pStyle w:val="ListParagraph"/>
        <w:ind w:left="1170"/>
        <w:rPr>
          <w:rFonts w:ascii="Arial" w:hAnsi="Arial" w:cs="Arial"/>
          <w:i/>
        </w:rPr>
      </w:pPr>
    </w:p>
    <w:p w14:paraId="6B02694B" w14:textId="60A736AB" w:rsidR="00E314BC" w:rsidRPr="00DE3992" w:rsidRDefault="007E7FDE" w:rsidP="001216CB">
      <w:pPr>
        <w:pStyle w:val="ListParagraph"/>
        <w:numPr>
          <w:ilvl w:val="0"/>
          <w:numId w:val="10"/>
        </w:numPr>
        <w:ind w:firstLine="450"/>
        <w:rPr>
          <w:rFonts w:ascii="Arial" w:hAnsi="Arial" w:cs="Arial"/>
          <w:i/>
          <w:color w:val="1F4E79" w:themeColor="accent1" w:themeShade="80"/>
        </w:rPr>
      </w:pPr>
      <w:r w:rsidRPr="00DE3992">
        <w:rPr>
          <w:rFonts w:ascii="Arial" w:hAnsi="Arial" w:cs="Arial"/>
          <w:color w:val="1F4E79" w:themeColor="accent1" w:themeShade="80"/>
        </w:rPr>
        <w:t>Reliability Testing Results:</w:t>
      </w:r>
    </w:p>
    <w:p w14:paraId="617564D4" w14:textId="5B5159A6" w:rsidR="001815DD" w:rsidRPr="001216CB" w:rsidRDefault="001815DD" w:rsidP="001216CB">
      <w:pPr>
        <w:ind w:left="1080"/>
        <w:rPr>
          <w:rFonts w:cstheme="minorHAnsi"/>
          <w:u w:val="single"/>
        </w:rPr>
      </w:pPr>
      <w:r w:rsidRPr="001216CB">
        <w:rPr>
          <w:rFonts w:cstheme="minorHAnsi"/>
          <w:u w:val="single"/>
        </w:rPr>
        <w:t>Data Element Reliability</w:t>
      </w:r>
    </w:p>
    <w:p w14:paraId="665EE4E5" w14:textId="77777777" w:rsidR="001815DD" w:rsidRPr="001815DD" w:rsidRDefault="001815DD" w:rsidP="001216CB">
      <w:pPr>
        <w:ind w:left="1080"/>
        <w:rPr>
          <w:rFonts w:cstheme="minorHAnsi"/>
        </w:rPr>
      </w:pPr>
      <w:bookmarkStart w:id="3" w:name="_Hlk5880083"/>
      <w:r w:rsidRPr="001815DD">
        <w:rPr>
          <w:rFonts w:cstheme="minorHAnsi"/>
        </w:rPr>
        <w:t>Because this measure is calculated from claims submitted by hospitals and providers, adjudicated by CMS, and stored electronically, the reliability of the data is extremely high. When the measure is computed on the same set of admissions, for the same providers, using the same time period, precisely the same results are obtained.</w:t>
      </w:r>
    </w:p>
    <w:bookmarkEnd w:id="3"/>
    <w:p w14:paraId="61800E8A" w14:textId="10ADCEE7" w:rsidR="001815DD" w:rsidRDefault="001815DD" w:rsidP="001216CB">
      <w:pPr>
        <w:ind w:left="1080"/>
        <w:rPr>
          <w:rFonts w:cstheme="minorHAnsi"/>
        </w:rPr>
      </w:pPr>
      <w:r w:rsidRPr="001815DD">
        <w:rPr>
          <w:rFonts w:cstheme="minorHAnsi"/>
        </w:rPr>
        <w:t xml:space="preserve">We assessed the reliability of the data elements by comparing the risk factor frequencies and </w:t>
      </w:r>
      <w:r w:rsidR="003E0BF7">
        <w:rPr>
          <w:rFonts w:cstheme="minorHAnsi"/>
        </w:rPr>
        <w:t>rate ratios (</w:t>
      </w:r>
      <w:r w:rsidRPr="001815DD">
        <w:rPr>
          <w:rFonts w:cstheme="minorHAnsi"/>
        </w:rPr>
        <w:t>RRs</w:t>
      </w:r>
      <w:r w:rsidR="003E0BF7">
        <w:rPr>
          <w:rFonts w:cstheme="minorHAnsi"/>
        </w:rPr>
        <w:t>)</w:t>
      </w:r>
      <w:r w:rsidRPr="001815DD">
        <w:rPr>
          <w:rFonts w:cstheme="minorHAnsi"/>
        </w:rPr>
        <w:t xml:space="preserve"> in the Development and Validation Samples</w:t>
      </w:r>
      <w:r w:rsidR="008A7CEC">
        <w:rPr>
          <w:rFonts w:cstheme="minorHAnsi"/>
        </w:rPr>
        <w:t xml:space="preserve"> (see table 1 below)</w:t>
      </w:r>
      <w:r w:rsidRPr="001815DD">
        <w:rPr>
          <w:rFonts w:cstheme="minorHAnsi"/>
        </w:rPr>
        <w:t>.</w:t>
      </w:r>
      <w:r w:rsidR="00E314BC">
        <w:rPr>
          <w:rFonts w:cstheme="minorHAnsi"/>
        </w:rPr>
        <w:t xml:space="preserve"> The Development and Validation Samples are each a random 50% sample of the full cohort of included patients</w:t>
      </w:r>
      <w:r w:rsidR="00BB5187">
        <w:rPr>
          <w:rFonts w:cstheme="minorHAnsi"/>
        </w:rPr>
        <w:t xml:space="preserve"> (n=</w:t>
      </w:r>
      <w:r w:rsidR="00BB5187" w:rsidRPr="002565BA">
        <w:rPr>
          <w:sz w:val="20"/>
          <w:szCs w:val="20"/>
        </w:rPr>
        <w:t>5,066,812</w:t>
      </w:r>
      <w:r w:rsidR="00BB5187">
        <w:rPr>
          <w:sz w:val="20"/>
          <w:szCs w:val="20"/>
        </w:rPr>
        <w:t>)</w:t>
      </w:r>
      <w:r w:rsidR="00E314BC">
        <w:rPr>
          <w:rFonts w:cstheme="minorHAnsi"/>
        </w:rPr>
        <w:t>.</w:t>
      </w:r>
      <w:r w:rsidRPr="001815DD">
        <w:rPr>
          <w:rFonts w:cstheme="minorHAnsi"/>
        </w:rPr>
        <w:t xml:space="preserve"> </w:t>
      </w:r>
      <w:r w:rsidR="00E314BC">
        <w:rPr>
          <w:rFonts w:cstheme="minorHAnsi"/>
        </w:rPr>
        <w:t>For each sample,</w:t>
      </w:r>
      <w:r w:rsidRPr="001815DD">
        <w:rPr>
          <w:rFonts w:cstheme="minorHAnsi"/>
        </w:rPr>
        <w:t xml:space="preserve"> </w:t>
      </w:r>
      <w:r w:rsidR="00E314BC">
        <w:rPr>
          <w:rFonts w:cstheme="minorHAnsi"/>
        </w:rPr>
        <w:t>the risk factor frequencies and RRs were nearly identical.</w:t>
      </w:r>
    </w:p>
    <w:p w14:paraId="1DD3DB65" w14:textId="17BC8A5F" w:rsidR="008A7CEC" w:rsidRDefault="008A7CEC" w:rsidP="008A7CEC">
      <w:pPr>
        <w:pStyle w:val="Caption"/>
        <w:keepNext/>
        <w:jc w:val="center"/>
      </w:pPr>
      <w:r>
        <w:t xml:space="preserve">Table </w:t>
      </w:r>
      <w:r w:rsidR="00DF5374">
        <w:fldChar w:fldCharType="begin"/>
      </w:r>
      <w:r w:rsidR="00DF5374">
        <w:instrText xml:space="preserve"> SEQ Table \* ARABIC </w:instrText>
      </w:r>
      <w:r w:rsidR="00DF5374">
        <w:fldChar w:fldCharType="separate"/>
      </w:r>
      <w:r>
        <w:rPr>
          <w:noProof/>
        </w:rPr>
        <w:t>1</w:t>
      </w:r>
      <w:r w:rsidR="00DF5374">
        <w:rPr>
          <w:noProof/>
        </w:rPr>
        <w:fldChar w:fldCharType="end"/>
      </w:r>
      <w:r>
        <w:t xml:space="preserve">: </w:t>
      </w:r>
      <w:r w:rsidRPr="004C0C6C">
        <w:t>Frequencies and adjusted rate ratios for the final set of demographic and clinical risk factors in the Development and Validation Samples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1583"/>
        <w:gridCol w:w="1419"/>
        <w:gridCol w:w="1980"/>
        <w:gridCol w:w="1980"/>
      </w:tblGrid>
      <w:tr w:rsidR="008A7CEC" w:rsidRPr="00282352" w14:paraId="225CE04D" w14:textId="77777777" w:rsidTr="008A7CEC">
        <w:trPr>
          <w:cantSplit/>
          <w:trHeight w:val="20"/>
          <w:tblHeader/>
          <w:jc w:val="center"/>
        </w:trPr>
        <w:tc>
          <w:tcPr>
            <w:tcW w:w="2663" w:type="dxa"/>
            <w:vMerge w:val="restart"/>
            <w:shd w:val="clear" w:color="auto" w:fill="DEEAF6" w:themeFill="accent1" w:themeFillTint="33"/>
            <w:vAlign w:val="center"/>
            <w:hideMark/>
          </w:tcPr>
          <w:p w14:paraId="2060E074" w14:textId="77777777" w:rsidR="008A7CEC" w:rsidRPr="00FA1063" w:rsidRDefault="008A7CEC" w:rsidP="008A7CEC">
            <w:pPr>
              <w:spacing w:after="0"/>
              <w:rPr>
                <w:rFonts w:eastAsia="Times New Roman" w:cstheme="minorHAnsi"/>
                <w:b/>
                <w:bCs/>
                <w:sz w:val="20"/>
                <w:szCs w:val="20"/>
              </w:rPr>
            </w:pPr>
            <w:bookmarkStart w:id="4" w:name="_Hlk8209051"/>
            <w:r w:rsidRPr="00FA1063">
              <w:rPr>
                <w:rFonts w:eastAsia="Times New Roman" w:cstheme="minorHAnsi"/>
                <w:b/>
                <w:bCs/>
                <w:sz w:val="20"/>
                <w:szCs w:val="20"/>
              </w:rPr>
              <w:t>Variable</w:t>
            </w:r>
          </w:p>
        </w:tc>
        <w:tc>
          <w:tcPr>
            <w:tcW w:w="3002" w:type="dxa"/>
            <w:gridSpan w:val="2"/>
            <w:shd w:val="clear" w:color="auto" w:fill="DEEAF6" w:themeFill="accent1" w:themeFillTint="33"/>
            <w:vAlign w:val="center"/>
            <w:hideMark/>
          </w:tcPr>
          <w:p w14:paraId="3F8F965C" w14:textId="77777777" w:rsidR="008A7CEC" w:rsidRPr="00FA1063" w:rsidRDefault="008A7CEC" w:rsidP="008A7CEC">
            <w:pPr>
              <w:spacing w:after="0"/>
              <w:jc w:val="center"/>
              <w:rPr>
                <w:rFonts w:eastAsia="Times New Roman" w:cstheme="minorHAnsi"/>
                <w:b/>
                <w:bCs/>
                <w:sz w:val="20"/>
                <w:szCs w:val="20"/>
              </w:rPr>
            </w:pPr>
            <w:r w:rsidRPr="00FA1063">
              <w:rPr>
                <w:rFonts w:eastAsia="Times New Roman" w:cstheme="minorHAnsi"/>
                <w:b/>
                <w:bCs/>
                <w:sz w:val="20"/>
                <w:szCs w:val="20"/>
              </w:rPr>
              <w:t xml:space="preserve">Prevalence of risk factor, </w:t>
            </w:r>
            <w:r w:rsidRPr="00FA1063">
              <w:rPr>
                <w:rFonts w:eastAsia="Times New Roman" w:cstheme="minorHAnsi"/>
                <w:b/>
                <w:bCs/>
                <w:sz w:val="20"/>
                <w:szCs w:val="20"/>
              </w:rPr>
              <w:br/>
              <w:t>number (%)</w:t>
            </w:r>
          </w:p>
        </w:tc>
        <w:tc>
          <w:tcPr>
            <w:tcW w:w="3960" w:type="dxa"/>
            <w:gridSpan w:val="2"/>
            <w:shd w:val="clear" w:color="auto" w:fill="DEEAF6" w:themeFill="accent1" w:themeFillTint="33"/>
            <w:vAlign w:val="center"/>
            <w:hideMark/>
          </w:tcPr>
          <w:p w14:paraId="0288278F" w14:textId="77777777" w:rsidR="008A7CEC" w:rsidRDefault="008A7CEC" w:rsidP="008A7CEC">
            <w:pPr>
              <w:spacing w:after="0"/>
              <w:jc w:val="center"/>
              <w:rPr>
                <w:rFonts w:eastAsia="Times New Roman" w:cstheme="minorHAnsi"/>
                <w:b/>
                <w:bCs/>
                <w:sz w:val="20"/>
                <w:szCs w:val="20"/>
              </w:rPr>
            </w:pPr>
            <w:r>
              <w:rPr>
                <w:rFonts w:eastAsia="Times New Roman" w:cstheme="minorHAnsi"/>
                <w:b/>
                <w:bCs/>
                <w:sz w:val="20"/>
                <w:szCs w:val="20"/>
              </w:rPr>
              <w:t xml:space="preserve">Adjusted rate ratio </w:t>
            </w:r>
          </w:p>
          <w:p w14:paraId="3C624E26" w14:textId="77777777" w:rsidR="008A7CEC" w:rsidRPr="00FA1063" w:rsidRDefault="008A7CEC" w:rsidP="008A7CEC">
            <w:pPr>
              <w:spacing w:after="0"/>
              <w:jc w:val="center"/>
              <w:rPr>
                <w:rFonts w:eastAsia="Times New Roman" w:cstheme="minorHAnsi"/>
                <w:b/>
                <w:bCs/>
                <w:sz w:val="20"/>
                <w:szCs w:val="20"/>
              </w:rPr>
            </w:pPr>
            <w:r>
              <w:rPr>
                <w:rFonts w:eastAsia="Times New Roman" w:cstheme="minorHAnsi"/>
                <w:b/>
                <w:bCs/>
                <w:sz w:val="20"/>
                <w:szCs w:val="20"/>
              </w:rPr>
              <w:t>(95% confidence interval</w:t>
            </w:r>
            <w:r w:rsidRPr="00FA1063">
              <w:rPr>
                <w:rFonts w:eastAsia="Times New Roman" w:cstheme="minorHAnsi"/>
                <w:b/>
                <w:bCs/>
                <w:sz w:val="20"/>
                <w:szCs w:val="20"/>
              </w:rPr>
              <w:t>)</w:t>
            </w:r>
          </w:p>
        </w:tc>
      </w:tr>
      <w:tr w:rsidR="008A7CEC" w:rsidRPr="00282352" w14:paraId="2379333B" w14:textId="77777777" w:rsidTr="008A7CEC">
        <w:trPr>
          <w:cantSplit/>
          <w:trHeight w:val="20"/>
          <w:tblHeader/>
          <w:jc w:val="center"/>
        </w:trPr>
        <w:tc>
          <w:tcPr>
            <w:tcW w:w="2663" w:type="dxa"/>
            <w:vMerge/>
            <w:shd w:val="clear" w:color="auto" w:fill="DEEAF6" w:themeFill="accent1" w:themeFillTint="33"/>
            <w:vAlign w:val="center"/>
            <w:hideMark/>
          </w:tcPr>
          <w:p w14:paraId="6015A1F1" w14:textId="77777777" w:rsidR="008A7CEC" w:rsidRPr="00FA1063" w:rsidRDefault="008A7CEC" w:rsidP="008A7CEC">
            <w:pPr>
              <w:spacing w:after="0"/>
              <w:rPr>
                <w:rFonts w:eastAsia="Times New Roman" w:cstheme="minorHAnsi"/>
                <w:b/>
                <w:bCs/>
                <w:sz w:val="20"/>
                <w:szCs w:val="20"/>
              </w:rPr>
            </w:pPr>
          </w:p>
        </w:tc>
        <w:tc>
          <w:tcPr>
            <w:tcW w:w="1583" w:type="dxa"/>
            <w:shd w:val="clear" w:color="auto" w:fill="DEEAF6" w:themeFill="accent1" w:themeFillTint="33"/>
            <w:vAlign w:val="center"/>
            <w:hideMark/>
          </w:tcPr>
          <w:p w14:paraId="38F28EB1" w14:textId="77777777" w:rsidR="008A7CEC" w:rsidRPr="00FA1063" w:rsidRDefault="008A7CEC" w:rsidP="008A7CEC">
            <w:pPr>
              <w:spacing w:after="0"/>
              <w:jc w:val="center"/>
              <w:rPr>
                <w:rFonts w:eastAsia="Times New Roman" w:cstheme="minorHAnsi"/>
                <w:b/>
                <w:bCs/>
                <w:sz w:val="20"/>
                <w:szCs w:val="20"/>
              </w:rPr>
            </w:pPr>
            <w:r w:rsidRPr="00FA1063">
              <w:rPr>
                <w:rFonts w:eastAsia="Times New Roman" w:cstheme="minorHAnsi"/>
                <w:b/>
                <w:bCs/>
                <w:sz w:val="20"/>
                <w:szCs w:val="20"/>
              </w:rPr>
              <w:t>Devel</w:t>
            </w:r>
            <w:r>
              <w:rPr>
                <w:rFonts w:eastAsia="Times New Roman" w:cstheme="minorHAnsi"/>
                <w:b/>
                <w:bCs/>
                <w:sz w:val="20"/>
                <w:szCs w:val="20"/>
              </w:rPr>
              <w:t>opment Sample</w:t>
            </w:r>
            <w:r>
              <w:rPr>
                <w:rFonts w:eastAsia="Times New Roman" w:cstheme="minorHAnsi"/>
                <w:b/>
                <w:bCs/>
                <w:sz w:val="20"/>
                <w:szCs w:val="20"/>
              </w:rPr>
              <w:br/>
              <w:t>N=</w:t>
            </w:r>
            <w:r w:rsidRPr="00FA1063">
              <w:rPr>
                <w:rFonts w:eastAsia="Times New Roman" w:cstheme="minorHAnsi"/>
                <w:b/>
                <w:bCs/>
                <w:sz w:val="20"/>
                <w:szCs w:val="20"/>
              </w:rPr>
              <w:t>2,544,558</w:t>
            </w:r>
          </w:p>
        </w:tc>
        <w:tc>
          <w:tcPr>
            <w:tcW w:w="1419" w:type="dxa"/>
            <w:shd w:val="clear" w:color="auto" w:fill="DEEAF6" w:themeFill="accent1" w:themeFillTint="33"/>
            <w:vAlign w:val="center"/>
            <w:hideMark/>
          </w:tcPr>
          <w:p w14:paraId="4C58E49B" w14:textId="77777777" w:rsidR="008A7CEC" w:rsidRPr="00FA1063" w:rsidRDefault="008A7CEC" w:rsidP="008A7CEC">
            <w:pPr>
              <w:spacing w:after="0"/>
              <w:jc w:val="center"/>
              <w:rPr>
                <w:rFonts w:eastAsia="Times New Roman" w:cstheme="minorHAnsi"/>
                <w:b/>
                <w:bCs/>
                <w:sz w:val="20"/>
                <w:szCs w:val="20"/>
              </w:rPr>
            </w:pPr>
            <w:r>
              <w:rPr>
                <w:rFonts w:eastAsia="Times New Roman" w:cstheme="minorHAnsi"/>
                <w:b/>
                <w:bCs/>
                <w:sz w:val="20"/>
                <w:szCs w:val="20"/>
              </w:rPr>
              <w:t>Validation Sample</w:t>
            </w:r>
            <w:r>
              <w:rPr>
                <w:rFonts w:eastAsia="Times New Roman" w:cstheme="minorHAnsi"/>
                <w:b/>
                <w:bCs/>
                <w:sz w:val="20"/>
                <w:szCs w:val="20"/>
              </w:rPr>
              <w:br/>
              <w:t>N=</w:t>
            </w:r>
            <w:r w:rsidRPr="00FA1063">
              <w:rPr>
                <w:rFonts w:eastAsia="Times New Roman" w:cstheme="minorHAnsi"/>
                <w:b/>
                <w:bCs/>
                <w:sz w:val="20"/>
                <w:szCs w:val="20"/>
              </w:rPr>
              <w:t>2,544,558</w:t>
            </w:r>
          </w:p>
        </w:tc>
        <w:tc>
          <w:tcPr>
            <w:tcW w:w="1980" w:type="dxa"/>
            <w:shd w:val="clear" w:color="auto" w:fill="DEEAF6" w:themeFill="accent1" w:themeFillTint="33"/>
            <w:vAlign w:val="center"/>
            <w:hideMark/>
          </w:tcPr>
          <w:p w14:paraId="0946F304" w14:textId="77777777" w:rsidR="008A7CEC" w:rsidRPr="00FA1063" w:rsidRDefault="008A7CEC" w:rsidP="008A7CEC">
            <w:pPr>
              <w:spacing w:after="0"/>
              <w:jc w:val="center"/>
              <w:rPr>
                <w:rFonts w:eastAsia="Times New Roman" w:cstheme="minorHAnsi"/>
                <w:b/>
                <w:bCs/>
                <w:sz w:val="20"/>
                <w:szCs w:val="20"/>
              </w:rPr>
            </w:pPr>
            <w:r w:rsidRPr="00FA1063">
              <w:rPr>
                <w:rFonts w:eastAsia="Times New Roman" w:cstheme="minorHAnsi"/>
                <w:b/>
                <w:bCs/>
                <w:sz w:val="20"/>
                <w:szCs w:val="20"/>
              </w:rPr>
              <w:t xml:space="preserve">Development </w:t>
            </w:r>
          </w:p>
          <w:p w14:paraId="01E598BA" w14:textId="77777777" w:rsidR="008A7CEC" w:rsidRPr="00FA1063" w:rsidRDefault="008A7CEC" w:rsidP="008A7CEC">
            <w:pPr>
              <w:spacing w:after="0"/>
              <w:jc w:val="center"/>
              <w:rPr>
                <w:rFonts w:eastAsia="Times New Roman" w:cstheme="minorHAnsi"/>
                <w:b/>
                <w:bCs/>
                <w:sz w:val="20"/>
                <w:szCs w:val="20"/>
              </w:rPr>
            </w:pPr>
            <w:r>
              <w:rPr>
                <w:rFonts w:eastAsia="Times New Roman" w:cstheme="minorHAnsi"/>
                <w:b/>
                <w:bCs/>
                <w:sz w:val="20"/>
                <w:szCs w:val="20"/>
              </w:rPr>
              <w:t>Sample</w:t>
            </w:r>
            <w:r>
              <w:rPr>
                <w:rFonts w:eastAsia="Times New Roman" w:cstheme="minorHAnsi"/>
                <w:b/>
                <w:bCs/>
                <w:sz w:val="20"/>
                <w:szCs w:val="20"/>
              </w:rPr>
              <w:br/>
              <w:t>N=</w:t>
            </w:r>
            <w:r w:rsidRPr="00FA1063">
              <w:rPr>
                <w:rFonts w:eastAsia="Times New Roman" w:cstheme="minorHAnsi"/>
                <w:b/>
                <w:bCs/>
                <w:sz w:val="20"/>
                <w:szCs w:val="20"/>
              </w:rPr>
              <w:t>2,544,558</w:t>
            </w:r>
          </w:p>
        </w:tc>
        <w:tc>
          <w:tcPr>
            <w:tcW w:w="1980" w:type="dxa"/>
            <w:shd w:val="clear" w:color="auto" w:fill="DEEAF6" w:themeFill="accent1" w:themeFillTint="33"/>
            <w:vAlign w:val="center"/>
            <w:hideMark/>
          </w:tcPr>
          <w:p w14:paraId="6020DADB" w14:textId="77777777" w:rsidR="008A7CEC" w:rsidRPr="00FA1063" w:rsidRDefault="008A7CEC" w:rsidP="008A7CEC">
            <w:pPr>
              <w:spacing w:after="0"/>
              <w:jc w:val="center"/>
              <w:rPr>
                <w:rFonts w:eastAsia="Times New Roman" w:cstheme="minorHAnsi"/>
                <w:b/>
                <w:bCs/>
                <w:sz w:val="20"/>
                <w:szCs w:val="20"/>
              </w:rPr>
            </w:pPr>
            <w:r w:rsidRPr="00FA1063">
              <w:rPr>
                <w:rFonts w:eastAsia="Times New Roman" w:cstheme="minorHAnsi"/>
                <w:b/>
                <w:bCs/>
                <w:sz w:val="20"/>
                <w:szCs w:val="20"/>
              </w:rPr>
              <w:t xml:space="preserve">Validation </w:t>
            </w:r>
          </w:p>
          <w:p w14:paraId="6778E1BE" w14:textId="77777777" w:rsidR="008A7CEC" w:rsidRPr="00FA1063" w:rsidRDefault="008A7CEC" w:rsidP="008A7CEC">
            <w:pPr>
              <w:spacing w:after="0"/>
              <w:jc w:val="center"/>
              <w:rPr>
                <w:rFonts w:eastAsia="Times New Roman" w:cstheme="minorHAnsi"/>
                <w:b/>
                <w:bCs/>
                <w:sz w:val="20"/>
                <w:szCs w:val="20"/>
              </w:rPr>
            </w:pPr>
            <w:r>
              <w:rPr>
                <w:rFonts w:eastAsia="Times New Roman" w:cstheme="minorHAnsi"/>
                <w:b/>
                <w:bCs/>
                <w:sz w:val="20"/>
                <w:szCs w:val="20"/>
              </w:rPr>
              <w:t>Sample</w:t>
            </w:r>
            <w:r>
              <w:rPr>
                <w:rFonts w:eastAsia="Times New Roman" w:cstheme="minorHAnsi"/>
                <w:b/>
                <w:bCs/>
                <w:sz w:val="20"/>
                <w:szCs w:val="20"/>
              </w:rPr>
              <w:br/>
              <w:t>N=</w:t>
            </w:r>
            <w:r w:rsidRPr="00FA1063">
              <w:rPr>
                <w:rFonts w:eastAsia="Times New Roman" w:cstheme="minorHAnsi"/>
                <w:b/>
                <w:bCs/>
                <w:sz w:val="20"/>
                <w:szCs w:val="20"/>
              </w:rPr>
              <w:t>2,544,558</w:t>
            </w:r>
          </w:p>
        </w:tc>
      </w:tr>
      <w:tr w:rsidR="008A7CEC" w:rsidRPr="00282352" w14:paraId="094E66CA" w14:textId="77777777" w:rsidTr="008A7CEC">
        <w:trPr>
          <w:cantSplit/>
          <w:trHeight w:val="20"/>
          <w:jc w:val="center"/>
        </w:trPr>
        <w:tc>
          <w:tcPr>
            <w:tcW w:w="9625" w:type="dxa"/>
            <w:gridSpan w:val="5"/>
            <w:shd w:val="clear" w:color="auto" w:fill="F2F2F2" w:themeFill="background1" w:themeFillShade="F2"/>
            <w:vAlign w:val="center"/>
            <w:hideMark/>
          </w:tcPr>
          <w:p w14:paraId="7BAF25E9" w14:textId="77777777" w:rsidR="008A7CEC" w:rsidRPr="00FA1063" w:rsidRDefault="008A7CEC" w:rsidP="008A7CEC">
            <w:pPr>
              <w:spacing w:after="0"/>
              <w:rPr>
                <w:rFonts w:eastAsia="Times New Roman" w:cstheme="minorHAnsi"/>
                <w:b/>
                <w:bCs/>
                <w:sz w:val="20"/>
                <w:szCs w:val="20"/>
              </w:rPr>
            </w:pPr>
            <w:r w:rsidRPr="00FA1063">
              <w:rPr>
                <w:rFonts w:eastAsia="Times New Roman" w:cstheme="minorHAnsi"/>
                <w:b/>
                <w:bCs/>
                <w:sz w:val="20"/>
                <w:szCs w:val="20"/>
              </w:rPr>
              <w:t>Demographic</w:t>
            </w:r>
          </w:p>
        </w:tc>
      </w:tr>
      <w:tr w:rsidR="008A7CEC" w:rsidRPr="00282352" w14:paraId="1FC7DFEB" w14:textId="77777777" w:rsidTr="008A7CEC">
        <w:trPr>
          <w:cantSplit/>
          <w:trHeight w:val="20"/>
          <w:jc w:val="center"/>
        </w:trPr>
        <w:tc>
          <w:tcPr>
            <w:tcW w:w="2663" w:type="dxa"/>
            <w:shd w:val="clear" w:color="000000" w:fill="FFFFFF"/>
            <w:noWrap/>
            <w:vAlign w:val="center"/>
            <w:hideMark/>
          </w:tcPr>
          <w:p w14:paraId="1FCA12B3" w14:textId="77777777" w:rsidR="008A7CEC" w:rsidRPr="008524D6" w:rsidRDefault="008A7CEC" w:rsidP="008A7CEC">
            <w:pPr>
              <w:spacing w:after="0"/>
              <w:rPr>
                <w:rFonts w:eastAsia="Times New Roman" w:cstheme="minorHAnsi"/>
                <w:sz w:val="20"/>
                <w:szCs w:val="20"/>
              </w:rPr>
            </w:pPr>
            <w:r w:rsidRPr="008524D6">
              <w:rPr>
                <w:rFonts w:eastAsia="Times New Roman" w:cstheme="minorHAnsi"/>
                <w:sz w:val="20"/>
                <w:szCs w:val="20"/>
              </w:rPr>
              <w:t>Age &lt;70 years</w:t>
            </w:r>
          </w:p>
        </w:tc>
        <w:tc>
          <w:tcPr>
            <w:tcW w:w="1583" w:type="dxa"/>
            <w:shd w:val="clear" w:color="auto" w:fill="auto"/>
            <w:vAlign w:val="center"/>
            <w:hideMark/>
          </w:tcPr>
          <w:p w14:paraId="263C232A"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392,633</w:t>
            </w:r>
          </w:p>
          <w:p w14:paraId="6C1DB655"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(15.4%)</w:t>
            </w:r>
          </w:p>
        </w:tc>
        <w:tc>
          <w:tcPr>
            <w:tcW w:w="1419" w:type="dxa"/>
            <w:shd w:val="clear" w:color="auto" w:fill="auto"/>
            <w:vAlign w:val="center"/>
            <w:hideMark/>
          </w:tcPr>
          <w:p w14:paraId="4AE8BDEF"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392,133</w:t>
            </w:r>
          </w:p>
          <w:p w14:paraId="5DCB58C2"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(15.4%)</w:t>
            </w:r>
          </w:p>
        </w:tc>
        <w:tc>
          <w:tcPr>
            <w:tcW w:w="3960" w:type="dxa"/>
            <w:gridSpan w:val="2"/>
            <w:shd w:val="clear" w:color="auto" w:fill="auto"/>
            <w:noWrap/>
            <w:vAlign w:val="center"/>
            <w:hideMark/>
          </w:tcPr>
          <w:p w14:paraId="5D18E9A2"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R</w:t>
            </w:r>
            <w:r>
              <w:rPr>
                <w:rFonts w:eastAsia="Times New Roman" w:cstheme="minorHAnsi"/>
                <w:sz w:val="20"/>
                <w:szCs w:val="20"/>
              </w:rPr>
              <w:t>eference</w:t>
            </w:r>
          </w:p>
        </w:tc>
      </w:tr>
      <w:tr w:rsidR="008A7CEC" w:rsidRPr="00282352" w14:paraId="7CB273D6" w14:textId="77777777" w:rsidTr="008A7CEC">
        <w:trPr>
          <w:cantSplit/>
          <w:trHeight w:val="20"/>
          <w:jc w:val="center"/>
        </w:trPr>
        <w:tc>
          <w:tcPr>
            <w:tcW w:w="2663" w:type="dxa"/>
            <w:shd w:val="clear" w:color="000000" w:fill="FFFFFF"/>
            <w:noWrap/>
            <w:vAlign w:val="center"/>
            <w:hideMark/>
          </w:tcPr>
          <w:p w14:paraId="51E5FBB5" w14:textId="77777777" w:rsidR="008A7CEC" w:rsidRPr="00FA1063" w:rsidRDefault="008A7CEC" w:rsidP="008A7CEC">
            <w:pPr>
              <w:spacing w:after="0"/>
              <w:rPr>
                <w:rFonts w:eastAsia="Times New Roman" w:cstheme="minorHAnsi"/>
                <w:sz w:val="20"/>
                <w:szCs w:val="20"/>
              </w:rPr>
            </w:pPr>
            <w:r w:rsidRPr="00FA1063">
              <w:rPr>
                <w:rFonts w:eastAsia="Times New Roman" w:cstheme="minorHAnsi"/>
                <w:sz w:val="20"/>
                <w:szCs w:val="20"/>
              </w:rPr>
              <w:t>Age 70 to &lt;75 years</w:t>
            </w:r>
          </w:p>
        </w:tc>
        <w:tc>
          <w:tcPr>
            <w:tcW w:w="1583" w:type="dxa"/>
            <w:shd w:val="clear" w:color="auto" w:fill="auto"/>
            <w:vAlign w:val="center"/>
            <w:hideMark/>
          </w:tcPr>
          <w:p w14:paraId="7EF63793"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529,298</w:t>
            </w:r>
          </w:p>
          <w:p w14:paraId="46BF0706"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(20.8%)</w:t>
            </w:r>
          </w:p>
        </w:tc>
        <w:tc>
          <w:tcPr>
            <w:tcW w:w="1419" w:type="dxa"/>
            <w:shd w:val="clear" w:color="auto" w:fill="auto"/>
            <w:vAlign w:val="center"/>
            <w:hideMark/>
          </w:tcPr>
          <w:p w14:paraId="297D5E80"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530,106</w:t>
            </w:r>
          </w:p>
          <w:p w14:paraId="499F2EDD"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(20.8%)</w:t>
            </w:r>
          </w:p>
        </w:tc>
        <w:tc>
          <w:tcPr>
            <w:tcW w:w="1980" w:type="dxa"/>
            <w:shd w:val="clear" w:color="000000" w:fill="FFFFFF"/>
            <w:noWrap/>
            <w:vAlign w:val="center"/>
            <w:hideMark/>
          </w:tcPr>
          <w:p w14:paraId="7AD5B05E"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1.10 </w:t>
            </w:r>
          </w:p>
          <w:p w14:paraId="72DC0F6A"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(1.09, 1.11)</w:t>
            </w:r>
          </w:p>
        </w:tc>
        <w:tc>
          <w:tcPr>
            <w:tcW w:w="1980" w:type="dxa"/>
            <w:shd w:val="clear" w:color="000000" w:fill="FFFFFF"/>
            <w:noWrap/>
            <w:vAlign w:val="center"/>
            <w:hideMark/>
          </w:tcPr>
          <w:p w14:paraId="7F484CB7"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1.10</w:t>
            </w:r>
          </w:p>
          <w:p w14:paraId="13B40863"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(1.09, 1.11)</w:t>
            </w:r>
          </w:p>
        </w:tc>
      </w:tr>
      <w:tr w:rsidR="008A7CEC" w:rsidRPr="00282352" w14:paraId="1CBF00FB" w14:textId="77777777" w:rsidTr="008A7CEC">
        <w:trPr>
          <w:cantSplit/>
          <w:trHeight w:val="20"/>
          <w:jc w:val="center"/>
        </w:trPr>
        <w:tc>
          <w:tcPr>
            <w:tcW w:w="2663" w:type="dxa"/>
            <w:shd w:val="clear" w:color="000000" w:fill="FFFFFF"/>
            <w:noWrap/>
            <w:vAlign w:val="center"/>
            <w:hideMark/>
          </w:tcPr>
          <w:p w14:paraId="6512C995" w14:textId="77777777" w:rsidR="008A7CEC" w:rsidRPr="00FA1063" w:rsidRDefault="008A7CEC" w:rsidP="008A7CEC">
            <w:pPr>
              <w:spacing w:after="0"/>
              <w:rPr>
                <w:rFonts w:eastAsia="Times New Roman" w:cstheme="minorHAnsi"/>
                <w:sz w:val="20"/>
                <w:szCs w:val="20"/>
              </w:rPr>
            </w:pPr>
            <w:r w:rsidRPr="00FA1063">
              <w:rPr>
                <w:rFonts w:eastAsia="Times New Roman" w:cstheme="minorHAnsi"/>
                <w:sz w:val="20"/>
                <w:szCs w:val="20"/>
              </w:rPr>
              <w:t>Age 75 to &lt;80 years</w:t>
            </w:r>
          </w:p>
        </w:tc>
        <w:tc>
          <w:tcPr>
            <w:tcW w:w="1583" w:type="dxa"/>
            <w:shd w:val="clear" w:color="auto" w:fill="auto"/>
            <w:vAlign w:val="center"/>
            <w:hideMark/>
          </w:tcPr>
          <w:p w14:paraId="1CCC4840"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518,812</w:t>
            </w:r>
          </w:p>
          <w:p w14:paraId="63FC8109"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(20.4%)</w:t>
            </w:r>
          </w:p>
        </w:tc>
        <w:tc>
          <w:tcPr>
            <w:tcW w:w="1419" w:type="dxa"/>
            <w:shd w:val="clear" w:color="auto" w:fill="auto"/>
            <w:vAlign w:val="center"/>
            <w:hideMark/>
          </w:tcPr>
          <w:p w14:paraId="68EF228A"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520,041</w:t>
            </w:r>
          </w:p>
          <w:p w14:paraId="390CF408"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(20.4%)</w:t>
            </w:r>
          </w:p>
        </w:tc>
        <w:tc>
          <w:tcPr>
            <w:tcW w:w="1980" w:type="dxa"/>
            <w:shd w:val="clear" w:color="000000" w:fill="FFFFFF"/>
            <w:noWrap/>
            <w:vAlign w:val="center"/>
            <w:hideMark/>
          </w:tcPr>
          <w:p w14:paraId="40FA9FF6"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1.24 </w:t>
            </w:r>
          </w:p>
          <w:p w14:paraId="69D77E06"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(1.22, 1.25)</w:t>
            </w:r>
          </w:p>
        </w:tc>
        <w:tc>
          <w:tcPr>
            <w:tcW w:w="1980" w:type="dxa"/>
            <w:shd w:val="clear" w:color="000000" w:fill="FFFFFF"/>
            <w:noWrap/>
            <w:vAlign w:val="center"/>
            <w:hideMark/>
          </w:tcPr>
          <w:p w14:paraId="0B0AAE55"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1.23 </w:t>
            </w:r>
          </w:p>
          <w:p w14:paraId="33CEB9E9"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(1.21, 1.24)</w:t>
            </w:r>
          </w:p>
        </w:tc>
      </w:tr>
      <w:tr w:rsidR="008A7CEC" w:rsidRPr="00282352" w14:paraId="03771750" w14:textId="77777777" w:rsidTr="008A7CEC">
        <w:trPr>
          <w:cantSplit/>
          <w:trHeight w:val="20"/>
          <w:jc w:val="center"/>
        </w:trPr>
        <w:tc>
          <w:tcPr>
            <w:tcW w:w="2663" w:type="dxa"/>
            <w:shd w:val="clear" w:color="000000" w:fill="FFFFFF"/>
            <w:noWrap/>
            <w:vAlign w:val="center"/>
            <w:hideMark/>
          </w:tcPr>
          <w:p w14:paraId="66954EC9" w14:textId="77777777" w:rsidR="008A7CEC" w:rsidRPr="00FA1063" w:rsidRDefault="008A7CEC" w:rsidP="008A7CEC">
            <w:pPr>
              <w:spacing w:after="0"/>
              <w:rPr>
                <w:rFonts w:eastAsia="Times New Roman" w:cstheme="minorHAnsi"/>
                <w:sz w:val="20"/>
                <w:szCs w:val="20"/>
              </w:rPr>
            </w:pPr>
            <w:r w:rsidRPr="00FA1063">
              <w:rPr>
                <w:rFonts w:eastAsia="Times New Roman" w:cstheme="minorHAnsi"/>
                <w:sz w:val="20"/>
                <w:szCs w:val="20"/>
              </w:rPr>
              <w:t>Age 80 to &lt;85 years</w:t>
            </w:r>
          </w:p>
        </w:tc>
        <w:tc>
          <w:tcPr>
            <w:tcW w:w="1583" w:type="dxa"/>
            <w:shd w:val="clear" w:color="auto" w:fill="auto"/>
            <w:vAlign w:val="center"/>
            <w:hideMark/>
          </w:tcPr>
          <w:p w14:paraId="08FC584E"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474,463</w:t>
            </w:r>
          </w:p>
          <w:p w14:paraId="53D44F4C"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(18.7%)</w:t>
            </w:r>
          </w:p>
        </w:tc>
        <w:tc>
          <w:tcPr>
            <w:tcW w:w="1419" w:type="dxa"/>
            <w:shd w:val="clear" w:color="auto" w:fill="auto"/>
            <w:vAlign w:val="center"/>
            <w:hideMark/>
          </w:tcPr>
          <w:p w14:paraId="12F301D6"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474,275</w:t>
            </w:r>
          </w:p>
          <w:p w14:paraId="0F9A1F73"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(18.6%)</w:t>
            </w:r>
          </w:p>
        </w:tc>
        <w:tc>
          <w:tcPr>
            <w:tcW w:w="1980" w:type="dxa"/>
            <w:shd w:val="clear" w:color="000000" w:fill="FFFFFF"/>
            <w:noWrap/>
            <w:vAlign w:val="center"/>
            <w:hideMark/>
          </w:tcPr>
          <w:p w14:paraId="26B534CD"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1.42 </w:t>
            </w:r>
          </w:p>
          <w:p w14:paraId="10B774E4"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(1.41, 1.43)</w:t>
            </w:r>
          </w:p>
        </w:tc>
        <w:tc>
          <w:tcPr>
            <w:tcW w:w="1980" w:type="dxa"/>
            <w:shd w:val="clear" w:color="000000" w:fill="FFFFFF"/>
            <w:noWrap/>
            <w:vAlign w:val="center"/>
            <w:hideMark/>
          </w:tcPr>
          <w:p w14:paraId="690C0F30"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1.42 </w:t>
            </w:r>
          </w:p>
          <w:p w14:paraId="0EAFA5C4"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(1.41, 1.44)</w:t>
            </w:r>
          </w:p>
        </w:tc>
      </w:tr>
      <w:tr w:rsidR="008A7CEC" w:rsidRPr="00282352" w14:paraId="2F5ED208" w14:textId="77777777" w:rsidTr="008A7CEC">
        <w:trPr>
          <w:cantSplit/>
          <w:trHeight w:val="20"/>
          <w:jc w:val="center"/>
        </w:trPr>
        <w:tc>
          <w:tcPr>
            <w:tcW w:w="2663" w:type="dxa"/>
            <w:shd w:val="clear" w:color="000000" w:fill="FFFFFF"/>
            <w:noWrap/>
            <w:vAlign w:val="center"/>
            <w:hideMark/>
          </w:tcPr>
          <w:p w14:paraId="0AC61A01" w14:textId="77777777" w:rsidR="008A7CEC" w:rsidRPr="00FA1063" w:rsidRDefault="008A7CEC" w:rsidP="008A7CEC">
            <w:pPr>
              <w:spacing w:after="0"/>
              <w:rPr>
                <w:rFonts w:eastAsia="Times New Roman" w:cstheme="minorHAnsi"/>
                <w:sz w:val="20"/>
                <w:szCs w:val="20"/>
              </w:rPr>
            </w:pPr>
            <w:r w:rsidRPr="00FA1063">
              <w:rPr>
                <w:rFonts w:eastAsia="Times New Roman" w:cstheme="minorHAnsi"/>
                <w:sz w:val="20"/>
                <w:szCs w:val="20"/>
              </w:rPr>
              <w:t xml:space="preserve">Age </w:t>
            </w:r>
            <w:r w:rsidRPr="00FA1063">
              <w:rPr>
                <w:rFonts w:eastAsia="Times New Roman" w:cstheme="minorHAnsi"/>
                <w:sz w:val="20"/>
                <w:szCs w:val="20"/>
                <w:u w:val="single"/>
              </w:rPr>
              <w:t>&gt;</w:t>
            </w:r>
            <w:r w:rsidRPr="00FA1063">
              <w:rPr>
                <w:rFonts w:eastAsia="Times New Roman" w:cstheme="minorHAnsi"/>
                <w:sz w:val="20"/>
                <w:szCs w:val="20"/>
              </w:rPr>
              <w:t>85 years</w:t>
            </w:r>
          </w:p>
        </w:tc>
        <w:tc>
          <w:tcPr>
            <w:tcW w:w="1583" w:type="dxa"/>
            <w:shd w:val="clear" w:color="auto" w:fill="auto"/>
            <w:vAlign w:val="center"/>
            <w:hideMark/>
          </w:tcPr>
          <w:p w14:paraId="6CE045D8"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629,352</w:t>
            </w:r>
          </w:p>
          <w:p w14:paraId="72E4531F"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(24.7%)</w:t>
            </w:r>
          </w:p>
        </w:tc>
        <w:tc>
          <w:tcPr>
            <w:tcW w:w="1419" w:type="dxa"/>
            <w:shd w:val="clear" w:color="auto" w:fill="auto"/>
            <w:vAlign w:val="center"/>
            <w:hideMark/>
          </w:tcPr>
          <w:p w14:paraId="3C55BC94"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628,003</w:t>
            </w:r>
          </w:p>
          <w:p w14:paraId="40305E65"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(24.7%)</w:t>
            </w:r>
          </w:p>
        </w:tc>
        <w:tc>
          <w:tcPr>
            <w:tcW w:w="1980" w:type="dxa"/>
            <w:shd w:val="clear" w:color="000000" w:fill="FFFFFF"/>
            <w:noWrap/>
            <w:vAlign w:val="center"/>
            <w:hideMark/>
          </w:tcPr>
          <w:p w14:paraId="1AA2205C"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1.73 </w:t>
            </w:r>
          </w:p>
          <w:p w14:paraId="58C030D4"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(1.72, 1.75)</w:t>
            </w:r>
          </w:p>
        </w:tc>
        <w:tc>
          <w:tcPr>
            <w:tcW w:w="1980" w:type="dxa"/>
            <w:shd w:val="clear" w:color="000000" w:fill="FFFFFF"/>
            <w:noWrap/>
            <w:vAlign w:val="center"/>
            <w:hideMark/>
          </w:tcPr>
          <w:p w14:paraId="601E12D3"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1.73 </w:t>
            </w:r>
          </w:p>
          <w:p w14:paraId="7CC5125F"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(1.71, 1.74)</w:t>
            </w:r>
          </w:p>
        </w:tc>
      </w:tr>
      <w:tr w:rsidR="008A7CEC" w:rsidRPr="00282352" w14:paraId="79AB3792" w14:textId="77777777" w:rsidTr="008A7CEC">
        <w:trPr>
          <w:cantSplit/>
          <w:trHeight w:val="20"/>
          <w:jc w:val="center"/>
        </w:trPr>
        <w:tc>
          <w:tcPr>
            <w:tcW w:w="9625" w:type="dxa"/>
            <w:gridSpan w:val="5"/>
            <w:shd w:val="clear" w:color="auto" w:fill="F2F2F2" w:themeFill="background1" w:themeFillShade="F2"/>
            <w:vAlign w:val="center"/>
            <w:hideMark/>
          </w:tcPr>
          <w:p w14:paraId="63AC38C6" w14:textId="77777777" w:rsidR="008A7CEC" w:rsidRPr="00FA1063" w:rsidRDefault="008A7CEC" w:rsidP="008A7CEC">
            <w:pPr>
              <w:spacing w:after="0"/>
              <w:rPr>
                <w:rFonts w:eastAsia="Times New Roman" w:cstheme="minorHAnsi"/>
                <w:bCs/>
                <w:sz w:val="20"/>
                <w:szCs w:val="20"/>
              </w:rPr>
            </w:pPr>
            <w:r w:rsidRPr="00FA1063">
              <w:rPr>
                <w:rFonts w:eastAsia="Times New Roman" w:cstheme="minorHAnsi"/>
                <w:b/>
                <w:bCs/>
                <w:sz w:val="20"/>
                <w:szCs w:val="20"/>
              </w:rPr>
              <w:t>Nine chronic disease groups</w:t>
            </w:r>
          </w:p>
          <w:p w14:paraId="610AE2CA" w14:textId="77777777" w:rsidR="008A7CEC" w:rsidRPr="00FA1063" w:rsidRDefault="008A7CEC" w:rsidP="008A7CEC">
            <w:pPr>
              <w:spacing w:after="0"/>
              <w:rPr>
                <w:rFonts w:eastAsia="Times New Roman" w:cstheme="minorHAnsi"/>
                <w:sz w:val="20"/>
                <w:szCs w:val="20"/>
              </w:rPr>
            </w:pPr>
            <w:r w:rsidRPr="00FA1063">
              <w:rPr>
                <w:rFonts w:eastAsia="Times New Roman" w:cstheme="minorHAnsi"/>
                <w:bCs/>
                <w:sz w:val="20"/>
                <w:szCs w:val="20"/>
              </w:rPr>
              <w:t xml:space="preserve">Defined using </w:t>
            </w:r>
            <w:r w:rsidRPr="00FA1063">
              <w:rPr>
                <w:rFonts w:eastAsia="Times New Roman" w:cstheme="minorHAnsi"/>
                <w:sz w:val="20"/>
                <w:szCs w:val="20"/>
              </w:rPr>
              <w:t>International Classification of Diseases, Ninth Revision, Clinical Modification (ICD-9-CM) codes </w:t>
            </w:r>
            <w:r w:rsidRPr="00FA1063">
              <w:rPr>
                <w:rFonts w:eastAsia="Times New Roman" w:cstheme="minorHAnsi"/>
                <w:b/>
                <w:bCs/>
                <w:sz w:val="20"/>
                <w:szCs w:val="20"/>
              </w:rPr>
              <w:t> </w:t>
            </w:r>
          </w:p>
        </w:tc>
      </w:tr>
      <w:tr w:rsidR="008A7CEC" w:rsidRPr="00282352" w14:paraId="25A017F4" w14:textId="77777777" w:rsidTr="008A7CEC">
        <w:trPr>
          <w:cantSplit/>
          <w:trHeight w:val="20"/>
          <w:jc w:val="center"/>
        </w:trPr>
        <w:tc>
          <w:tcPr>
            <w:tcW w:w="2663" w:type="dxa"/>
            <w:shd w:val="clear" w:color="000000" w:fill="FFFFFF"/>
            <w:vAlign w:val="center"/>
            <w:hideMark/>
          </w:tcPr>
          <w:p w14:paraId="387FD43A" w14:textId="77777777" w:rsidR="008A7CEC" w:rsidRPr="008524D6" w:rsidRDefault="008A7CEC" w:rsidP="008A7CEC">
            <w:pPr>
              <w:spacing w:after="0"/>
              <w:rPr>
                <w:rFonts w:cstheme="minorHAnsi"/>
                <w:b/>
                <w:sz w:val="20"/>
                <w:szCs w:val="20"/>
              </w:rPr>
            </w:pPr>
            <w:bookmarkStart w:id="5" w:name="_Hlk5885772"/>
            <w:r w:rsidRPr="008524D6">
              <w:rPr>
                <w:b/>
                <w:sz w:val="20"/>
                <w:szCs w:val="20"/>
              </w:rPr>
              <w:t>Acute myocardial infarction</w:t>
            </w:r>
          </w:p>
        </w:tc>
        <w:tc>
          <w:tcPr>
            <w:tcW w:w="1583" w:type="dxa"/>
            <w:shd w:val="clear" w:color="auto" w:fill="auto"/>
            <w:vAlign w:val="center"/>
            <w:hideMark/>
          </w:tcPr>
          <w:p w14:paraId="1AFD7609"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53,754</w:t>
            </w:r>
          </w:p>
          <w:p w14:paraId="08A5FD42"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(2.1%)</w:t>
            </w:r>
          </w:p>
        </w:tc>
        <w:tc>
          <w:tcPr>
            <w:tcW w:w="1419" w:type="dxa"/>
            <w:shd w:val="clear" w:color="auto" w:fill="auto"/>
            <w:vAlign w:val="center"/>
            <w:hideMark/>
          </w:tcPr>
          <w:p w14:paraId="62F1731D"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54,066</w:t>
            </w:r>
          </w:p>
          <w:p w14:paraId="63DA0AD5"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(2.1%)</w:t>
            </w:r>
          </w:p>
        </w:tc>
        <w:tc>
          <w:tcPr>
            <w:tcW w:w="1980" w:type="dxa"/>
            <w:shd w:val="clear" w:color="000000" w:fill="FFFFFF"/>
            <w:noWrap/>
            <w:vAlign w:val="center"/>
            <w:hideMark/>
          </w:tcPr>
          <w:p w14:paraId="3EDE6B6A"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1.07 </w:t>
            </w:r>
          </w:p>
          <w:p w14:paraId="75CB99C5"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(1.05, 1.08)</w:t>
            </w:r>
          </w:p>
        </w:tc>
        <w:tc>
          <w:tcPr>
            <w:tcW w:w="1980" w:type="dxa"/>
            <w:shd w:val="clear" w:color="000000" w:fill="FFFFFF"/>
            <w:noWrap/>
            <w:vAlign w:val="center"/>
            <w:hideMark/>
          </w:tcPr>
          <w:p w14:paraId="1ED719B9"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1.08 </w:t>
            </w:r>
          </w:p>
          <w:p w14:paraId="3D028B20"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(1.07, 1.10)</w:t>
            </w:r>
          </w:p>
        </w:tc>
      </w:tr>
      <w:tr w:rsidR="008A7CEC" w:rsidRPr="00282352" w14:paraId="615E8E82" w14:textId="77777777" w:rsidTr="008A7CEC">
        <w:trPr>
          <w:cantSplit/>
          <w:trHeight w:val="20"/>
          <w:jc w:val="center"/>
        </w:trPr>
        <w:tc>
          <w:tcPr>
            <w:tcW w:w="2663" w:type="dxa"/>
            <w:shd w:val="clear" w:color="000000" w:fill="FFFFFF"/>
            <w:vAlign w:val="center"/>
            <w:hideMark/>
          </w:tcPr>
          <w:p w14:paraId="09C3B081" w14:textId="77777777" w:rsidR="008A7CEC" w:rsidRPr="008524D6" w:rsidRDefault="008A7CEC" w:rsidP="008A7CEC">
            <w:pPr>
              <w:spacing w:after="0"/>
              <w:rPr>
                <w:rFonts w:cstheme="minorHAnsi"/>
                <w:b/>
                <w:sz w:val="20"/>
                <w:szCs w:val="20"/>
              </w:rPr>
            </w:pPr>
            <w:r w:rsidRPr="008524D6">
              <w:rPr>
                <w:b/>
                <w:sz w:val="20"/>
                <w:szCs w:val="20"/>
              </w:rPr>
              <w:t>Alzheimer’s disease and related disorders or senile dementia</w:t>
            </w:r>
          </w:p>
        </w:tc>
        <w:tc>
          <w:tcPr>
            <w:tcW w:w="1583" w:type="dxa"/>
            <w:shd w:val="clear" w:color="auto" w:fill="auto"/>
            <w:vAlign w:val="center"/>
            <w:hideMark/>
          </w:tcPr>
          <w:p w14:paraId="3356F591"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671,804</w:t>
            </w:r>
          </w:p>
          <w:p w14:paraId="2A179810"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(26.4%)</w:t>
            </w:r>
          </w:p>
        </w:tc>
        <w:tc>
          <w:tcPr>
            <w:tcW w:w="1419" w:type="dxa"/>
            <w:shd w:val="clear" w:color="auto" w:fill="auto"/>
            <w:vAlign w:val="center"/>
            <w:hideMark/>
          </w:tcPr>
          <w:p w14:paraId="6631763A"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672,181</w:t>
            </w:r>
          </w:p>
          <w:p w14:paraId="129175CD"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(26.4%)</w:t>
            </w:r>
          </w:p>
        </w:tc>
        <w:tc>
          <w:tcPr>
            <w:tcW w:w="1980" w:type="dxa"/>
            <w:shd w:val="clear" w:color="000000" w:fill="FFFFFF"/>
            <w:noWrap/>
            <w:vAlign w:val="center"/>
            <w:hideMark/>
          </w:tcPr>
          <w:p w14:paraId="7160EE12"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1.24 </w:t>
            </w:r>
          </w:p>
          <w:p w14:paraId="2E9A1603"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(1.24, 1.25)</w:t>
            </w:r>
          </w:p>
        </w:tc>
        <w:tc>
          <w:tcPr>
            <w:tcW w:w="1980" w:type="dxa"/>
            <w:shd w:val="clear" w:color="000000" w:fill="FFFFFF"/>
            <w:noWrap/>
            <w:vAlign w:val="center"/>
            <w:hideMark/>
          </w:tcPr>
          <w:p w14:paraId="684B3319"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1.25</w:t>
            </w:r>
          </w:p>
          <w:p w14:paraId="27F44743"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(1.24, 1.26)</w:t>
            </w:r>
          </w:p>
        </w:tc>
      </w:tr>
      <w:tr w:rsidR="008A7CEC" w:rsidRPr="00282352" w14:paraId="51EA883A" w14:textId="77777777" w:rsidTr="008A7CEC">
        <w:trPr>
          <w:cantSplit/>
          <w:trHeight w:val="20"/>
          <w:jc w:val="center"/>
        </w:trPr>
        <w:tc>
          <w:tcPr>
            <w:tcW w:w="2663" w:type="dxa"/>
            <w:shd w:val="clear" w:color="000000" w:fill="FFFFFF"/>
            <w:vAlign w:val="center"/>
            <w:hideMark/>
          </w:tcPr>
          <w:p w14:paraId="038E01C6" w14:textId="77777777" w:rsidR="008A7CEC" w:rsidRPr="008524D6" w:rsidRDefault="008A7CEC" w:rsidP="008A7CEC">
            <w:pPr>
              <w:spacing w:after="0"/>
              <w:rPr>
                <w:rFonts w:cstheme="minorHAnsi"/>
                <w:b/>
                <w:sz w:val="20"/>
                <w:szCs w:val="20"/>
              </w:rPr>
            </w:pPr>
            <w:r w:rsidRPr="008524D6">
              <w:rPr>
                <w:b/>
                <w:sz w:val="20"/>
                <w:szCs w:val="20"/>
              </w:rPr>
              <w:t>Atrial fibrillation</w:t>
            </w:r>
          </w:p>
        </w:tc>
        <w:tc>
          <w:tcPr>
            <w:tcW w:w="1583" w:type="dxa"/>
            <w:shd w:val="clear" w:color="auto" w:fill="auto"/>
            <w:vAlign w:val="center"/>
            <w:hideMark/>
          </w:tcPr>
          <w:p w14:paraId="79E6B5A9"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671,323</w:t>
            </w:r>
          </w:p>
          <w:p w14:paraId="22D3FF18"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(26.4%)</w:t>
            </w:r>
          </w:p>
        </w:tc>
        <w:tc>
          <w:tcPr>
            <w:tcW w:w="1419" w:type="dxa"/>
            <w:shd w:val="clear" w:color="auto" w:fill="auto"/>
            <w:vAlign w:val="center"/>
            <w:hideMark/>
          </w:tcPr>
          <w:p w14:paraId="39EE085F"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671,807</w:t>
            </w:r>
          </w:p>
          <w:p w14:paraId="7BC3F761"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(26.4%)</w:t>
            </w:r>
          </w:p>
        </w:tc>
        <w:tc>
          <w:tcPr>
            <w:tcW w:w="1980" w:type="dxa"/>
            <w:shd w:val="clear" w:color="000000" w:fill="FFFFFF"/>
            <w:noWrap/>
            <w:vAlign w:val="center"/>
            <w:hideMark/>
          </w:tcPr>
          <w:p w14:paraId="27F64065"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1.14 </w:t>
            </w:r>
          </w:p>
          <w:p w14:paraId="2D113BC8"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(1.13, 1.15)</w:t>
            </w:r>
          </w:p>
        </w:tc>
        <w:tc>
          <w:tcPr>
            <w:tcW w:w="1980" w:type="dxa"/>
            <w:shd w:val="clear" w:color="000000" w:fill="FFFFFF"/>
            <w:noWrap/>
            <w:vAlign w:val="center"/>
            <w:hideMark/>
          </w:tcPr>
          <w:p w14:paraId="092F4060"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1.14 </w:t>
            </w:r>
          </w:p>
          <w:p w14:paraId="74C558BF"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(1.13, 1.15)</w:t>
            </w:r>
          </w:p>
        </w:tc>
      </w:tr>
      <w:tr w:rsidR="008A7CEC" w:rsidRPr="00282352" w14:paraId="71D775DD" w14:textId="77777777" w:rsidTr="008A7CEC">
        <w:trPr>
          <w:cantSplit/>
          <w:trHeight w:val="20"/>
          <w:jc w:val="center"/>
        </w:trPr>
        <w:tc>
          <w:tcPr>
            <w:tcW w:w="2663" w:type="dxa"/>
            <w:shd w:val="clear" w:color="000000" w:fill="FFFFFF"/>
            <w:vAlign w:val="center"/>
            <w:hideMark/>
          </w:tcPr>
          <w:p w14:paraId="2D790831" w14:textId="77777777" w:rsidR="008A7CEC" w:rsidRPr="008524D6" w:rsidRDefault="008A7CEC" w:rsidP="008A7CEC">
            <w:pPr>
              <w:spacing w:after="0"/>
              <w:rPr>
                <w:rFonts w:cstheme="minorHAnsi"/>
                <w:b/>
                <w:sz w:val="20"/>
                <w:szCs w:val="20"/>
              </w:rPr>
            </w:pPr>
            <w:r w:rsidRPr="008524D6">
              <w:rPr>
                <w:b/>
                <w:sz w:val="20"/>
                <w:szCs w:val="20"/>
              </w:rPr>
              <w:lastRenderedPageBreak/>
              <w:t>Chronic kidney disease</w:t>
            </w:r>
          </w:p>
        </w:tc>
        <w:tc>
          <w:tcPr>
            <w:tcW w:w="1583" w:type="dxa"/>
            <w:shd w:val="clear" w:color="auto" w:fill="auto"/>
            <w:vAlign w:val="center"/>
            <w:hideMark/>
          </w:tcPr>
          <w:p w14:paraId="173C0197"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1,196,043 (47.0%)</w:t>
            </w:r>
          </w:p>
        </w:tc>
        <w:tc>
          <w:tcPr>
            <w:tcW w:w="1419" w:type="dxa"/>
            <w:shd w:val="clear" w:color="auto" w:fill="auto"/>
            <w:vAlign w:val="center"/>
            <w:hideMark/>
          </w:tcPr>
          <w:p w14:paraId="7415C3C3"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1,194,407</w:t>
            </w:r>
          </w:p>
          <w:p w14:paraId="0203FBBE"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(46.9%)</w:t>
            </w:r>
          </w:p>
        </w:tc>
        <w:tc>
          <w:tcPr>
            <w:tcW w:w="1980" w:type="dxa"/>
            <w:shd w:val="clear" w:color="000000" w:fill="FFFFFF"/>
            <w:noWrap/>
            <w:vAlign w:val="center"/>
            <w:hideMark/>
          </w:tcPr>
          <w:p w14:paraId="6DDD4AB6"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1.21 </w:t>
            </w:r>
          </w:p>
          <w:p w14:paraId="5D882C24"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(1.21, 1.22)</w:t>
            </w:r>
          </w:p>
        </w:tc>
        <w:tc>
          <w:tcPr>
            <w:tcW w:w="1980" w:type="dxa"/>
            <w:shd w:val="clear" w:color="000000" w:fill="FFFFFF"/>
            <w:noWrap/>
            <w:vAlign w:val="center"/>
            <w:hideMark/>
          </w:tcPr>
          <w:p w14:paraId="4C1253F1" w14:textId="77777777" w:rsidR="008A7CEC" w:rsidRDefault="008A7CEC" w:rsidP="008A7CEC">
            <w:pPr>
              <w:spacing w:after="0"/>
              <w:jc w:val="center"/>
              <w:rPr>
                <w:rFonts w:eastAsia="Times New Roman" w:cstheme="minorHAnsi"/>
                <w:sz w:val="20"/>
                <w:szCs w:val="20"/>
              </w:rPr>
            </w:pPr>
            <w:r w:rsidRPr="00FA1063">
              <w:rPr>
                <w:rFonts w:eastAsia="Times New Roman" w:cstheme="minorHAnsi"/>
                <w:sz w:val="20"/>
                <w:szCs w:val="20"/>
              </w:rPr>
              <w:t xml:space="preserve">1.22 </w:t>
            </w:r>
          </w:p>
          <w:p w14:paraId="762B2FD8" w14:textId="77777777" w:rsidR="008A7CEC" w:rsidRPr="00FA1063" w:rsidRDefault="008A7CEC" w:rsidP="008A7CEC">
            <w:pPr>
              <w:spacing w:after="0"/>
              <w:jc w:val="center"/>
              <w:rPr>
                <w:rFonts w:eastAsia="Times New Roman" w:cstheme="minorHAnsi"/>
                <w:sz w:val="20"/>
                <w:szCs w:val="20"/>
              </w:rPr>
            </w:pPr>
            <w:r w:rsidRPr="00FA1063">
              <w:rPr>
                <w:rFonts w:eastAsia="Times New Roman" w:cstheme="minorHAnsi"/>
                <w:sz w:val="20"/>
                <w:szCs w:val="20"/>
              </w:rPr>
              <w:t>(1.21, 1.23)</w:t>
            </w:r>
          </w:p>
        </w:tc>
      </w:tr>
      <w:tr w:rsidR="008A7CEC" w:rsidRPr="00282352" w14:paraId="1B8B05ED" w14:textId="77777777" w:rsidTr="008A7CEC">
        <w:trPr>
          <w:cantSplit/>
          <w:trHeight w:val="20"/>
          <w:jc w:val="center"/>
        </w:trPr>
        <w:tc>
          <w:tcPr>
            <w:tcW w:w="2663" w:type="dxa"/>
            <w:shd w:val="clear" w:color="000000" w:fill="FFFFFF"/>
            <w:vAlign w:val="center"/>
            <w:hideMark/>
          </w:tcPr>
          <w:p w14:paraId="71D19DFC" w14:textId="77777777" w:rsidR="008A7CEC" w:rsidRPr="008524D6" w:rsidRDefault="008A7CEC" w:rsidP="008A7CEC">
            <w:pPr>
              <w:spacing w:after="0"/>
              <w:rPr>
                <w:rFonts w:cstheme="minorHAnsi"/>
                <w:b/>
                <w:sz w:val="20"/>
                <w:szCs w:val="20"/>
              </w:rPr>
            </w:pPr>
            <w:r w:rsidRPr="008524D6">
              <w:rPr>
                <w:b/>
                <w:sz w:val="20"/>
                <w:szCs w:val="20"/>
              </w:rPr>
              <w:t>Chronic obstructive pulmonary disease or asthma</w:t>
            </w:r>
          </w:p>
        </w:tc>
        <w:tc>
          <w:tcPr>
            <w:tcW w:w="1583" w:type="dxa"/>
            <w:shd w:val="clear" w:color="auto" w:fill="auto"/>
            <w:vAlign w:val="center"/>
            <w:hideMark/>
          </w:tcPr>
          <w:p w14:paraId="11A6D2B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888,029</w:t>
            </w:r>
          </w:p>
          <w:p w14:paraId="47EFA92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(34.9%)</w:t>
            </w:r>
          </w:p>
        </w:tc>
        <w:tc>
          <w:tcPr>
            <w:tcW w:w="1419" w:type="dxa"/>
            <w:shd w:val="clear" w:color="auto" w:fill="auto"/>
            <w:vAlign w:val="center"/>
            <w:hideMark/>
          </w:tcPr>
          <w:p w14:paraId="503906B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887,790</w:t>
            </w:r>
          </w:p>
          <w:p w14:paraId="36C4B57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(34.9%)</w:t>
            </w:r>
          </w:p>
        </w:tc>
        <w:tc>
          <w:tcPr>
            <w:tcW w:w="1980" w:type="dxa"/>
            <w:shd w:val="clear" w:color="000000" w:fill="FFFFFF"/>
            <w:noWrap/>
            <w:vAlign w:val="center"/>
            <w:hideMark/>
          </w:tcPr>
          <w:p w14:paraId="3372552C"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1.25 </w:t>
            </w:r>
          </w:p>
          <w:p w14:paraId="443A42A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(1.24, 1.25)</w:t>
            </w:r>
          </w:p>
        </w:tc>
        <w:tc>
          <w:tcPr>
            <w:tcW w:w="1980" w:type="dxa"/>
            <w:shd w:val="clear" w:color="000000" w:fill="FFFFFF"/>
            <w:noWrap/>
            <w:vAlign w:val="center"/>
            <w:hideMark/>
          </w:tcPr>
          <w:p w14:paraId="0A1B5643"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1.24 </w:t>
            </w:r>
          </w:p>
          <w:p w14:paraId="55C9032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(1.23, 1.25)</w:t>
            </w:r>
          </w:p>
        </w:tc>
      </w:tr>
      <w:tr w:rsidR="008A7CEC" w:rsidRPr="00282352" w14:paraId="2A9E4CA7" w14:textId="77777777" w:rsidTr="008A7CEC">
        <w:trPr>
          <w:cantSplit/>
          <w:trHeight w:val="20"/>
          <w:jc w:val="center"/>
        </w:trPr>
        <w:tc>
          <w:tcPr>
            <w:tcW w:w="2663" w:type="dxa"/>
            <w:shd w:val="clear" w:color="000000" w:fill="FFFFFF"/>
            <w:vAlign w:val="center"/>
            <w:hideMark/>
          </w:tcPr>
          <w:p w14:paraId="3F6F1A42" w14:textId="77777777" w:rsidR="008A7CEC" w:rsidRPr="008524D6" w:rsidRDefault="008A7CEC" w:rsidP="008A7CEC">
            <w:pPr>
              <w:spacing w:after="0"/>
              <w:rPr>
                <w:rFonts w:cstheme="minorHAnsi"/>
                <w:b/>
                <w:sz w:val="20"/>
                <w:szCs w:val="20"/>
              </w:rPr>
            </w:pPr>
            <w:r w:rsidRPr="008524D6">
              <w:rPr>
                <w:b/>
                <w:sz w:val="20"/>
                <w:szCs w:val="20"/>
              </w:rPr>
              <w:t>Depression</w:t>
            </w:r>
          </w:p>
        </w:tc>
        <w:tc>
          <w:tcPr>
            <w:tcW w:w="1583" w:type="dxa"/>
            <w:shd w:val="clear" w:color="auto" w:fill="auto"/>
            <w:vAlign w:val="center"/>
            <w:hideMark/>
          </w:tcPr>
          <w:p w14:paraId="244F228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859,351</w:t>
            </w:r>
          </w:p>
          <w:p w14:paraId="0AED6D7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(33.8%)</w:t>
            </w:r>
          </w:p>
        </w:tc>
        <w:tc>
          <w:tcPr>
            <w:tcW w:w="1419" w:type="dxa"/>
            <w:shd w:val="clear" w:color="auto" w:fill="auto"/>
            <w:vAlign w:val="center"/>
            <w:hideMark/>
          </w:tcPr>
          <w:p w14:paraId="518E2E5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858,900</w:t>
            </w:r>
          </w:p>
          <w:p w14:paraId="5693FEC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(33.8%)</w:t>
            </w:r>
          </w:p>
        </w:tc>
        <w:tc>
          <w:tcPr>
            <w:tcW w:w="1980" w:type="dxa"/>
            <w:shd w:val="clear" w:color="000000" w:fill="FFFFFF"/>
            <w:noWrap/>
            <w:vAlign w:val="center"/>
            <w:hideMark/>
          </w:tcPr>
          <w:p w14:paraId="06A28705"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1.08 </w:t>
            </w:r>
          </w:p>
          <w:p w14:paraId="2422730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(1.07, 1.08)</w:t>
            </w:r>
          </w:p>
        </w:tc>
        <w:tc>
          <w:tcPr>
            <w:tcW w:w="1980" w:type="dxa"/>
            <w:shd w:val="clear" w:color="000000" w:fill="FFFFFF"/>
            <w:noWrap/>
            <w:vAlign w:val="center"/>
            <w:hideMark/>
          </w:tcPr>
          <w:p w14:paraId="58A4A85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3FDA092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(1.07, 1.08)</w:t>
            </w:r>
          </w:p>
        </w:tc>
      </w:tr>
      <w:tr w:rsidR="008A7CEC" w:rsidRPr="00282352" w14:paraId="1CAB9691" w14:textId="77777777" w:rsidTr="008A7CEC">
        <w:trPr>
          <w:cantSplit/>
          <w:trHeight w:val="20"/>
          <w:jc w:val="center"/>
        </w:trPr>
        <w:tc>
          <w:tcPr>
            <w:tcW w:w="2663" w:type="dxa"/>
            <w:shd w:val="clear" w:color="000000" w:fill="FFFFFF"/>
            <w:vAlign w:val="center"/>
          </w:tcPr>
          <w:p w14:paraId="15EF6595" w14:textId="77777777" w:rsidR="008A7CEC" w:rsidRPr="008524D6" w:rsidRDefault="008A7CEC" w:rsidP="008A7CEC">
            <w:pPr>
              <w:spacing w:after="0"/>
              <w:rPr>
                <w:rFonts w:cstheme="minorHAnsi"/>
                <w:b/>
                <w:sz w:val="20"/>
                <w:szCs w:val="20"/>
              </w:rPr>
            </w:pPr>
            <w:bookmarkStart w:id="6" w:name="_Hlk5885786"/>
            <w:bookmarkEnd w:id="5"/>
            <w:r w:rsidRPr="008524D6">
              <w:rPr>
                <w:rFonts w:cstheme="minorHAnsi"/>
                <w:b/>
                <w:sz w:val="20"/>
                <w:szCs w:val="20"/>
              </w:rPr>
              <w:t>Diabetes</w:t>
            </w:r>
          </w:p>
        </w:tc>
        <w:tc>
          <w:tcPr>
            <w:tcW w:w="1583" w:type="dxa"/>
            <w:shd w:val="clear" w:color="auto" w:fill="auto"/>
            <w:vAlign w:val="center"/>
            <w:hideMark/>
          </w:tcPr>
          <w:p w14:paraId="1C18C07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1,493,093 (58.7%)</w:t>
            </w:r>
          </w:p>
        </w:tc>
        <w:tc>
          <w:tcPr>
            <w:tcW w:w="1419" w:type="dxa"/>
            <w:shd w:val="clear" w:color="auto" w:fill="auto"/>
            <w:vAlign w:val="center"/>
            <w:hideMark/>
          </w:tcPr>
          <w:p w14:paraId="7C9CB66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1,492,765</w:t>
            </w:r>
          </w:p>
          <w:p w14:paraId="230E5C1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(58.7%)</w:t>
            </w:r>
          </w:p>
        </w:tc>
        <w:tc>
          <w:tcPr>
            <w:tcW w:w="1980" w:type="dxa"/>
            <w:shd w:val="clear" w:color="000000" w:fill="FFFFFF"/>
            <w:noWrap/>
            <w:vAlign w:val="center"/>
            <w:hideMark/>
          </w:tcPr>
          <w:p w14:paraId="78EFD41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1.08 </w:t>
            </w:r>
          </w:p>
          <w:p w14:paraId="23A777B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(1.08, 1.09)</w:t>
            </w:r>
          </w:p>
        </w:tc>
        <w:tc>
          <w:tcPr>
            <w:tcW w:w="1980" w:type="dxa"/>
            <w:shd w:val="clear" w:color="000000" w:fill="FFFFFF"/>
            <w:noWrap/>
            <w:vAlign w:val="center"/>
            <w:hideMark/>
          </w:tcPr>
          <w:p w14:paraId="6AA8F59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1.09 </w:t>
            </w:r>
          </w:p>
          <w:p w14:paraId="6EE32FB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(1.08, 1.09)</w:t>
            </w:r>
          </w:p>
        </w:tc>
      </w:tr>
      <w:tr w:rsidR="008A7CEC" w:rsidRPr="00282352" w14:paraId="7BC9DEEB" w14:textId="77777777" w:rsidTr="008A7CEC">
        <w:trPr>
          <w:cantSplit/>
          <w:trHeight w:val="20"/>
          <w:jc w:val="center"/>
        </w:trPr>
        <w:tc>
          <w:tcPr>
            <w:tcW w:w="2663" w:type="dxa"/>
            <w:shd w:val="clear" w:color="000000" w:fill="FFFFFF"/>
            <w:vAlign w:val="center"/>
            <w:hideMark/>
          </w:tcPr>
          <w:p w14:paraId="7DBC0CF7" w14:textId="77777777" w:rsidR="008A7CEC" w:rsidRPr="008524D6" w:rsidRDefault="008A7CEC" w:rsidP="008A7CEC">
            <w:pPr>
              <w:spacing w:after="0"/>
              <w:rPr>
                <w:rFonts w:cstheme="minorHAnsi"/>
                <w:b/>
                <w:sz w:val="20"/>
                <w:szCs w:val="20"/>
              </w:rPr>
            </w:pPr>
            <w:r w:rsidRPr="008524D6">
              <w:rPr>
                <w:b/>
                <w:sz w:val="20"/>
                <w:szCs w:val="20"/>
              </w:rPr>
              <w:t>Heart failure</w:t>
            </w:r>
          </w:p>
        </w:tc>
        <w:tc>
          <w:tcPr>
            <w:tcW w:w="1583" w:type="dxa"/>
            <w:shd w:val="clear" w:color="auto" w:fill="auto"/>
            <w:vAlign w:val="center"/>
            <w:hideMark/>
          </w:tcPr>
          <w:p w14:paraId="324A6D3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1,054,385 (41.4%)</w:t>
            </w:r>
          </w:p>
        </w:tc>
        <w:tc>
          <w:tcPr>
            <w:tcW w:w="1419" w:type="dxa"/>
            <w:shd w:val="clear" w:color="auto" w:fill="auto"/>
            <w:vAlign w:val="center"/>
            <w:hideMark/>
          </w:tcPr>
          <w:p w14:paraId="6C4BEE9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1,055,521</w:t>
            </w:r>
          </w:p>
          <w:p w14:paraId="380D892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(41.5%)</w:t>
            </w:r>
          </w:p>
        </w:tc>
        <w:tc>
          <w:tcPr>
            <w:tcW w:w="1980" w:type="dxa"/>
            <w:shd w:val="clear" w:color="000000" w:fill="FFFFFF"/>
            <w:noWrap/>
            <w:vAlign w:val="center"/>
            <w:hideMark/>
          </w:tcPr>
          <w:p w14:paraId="7A54474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1.35 </w:t>
            </w:r>
          </w:p>
          <w:p w14:paraId="0E4071E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(1.35, 1.36)</w:t>
            </w:r>
          </w:p>
        </w:tc>
        <w:tc>
          <w:tcPr>
            <w:tcW w:w="1980" w:type="dxa"/>
            <w:shd w:val="clear" w:color="000000" w:fill="FFFFFF"/>
            <w:noWrap/>
            <w:vAlign w:val="center"/>
            <w:hideMark/>
          </w:tcPr>
          <w:p w14:paraId="595D5FA3"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1.36 </w:t>
            </w:r>
          </w:p>
          <w:p w14:paraId="6E2AD21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(1.35, 1.37)</w:t>
            </w:r>
          </w:p>
        </w:tc>
      </w:tr>
      <w:tr w:rsidR="008A7CEC" w:rsidRPr="00282352" w14:paraId="0A98A0C0" w14:textId="77777777" w:rsidTr="008A7CEC">
        <w:trPr>
          <w:cantSplit/>
          <w:trHeight w:val="20"/>
          <w:jc w:val="center"/>
        </w:trPr>
        <w:tc>
          <w:tcPr>
            <w:tcW w:w="2663" w:type="dxa"/>
            <w:shd w:val="clear" w:color="000000" w:fill="FFFFFF"/>
            <w:vAlign w:val="center"/>
            <w:hideMark/>
          </w:tcPr>
          <w:p w14:paraId="0A79CA3F" w14:textId="77777777" w:rsidR="008A7CEC" w:rsidRPr="008524D6" w:rsidRDefault="008A7CEC" w:rsidP="008A7CEC">
            <w:pPr>
              <w:spacing w:after="0"/>
              <w:rPr>
                <w:rFonts w:cstheme="minorHAnsi"/>
                <w:b/>
                <w:sz w:val="20"/>
                <w:szCs w:val="20"/>
              </w:rPr>
            </w:pPr>
            <w:r w:rsidRPr="008524D6">
              <w:rPr>
                <w:b/>
                <w:sz w:val="20"/>
                <w:szCs w:val="20"/>
              </w:rPr>
              <w:t>Stroke or transient ischemic attack</w:t>
            </w:r>
          </w:p>
        </w:tc>
        <w:tc>
          <w:tcPr>
            <w:tcW w:w="1583" w:type="dxa"/>
            <w:shd w:val="clear" w:color="auto" w:fill="auto"/>
            <w:vAlign w:val="center"/>
            <w:hideMark/>
          </w:tcPr>
          <w:p w14:paraId="7D50838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280,562</w:t>
            </w:r>
          </w:p>
          <w:p w14:paraId="14D2346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w:t>
            </w:r>
          </w:p>
        </w:tc>
        <w:tc>
          <w:tcPr>
            <w:tcW w:w="1419" w:type="dxa"/>
            <w:shd w:val="clear" w:color="auto" w:fill="auto"/>
            <w:vAlign w:val="center"/>
            <w:hideMark/>
          </w:tcPr>
          <w:p w14:paraId="5F2FFD0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282,045</w:t>
            </w:r>
          </w:p>
          <w:p w14:paraId="4F0B9BB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(11.1%)</w:t>
            </w:r>
          </w:p>
        </w:tc>
        <w:tc>
          <w:tcPr>
            <w:tcW w:w="1980" w:type="dxa"/>
            <w:shd w:val="clear" w:color="000000" w:fill="FFFFFF"/>
            <w:noWrap/>
            <w:vAlign w:val="center"/>
            <w:hideMark/>
          </w:tcPr>
          <w:p w14:paraId="0B61739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349CB6A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(1.06, 1.08)</w:t>
            </w:r>
          </w:p>
        </w:tc>
        <w:tc>
          <w:tcPr>
            <w:tcW w:w="1980" w:type="dxa"/>
            <w:shd w:val="clear" w:color="000000" w:fill="FFFFFF"/>
            <w:noWrap/>
            <w:vAlign w:val="center"/>
            <w:hideMark/>
          </w:tcPr>
          <w:p w14:paraId="7B183174"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6A2E3AF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(1.06, 1.07)</w:t>
            </w:r>
          </w:p>
        </w:tc>
      </w:tr>
      <w:bookmarkEnd w:id="6"/>
      <w:tr w:rsidR="008A7CEC" w:rsidRPr="00282352" w14:paraId="7F5A4B87" w14:textId="77777777" w:rsidTr="008A7CEC">
        <w:trPr>
          <w:cantSplit/>
          <w:trHeight w:val="67"/>
          <w:jc w:val="center"/>
        </w:trPr>
        <w:tc>
          <w:tcPr>
            <w:tcW w:w="9625" w:type="dxa"/>
            <w:gridSpan w:val="5"/>
            <w:shd w:val="clear" w:color="auto" w:fill="F2F2F2" w:themeFill="background1" w:themeFillShade="F2"/>
            <w:vAlign w:val="center"/>
            <w:hideMark/>
          </w:tcPr>
          <w:p w14:paraId="1C5B8DC4" w14:textId="77777777" w:rsidR="008A7CEC" w:rsidRPr="0005192D" w:rsidRDefault="008A7CEC" w:rsidP="008A7CEC">
            <w:pPr>
              <w:spacing w:after="0"/>
              <w:rPr>
                <w:rFonts w:eastAsia="Times New Roman" w:cstheme="minorHAnsi"/>
                <w:sz w:val="20"/>
                <w:szCs w:val="20"/>
              </w:rPr>
            </w:pPr>
            <w:r w:rsidRPr="0005192D">
              <w:rPr>
                <w:rFonts w:eastAsia="Times New Roman" w:cstheme="minorHAnsi"/>
                <w:b/>
                <w:bCs/>
                <w:sz w:val="20"/>
                <w:szCs w:val="20"/>
              </w:rPr>
              <w:t xml:space="preserve">Clinical comorbidities </w:t>
            </w:r>
            <w:r w:rsidRPr="0005192D">
              <w:rPr>
                <w:rFonts w:eastAsia="Times New Roman" w:cstheme="minorHAnsi"/>
                <w:b/>
                <w:bCs/>
                <w:sz w:val="20"/>
                <w:szCs w:val="20"/>
              </w:rPr>
              <w:br/>
            </w:r>
            <w:r w:rsidRPr="0005192D">
              <w:rPr>
                <w:rFonts w:eastAsia="Times New Roman" w:cstheme="minorHAnsi"/>
                <w:sz w:val="20"/>
                <w:szCs w:val="20"/>
              </w:rPr>
              <w:t>Defined using Condition Categories (CCs) or International Classification of Diseases, Ninth Revision, Clinical Modification (ICD-9-CM) codes</w:t>
            </w:r>
          </w:p>
        </w:tc>
      </w:tr>
      <w:tr w:rsidR="008A7CEC" w:rsidRPr="00282352" w14:paraId="54D6FC3D" w14:textId="77777777" w:rsidTr="008A7CEC">
        <w:trPr>
          <w:cantSplit/>
          <w:trHeight w:val="20"/>
          <w:jc w:val="center"/>
        </w:trPr>
        <w:tc>
          <w:tcPr>
            <w:tcW w:w="2663" w:type="dxa"/>
            <w:shd w:val="clear" w:color="000000" w:fill="FFFFFF"/>
            <w:vAlign w:val="center"/>
            <w:hideMark/>
          </w:tcPr>
          <w:p w14:paraId="46106424" w14:textId="77777777" w:rsidR="008A7CEC" w:rsidRPr="0005192D" w:rsidRDefault="008A7CEC" w:rsidP="008A7CEC">
            <w:pPr>
              <w:spacing w:after="0"/>
              <w:rPr>
                <w:rFonts w:eastAsia="Times New Roman" w:cstheme="minorHAnsi"/>
                <w:sz w:val="20"/>
                <w:szCs w:val="20"/>
              </w:rPr>
            </w:pPr>
            <w:bookmarkStart w:id="7" w:name="_Hlk5885831"/>
            <w:r w:rsidRPr="008524D6">
              <w:rPr>
                <w:rFonts w:eastAsia="Times New Roman" w:cstheme="minorHAnsi"/>
                <w:b/>
                <w:sz w:val="20"/>
                <w:szCs w:val="20"/>
              </w:rPr>
              <w:t>Dialysis status</w:t>
            </w:r>
            <w:r w:rsidRPr="0005192D">
              <w:rPr>
                <w:rFonts w:eastAsia="Times New Roman" w:cstheme="minorHAnsi"/>
                <w:sz w:val="20"/>
                <w:szCs w:val="20"/>
              </w:rPr>
              <w:t xml:space="preserve"> (CC 134)</w:t>
            </w:r>
          </w:p>
        </w:tc>
        <w:tc>
          <w:tcPr>
            <w:tcW w:w="1583" w:type="dxa"/>
            <w:shd w:val="clear" w:color="auto" w:fill="auto"/>
            <w:vAlign w:val="center"/>
            <w:hideMark/>
          </w:tcPr>
          <w:p w14:paraId="7DDE9AB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45,540</w:t>
            </w:r>
          </w:p>
          <w:p w14:paraId="5FE2059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w:t>
            </w:r>
          </w:p>
        </w:tc>
        <w:tc>
          <w:tcPr>
            <w:tcW w:w="1419" w:type="dxa"/>
            <w:shd w:val="clear" w:color="auto" w:fill="auto"/>
            <w:vAlign w:val="center"/>
            <w:hideMark/>
          </w:tcPr>
          <w:p w14:paraId="7CFD6B2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45,750</w:t>
            </w:r>
          </w:p>
          <w:p w14:paraId="2105070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w:t>
            </w:r>
          </w:p>
        </w:tc>
        <w:tc>
          <w:tcPr>
            <w:tcW w:w="1980" w:type="dxa"/>
            <w:shd w:val="clear" w:color="000000" w:fill="FFFFFF"/>
            <w:noWrap/>
            <w:vAlign w:val="center"/>
            <w:hideMark/>
          </w:tcPr>
          <w:p w14:paraId="58EB1FDC"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1.47 </w:t>
            </w:r>
          </w:p>
          <w:p w14:paraId="4F321AF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(1.45, 1.49)</w:t>
            </w:r>
          </w:p>
        </w:tc>
        <w:tc>
          <w:tcPr>
            <w:tcW w:w="1980" w:type="dxa"/>
            <w:shd w:val="clear" w:color="000000" w:fill="FFFFFF"/>
            <w:noWrap/>
            <w:vAlign w:val="center"/>
            <w:hideMark/>
          </w:tcPr>
          <w:p w14:paraId="5041E3C7"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1.46 </w:t>
            </w:r>
          </w:p>
          <w:p w14:paraId="0ACC25E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(1.44, 1.48)</w:t>
            </w:r>
          </w:p>
        </w:tc>
      </w:tr>
      <w:tr w:rsidR="008A7CEC" w:rsidRPr="00282352" w14:paraId="590F4E01" w14:textId="77777777" w:rsidTr="008A7CEC">
        <w:trPr>
          <w:cantSplit/>
          <w:trHeight w:val="20"/>
          <w:jc w:val="center"/>
        </w:trPr>
        <w:tc>
          <w:tcPr>
            <w:tcW w:w="2663" w:type="dxa"/>
            <w:shd w:val="clear" w:color="000000" w:fill="FFFFFF"/>
            <w:vAlign w:val="center"/>
            <w:hideMark/>
          </w:tcPr>
          <w:p w14:paraId="56978A86"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Respiratory failure</w:t>
            </w:r>
            <w:r w:rsidRPr="0005192D">
              <w:rPr>
                <w:rFonts w:eastAsia="Times New Roman" w:cstheme="minorHAnsi"/>
                <w:sz w:val="20"/>
                <w:szCs w:val="20"/>
              </w:rPr>
              <w:t xml:space="preserve"> (CC 82, 83, 84)</w:t>
            </w:r>
          </w:p>
        </w:tc>
        <w:tc>
          <w:tcPr>
            <w:tcW w:w="1583" w:type="dxa"/>
            <w:shd w:val="clear" w:color="auto" w:fill="auto"/>
            <w:vAlign w:val="center"/>
            <w:hideMark/>
          </w:tcPr>
          <w:p w14:paraId="0EAA12C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217,787</w:t>
            </w:r>
          </w:p>
          <w:p w14:paraId="2D9ECC1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(8.6%)</w:t>
            </w:r>
          </w:p>
        </w:tc>
        <w:tc>
          <w:tcPr>
            <w:tcW w:w="1419" w:type="dxa"/>
            <w:shd w:val="clear" w:color="auto" w:fill="auto"/>
            <w:vAlign w:val="center"/>
            <w:hideMark/>
          </w:tcPr>
          <w:p w14:paraId="40091F0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218,815</w:t>
            </w:r>
          </w:p>
          <w:p w14:paraId="38F7DC4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(8.6%)</w:t>
            </w:r>
          </w:p>
        </w:tc>
        <w:tc>
          <w:tcPr>
            <w:tcW w:w="1980" w:type="dxa"/>
            <w:shd w:val="clear" w:color="000000" w:fill="FFFFFF"/>
            <w:noWrap/>
            <w:vAlign w:val="center"/>
            <w:hideMark/>
          </w:tcPr>
          <w:p w14:paraId="17CA8B5A"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1.10 </w:t>
            </w:r>
          </w:p>
          <w:p w14:paraId="5050C35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(1.09, 1.11)</w:t>
            </w:r>
          </w:p>
        </w:tc>
        <w:tc>
          <w:tcPr>
            <w:tcW w:w="1980" w:type="dxa"/>
            <w:shd w:val="clear" w:color="000000" w:fill="FFFFFF"/>
            <w:noWrap/>
            <w:vAlign w:val="center"/>
            <w:hideMark/>
          </w:tcPr>
          <w:p w14:paraId="456239D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1.09 </w:t>
            </w:r>
          </w:p>
          <w:p w14:paraId="6452D70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(1.08, 1.10)</w:t>
            </w:r>
          </w:p>
        </w:tc>
      </w:tr>
      <w:tr w:rsidR="008A7CEC" w:rsidRPr="00282352" w14:paraId="27F18C0E" w14:textId="77777777" w:rsidTr="008A7CEC">
        <w:trPr>
          <w:cantSplit/>
          <w:trHeight w:val="20"/>
          <w:jc w:val="center"/>
        </w:trPr>
        <w:tc>
          <w:tcPr>
            <w:tcW w:w="2663" w:type="dxa"/>
            <w:shd w:val="clear" w:color="000000" w:fill="FFFFFF"/>
            <w:vAlign w:val="center"/>
            <w:hideMark/>
          </w:tcPr>
          <w:p w14:paraId="3B3053E1"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Liver disease</w:t>
            </w:r>
            <w:r w:rsidRPr="0005192D">
              <w:rPr>
                <w:rFonts w:eastAsia="Times New Roman" w:cstheme="minorHAnsi"/>
                <w:sz w:val="20"/>
                <w:szCs w:val="20"/>
              </w:rPr>
              <w:t xml:space="preserve"> (CC 27 [remove ICD-9-CM 572.4], 28, 29, 30)</w:t>
            </w:r>
          </w:p>
        </w:tc>
        <w:tc>
          <w:tcPr>
            <w:tcW w:w="1583" w:type="dxa"/>
            <w:shd w:val="clear" w:color="auto" w:fill="auto"/>
            <w:vAlign w:val="center"/>
            <w:hideMark/>
          </w:tcPr>
          <w:p w14:paraId="480EBE9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53,091</w:t>
            </w:r>
          </w:p>
          <w:p w14:paraId="78B1CD1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(2.1%)</w:t>
            </w:r>
          </w:p>
        </w:tc>
        <w:tc>
          <w:tcPr>
            <w:tcW w:w="1419" w:type="dxa"/>
            <w:shd w:val="clear" w:color="auto" w:fill="auto"/>
            <w:vAlign w:val="center"/>
            <w:hideMark/>
          </w:tcPr>
          <w:p w14:paraId="5815D45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52,583</w:t>
            </w:r>
          </w:p>
          <w:p w14:paraId="587F86C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(2.1%)</w:t>
            </w:r>
          </w:p>
        </w:tc>
        <w:tc>
          <w:tcPr>
            <w:tcW w:w="1980" w:type="dxa"/>
            <w:shd w:val="clear" w:color="000000" w:fill="FFFFFF"/>
            <w:noWrap/>
            <w:vAlign w:val="center"/>
            <w:hideMark/>
          </w:tcPr>
          <w:p w14:paraId="2F62B8E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1.21 </w:t>
            </w:r>
          </w:p>
          <w:p w14:paraId="795CD86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(1.20, 1.23)</w:t>
            </w:r>
          </w:p>
        </w:tc>
        <w:tc>
          <w:tcPr>
            <w:tcW w:w="1980" w:type="dxa"/>
            <w:shd w:val="clear" w:color="000000" w:fill="FFFFFF"/>
            <w:noWrap/>
            <w:vAlign w:val="center"/>
            <w:hideMark/>
          </w:tcPr>
          <w:p w14:paraId="79E7AB41" w14:textId="77777777" w:rsidR="008A7CEC" w:rsidRDefault="008A7CEC" w:rsidP="008A7CEC">
            <w:pPr>
              <w:spacing w:after="0"/>
              <w:jc w:val="center"/>
              <w:rPr>
                <w:rFonts w:eastAsia="Times New Roman" w:cstheme="minorHAnsi"/>
                <w:sz w:val="20"/>
                <w:szCs w:val="20"/>
              </w:rPr>
            </w:pPr>
            <w:r>
              <w:rPr>
                <w:rFonts w:eastAsia="Times New Roman" w:cstheme="minorHAnsi"/>
                <w:sz w:val="20"/>
                <w:szCs w:val="20"/>
              </w:rPr>
              <w:t xml:space="preserve">1.24 </w:t>
            </w:r>
          </w:p>
          <w:p w14:paraId="47A1DEEA" w14:textId="77777777" w:rsidR="008A7CEC" w:rsidRPr="0005192D" w:rsidRDefault="008A7CEC" w:rsidP="008A7CEC">
            <w:pPr>
              <w:spacing w:after="0"/>
              <w:jc w:val="center"/>
              <w:rPr>
                <w:rFonts w:eastAsia="Times New Roman" w:cstheme="minorHAnsi"/>
                <w:sz w:val="20"/>
                <w:szCs w:val="20"/>
              </w:rPr>
            </w:pPr>
            <w:r>
              <w:rPr>
                <w:rFonts w:eastAsia="Times New Roman" w:cstheme="minorHAnsi"/>
                <w:sz w:val="20"/>
                <w:szCs w:val="20"/>
              </w:rPr>
              <w:t>(1.22</w:t>
            </w:r>
            <w:r w:rsidRPr="0005192D">
              <w:rPr>
                <w:rFonts w:eastAsia="Times New Roman" w:cstheme="minorHAnsi"/>
                <w:sz w:val="20"/>
                <w:szCs w:val="20"/>
              </w:rPr>
              <w:t>, 1.26)</w:t>
            </w:r>
          </w:p>
        </w:tc>
      </w:tr>
      <w:tr w:rsidR="008A7CEC" w:rsidRPr="00282352" w14:paraId="29471B5F" w14:textId="77777777" w:rsidTr="008A7CEC">
        <w:trPr>
          <w:cantSplit/>
          <w:trHeight w:val="20"/>
          <w:jc w:val="center"/>
        </w:trPr>
        <w:tc>
          <w:tcPr>
            <w:tcW w:w="2663" w:type="dxa"/>
            <w:shd w:val="clear" w:color="000000" w:fill="FFFFFF"/>
            <w:vAlign w:val="center"/>
            <w:hideMark/>
          </w:tcPr>
          <w:p w14:paraId="7896AEC7"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Pneumonia</w:t>
            </w:r>
            <w:r>
              <w:rPr>
                <w:rFonts w:eastAsia="Times New Roman" w:cstheme="minorHAnsi"/>
                <w:sz w:val="20"/>
                <w:szCs w:val="20"/>
              </w:rPr>
              <w:t xml:space="preserve"> (CC 114, 115, 116</w:t>
            </w:r>
            <w:r w:rsidRPr="0005192D">
              <w:rPr>
                <w:rFonts w:eastAsia="Times New Roman" w:cstheme="minorHAnsi"/>
                <w:sz w:val="20"/>
                <w:szCs w:val="20"/>
              </w:rPr>
              <w:t>)</w:t>
            </w:r>
          </w:p>
        </w:tc>
        <w:tc>
          <w:tcPr>
            <w:tcW w:w="1583" w:type="dxa"/>
            <w:shd w:val="clear" w:color="auto" w:fill="auto"/>
            <w:vAlign w:val="center"/>
            <w:hideMark/>
          </w:tcPr>
          <w:p w14:paraId="47BC034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420,915</w:t>
            </w:r>
          </w:p>
          <w:p w14:paraId="12D58AF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(16.5%)</w:t>
            </w:r>
          </w:p>
        </w:tc>
        <w:tc>
          <w:tcPr>
            <w:tcW w:w="1419" w:type="dxa"/>
            <w:shd w:val="clear" w:color="auto" w:fill="auto"/>
            <w:vAlign w:val="center"/>
            <w:hideMark/>
          </w:tcPr>
          <w:p w14:paraId="253FE71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421,504</w:t>
            </w:r>
          </w:p>
          <w:p w14:paraId="1F9219C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(16.6%)</w:t>
            </w:r>
          </w:p>
        </w:tc>
        <w:tc>
          <w:tcPr>
            <w:tcW w:w="1980" w:type="dxa"/>
            <w:shd w:val="clear" w:color="000000" w:fill="FFFFFF"/>
            <w:noWrap/>
            <w:vAlign w:val="center"/>
            <w:hideMark/>
          </w:tcPr>
          <w:p w14:paraId="42F3C3C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1.21 </w:t>
            </w:r>
          </w:p>
          <w:p w14:paraId="1CA9A28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(1.20, 1.22)</w:t>
            </w:r>
          </w:p>
        </w:tc>
        <w:tc>
          <w:tcPr>
            <w:tcW w:w="1980" w:type="dxa"/>
            <w:shd w:val="clear" w:color="000000" w:fill="FFFFFF"/>
            <w:noWrap/>
            <w:vAlign w:val="center"/>
            <w:hideMark/>
          </w:tcPr>
          <w:p w14:paraId="32CBC4B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1.21 </w:t>
            </w:r>
          </w:p>
          <w:p w14:paraId="4E47885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(1.20, 1.21)</w:t>
            </w:r>
          </w:p>
        </w:tc>
      </w:tr>
      <w:tr w:rsidR="008A7CEC" w:rsidRPr="00282352" w14:paraId="7B38569A" w14:textId="77777777" w:rsidTr="008A7CEC">
        <w:trPr>
          <w:cantSplit/>
          <w:trHeight w:val="20"/>
          <w:jc w:val="center"/>
        </w:trPr>
        <w:tc>
          <w:tcPr>
            <w:tcW w:w="2663" w:type="dxa"/>
            <w:shd w:val="clear" w:color="000000" w:fill="FFFFFF"/>
            <w:vAlign w:val="center"/>
            <w:hideMark/>
          </w:tcPr>
          <w:p w14:paraId="27F1DF35"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Septicemia/shock</w:t>
            </w:r>
            <w:r w:rsidRPr="0005192D">
              <w:rPr>
                <w:rFonts w:eastAsia="Times New Roman" w:cstheme="minorHAnsi"/>
                <w:sz w:val="20"/>
                <w:szCs w:val="20"/>
              </w:rPr>
              <w:t xml:space="preserve"> (CC 2)</w:t>
            </w:r>
          </w:p>
        </w:tc>
        <w:tc>
          <w:tcPr>
            <w:tcW w:w="1583" w:type="dxa"/>
            <w:shd w:val="clear" w:color="auto" w:fill="auto"/>
            <w:vAlign w:val="center"/>
            <w:hideMark/>
          </w:tcPr>
          <w:p w14:paraId="050CC9F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148,333</w:t>
            </w:r>
          </w:p>
          <w:p w14:paraId="56AD278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(5.8%)</w:t>
            </w:r>
          </w:p>
        </w:tc>
        <w:tc>
          <w:tcPr>
            <w:tcW w:w="1419" w:type="dxa"/>
            <w:shd w:val="clear" w:color="auto" w:fill="auto"/>
            <w:vAlign w:val="center"/>
            <w:hideMark/>
          </w:tcPr>
          <w:p w14:paraId="4BD155B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149,243 (5.9%)</w:t>
            </w:r>
          </w:p>
        </w:tc>
        <w:tc>
          <w:tcPr>
            <w:tcW w:w="1980" w:type="dxa"/>
            <w:shd w:val="clear" w:color="000000" w:fill="FFFFFF"/>
            <w:noWrap/>
            <w:vAlign w:val="center"/>
            <w:hideMark/>
          </w:tcPr>
          <w:p w14:paraId="38D2C6E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1.03 </w:t>
            </w:r>
          </w:p>
          <w:p w14:paraId="0925F30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(1.02, 1.04)</w:t>
            </w:r>
          </w:p>
        </w:tc>
        <w:tc>
          <w:tcPr>
            <w:tcW w:w="1980" w:type="dxa"/>
            <w:shd w:val="clear" w:color="000000" w:fill="FFFFFF"/>
            <w:noWrap/>
            <w:vAlign w:val="center"/>
            <w:hideMark/>
          </w:tcPr>
          <w:p w14:paraId="0FE8015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1.04 </w:t>
            </w:r>
          </w:p>
          <w:p w14:paraId="5289601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(1.03, 1.05)</w:t>
            </w:r>
          </w:p>
        </w:tc>
      </w:tr>
      <w:tr w:rsidR="008A7CEC" w:rsidRPr="00282352" w14:paraId="6323FB05" w14:textId="77777777" w:rsidTr="008A7CEC">
        <w:trPr>
          <w:cantSplit/>
          <w:trHeight w:val="20"/>
          <w:jc w:val="center"/>
        </w:trPr>
        <w:tc>
          <w:tcPr>
            <w:tcW w:w="2663" w:type="dxa"/>
            <w:shd w:val="clear" w:color="000000" w:fill="FFFFFF"/>
            <w:vAlign w:val="center"/>
            <w:hideMark/>
          </w:tcPr>
          <w:p w14:paraId="3B5F42A3"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Marked disability/frailty</w:t>
            </w:r>
            <w:r w:rsidRPr="0005192D">
              <w:rPr>
                <w:rFonts w:eastAsia="Times New Roman" w:cstheme="minorHAnsi"/>
                <w:sz w:val="20"/>
                <w:szCs w:val="20"/>
              </w:rPr>
              <w:t xml:space="preserve"> (CC 21, 70, 71, 73, 157, 158, 159, 160, 161, 189, 190)</w:t>
            </w:r>
          </w:p>
        </w:tc>
        <w:tc>
          <w:tcPr>
            <w:tcW w:w="1583" w:type="dxa"/>
            <w:shd w:val="clear" w:color="auto" w:fill="auto"/>
            <w:vAlign w:val="center"/>
            <w:hideMark/>
          </w:tcPr>
          <w:p w14:paraId="508C483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312,325</w:t>
            </w:r>
          </w:p>
          <w:p w14:paraId="30BC7B5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(12.3%)</w:t>
            </w:r>
          </w:p>
        </w:tc>
        <w:tc>
          <w:tcPr>
            <w:tcW w:w="1419" w:type="dxa"/>
            <w:shd w:val="clear" w:color="auto" w:fill="auto"/>
            <w:vAlign w:val="center"/>
            <w:hideMark/>
          </w:tcPr>
          <w:p w14:paraId="49D4AC5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311,757</w:t>
            </w:r>
          </w:p>
          <w:p w14:paraId="7EE5845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(12.3%)</w:t>
            </w:r>
          </w:p>
        </w:tc>
        <w:tc>
          <w:tcPr>
            <w:tcW w:w="1980" w:type="dxa"/>
            <w:shd w:val="clear" w:color="000000" w:fill="FFFFFF"/>
            <w:noWrap/>
            <w:vAlign w:val="center"/>
            <w:hideMark/>
          </w:tcPr>
          <w:p w14:paraId="4612D08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1.17 </w:t>
            </w:r>
          </w:p>
          <w:p w14:paraId="5AD78E0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(1.17, 1.18)</w:t>
            </w:r>
          </w:p>
        </w:tc>
        <w:tc>
          <w:tcPr>
            <w:tcW w:w="1980" w:type="dxa"/>
            <w:shd w:val="clear" w:color="000000" w:fill="FFFFFF"/>
            <w:noWrap/>
            <w:vAlign w:val="center"/>
            <w:hideMark/>
          </w:tcPr>
          <w:p w14:paraId="1A71B15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1.18 </w:t>
            </w:r>
          </w:p>
          <w:p w14:paraId="16AC181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(1.17, 1.18)</w:t>
            </w:r>
          </w:p>
        </w:tc>
      </w:tr>
      <w:tr w:rsidR="008A7CEC" w:rsidRPr="00282352" w14:paraId="7F0BCC58" w14:textId="77777777" w:rsidTr="008A7CEC">
        <w:trPr>
          <w:cantSplit/>
          <w:trHeight w:val="20"/>
          <w:jc w:val="center"/>
        </w:trPr>
        <w:tc>
          <w:tcPr>
            <w:tcW w:w="2663" w:type="dxa"/>
            <w:shd w:val="clear" w:color="000000" w:fill="FFFFFF"/>
            <w:vAlign w:val="center"/>
            <w:hideMark/>
          </w:tcPr>
          <w:p w14:paraId="7661ED84"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Hematologic/al diseases</w:t>
            </w:r>
            <w:r w:rsidRPr="0005192D">
              <w:rPr>
                <w:rFonts w:eastAsia="Times New Roman" w:cstheme="minorHAnsi"/>
                <w:sz w:val="20"/>
                <w:szCs w:val="20"/>
              </w:rPr>
              <w:t xml:space="preserve"> (CC 46 [remove ICD-9-CM 283.11], 48)</w:t>
            </w:r>
          </w:p>
        </w:tc>
        <w:tc>
          <w:tcPr>
            <w:tcW w:w="1583" w:type="dxa"/>
            <w:shd w:val="clear" w:color="auto" w:fill="auto"/>
            <w:vAlign w:val="center"/>
            <w:hideMark/>
          </w:tcPr>
          <w:p w14:paraId="25E1E71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277,044</w:t>
            </w:r>
          </w:p>
          <w:p w14:paraId="666AA32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w:t>
            </w:r>
          </w:p>
        </w:tc>
        <w:tc>
          <w:tcPr>
            <w:tcW w:w="1419" w:type="dxa"/>
            <w:shd w:val="clear" w:color="auto" w:fill="auto"/>
            <w:vAlign w:val="center"/>
            <w:hideMark/>
          </w:tcPr>
          <w:p w14:paraId="24014A6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276,490</w:t>
            </w:r>
          </w:p>
          <w:p w14:paraId="608F752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w:t>
            </w:r>
          </w:p>
        </w:tc>
        <w:tc>
          <w:tcPr>
            <w:tcW w:w="1980" w:type="dxa"/>
            <w:shd w:val="clear" w:color="000000" w:fill="FFFFFF"/>
            <w:noWrap/>
            <w:vAlign w:val="center"/>
            <w:hideMark/>
          </w:tcPr>
          <w:p w14:paraId="7A8F4EE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1.06</w:t>
            </w:r>
          </w:p>
          <w:p w14:paraId="66D31B6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(1.05, 1.06)</w:t>
            </w:r>
          </w:p>
        </w:tc>
        <w:tc>
          <w:tcPr>
            <w:tcW w:w="1980" w:type="dxa"/>
            <w:shd w:val="clear" w:color="000000" w:fill="FFFFFF"/>
            <w:noWrap/>
            <w:vAlign w:val="center"/>
            <w:hideMark/>
          </w:tcPr>
          <w:p w14:paraId="4BCE573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1.05 </w:t>
            </w:r>
          </w:p>
          <w:p w14:paraId="45F5BAC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(1.04, 1.06)</w:t>
            </w:r>
          </w:p>
        </w:tc>
      </w:tr>
      <w:tr w:rsidR="008A7CEC" w:rsidRPr="00282352" w14:paraId="0E132204" w14:textId="77777777" w:rsidTr="008A7CEC">
        <w:trPr>
          <w:cantSplit/>
          <w:trHeight w:val="20"/>
          <w:jc w:val="center"/>
        </w:trPr>
        <w:tc>
          <w:tcPr>
            <w:tcW w:w="2663" w:type="dxa"/>
            <w:shd w:val="clear" w:color="000000" w:fill="FFFFFF"/>
            <w:vAlign w:val="center"/>
            <w:hideMark/>
          </w:tcPr>
          <w:p w14:paraId="02AB3A91"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Advanced cancer</w:t>
            </w:r>
            <w:r w:rsidRPr="0005192D">
              <w:rPr>
                <w:rFonts w:eastAsia="Times New Roman" w:cstheme="minorHAnsi"/>
                <w:sz w:val="20"/>
                <w:szCs w:val="20"/>
              </w:rPr>
              <w:t xml:space="preserve"> (CC 8, 9, 10, 13)</w:t>
            </w:r>
          </w:p>
        </w:tc>
        <w:tc>
          <w:tcPr>
            <w:tcW w:w="1583" w:type="dxa"/>
            <w:shd w:val="clear" w:color="auto" w:fill="auto"/>
            <w:vAlign w:val="center"/>
            <w:hideMark/>
          </w:tcPr>
          <w:p w14:paraId="7DF2840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174,573</w:t>
            </w:r>
          </w:p>
          <w:p w14:paraId="5BC0A31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(6.9%)</w:t>
            </w:r>
          </w:p>
        </w:tc>
        <w:tc>
          <w:tcPr>
            <w:tcW w:w="1419" w:type="dxa"/>
            <w:shd w:val="clear" w:color="auto" w:fill="auto"/>
            <w:vAlign w:val="center"/>
            <w:hideMark/>
          </w:tcPr>
          <w:p w14:paraId="083E8FE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175,027</w:t>
            </w:r>
          </w:p>
          <w:p w14:paraId="6322D71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(6.9%)</w:t>
            </w:r>
          </w:p>
        </w:tc>
        <w:tc>
          <w:tcPr>
            <w:tcW w:w="1980" w:type="dxa"/>
            <w:shd w:val="clear" w:color="000000" w:fill="FFFFFF"/>
            <w:noWrap/>
            <w:vAlign w:val="center"/>
            <w:hideMark/>
          </w:tcPr>
          <w:p w14:paraId="4AA1C50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1.31 </w:t>
            </w:r>
          </w:p>
          <w:p w14:paraId="3B1152B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(1.30, 1.33)</w:t>
            </w:r>
          </w:p>
        </w:tc>
        <w:tc>
          <w:tcPr>
            <w:tcW w:w="1980" w:type="dxa"/>
            <w:shd w:val="clear" w:color="000000" w:fill="FFFFFF"/>
            <w:noWrap/>
            <w:vAlign w:val="center"/>
            <w:hideMark/>
          </w:tcPr>
          <w:p w14:paraId="229E61B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1.31 </w:t>
            </w:r>
          </w:p>
          <w:p w14:paraId="311858C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(1.30, 1.32)</w:t>
            </w:r>
          </w:p>
        </w:tc>
      </w:tr>
      <w:tr w:rsidR="008A7CEC" w:rsidRPr="00282352" w14:paraId="573CFD19" w14:textId="77777777" w:rsidTr="008A7CEC">
        <w:trPr>
          <w:cantSplit/>
          <w:trHeight w:val="20"/>
          <w:jc w:val="center"/>
        </w:trPr>
        <w:tc>
          <w:tcPr>
            <w:tcW w:w="2663" w:type="dxa"/>
            <w:shd w:val="clear" w:color="000000" w:fill="FFFFFF"/>
            <w:vAlign w:val="center"/>
            <w:hideMark/>
          </w:tcPr>
          <w:p w14:paraId="0F0CA4C2"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Infectious and immune disorders</w:t>
            </w:r>
            <w:r w:rsidRPr="0005192D">
              <w:rPr>
                <w:rFonts w:eastAsia="Times New Roman" w:cstheme="minorHAnsi"/>
                <w:sz w:val="20"/>
                <w:szCs w:val="20"/>
              </w:rPr>
              <w:t xml:space="preserve"> (CC 1, 3, 4, 5 [remove ICD-9-CM 016.00, 016.01, 016.02, 016.03, 016.04, 016.05, 016.06], 6, 47, 90)</w:t>
            </w:r>
          </w:p>
        </w:tc>
        <w:tc>
          <w:tcPr>
            <w:tcW w:w="1583" w:type="dxa"/>
            <w:shd w:val="clear" w:color="auto" w:fill="auto"/>
            <w:vAlign w:val="center"/>
            <w:hideMark/>
          </w:tcPr>
          <w:p w14:paraId="73196DE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139,070</w:t>
            </w:r>
          </w:p>
          <w:p w14:paraId="319954E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(5.5%)</w:t>
            </w:r>
          </w:p>
        </w:tc>
        <w:tc>
          <w:tcPr>
            <w:tcW w:w="1419" w:type="dxa"/>
            <w:shd w:val="clear" w:color="auto" w:fill="auto"/>
            <w:vAlign w:val="center"/>
            <w:hideMark/>
          </w:tcPr>
          <w:p w14:paraId="625B585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138,667</w:t>
            </w:r>
          </w:p>
          <w:p w14:paraId="6559F34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(5.4%)</w:t>
            </w:r>
          </w:p>
        </w:tc>
        <w:tc>
          <w:tcPr>
            <w:tcW w:w="1980" w:type="dxa"/>
            <w:shd w:val="clear" w:color="000000" w:fill="FFFFFF"/>
            <w:noWrap/>
            <w:vAlign w:val="center"/>
            <w:hideMark/>
          </w:tcPr>
          <w:p w14:paraId="46D7B30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1.10 </w:t>
            </w:r>
          </w:p>
          <w:p w14:paraId="5BFCF10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(1.09, 1.11)</w:t>
            </w:r>
          </w:p>
        </w:tc>
        <w:tc>
          <w:tcPr>
            <w:tcW w:w="1980" w:type="dxa"/>
            <w:shd w:val="clear" w:color="000000" w:fill="FFFFFF"/>
            <w:noWrap/>
            <w:vAlign w:val="center"/>
            <w:hideMark/>
          </w:tcPr>
          <w:p w14:paraId="11B6BA2A"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1.09 </w:t>
            </w:r>
          </w:p>
          <w:p w14:paraId="2A1087F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(1.08, 1.10)</w:t>
            </w:r>
          </w:p>
        </w:tc>
      </w:tr>
      <w:tr w:rsidR="008A7CEC" w:rsidRPr="00282352" w14:paraId="6252D89A" w14:textId="77777777" w:rsidTr="008A7CEC">
        <w:trPr>
          <w:cantSplit/>
          <w:trHeight w:val="20"/>
          <w:jc w:val="center"/>
        </w:trPr>
        <w:tc>
          <w:tcPr>
            <w:tcW w:w="2663" w:type="dxa"/>
            <w:shd w:val="clear" w:color="000000" w:fill="FFFFFF"/>
            <w:vAlign w:val="center"/>
            <w:hideMark/>
          </w:tcPr>
          <w:p w14:paraId="59C69746"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Severe cognitive impairment</w:t>
            </w:r>
            <w:r w:rsidRPr="0005192D">
              <w:rPr>
                <w:rFonts w:eastAsia="Times New Roman" w:cstheme="minorHAnsi"/>
                <w:sz w:val="20"/>
                <w:szCs w:val="20"/>
              </w:rPr>
              <w:t xml:space="preserve"> (CC 50, 64, 65, 80)</w:t>
            </w:r>
          </w:p>
        </w:tc>
        <w:tc>
          <w:tcPr>
            <w:tcW w:w="1583" w:type="dxa"/>
            <w:shd w:val="clear" w:color="auto" w:fill="auto"/>
            <w:vAlign w:val="center"/>
            <w:hideMark/>
          </w:tcPr>
          <w:p w14:paraId="32A6478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201,729</w:t>
            </w:r>
          </w:p>
          <w:p w14:paraId="3013AE0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(7.9%)</w:t>
            </w:r>
          </w:p>
        </w:tc>
        <w:tc>
          <w:tcPr>
            <w:tcW w:w="1419" w:type="dxa"/>
            <w:shd w:val="clear" w:color="auto" w:fill="auto"/>
            <w:vAlign w:val="center"/>
            <w:hideMark/>
          </w:tcPr>
          <w:p w14:paraId="7E076EF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201,910</w:t>
            </w:r>
          </w:p>
          <w:p w14:paraId="7E3A188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(7.9%)</w:t>
            </w:r>
          </w:p>
        </w:tc>
        <w:tc>
          <w:tcPr>
            <w:tcW w:w="1980" w:type="dxa"/>
            <w:shd w:val="clear" w:color="000000" w:fill="FFFFFF"/>
            <w:noWrap/>
            <w:vAlign w:val="center"/>
            <w:hideMark/>
          </w:tcPr>
          <w:p w14:paraId="15CC08D4"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1.06 </w:t>
            </w:r>
          </w:p>
          <w:p w14:paraId="4F7B646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(1.05, 1.07)</w:t>
            </w:r>
          </w:p>
        </w:tc>
        <w:tc>
          <w:tcPr>
            <w:tcW w:w="1980" w:type="dxa"/>
            <w:shd w:val="clear" w:color="000000" w:fill="FFFFFF"/>
            <w:noWrap/>
            <w:vAlign w:val="center"/>
            <w:hideMark/>
          </w:tcPr>
          <w:p w14:paraId="4BC70CB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1.06 </w:t>
            </w:r>
          </w:p>
          <w:p w14:paraId="2E3FD81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(1.05, 1.07)</w:t>
            </w:r>
          </w:p>
        </w:tc>
      </w:tr>
      <w:tr w:rsidR="008A7CEC" w:rsidRPr="00282352" w14:paraId="6C05D100" w14:textId="77777777" w:rsidTr="008A7CEC">
        <w:trPr>
          <w:cantSplit/>
          <w:trHeight w:val="20"/>
          <w:jc w:val="center"/>
        </w:trPr>
        <w:tc>
          <w:tcPr>
            <w:tcW w:w="2663" w:type="dxa"/>
            <w:shd w:val="clear" w:color="000000" w:fill="FFFFFF"/>
            <w:vAlign w:val="center"/>
            <w:hideMark/>
          </w:tcPr>
          <w:p w14:paraId="1F4C86C1"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Major organ transplant status</w:t>
            </w:r>
            <w:r w:rsidRPr="0005192D">
              <w:rPr>
                <w:rFonts w:eastAsia="Times New Roman" w:cstheme="minorHAnsi"/>
                <w:sz w:val="20"/>
                <w:szCs w:val="20"/>
              </w:rPr>
              <w:t xml:space="preserve"> (CC 132, 186)</w:t>
            </w:r>
          </w:p>
        </w:tc>
        <w:tc>
          <w:tcPr>
            <w:tcW w:w="1583" w:type="dxa"/>
            <w:shd w:val="clear" w:color="auto" w:fill="auto"/>
            <w:vAlign w:val="center"/>
            <w:hideMark/>
          </w:tcPr>
          <w:p w14:paraId="55DA68C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18,697</w:t>
            </w:r>
          </w:p>
          <w:p w14:paraId="36F2DC9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(0.7%)</w:t>
            </w:r>
          </w:p>
        </w:tc>
        <w:tc>
          <w:tcPr>
            <w:tcW w:w="1419" w:type="dxa"/>
            <w:shd w:val="clear" w:color="auto" w:fill="auto"/>
            <w:vAlign w:val="center"/>
            <w:hideMark/>
          </w:tcPr>
          <w:p w14:paraId="1E0519B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18,577</w:t>
            </w:r>
          </w:p>
          <w:p w14:paraId="44B9712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(0.7%)</w:t>
            </w:r>
          </w:p>
        </w:tc>
        <w:tc>
          <w:tcPr>
            <w:tcW w:w="1980" w:type="dxa"/>
            <w:shd w:val="clear" w:color="000000" w:fill="FFFFFF"/>
            <w:noWrap/>
            <w:vAlign w:val="center"/>
            <w:hideMark/>
          </w:tcPr>
          <w:p w14:paraId="1936CAEC"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1.09 </w:t>
            </w:r>
          </w:p>
          <w:p w14:paraId="66138CD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(1.06, 1.11)</w:t>
            </w:r>
          </w:p>
        </w:tc>
        <w:tc>
          <w:tcPr>
            <w:tcW w:w="1980" w:type="dxa"/>
            <w:shd w:val="clear" w:color="000000" w:fill="FFFFFF"/>
            <w:noWrap/>
            <w:vAlign w:val="center"/>
            <w:hideMark/>
          </w:tcPr>
          <w:p w14:paraId="170EC41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2C8456E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(1.05, 1.10)</w:t>
            </w:r>
          </w:p>
        </w:tc>
      </w:tr>
      <w:tr w:rsidR="008A7CEC" w:rsidRPr="00282352" w14:paraId="3C1B6B74" w14:textId="77777777" w:rsidTr="008A7CEC">
        <w:trPr>
          <w:cantSplit/>
          <w:trHeight w:val="20"/>
          <w:jc w:val="center"/>
        </w:trPr>
        <w:tc>
          <w:tcPr>
            <w:tcW w:w="2663" w:type="dxa"/>
            <w:shd w:val="clear" w:color="000000" w:fill="FFFFFF"/>
            <w:vAlign w:val="center"/>
            <w:hideMark/>
          </w:tcPr>
          <w:p w14:paraId="362FCFFB"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lastRenderedPageBreak/>
              <w:t>Pulmonary heart disease</w:t>
            </w:r>
            <w:r w:rsidRPr="0005192D">
              <w:rPr>
                <w:rFonts w:eastAsia="Times New Roman" w:cstheme="minorHAnsi"/>
                <w:sz w:val="20"/>
                <w:szCs w:val="20"/>
              </w:rPr>
              <w:t xml:space="preserve"> (ICD-9-CM 415.0, 416.0, 416.1, 416.8, 416.9, 417.0, 417.1, 417.8, 417.9)</w:t>
            </w:r>
          </w:p>
        </w:tc>
        <w:tc>
          <w:tcPr>
            <w:tcW w:w="1583" w:type="dxa"/>
            <w:shd w:val="clear" w:color="auto" w:fill="auto"/>
            <w:vAlign w:val="center"/>
            <w:hideMark/>
          </w:tcPr>
          <w:p w14:paraId="634AA81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193,350</w:t>
            </w:r>
          </w:p>
          <w:p w14:paraId="421EBD3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(7.6%)</w:t>
            </w:r>
          </w:p>
        </w:tc>
        <w:tc>
          <w:tcPr>
            <w:tcW w:w="1419" w:type="dxa"/>
            <w:shd w:val="clear" w:color="auto" w:fill="auto"/>
            <w:vAlign w:val="center"/>
            <w:hideMark/>
          </w:tcPr>
          <w:p w14:paraId="304DB86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194,346</w:t>
            </w:r>
          </w:p>
          <w:p w14:paraId="30A9187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(7.6%)</w:t>
            </w:r>
          </w:p>
        </w:tc>
        <w:tc>
          <w:tcPr>
            <w:tcW w:w="1980" w:type="dxa"/>
            <w:shd w:val="clear" w:color="000000" w:fill="FFFFFF"/>
            <w:noWrap/>
            <w:vAlign w:val="center"/>
            <w:hideMark/>
          </w:tcPr>
          <w:p w14:paraId="621BA80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1.10 </w:t>
            </w:r>
          </w:p>
          <w:p w14:paraId="5A08F8F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(1.09, 1.11)</w:t>
            </w:r>
          </w:p>
        </w:tc>
        <w:tc>
          <w:tcPr>
            <w:tcW w:w="1980" w:type="dxa"/>
            <w:shd w:val="clear" w:color="000000" w:fill="FFFFFF"/>
            <w:noWrap/>
            <w:vAlign w:val="center"/>
            <w:hideMark/>
          </w:tcPr>
          <w:p w14:paraId="2544FED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1.10 </w:t>
            </w:r>
          </w:p>
          <w:p w14:paraId="62F069E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(1.09, 1.11)</w:t>
            </w:r>
          </w:p>
        </w:tc>
      </w:tr>
      <w:tr w:rsidR="008A7CEC" w:rsidRPr="00282352" w14:paraId="597B3D27" w14:textId="77777777" w:rsidTr="008A7CEC">
        <w:trPr>
          <w:cantSplit/>
          <w:trHeight w:val="20"/>
          <w:jc w:val="center"/>
        </w:trPr>
        <w:tc>
          <w:tcPr>
            <w:tcW w:w="2663" w:type="dxa"/>
            <w:shd w:val="clear" w:color="000000" w:fill="FFFFFF"/>
            <w:vAlign w:val="center"/>
            <w:hideMark/>
          </w:tcPr>
          <w:p w14:paraId="02F62540"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 xml:space="preserve">Cardiomyopathy </w:t>
            </w:r>
            <w:r w:rsidRPr="0005192D">
              <w:rPr>
                <w:rFonts w:eastAsia="Times New Roman" w:cstheme="minorHAnsi"/>
                <w:sz w:val="20"/>
                <w:szCs w:val="20"/>
              </w:rPr>
              <w:t>(ICD-9-CM 425.2, 425.4, 425.5, 425.7, 425.8, 425.9, 429.0, 429.1, 425.11, 425.18)</w:t>
            </w:r>
          </w:p>
        </w:tc>
        <w:tc>
          <w:tcPr>
            <w:tcW w:w="1583" w:type="dxa"/>
            <w:shd w:val="clear" w:color="auto" w:fill="auto"/>
            <w:vAlign w:val="center"/>
            <w:hideMark/>
          </w:tcPr>
          <w:p w14:paraId="37FFAF2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237,930</w:t>
            </w:r>
          </w:p>
          <w:p w14:paraId="66EEB5F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(9.4%)</w:t>
            </w:r>
          </w:p>
        </w:tc>
        <w:tc>
          <w:tcPr>
            <w:tcW w:w="1419" w:type="dxa"/>
            <w:shd w:val="clear" w:color="auto" w:fill="auto"/>
            <w:vAlign w:val="center"/>
            <w:hideMark/>
          </w:tcPr>
          <w:p w14:paraId="6EC7DD4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238,488</w:t>
            </w:r>
          </w:p>
          <w:p w14:paraId="04810C7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(9.4%)</w:t>
            </w:r>
          </w:p>
        </w:tc>
        <w:tc>
          <w:tcPr>
            <w:tcW w:w="1980" w:type="dxa"/>
            <w:shd w:val="clear" w:color="000000" w:fill="FFFFFF"/>
            <w:noWrap/>
            <w:vAlign w:val="center"/>
            <w:hideMark/>
          </w:tcPr>
          <w:p w14:paraId="65C80E1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1.09</w:t>
            </w:r>
          </w:p>
          <w:p w14:paraId="46D07E0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 (1.08, 1.10)</w:t>
            </w:r>
          </w:p>
        </w:tc>
        <w:tc>
          <w:tcPr>
            <w:tcW w:w="1980" w:type="dxa"/>
            <w:shd w:val="clear" w:color="000000" w:fill="FFFFFF"/>
            <w:noWrap/>
            <w:vAlign w:val="center"/>
            <w:hideMark/>
          </w:tcPr>
          <w:p w14:paraId="478013A2"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1.09</w:t>
            </w:r>
          </w:p>
          <w:p w14:paraId="177E0B1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 (1.08, 1.10)</w:t>
            </w:r>
          </w:p>
        </w:tc>
      </w:tr>
      <w:tr w:rsidR="008A7CEC" w:rsidRPr="00282352" w14:paraId="10D06E15" w14:textId="77777777" w:rsidTr="008A7CEC">
        <w:trPr>
          <w:cantSplit/>
          <w:trHeight w:val="20"/>
          <w:jc w:val="center"/>
        </w:trPr>
        <w:tc>
          <w:tcPr>
            <w:tcW w:w="2663" w:type="dxa"/>
            <w:shd w:val="clear" w:color="000000" w:fill="FFFFFF"/>
            <w:vAlign w:val="center"/>
            <w:hideMark/>
          </w:tcPr>
          <w:p w14:paraId="67E5E0ED"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Gastrointestinal disease</w:t>
            </w:r>
            <w:r w:rsidRPr="0005192D">
              <w:rPr>
                <w:rFonts w:eastAsia="Times New Roman" w:cstheme="minorHAnsi"/>
                <w:sz w:val="20"/>
                <w:szCs w:val="20"/>
              </w:rPr>
              <w:t xml:space="preserve"> (CC 31, 32, 33, 35, 36)</w:t>
            </w:r>
          </w:p>
        </w:tc>
        <w:tc>
          <w:tcPr>
            <w:tcW w:w="1583" w:type="dxa"/>
            <w:shd w:val="clear" w:color="auto" w:fill="auto"/>
            <w:vAlign w:val="center"/>
            <w:hideMark/>
          </w:tcPr>
          <w:p w14:paraId="78F2C32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529,734</w:t>
            </w:r>
          </w:p>
          <w:p w14:paraId="1436A8C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(20.8%)</w:t>
            </w:r>
          </w:p>
        </w:tc>
        <w:tc>
          <w:tcPr>
            <w:tcW w:w="1419" w:type="dxa"/>
            <w:shd w:val="clear" w:color="auto" w:fill="auto"/>
            <w:vAlign w:val="center"/>
            <w:hideMark/>
          </w:tcPr>
          <w:p w14:paraId="0FF6D2A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528,954</w:t>
            </w:r>
          </w:p>
          <w:p w14:paraId="0AFC5F7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(20.8%)</w:t>
            </w:r>
          </w:p>
        </w:tc>
        <w:tc>
          <w:tcPr>
            <w:tcW w:w="1980" w:type="dxa"/>
            <w:shd w:val="clear" w:color="000000" w:fill="FFFFFF"/>
            <w:noWrap/>
            <w:vAlign w:val="center"/>
            <w:hideMark/>
          </w:tcPr>
          <w:p w14:paraId="0EE7D37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6EA857A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(1.07, 1.08)</w:t>
            </w:r>
          </w:p>
        </w:tc>
        <w:tc>
          <w:tcPr>
            <w:tcW w:w="1980" w:type="dxa"/>
            <w:shd w:val="clear" w:color="000000" w:fill="FFFFFF"/>
            <w:noWrap/>
            <w:vAlign w:val="center"/>
            <w:hideMark/>
          </w:tcPr>
          <w:p w14:paraId="4B371F7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1CC01AC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(1.07, 1.08)</w:t>
            </w:r>
          </w:p>
        </w:tc>
      </w:tr>
      <w:tr w:rsidR="008A7CEC" w:rsidRPr="00282352" w14:paraId="30BB94D1" w14:textId="77777777" w:rsidTr="008A7CEC">
        <w:trPr>
          <w:cantSplit/>
          <w:trHeight w:val="20"/>
          <w:jc w:val="center"/>
        </w:trPr>
        <w:tc>
          <w:tcPr>
            <w:tcW w:w="2663" w:type="dxa"/>
            <w:shd w:val="clear" w:color="000000" w:fill="FFFFFF"/>
            <w:vAlign w:val="center"/>
            <w:hideMark/>
          </w:tcPr>
          <w:p w14:paraId="271BE609" w14:textId="77777777" w:rsidR="008A7CEC" w:rsidRPr="0005192D" w:rsidRDefault="008A7CEC" w:rsidP="008A7CEC">
            <w:pPr>
              <w:spacing w:after="0"/>
              <w:rPr>
                <w:rFonts w:eastAsia="Times New Roman" w:cstheme="minorHAnsi"/>
                <w:sz w:val="20"/>
                <w:szCs w:val="20"/>
              </w:rPr>
            </w:pPr>
            <w:bookmarkStart w:id="8" w:name="_Hlk5885859"/>
            <w:bookmarkEnd w:id="7"/>
            <w:r w:rsidRPr="008524D6">
              <w:rPr>
                <w:rFonts w:eastAsia="Times New Roman" w:cstheme="minorHAnsi"/>
                <w:b/>
                <w:sz w:val="20"/>
                <w:szCs w:val="20"/>
              </w:rPr>
              <w:t>Iron deficiency anemia</w:t>
            </w:r>
            <w:r w:rsidRPr="0005192D">
              <w:rPr>
                <w:rFonts w:eastAsia="Times New Roman" w:cstheme="minorHAnsi"/>
                <w:sz w:val="20"/>
                <w:szCs w:val="20"/>
              </w:rPr>
              <w:t xml:space="preserve"> (CC 49)</w:t>
            </w:r>
          </w:p>
        </w:tc>
        <w:tc>
          <w:tcPr>
            <w:tcW w:w="1583" w:type="dxa"/>
            <w:shd w:val="clear" w:color="auto" w:fill="auto"/>
            <w:vAlign w:val="center"/>
            <w:hideMark/>
          </w:tcPr>
          <w:p w14:paraId="7454A8E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1,157,680 (45.5%)</w:t>
            </w:r>
          </w:p>
        </w:tc>
        <w:tc>
          <w:tcPr>
            <w:tcW w:w="1419" w:type="dxa"/>
            <w:shd w:val="clear" w:color="auto" w:fill="auto"/>
            <w:vAlign w:val="center"/>
            <w:hideMark/>
          </w:tcPr>
          <w:p w14:paraId="6EE0AA9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1,158,739</w:t>
            </w:r>
          </w:p>
          <w:p w14:paraId="3BFE3D4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(45.5%)</w:t>
            </w:r>
          </w:p>
        </w:tc>
        <w:tc>
          <w:tcPr>
            <w:tcW w:w="1980" w:type="dxa"/>
            <w:shd w:val="clear" w:color="000000" w:fill="FFFFFF"/>
            <w:noWrap/>
            <w:vAlign w:val="center"/>
            <w:hideMark/>
          </w:tcPr>
          <w:p w14:paraId="23808F9A"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1.12 </w:t>
            </w:r>
          </w:p>
          <w:p w14:paraId="1611C82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(1.12, 1.13)</w:t>
            </w:r>
          </w:p>
        </w:tc>
        <w:tc>
          <w:tcPr>
            <w:tcW w:w="1980" w:type="dxa"/>
            <w:shd w:val="clear" w:color="000000" w:fill="FFFFFF"/>
            <w:noWrap/>
            <w:vAlign w:val="center"/>
            <w:hideMark/>
          </w:tcPr>
          <w:p w14:paraId="43379B3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1.13 </w:t>
            </w:r>
          </w:p>
          <w:p w14:paraId="474B59A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(1.12, 1.13)</w:t>
            </w:r>
          </w:p>
        </w:tc>
      </w:tr>
      <w:tr w:rsidR="008A7CEC" w:rsidRPr="00282352" w14:paraId="27B1E542" w14:textId="77777777" w:rsidTr="008A7CEC">
        <w:trPr>
          <w:cantSplit/>
          <w:trHeight w:val="20"/>
          <w:jc w:val="center"/>
        </w:trPr>
        <w:tc>
          <w:tcPr>
            <w:tcW w:w="2663" w:type="dxa"/>
            <w:shd w:val="clear" w:color="000000" w:fill="FFFFFF"/>
            <w:vAlign w:val="center"/>
            <w:hideMark/>
          </w:tcPr>
          <w:p w14:paraId="2748E966"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Ischemic heart disease except AMI</w:t>
            </w:r>
            <w:r w:rsidRPr="0005192D">
              <w:rPr>
                <w:rFonts w:eastAsia="Times New Roman" w:cstheme="minorHAnsi"/>
                <w:sz w:val="20"/>
                <w:szCs w:val="20"/>
              </w:rPr>
              <w:t xml:space="preserve"> (CC 87, 88, 89, 98; ICD-9-CM 429.5, 429.6)</w:t>
            </w:r>
          </w:p>
        </w:tc>
        <w:tc>
          <w:tcPr>
            <w:tcW w:w="1583" w:type="dxa"/>
            <w:shd w:val="clear" w:color="auto" w:fill="auto"/>
            <w:vAlign w:val="center"/>
            <w:hideMark/>
          </w:tcPr>
          <w:p w14:paraId="332EAED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1,346,690 (52.9%)</w:t>
            </w:r>
          </w:p>
        </w:tc>
        <w:tc>
          <w:tcPr>
            <w:tcW w:w="1419" w:type="dxa"/>
            <w:shd w:val="clear" w:color="auto" w:fill="auto"/>
            <w:vAlign w:val="center"/>
            <w:hideMark/>
          </w:tcPr>
          <w:p w14:paraId="20F7590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1,348,832</w:t>
            </w:r>
          </w:p>
          <w:p w14:paraId="4C20693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(53.0%)</w:t>
            </w:r>
          </w:p>
        </w:tc>
        <w:tc>
          <w:tcPr>
            <w:tcW w:w="1980" w:type="dxa"/>
            <w:shd w:val="clear" w:color="000000" w:fill="FFFFFF"/>
            <w:noWrap/>
            <w:vAlign w:val="center"/>
            <w:hideMark/>
          </w:tcPr>
          <w:p w14:paraId="1270675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1.15 (1.14, 1.15)</w:t>
            </w:r>
          </w:p>
        </w:tc>
        <w:tc>
          <w:tcPr>
            <w:tcW w:w="1980" w:type="dxa"/>
            <w:shd w:val="clear" w:color="000000" w:fill="FFFFFF"/>
            <w:noWrap/>
            <w:vAlign w:val="center"/>
            <w:hideMark/>
          </w:tcPr>
          <w:p w14:paraId="7D39A66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1.14 (1.14, 1.15)</w:t>
            </w:r>
          </w:p>
        </w:tc>
      </w:tr>
      <w:tr w:rsidR="008A7CEC" w:rsidRPr="00282352" w14:paraId="322A4439" w14:textId="77777777" w:rsidTr="008A7CEC">
        <w:trPr>
          <w:cantSplit/>
          <w:trHeight w:val="20"/>
          <w:jc w:val="center"/>
        </w:trPr>
        <w:tc>
          <w:tcPr>
            <w:tcW w:w="2663" w:type="dxa"/>
            <w:shd w:val="clear" w:color="000000" w:fill="FFFFFF"/>
            <w:vAlign w:val="center"/>
            <w:hideMark/>
          </w:tcPr>
          <w:p w14:paraId="6EB4EA05"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Other lung disorders</w:t>
            </w:r>
            <w:r w:rsidRPr="0005192D">
              <w:rPr>
                <w:rFonts w:eastAsia="Times New Roman" w:cstheme="minorHAnsi"/>
                <w:sz w:val="20"/>
                <w:szCs w:val="20"/>
              </w:rPr>
              <w:t xml:space="preserve"> (CC 112 [remove ICD-9-CM 494.0, 494.1], 118 [remove ICD-9 CM 490])</w:t>
            </w:r>
          </w:p>
        </w:tc>
        <w:tc>
          <w:tcPr>
            <w:tcW w:w="1583" w:type="dxa"/>
            <w:shd w:val="clear" w:color="auto" w:fill="auto"/>
            <w:vAlign w:val="center"/>
            <w:hideMark/>
          </w:tcPr>
          <w:p w14:paraId="2D82A1E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934,374</w:t>
            </w:r>
          </w:p>
          <w:p w14:paraId="0788E31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(36.7%)</w:t>
            </w:r>
          </w:p>
        </w:tc>
        <w:tc>
          <w:tcPr>
            <w:tcW w:w="1419" w:type="dxa"/>
            <w:shd w:val="clear" w:color="auto" w:fill="auto"/>
            <w:vAlign w:val="center"/>
            <w:hideMark/>
          </w:tcPr>
          <w:p w14:paraId="297DE07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934,118</w:t>
            </w:r>
          </w:p>
          <w:p w14:paraId="5D185A7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(36.7%)</w:t>
            </w:r>
          </w:p>
        </w:tc>
        <w:tc>
          <w:tcPr>
            <w:tcW w:w="1980" w:type="dxa"/>
            <w:shd w:val="clear" w:color="000000" w:fill="FFFFFF"/>
            <w:noWrap/>
            <w:vAlign w:val="center"/>
            <w:hideMark/>
          </w:tcPr>
          <w:p w14:paraId="0A546EE4"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1.03 </w:t>
            </w:r>
          </w:p>
          <w:p w14:paraId="642ECF8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(1.02, 1.03)</w:t>
            </w:r>
          </w:p>
        </w:tc>
        <w:tc>
          <w:tcPr>
            <w:tcW w:w="1980" w:type="dxa"/>
            <w:shd w:val="clear" w:color="000000" w:fill="FFFFFF"/>
            <w:noWrap/>
            <w:vAlign w:val="center"/>
            <w:hideMark/>
          </w:tcPr>
          <w:p w14:paraId="72DB8E4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1.03 </w:t>
            </w:r>
          </w:p>
          <w:p w14:paraId="6BEE5B1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(1.03, 1.04)</w:t>
            </w:r>
          </w:p>
        </w:tc>
      </w:tr>
      <w:tr w:rsidR="008A7CEC" w:rsidRPr="00282352" w14:paraId="22F3CD9E" w14:textId="77777777" w:rsidTr="008A7CEC">
        <w:trPr>
          <w:cantSplit/>
          <w:trHeight w:val="20"/>
          <w:jc w:val="center"/>
        </w:trPr>
        <w:tc>
          <w:tcPr>
            <w:tcW w:w="2663" w:type="dxa"/>
            <w:shd w:val="clear" w:color="000000" w:fill="FFFFFF"/>
            <w:vAlign w:val="center"/>
            <w:hideMark/>
          </w:tcPr>
          <w:p w14:paraId="1A880CB6"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Vascular or circulatory disease</w:t>
            </w:r>
            <w:r>
              <w:rPr>
                <w:rFonts w:eastAsia="Times New Roman" w:cstheme="minorHAnsi"/>
                <w:sz w:val="20"/>
                <w:szCs w:val="20"/>
              </w:rPr>
              <w:t xml:space="preserve"> (CC 106, 107, 108, 109 </w:t>
            </w:r>
            <w:r w:rsidRPr="0005192D">
              <w:rPr>
                <w:rFonts w:eastAsia="Times New Roman" w:cstheme="minorHAnsi"/>
                <w:sz w:val="20"/>
                <w:szCs w:val="20"/>
              </w:rPr>
              <w:t>[remove ICD-9-CM codes 440.1, 442.1])</w:t>
            </w:r>
          </w:p>
        </w:tc>
        <w:tc>
          <w:tcPr>
            <w:tcW w:w="1583" w:type="dxa"/>
            <w:shd w:val="clear" w:color="auto" w:fill="auto"/>
            <w:vAlign w:val="center"/>
            <w:hideMark/>
          </w:tcPr>
          <w:p w14:paraId="705C58F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1,220,671 (48.0%)</w:t>
            </w:r>
          </w:p>
        </w:tc>
        <w:tc>
          <w:tcPr>
            <w:tcW w:w="1419" w:type="dxa"/>
            <w:shd w:val="clear" w:color="auto" w:fill="auto"/>
            <w:vAlign w:val="center"/>
            <w:hideMark/>
          </w:tcPr>
          <w:p w14:paraId="21CDD41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1,220,923</w:t>
            </w:r>
          </w:p>
          <w:p w14:paraId="704D965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(48.0%)</w:t>
            </w:r>
          </w:p>
        </w:tc>
        <w:tc>
          <w:tcPr>
            <w:tcW w:w="1980" w:type="dxa"/>
            <w:shd w:val="clear" w:color="000000" w:fill="FFFFFF"/>
            <w:noWrap/>
            <w:vAlign w:val="center"/>
            <w:hideMark/>
          </w:tcPr>
          <w:p w14:paraId="6B8EA09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1.11 </w:t>
            </w:r>
          </w:p>
          <w:p w14:paraId="59B29D7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(1.11, 1.12)</w:t>
            </w:r>
          </w:p>
        </w:tc>
        <w:tc>
          <w:tcPr>
            <w:tcW w:w="1980" w:type="dxa"/>
            <w:shd w:val="clear" w:color="000000" w:fill="FFFFFF"/>
            <w:noWrap/>
            <w:vAlign w:val="center"/>
            <w:hideMark/>
          </w:tcPr>
          <w:p w14:paraId="344EA589"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1.12 </w:t>
            </w:r>
          </w:p>
          <w:p w14:paraId="4831361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(1.11, 1.12)</w:t>
            </w:r>
          </w:p>
        </w:tc>
      </w:tr>
      <w:tr w:rsidR="008A7CEC" w:rsidRPr="00282352" w14:paraId="36FAD650" w14:textId="77777777" w:rsidTr="008A7CEC">
        <w:trPr>
          <w:cantSplit/>
          <w:trHeight w:val="20"/>
          <w:jc w:val="center"/>
        </w:trPr>
        <w:tc>
          <w:tcPr>
            <w:tcW w:w="2663" w:type="dxa"/>
            <w:shd w:val="clear" w:color="000000" w:fill="FFFFFF"/>
            <w:vAlign w:val="center"/>
            <w:hideMark/>
          </w:tcPr>
          <w:p w14:paraId="7E23FD03"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Other significant endocrine disorders</w:t>
            </w:r>
            <w:r w:rsidRPr="0005192D">
              <w:rPr>
                <w:rFonts w:eastAsia="Times New Roman" w:cstheme="minorHAnsi"/>
                <w:sz w:val="20"/>
                <w:szCs w:val="20"/>
              </w:rPr>
              <w:t xml:space="preserve"> (CC 23 [remove ICD-9-CM codes 271.4, 588.1, 588.81])</w:t>
            </w:r>
          </w:p>
        </w:tc>
        <w:tc>
          <w:tcPr>
            <w:tcW w:w="1583" w:type="dxa"/>
            <w:shd w:val="clear" w:color="auto" w:fill="auto"/>
            <w:vAlign w:val="center"/>
            <w:hideMark/>
          </w:tcPr>
          <w:p w14:paraId="45AE5B6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135,624</w:t>
            </w:r>
          </w:p>
          <w:p w14:paraId="4CF4FC8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(5.3%)</w:t>
            </w:r>
          </w:p>
        </w:tc>
        <w:tc>
          <w:tcPr>
            <w:tcW w:w="1419" w:type="dxa"/>
            <w:shd w:val="clear" w:color="auto" w:fill="auto"/>
            <w:vAlign w:val="center"/>
            <w:hideMark/>
          </w:tcPr>
          <w:p w14:paraId="6D894BF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135,902</w:t>
            </w:r>
          </w:p>
          <w:p w14:paraId="4733488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(5.3%)</w:t>
            </w:r>
          </w:p>
        </w:tc>
        <w:tc>
          <w:tcPr>
            <w:tcW w:w="1980" w:type="dxa"/>
            <w:shd w:val="clear" w:color="000000" w:fill="FFFFFF"/>
            <w:noWrap/>
            <w:vAlign w:val="center"/>
            <w:hideMark/>
          </w:tcPr>
          <w:p w14:paraId="15720CC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1.04 </w:t>
            </w:r>
          </w:p>
          <w:p w14:paraId="53610EC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(1.03, 1.05)</w:t>
            </w:r>
          </w:p>
        </w:tc>
        <w:tc>
          <w:tcPr>
            <w:tcW w:w="1980" w:type="dxa"/>
            <w:shd w:val="clear" w:color="000000" w:fill="FFFFFF"/>
            <w:noWrap/>
            <w:vAlign w:val="center"/>
            <w:hideMark/>
          </w:tcPr>
          <w:p w14:paraId="4D81A683"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1.04 </w:t>
            </w:r>
          </w:p>
          <w:p w14:paraId="01DDD9D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(1.03, 1.04)</w:t>
            </w:r>
          </w:p>
        </w:tc>
      </w:tr>
      <w:tr w:rsidR="008A7CEC" w:rsidRPr="00282352" w14:paraId="4C81C9D0" w14:textId="77777777" w:rsidTr="008A7CEC">
        <w:trPr>
          <w:cantSplit/>
          <w:trHeight w:val="20"/>
          <w:jc w:val="center"/>
        </w:trPr>
        <w:tc>
          <w:tcPr>
            <w:tcW w:w="2663" w:type="dxa"/>
            <w:shd w:val="clear" w:color="000000" w:fill="FFFFFF"/>
            <w:vAlign w:val="center"/>
            <w:hideMark/>
          </w:tcPr>
          <w:p w14:paraId="4FFC804C"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Other disabilities and paralysis</w:t>
            </w:r>
            <w:r w:rsidRPr="0005192D">
              <w:rPr>
                <w:rFonts w:eastAsia="Times New Roman" w:cstheme="minorHAnsi"/>
                <w:sz w:val="20"/>
                <w:szCs w:val="20"/>
              </w:rPr>
              <w:t xml:space="preserve"> (CC 72, 74, 103, 104, 119)</w:t>
            </w:r>
          </w:p>
        </w:tc>
        <w:tc>
          <w:tcPr>
            <w:tcW w:w="1583" w:type="dxa"/>
            <w:shd w:val="clear" w:color="auto" w:fill="auto"/>
            <w:vAlign w:val="center"/>
            <w:hideMark/>
          </w:tcPr>
          <w:p w14:paraId="24D2CE2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146,082</w:t>
            </w:r>
          </w:p>
          <w:p w14:paraId="463BB99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(5.7%)</w:t>
            </w:r>
          </w:p>
        </w:tc>
        <w:tc>
          <w:tcPr>
            <w:tcW w:w="1419" w:type="dxa"/>
            <w:shd w:val="clear" w:color="auto" w:fill="auto"/>
            <w:vAlign w:val="center"/>
            <w:hideMark/>
          </w:tcPr>
          <w:p w14:paraId="7C4C70C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145,630</w:t>
            </w:r>
          </w:p>
          <w:p w14:paraId="1B8FA41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(5.7%)</w:t>
            </w:r>
          </w:p>
        </w:tc>
        <w:tc>
          <w:tcPr>
            <w:tcW w:w="1980" w:type="dxa"/>
            <w:shd w:val="clear" w:color="000000" w:fill="FFFFFF"/>
            <w:noWrap/>
            <w:vAlign w:val="center"/>
            <w:hideMark/>
          </w:tcPr>
          <w:p w14:paraId="7095D9F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1.08 </w:t>
            </w:r>
          </w:p>
          <w:p w14:paraId="3FD6F47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(1.07, 1.09)</w:t>
            </w:r>
          </w:p>
        </w:tc>
        <w:tc>
          <w:tcPr>
            <w:tcW w:w="1980" w:type="dxa"/>
            <w:shd w:val="clear" w:color="000000" w:fill="FFFFFF"/>
            <w:noWrap/>
            <w:vAlign w:val="center"/>
            <w:hideMark/>
          </w:tcPr>
          <w:p w14:paraId="346DC4F6"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1.09 </w:t>
            </w:r>
          </w:p>
          <w:p w14:paraId="7229E6A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(1.08, 1.10)</w:t>
            </w:r>
          </w:p>
        </w:tc>
      </w:tr>
      <w:tr w:rsidR="008A7CEC" w:rsidRPr="00282352" w14:paraId="6E4D30AD" w14:textId="77777777" w:rsidTr="008A7CEC">
        <w:trPr>
          <w:cantSplit/>
          <w:trHeight w:val="20"/>
          <w:jc w:val="center"/>
        </w:trPr>
        <w:tc>
          <w:tcPr>
            <w:tcW w:w="2663" w:type="dxa"/>
            <w:shd w:val="clear" w:color="000000" w:fill="FFFFFF"/>
            <w:vAlign w:val="center"/>
            <w:hideMark/>
          </w:tcPr>
          <w:p w14:paraId="2A281F3C"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Substance abuse</w:t>
            </w:r>
            <w:r w:rsidRPr="0005192D">
              <w:rPr>
                <w:rFonts w:eastAsia="Times New Roman" w:cstheme="minorHAnsi"/>
                <w:sz w:val="20"/>
                <w:szCs w:val="20"/>
              </w:rPr>
              <w:t xml:space="preserve"> (CC 54, 55, 56)</w:t>
            </w:r>
          </w:p>
        </w:tc>
        <w:tc>
          <w:tcPr>
            <w:tcW w:w="1583" w:type="dxa"/>
            <w:shd w:val="clear" w:color="auto" w:fill="auto"/>
            <w:vAlign w:val="center"/>
            <w:hideMark/>
          </w:tcPr>
          <w:p w14:paraId="6042FF2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280,579</w:t>
            </w:r>
          </w:p>
          <w:p w14:paraId="0542C05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w:t>
            </w:r>
          </w:p>
        </w:tc>
        <w:tc>
          <w:tcPr>
            <w:tcW w:w="1419" w:type="dxa"/>
            <w:shd w:val="clear" w:color="auto" w:fill="auto"/>
            <w:vAlign w:val="center"/>
            <w:hideMark/>
          </w:tcPr>
          <w:p w14:paraId="6CD9FFF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280,259</w:t>
            </w:r>
          </w:p>
          <w:p w14:paraId="023E1E5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w:t>
            </w:r>
          </w:p>
        </w:tc>
        <w:tc>
          <w:tcPr>
            <w:tcW w:w="1980" w:type="dxa"/>
            <w:shd w:val="clear" w:color="000000" w:fill="FFFFFF"/>
            <w:noWrap/>
            <w:vAlign w:val="center"/>
            <w:hideMark/>
          </w:tcPr>
          <w:p w14:paraId="241FE26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1.21 </w:t>
            </w:r>
          </w:p>
          <w:p w14:paraId="763E471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(1.20, 1.22)</w:t>
            </w:r>
          </w:p>
        </w:tc>
        <w:tc>
          <w:tcPr>
            <w:tcW w:w="1980" w:type="dxa"/>
            <w:shd w:val="clear" w:color="000000" w:fill="FFFFFF"/>
            <w:noWrap/>
            <w:vAlign w:val="center"/>
            <w:hideMark/>
          </w:tcPr>
          <w:p w14:paraId="4E3B1A5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1.21 </w:t>
            </w:r>
          </w:p>
          <w:p w14:paraId="4C6F8BA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(1.20, 1.22)</w:t>
            </w:r>
          </w:p>
        </w:tc>
      </w:tr>
      <w:tr w:rsidR="008A7CEC" w:rsidRPr="00282352" w14:paraId="23C6750F" w14:textId="77777777" w:rsidTr="008A7CEC">
        <w:trPr>
          <w:cantSplit/>
          <w:trHeight w:val="20"/>
          <w:jc w:val="center"/>
        </w:trPr>
        <w:tc>
          <w:tcPr>
            <w:tcW w:w="2663" w:type="dxa"/>
            <w:shd w:val="clear" w:color="000000" w:fill="FFFFFF"/>
            <w:vAlign w:val="center"/>
            <w:hideMark/>
          </w:tcPr>
          <w:p w14:paraId="225140BB"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Other neurologic disorders</w:t>
            </w:r>
            <w:r w:rsidRPr="0005192D">
              <w:rPr>
                <w:rFonts w:eastAsia="Times New Roman" w:cstheme="minorHAnsi"/>
                <w:sz w:val="20"/>
                <w:szCs w:val="20"/>
              </w:rPr>
              <w:t xml:space="preserve"> (75, 77, 78, 79, 81, 105)</w:t>
            </w:r>
          </w:p>
        </w:tc>
        <w:tc>
          <w:tcPr>
            <w:tcW w:w="1583" w:type="dxa"/>
            <w:shd w:val="clear" w:color="auto" w:fill="auto"/>
            <w:vAlign w:val="center"/>
            <w:hideMark/>
          </w:tcPr>
          <w:p w14:paraId="222CFE5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821,639</w:t>
            </w:r>
          </w:p>
          <w:p w14:paraId="3326BA4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(32.3%)</w:t>
            </w:r>
          </w:p>
        </w:tc>
        <w:tc>
          <w:tcPr>
            <w:tcW w:w="1419" w:type="dxa"/>
            <w:shd w:val="clear" w:color="auto" w:fill="auto"/>
            <w:vAlign w:val="center"/>
            <w:hideMark/>
          </w:tcPr>
          <w:p w14:paraId="6FC5321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821,856</w:t>
            </w:r>
          </w:p>
          <w:p w14:paraId="7B1FD00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(32.3%)</w:t>
            </w:r>
          </w:p>
        </w:tc>
        <w:tc>
          <w:tcPr>
            <w:tcW w:w="1980" w:type="dxa"/>
            <w:shd w:val="clear" w:color="000000" w:fill="FFFFFF"/>
            <w:noWrap/>
            <w:vAlign w:val="center"/>
            <w:hideMark/>
          </w:tcPr>
          <w:p w14:paraId="0E7CB2E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1.10 </w:t>
            </w:r>
          </w:p>
          <w:p w14:paraId="60E8F6D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(1.10, 1.11)</w:t>
            </w:r>
          </w:p>
        </w:tc>
        <w:tc>
          <w:tcPr>
            <w:tcW w:w="1980" w:type="dxa"/>
            <w:shd w:val="clear" w:color="000000" w:fill="FFFFFF"/>
            <w:noWrap/>
            <w:vAlign w:val="center"/>
            <w:hideMark/>
          </w:tcPr>
          <w:p w14:paraId="6452F15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1.10 </w:t>
            </w:r>
          </w:p>
          <w:p w14:paraId="5D01A93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(1.09, 1.10)</w:t>
            </w:r>
          </w:p>
        </w:tc>
      </w:tr>
      <w:tr w:rsidR="008A7CEC" w:rsidRPr="00282352" w14:paraId="0851B052" w14:textId="77777777" w:rsidTr="008A7CEC">
        <w:trPr>
          <w:cantSplit/>
          <w:trHeight w:val="20"/>
          <w:jc w:val="center"/>
        </w:trPr>
        <w:tc>
          <w:tcPr>
            <w:tcW w:w="2663" w:type="dxa"/>
            <w:shd w:val="clear" w:color="000000" w:fill="FFFFFF"/>
            <w:vAlign w:val="center"/>
            <w:hideMark/>
          </w:tcPr>
          <w:p w14:paraId="0F858982"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Specified arrhythmias and other heart rhythm disorders</w:t>
            </w:r>
            <w:r w:rsidRPr="0005192D">
              <w:rPr>
                <w:rFonts w:eastAsia="Times New Roman" w:cstheme="minorHAnsi"/>
                <w:sz w:val="20"/>
                <w:szCs w:val="20"/>
              </w:rPr>
              <w:t xml:space="preserve"> (CC 96 </w:t>
            </w:r>
            <w:r>
              <w:rPr>
                <w:rFonts w:eastAsia="Times New Roman" w:cstheme="minorHAnsi"/>
                <w:sz w:val="20"/>
                <w:szCs w:val="20"/>
              </w:rPr>
              <w:t>[remove ICD-9-CM 427.31] and 97</w:t>
            </w:r>
            <w:r w:rsidRPr="0005192D">
              <w:rPr>
                <w:rFonts w:eastAsia="Times New Roman" w:cstheme="minorHAnsi"/>
                <w:sz w:val="20"/>
                <w:szCs w:val="20"/>
              </w:rPr>
              <w:t>)</w:t>
            </w:r>
          </w:p>
        </w:tc>
        <w:tc>
          <w:tcPr>
            <w:tcW w:w="1583" w:type="dxa"/>
            <w:shd w:val="clear" w:color="auto" w:fill="auto"/>
            <w:vAlign w:val="center"/>
            <w:hideMark/>
          </w:tcPr>
          <w:p w14:paraId="10F8F78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795,045</w:t>
            </w:r>
          </w:p>
          <w:p w14:paraId="3A3CAB7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(31.2%)</w:t>
            </w:r>
          </w:p>
        </w:tc>
        <w:tc>
          <w:tcPr>
            <w:tcW w:w="1419" w:type="dxa"/>
            <w:shd w:val="clear" w:color="auto" w:fill="auto"/>
            <w:vAlign w:val="center"/>
            <w:hideMark/>
          </w:tcPr>
          <w:p w14:paraId="448AE1A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794,787</w:t>
            </w:r>
          </w:p>
          <w:p w14:paraId="1EFE987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(31.2%)</w:t>
            </w:r>
          </w:p>
        </w:tc>
        <w:tc>
          <w:tcPr>
            <w:tcW w:w="1980" w:type="dxa"/>
            <w:shd w:val="clear" w:color="000000" w:fill="FFFFFF"/>
            <w:noWrap/>
            <w:vAlign w:val="center"/>
            <w:hideMark/>
          </w:tcPr>
          <w:p w14:paraId="282B9879"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1.06</w:t>
            </w:r>
          </w:p>
          <w:p w14:paraId="2B8516E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(1.05, 1.06)</w:t>
            </w:r>
          </w:p>
        </w:tc>
        <w:tc>
          <w:tcPr>
            <w:tcW w:w="1980" w:type="dxa"/>
            <w:shd w:val="clear" w:color="000000" w:fill="FFFFFF"/>
            <w:noWrap/>
            <w:vAlign w:val="center"/>
            <w:hideMark/>
          </w:tcPr>
          <w:p w14:paraId="2BCB5CB4"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1.05 </w:t>
            </w:r>
          </w:p>
          <w:p w14:paraId="33B02A4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(1.05, 1.06)</w:t>
            </w:r>
          </w:p>
        </w:tc>
      </w:tr>
      <w:tr w:rsidR="008A7CEC" w:rsidRPr="00282352" w14:paraId="0D600143" w14:textId="77777777" w:rsidTr="008A7CEC">
        <w:trPr>
          <w:cantSplit/>
          <w:trHeight w:val="20"/>
          <w:jc w:val="center"/>
        </w:trPr>
        <w:tc>
          <w:tcPr>
            <w:tcW w:w="2663" w:type="dxa"/>
            <w:shd w:val="clear" w:color="000000" w:fill="FFFFFF"/>
            <w:vAlign w:val="center"/>
            <w:hideMark/>
          </w:tcPr>
          <w:p w14:paraId="40E5EFD0"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Hypertension</w:t>
            </w:r>
            <w:r w:rsidRPr="0005192D">
              <w:rPr>
                <w:rFonts w:eastAsia="Times New Roman" w:cstheme="minorHAnsi"/>
                <w:sz w:val="20"/>
                <w:szCs w:val="20"/>
              </w:rPr>
              <w:t xml:space="preserve"> (CC 95)</w:t>
            </w:r>
          </w:p>
        </w:tc>
        <w:tc>
          <w:tcPr>
            <w:tcW w:w="1583" w:type="dxa"/>
            <w:shd w:val="clear" w:color="auto" w:fill="auto"/>
            <w:vAlign w:val="center"/>
            <w:hideMark/>
          </w:tcPr>
          <w:p w14:paraId="502DD6F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2,295,094 (90.2%)</w:t>
            </w:r>
          </w:p>
        </w:tc>
        <w:tc>
          <w:tcPr>
            <w:tcW w:w="1419" w:type="dxa"/>
            <w:shd w:val="clear" w:color="auto" w:fill="auto"/>
            <w:vAlign w:val="center"/>
            <w:hideMark/>
          </w:tcPr>
          <w:p w14:paraId="099D1B8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2,295,906 (90.2%)</w:t>
            </w:r>
          </w:p>
        </w:tc>
        <w:tc>
          <w:tcPr>
            <w:tcW w:w="1980" w:type="dxa"/>
            <w:shd w:val="clear" w:color="000000" w:fill="FFFFFF"/>
            <w:noWrap/>
            <w:vAlign w:val="center"/>
            <w:hideMark/>
          </w:tcPr>
          <w:p w14:paraId="6B36A4D2"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1.04 </w:t>
            </w:r>
          </w:p>
          <w:p w14:paraId="2A5DF9C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(1.03, 1.05)</w:t>
            </w:r>
          </w:p>
        </w:tc>
        <w:tc>
          <w:tcPr>
            <w:tcW w:w="1980" w:type="dxa"/>
            <w:shd w:val="clear" w:color="000000" w:fill="FFFFFF"/>
            <w:noWrap/>
            <w:vAlign w:val="center"/>
            <w:hideMark/>
          </w:tcPr>
          <w:p w14:paraId="72436FD9"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1.04</w:t>
            </w:r>
          </w:p>
          <w:p w14:paraId="2026D90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 (1.03, 1.05)</w:t>
            </w:r>
          </w:p>
        </w:tc>
      </w:tr>
      <w:tr w:rsidR="008A7CEC" w:rsidRPr="00282352" w14:paraId="2A643784" w14:textId="77777777" w:rsidTr="008A7CEC">
        <w:trPr>
          <w:cantSplit/>
          <w:trHeight w:val="20"/>
          <w:jc w:val="center"/>
        </w:trPr>
        <w:tc>
          <w:tcPr>
            <w:tcW w:w="2663" w:type="dxa"/>
            <w:shd w:val="clear" w:color="000000" w:fill="FFFFFF"/>
            <w:vAlign w:val="center"/>
            <w:hideMark/>
          </w:tcPr>
          <w:p w14:paraId="371D3185"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Hip or vertebral fracture</w:t>
            </w:r>
            <w:r w:rsidRPr="0005192D">
              <w:rPr>
                <w:rFonts w:eastAsia="Times New Roman" w:cstheme="minorHAnsi"/>
                <w:sz w:val="20"/>
                <w:szCs w:val="20"/>
              </w:rPr>
              <w:t xml:space="preserve"> (CC 169, 170)</w:t>
            </w:r>
          </w:p>
        </w:tc>
        <w:tc>
          <w:tcPr>
            <w:tcW w:w="1583" w:type="dxa"/>
            <w:shd w:val="clear" w:color="auto" w:fill="auto"/>
            <w:vAlign w:val="center"/>
            <w:hideMark/>
          </w:tcPr>
          <w:p w14:paraId="76018E6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152,277</w:t>
            </w:r>
          </w:p>
          <w:p w14:paraId="34C13CD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(6.0%)</w:t>
            </w:r>
          </w:p>
        </w:tc>
        <w:tc>
          <w:tcPr>
            <w:tcW w:w="1419" w:type="dxa"/>
            <w:shd w:val="clear" w:color="auto" w:fill="auto"/>
            <w:vAlign w:val="center"/>
            <w:hideMark/>
          </w:tcPr>
          <w:p w14:paraId="7447F71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152,497</w:t>
            </w:r>
          </w:p>
          <w:p w14:paraId="07E0332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(6.0%)</w:t>
            </w:r>
          </w:p>
        </w:tc>
        <w:tc>
          <w:tcPr>
            <w:tcW w:w="1980" w:type="dxa"/>
            <w:shd w:val="clear" w:color="000000" w:fill="FFFFFF"/>
            <w:noWrap/>
            <w:vAlign w:val="center"/>
            <w:hideMark/>
          </w:tcPr>
          <w:p w14:paraId="3F16754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1.06 </w:t>
            </w:r>
          </w:p>
          <w:p w14:paraId="5B9EA53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(1.05, 1.07)</w:t>
            </w:r>
          </w:p>
        </w:tc>
        <w:tc>
          <w:tcPr>
            <w:tcW w:w="1980" w:type="dxa"/>
            <w:shd w:val="clear" w:color="000000" w:fill="FFFFFF"/>
            <w:noWrap/>
            <w:vAlign w:val="center"/>
            <w:hideMark/>
          </w:tcPr>
          <w:p w14:paraId="70345F08"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242E970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(1.06, 1.08)</w:t>
            </w:r>
          </w:p>
        </w:tc>
      </w:tr>
      <w:tr w:rsidR="008A7CEC" w:rsidRPr="00282352" w14:paraId="02A6E6BC" w14:textId="77777777" w:rsidTr="008A7CEC">
        <w:trPr>
          <w:cantSplit/>
          <w:trHeight w:val="20"/>
          <w:jc w:val="center"/>
        </w:trPr>
        <w:tc>
          <w:tcPr>
            <w:tcW w:w="2663" w:type="dxa"/>
            <w:shd w:val="clear" w:color="000000" w:fill="FFFFFF"/>
            <w:vAlign w:val="center"/>
            <w:hideMark/>
          </w:tcPr>
          <w:p w14:paraId="61B28C3B"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Lower-risk cardiovascular disease</w:t>
            </w:r>
            <w:r w:rsidRPr="0005192D">
              <w:rPr>
                <w:rFonts w:eastAsia="Times New Roman" w:cstheme="minorHAnsi"/>
                <w:sz w:val="20"/>
                <w:szCs w:val="20"/>
              </w:rPr>
              <w:t xml:space="preserve"> (CC 91, 92, 93)</w:t>
            </w:r>
          </w:p>
        </w:tc>
        <w:tc>
          <w:tcPr>
            <w:tcW w:w="1583" w:type="dxa"/>
            <w:shd w:val="clear" w:color="auto" w:fill="auto"/>
            <w:vAlign w:val="center"/>
            <w:hideMark/>
          </w:tcPr>
          <w:p w14:paraId="19BAA60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685,161</w:t>
            </w:r>
          </w:p>
          <w:p w14:paraId="287F1D6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(26.9%)</w:t>
            </w:r>
          </w:p>
        </w:tc>
        <w:tc>
          <w:tcPr>
            <w:tcW w:w="1419" w:type="dxa"/>
            <w:shd w:val="clear" w:color="auto" w:fill="auto"/>
            <w:vAlign w:val="center"/>
            <w:hideMark/>
          </w:tcPr>
          <w:p w14:paraId="2F98A6C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686,223</w:t>
            </w:r>
          </w:p>
          <w:p w14:paraId="0E4210E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(27.0%)</w:t>
            </w:r>
          </w:p>
        </w:tc>
        <w:tc>
          <w:tcPr>
            <w:tcW w:w="1980" w:type="dxa"/>
            <w:shd w:val="clear" w:color="000000" w:fill="FFFFFF"/>
            <w:noWrap/>
            <w:vAlign w:val="center"/>
            <w:hideMark/>
          </w:tcPr>
          <w:p w14:paraId="178E6E9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1.02 </w:t>
            </w:r>
          </w:p>
          <w:p w14:paraId="4E3665E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(1.02, 1.03)</w:t>
            </w:r>
          </w:p>
        </w:tc>
        <w:tc>
          <w:tcPr>
            <w:tcW w:w="1980" w:type="dxa"/>
            <w:shd w:val="clear" w:color="000000" w:fill="FFFFFF"/>
            <w:noWrap/>
            <w:vAlign w:val="center"/>
            <w:hideMark/>
          </w:tcPr>
          <w:p w14:paraId="17F1670E"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1.01 </w:t>
            </w:r>
          </w:p>
          <w:p w14:paraId="230B46C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(1.01, 1.02)</w:t>
            </w:r>
          </w:p>
        </w:tc>
      </w:tr>
      <w:tr w:rsidR="008A7CEC" w:rsidRPr="00282352" w14:paraId="330399C5" w14:textId="77777777" w:rsidTr="008A7CEC">
        <w:trPr>
          <w:cantSplit/>
          <w:trHeight w:val="20"/>
          <w:jc w:val="center"/>
        </w:trPr>
        <w:tc>
          <w:tcPr>
            <w:tcW w:w="2663" w:type="dxa"/>
            <w:shd w:val="clear" w:color="000000" w:fill="FFFFFF"/>
            <w:vAlign w:val="center"/>
            <w:hideMark/>
          </w:tcPr>
          <w:p w14:paraId="57EE74BD"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Cerebrovascular disease</w:t>
            </w:r>
            <w:r w:rsidRPr="0005192D">
              <w:rPr>
                <w:rFonts w:eastAsia="Times New Roman" w:cstheme="minorHAnsi"/>
                <w:sz w:val="20"/>
                <w:szCs w:val="20"/>
              </w:rPr>
              <w:t xml:space="preserve"> (CC 102)</w:t>
            </w:r>
          </w:p>
        </w:tc>
        <w:tc>
          <w:tcPr>
            <w:tcW w:w="1583" w:type="dxa"/>
            <w:shd w:val="clear" w:color="auto" w:fill="auto"/>
            <w:vAlign w:val="center"/>
            <w:hideMark/>
          </w:tcPr>
          <w:p w14:paraId="72016A9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181,806</w:t>
            </w:r>
          </w:p>
          <w:p w14:paraId="3B627A2C"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(7.1%)</w:t>
            </w:r>
          </w:p>
        </w:tc>
        <w:tc>
          <w:tcPr>
            <w:tcW w:w="1419" w:type="dxa"/>
            <w:shd w:val="clear" w:color="auto" w:fill="auto"/>
            <w:vAlign w:val="center"/>
            <w:hideMark/>
          </w:tcPr>
          <w:p w14:paraId="4BF5ABB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181,123</w:t>
            </w:r>
          </w:p>
          <w:p w14:paraId="2AC8B0F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(7.1%)</w:t>
            </w:r>
          </w:p>
        </w:tc>
        <w:tc>
          <w:tcPr>
            <w:tcW w:w="1980" w:type="dxa"/>
            <w:shd w:val="clear" w:color="000000" w:fill="FFFFFF"/>
            <w:noWrap/>
            <w:vAlign w:val="center"/>
            <w:hideMark/>
          </w:tcPr>
          <w:p w14:paraId="7039E3B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1.07 </w:t>
            </w:r>
          </w:p>
          <w:p w14:paraId="77E3056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(1.06, 1.07)</w:t>
            </w:r>
          </w:p>
        </w:tc>
        <w:tc>
          <w:tcPr>
            <w:tcW w:w="1980" w:type="dxa"/>
            <w:shd w:val="clear" w:color="000000" w:fill="FFFFFF"/>
            <w:noWrap/>
            <w:vAlign w:val="center"/>
            <w:hideMark/>
          </w:tcPr>
          <w:p w14:paraId="5B542E4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1.08 </w:t>
            </w:r>
          </w:p>
          <w:p w14:paraId="4780CB4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(1.07, 1.09)</w:t>
            </w:r>
          </w:p>
        </w:tc>
      </w:tr>
      <w:tr w:rsidR="008A7CEC" w:rsidRPr="00282352" w14:paraId="7F19099E" w14:textId="77777777" w:rsidTr="008A7CEC">
        <w:trPr>
          <w:cantSplit/>
          <w:trHeight w:val="20"/>
          <w:jc w:val="center"/>
        </w:trPr>
        <w:tc>
          <w:tcPr>
            <w:tcW w:w="2663" w:type="dxa"/>
            <w:shd w:val="clear" w:color="000000" w:fill="FFFFFF"/>
            <w:vAlign w:val="center"/>
            <w:hideMark/>
          </w:tcPr>
          <w:p w14:paraId="2C2EE3C6"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Morbid obesity</w:t>
            </w:r>
            <w:r w:rsidRPr="0005192D">
              <w:rPr>
                <w:rFonts w:eastAsia="Times New Roman" w:cstheme="minorHAnsi"/>
                <w:sz w:val="20"/>
                <w:szCs w:val="20"/>
              </w:rPr>
              <w:t xml:space="preserve"> (ICD-9-CM V853.5, V853.6, V853.7, V853.8, 278.01, V853.9, V854.4, V854.5, V854.3)</w:t>
            </w:r>
          </w:p>
        </w:tc>
        <w:tc>
          <w:tcPr>
            <w:tcW w:w="1583" w:type="dxa"/>
            <w:shd w:val="clear" w:color="auto" w:fill="auto"/>
            <w:vAlign w:val="center"/>
            <w:hideMark/>
          </w:tcPr>
          <w:p w14:paraId="1DE4E82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186,631</w:t>
            </w:r>
          </w:p>
          <w:p w14:paraId="71AB66C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(7.3%)</w:t>
            </w:r>
          </w:p>
        </w:tc>
        <w:tc>
          <w:tcPr>
            <w:tcW w:w="1419" w:type="dxa"/>
            <w:shd w:val="clear" w:color="auto" w:fill="auto"/>
            <w:vAlign w:val="center"/>
            <w:hideMark/>
          </w:tcPr>
          <w:p w14:paraId="5793B49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186,745</w:t>
            </w:r>
          </w:p>
          <w:p w14:paraId="5884EBD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(7.3%)</w:t>
            </w:r>
          </w:p>
        </w:tc>
        <w:tc>
          <w:tcPr>
            <w:tcW w:w="1980" w:type="dxa"/>
            <w:shd w:val="clear" w:color="000000" w:fill="FFFFFF"/>
            <w:noWrap/>
            <w:vAlign w:val="center"/>
            <w:hideMark/>
          </w:tcPr>
          <w:p w14:paraId="7E5853C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1.05 </w:t>
            </w:r>
          </w:p>
          <w:p w14:paraId="1D9397E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(1.04, 1.06)</w:t>
            </w:r>
          </w:p>
        </w:tc>
        <w:tc>
          <w:tcPr>
            <w:tcW w:w="1980" w:type="dxa"/>
            <w:shd w:val="clear" w:color="000000" w:fill="FFFFFF"/>
            <w:noWrap/>
            <w:vAlign w:val="center"/>
            <w:hideMark/>
          </w:tcPr>
          <w:p w14:paraId="4236FD7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1.05 </w:t>
            </w:r>
          </w:p>
          <w:p w14:paraId="52A7815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(1.04, 1.06)</w:t>
            </w:r>
          </w:p>
        </w:tc>
      </w:tr>
      <w:tr w:rsidR="008A7CEC" w:rsidRPr="00282352" w14:paraId="1CBD16F1" w14:textId="77777777" w:rsidTr="008A7CEC">
        <w:trPr>
          <w:cantSplit/>
          <w:trHeight w:val="20"/>
          <w:jc w:val="center"/>
        </w:trPr>
        <w:tc>
          <w:tcPr>
            <w:tcW w:w="2663" w:type="dxa"/>
            <w:shd w:val="clear" w:color="000000" w:fill="FFFFFF"/>
            <w:vAlign w:val="center"/>
            <w:hideMark/>
          </w:tcPr>
          <w:p w14:paraId="7E92E2A3"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Urinary disorders</w:t>
            </w:r>
            <w:r w:rsidRPr="0005192D">
              <w:rPr>
                <w:rFonts w:eastAsia="Times New Roman" w:cstheme="minorHAnsi"/>
                <w:sz w:val="20"/>
                <w:szCs w:val="20"/>
              </w:rPr>
              <w:t xml:space="preserve"> (CC 142 [remove ICD-9-CM codes 591, 753.21, 753.20, 753.29, 753.22, 753.23] and 145 [remove ICD-9-CM 587, 588.9, 588.89, 753.12, 753.13, 753.15, 753.16, 753.17, 753.19])</w:t>
            </w:r>
          </w:p>
        </w:tc>
        <w:tc>
          <w:tcPr>
            <w:tcW w:w="1583" w:type="dxa"/>
            <w:shd w:val="clear" w:color="auto" w:fill="auto"/>
            <w:vAlign w:val="center"/>
            <w:hideMark/>
          </w:tcPr>
          <w:p w14:paraId="640D8B5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753,383</w:t>
            </w:r>
          </w:p>
          <w:p w14:paraId="76A65EE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(29.6%)</w:t>
            </w:r>
          </w:p>
        </w:tc>
        <w:tc>
          <w:tcPr>
            <w:tcW w:w="1419" w:type="dxa"/>
            <w:shd w:val="clear" w:color="auto" w:fill="auto"/>
            <w:vAlign w:val="center"/>
            <w:hideMark/>
          </w:tcPr>
          <w:p w14:paraId="6793411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753,208</w:t>
            </w:r>
          </w:p>
          <w:p w14:paraId="17342D4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(29.6%)</w:t>
            </w:r>
          </w:p>
        </w:tc>
        <w:tc>
          <w:tcPr>
            <w:tcW w:w="1980" w:type="dxa"/>
            <w:shd w:val="clear" w:color="000000" w:fill="FFFFFF"/>
            <w:noWrap/>
            <w:vAlign w:val="center"/>
            <w:hideMark/>
          </w:tcPr>
          <w:p w14:paraId="47B9B92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1.05 </w:t>
            </w:r>
          </w:p>
          <w:p w14:paraId="3B02295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(1.05, 1.06)</w:t>
            </w:r>
          </w:p>
        </w:tc>
        <w:tc>
          <w:tcPr>
            <w:tcW w:w="1980" w:type="dxa"/>
            <w:shd w:val="clear" w:color="000000" w:fill="FFFFFF"/>
            <w:noWrap/>
            <w:vAlign w:val="center"/>
            <w:hideMark/>
          </w:tcPr>
          <w:p w14:paraId="5CF91D09"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1.04 </w:t>
            </w:r>
          </w:p>
          <w:p w14:paraId="5BDBDD1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(1.04, 1.05)</w:t>
            </w:r>
          </w:p>
        </w:tc>
      </w:tr>
      <w:tr w:rsidR="008A7CEC" w:rsidRPr="00282352" w14:paraId="32330106" w14:textId="77777777" w:rsidTr="008A7CEC">
        <w:trPr>
          <w:cantSplit/>
          <w:trHeight w:val="20"/>
          <w:jc w:val="center"/>
        </w:trPr>
        <w:tc>
          <w:tcPr>
            <w:tcW w:w="2663" w:type="dxa"/>
            <w:shd w:val="clear" w:color="000000" w:fill="FFFFFF"/>
            <w:vAlign w:val="center"/>
            <w:hideMark/>
          </w:tcPr>
          <w:p w14:paraId="1D25EAC1" w14:textId="77777777" w:rsidR="008A7CEC" w:rsidRPr="0005192D" w:rsidRDefault="008A7CEC" w:rsidP="008A7CEC">
            <w:pPr>
              <w:spacing w:after="0"/>
              <w:rPr>
                <w:rFonts w:eastAsia="Times New Roman" w:cstheme="minorHAnsi"/>
                <w:sz w:val="20"/>
                <w:szCs w:val="20"/>
              </w:rPr>
            </w:pPr>
            <w:r w:rsidRPr="008524D6">
              <w:rPr>
                <w:rFonts w:eastAsia="Times New Roman" w:cstheme="minorHAnsi"/>
                <w:b/>
                <w:sz w:val="20"/>
                <w:szCs w:val="20"/>
              </w:rPr>
              <w:t>Psychiatric disorders other than depression</w:t>
            </w:r>
            <w:r w:rsidRPr="0005192D">
              <w:rPr>
                <w:rFonts w:eastAsia="Times New Roman" w:cstheme="minorHAnsi"/>
                <w:sz w:val="20"/>
                <w:szCs w:val="20"/>
              </w:rPr>
              <w:t xml:space="preserve"> (CC 57, 59 [remove ICD-9 CM 298.0], 60, 62, 63)</w:t>
            </w:r>
          </w:p>
        </w:tc>
        <w:tc>
          <w:tcPr>
            <w:tcW w:w="1583" w:type="dxa"/>
            <w:shd w:val="clear" w:color="auto" w:fill="auto"/>
            <w:vAlign w:val="center"/>
            <w:hideMark/>
          </w:tcPr>
          <w:p w14:paraId="52ABA15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673,981</w:t>
            </w:r>
          </w:p>
          <w:p w14:paraId="1D5A4FE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(26.5%)</w:t>
            </w:r>
          </w:p>
        </w:tc>
        <w:tc>
          <w:tcPr>
            <w:tcW w:w="1419" w:type="dxa"/>
            <w:shd w:val="clear" w:color="auto" w:fill="auto"/>
            <w:vAlign w:val="center"/>
            <w:hideMark/>
          </w:tcPr>
          <w:p w14:paraId="2CB8A9C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672,927</w:t>
            </w:r>
          </w:p>
          <w:p w14:paraId="43556AF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(26.4%)</w:t>
            </w:r>
          </w:p>
        </w:tc>
        <w:tc>
          <w:tcPr>
            <w:tcW w:w="1980" w:type="dxa"/>
            <w:shd w:val="clear" w:color="000000" w:fill="FFFFFF"/>
            <w:noWrap/>
            <w:vAlign w:val="center"/>
            <w:hideMark/>
          </w:tcPr>
          <w:p w14:paraId="3EF475D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 (1.09, 1.10)</w:t>
            </w:r>
          </w:p>
        </w:tc>
        <w:tc>
          <w:tcPr>
            <w:tcW w:w="1980" w:type="dxa"/>
            <w:shd w:val="clear" w:color="000000" w:fill="FFFFFF"/>
            <w:noWrap/>
            <w:vAlign w:val="center"/>
            <w:hideMark/>
          </w:tcPr>
          <w:p w14:paraId="435AA914"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1.09</w:t>
            </w:r>
          </w:p>
          <w:p w14:paraId="08153F8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 (1.09, 1.10)</w:t>
            </w:r>
          </w:p>
        </w:tc>
      </w:tr>
      <w:bookmarkEnd w:id="8"/>
      <w:tr w:rsidR="008A7CEC" w:rsidRPr="00282352" w14:paraId="4A077DFB" w14:textId="77777777" w:rsidTr="008A7CEC">
        <w:trPr>
          <w:cantSplit/>
          <w:trHeight w:val="67"/>
          <w:jc w:val="center"/>
        </w:trPr>
        <w:tc>
          <w:tcPr>
            <w:tcW w:w="9625" w:type="dxa"/>
            <w:gridSpan w:val="5"/>
            <w:shd w:val="clear" w:color="auto" w:fill="F2F2F2" w:themeFill="background1" w:themeFillShade="F2"/>
            <w:vAlign w:val="center"/>
            <w:hideMark/>
          </w:tcPr>
          <w:p w14:paraId="69BB1AFE" w14:textId="77777777" w:rsidR="008A7CEC" w:rsidRPr="0005192D" w:rsidRDefault="008A7CEC" w:rsidP="008A7CEC">
            <w:pPr>
              <w:spacing w:after="0"/>
              <w:rPr>
                <w:rFonts w:eastAsia="Times New Roman" w:cstheme="minorHAnsi"/>
                <w:sz w:val="20"/>
                <w:szCs w:val="20"/>
              </w:rPr>
            </w:pPr>
            <w:r w:rsidRPr="0005192D">
              <w:rPr>
                <w:rFonts w:eastAsia="Times New Roman" w:cstheme="minorHAnsi"/>
                <w:b/>
                <w:bCs/>
                <w:sz w:val="20"/>
                <w:szCs w:val="20"/>
              </w:rPr>
              <w:t>Measures of frailty/disability</w:t>
            </w:r>
            <w:r w:rsidRPr="0005192D" w:rsidDel="003F1F30">
              <w:rPr>
                <w:rFonts w:eastAsia="Times New Roman" w:cstheme="minorHAnsi"/>
                <w:b/>
                <w:bCs/>
                <w:sz w:val="20"/>
                <w:szCs w:val="20"/>
              </w:rPr>
              <w:t xml:space="preserve"> </w:t>
            </w:r>
            <w:r w:rsidRPr="0005192D">
              <w:rPr>
                <w:rFonts w:eastAsia="Times New Roman" w:cstheme="minorHAnsi"/>
                <w:b/>
                <w:bCs/>
                <w:sz w:val="20"/>
                <w:szCs w:val="20"/>
              </w:rPr>
              <w:br/>
            </w:r>
            <w:r w:rsidRPr="0005192D">
              <w:rPr>
                <w:rFonts w:eastAsia="Times New Roman" w:cstheme="minorHAnsi"/>
                <w:sz w:val="20"/>
                <w:szCs w:val="20"/>
              </w:rPr>
              <w:t xml:space="preserve">Defined using Policy Group Maps maintained by Palmetto GBA </w:t>
            </w:r>
            <w:r>
              <w:rPr>
                <w:rFonts w:eastAsia="Times New Roman" w:cstheme="minorHAnsi"/>
                <w:sz w:val="20"/>
                <w:szCs w:val="20"/>
              </w:rPr>
              <w:t>under contract to CMS for Durable Medical Equipment</w:t>
            </w:r>
            <w:r w:rsidRPr="0005192D">
              <w:rPr>
                <w:rFonts w:eastAsia="Times New Roman" w:cstheme="minorHAnsi"/>
                <w:sz w:val="20"/>
                <w:szCs w:val="20"/>
              </w:rPr>
              <w:t xml:space="preserve"> or original reason for Medicare entitlement</w:t>
            </w:r>
            <w:r w:rsidRPr="0005192D">
              <w:rPr>
                <w:rFonts w:eastAsia="Times New Roman" w:cstheme="minorHAnsi"/>
                <w:b/>
                <w:bCs/>
                <w:sz w:val="20"/>
                <w:szCs w:val="20"/>
              </w:rPr>
              <w:t> </w:t>
            </w:r>
          </w:p>
        </w:tc>
      </w:tr>
      <w:tr w:rsidR="008A7CEC" w:rsidRPr="00282352" w14:paraId="484477D7" w14:textId="77777777" w:rsidTr="008A7CEC">
        <w:trPr>
          <w:cantSplit/>
          <w:trHeight w:val="20"/>
          <w:jc w:val="center"/>
        </w:trPr>
        <w:tc>
          <w:tcPr>
            <w:tcW w:w="2663" w:type="dxa"/>
            <w:shd w:val="clear" w:color="000000" w:fill="FFFFFF"/>
            <w:noWrap/>
            <w:vAlign w:val="center"/>
            <w:hideMark/>
          </w:tcPr>
          <w:p w14:paraId="1C78DBC1" w14:textId="77777777" w:rsidR="008A7CEC" w:rsidRDefault="008A7CEC" w:rsidP="008A7CEC">
            <w:pPr>
              <w:spacing w:after="0"/>
              <w:rPr>
                <w:rFonts w:eastAsia="Times New Roman" w:cstheme="minorHAnsi"/>
                <w:sz w:val="20"/>
                <w:szCs w:val="20"/>
              </w:rPr>
            </w:pPr>
            <w:bookmarkStart w:id="9" w:name="_Hlk5885889"/>
            <w:r w:rsidRPr="0005192D">
              <w:rPr>
                <w:rFonts w:eastAsia="Times New Roman" w:cstheme="minorHAnsi"/>
                <w:b/>
                <w:sz w:val="20"/>
                <w:szCs w:val="20"/>
              </w:rPr>
              <w:t>Walking aids</w:t>
            </w:r>
            <w:r w:rsidRPr="0005192D">
              <w:rPr>
                <w:rFonts w:eastAsia="Times New Roman" w:cstheme="minorHAnsi"/>
                <w:sz w:val="20"/>
                <w:szCs w:val="20"/>
              </w:rPr>
              <w:t xml:space="preserve"> (140 and </w:t>
            </w:r>
          </w:p>
          <w:p w14:paraId="63933F39" w14:textId="77777777" w:rsidR="008A7CEC" w:rsidRPr="0005192D" w:rsidRDefault="008A7CEC" w:rsidP="008A7CEC">
            <w:pPr>
              <w:spacing w:after="0"/>
              <w:rPr>
                <w:rFonts w:eastAsia="Times New Roman" w:cstheme="minorHAnsi"/>
                <w:sz w:val="20"/>
                <w:szCs w:val="20"/>
              </w:rPr>
            </w:pPr>
            <w:r w:rsidRPr="0005192D">
              <w:rPr>
                <w:rFonts w:eastAsia="Times New Roman" w:cstheme="minorHAnsi"/>
                <w:sz w:val="20"/>
                <w:szCs w:val="20"/>
              </w:rPr>
              <w:t>590)</w:t>
            </w:r>
          </w:p>
        </w:tc>
        <w:tc>
          <w:tcPr>
            <w:tcW w:w="1583" w:type="dxa"/>
            <w:shd w:val="clear" w:color="000000" w:fill="FFFFFF"/>
            <w:vAlign w:val="center"/>
            <w:hideMark/>
          </w:tcPr>
          <w:p w14:paraId="22ED4BD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145,999</w:t>
            </w:r>
          </w:p>
          <w:p w14:paraId="0482702A"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(5.7%)</w:t>
            </w:r>
          </w:p>
        </w:tc>
        <w:tc>
          <w:tcPr>
            <w:tcW w:w="1419" w:type="dxa"/>
            <w:shd w:val="clear" w:color="000000" w:fill="FFFFFF"/>
            <w:vAlign w:val="center"/>
            <w:hideMark/>
          </w:tcPr>
          <w:p w14:paraId="1B15A99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145,609</w:t>
            </w:r>
          </w:p>
          <w:p w14:paraId="2916DCE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(5.7%)</w:t>
            </w:r>
          </w:p>
        </w:tc>
        <w:tc>
          <w:tcPr>
            <w:tcW w:w="1980" w:type="dxa"/>
            <w:shd w:val="clear" w:color="000000" w:fill="FFFFFF"/>
            <w:noWrap/>
            <w:vAlign w:val="center"/>
            <w:hideMark/>
          </w:tcPr>
          <w:p w14:paraId="6D250006"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0.97 </w:t>
            </w:r>
          </w:p>
          <w:p w14:paraId="3F7EE74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(0.97, 0.98)</w:t>
            </w:r>
          </w:p>
        </w:tc>
        <w:tc>
          <w:tcPr>
            <w:tcW w:w="1980" w:type="dxa"/>
            <w:shd w:val="clear" w:color="000000" w:fill="FFFFFF"/>
            <w:noWrap/>
            <w:vAlign w:val="center"/>
            <w:hideMark/>
          </w:tcPr>
          <w:p w14:paraId="027B8DCD"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0.97 </w:t>
            </w:r>
          </w:p>
          <w:p w14:paraId="58FBA06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(0.96, 0.98)</w:t>
            </w:r>
          </w:p>
        </w:tc>
      </w:tr>
      <w:tr w:rsidR="008A7CEC" w:rsidRPr="00282352" w14:paraId="73967868" w14:textId="77777777" w:rsidTr="008A7CEC">
        <w:trPr>
          <w:cantSplit/>
          <w:trHeight w:val="20"/>
          <w:jc w:val="center"/>
        </w:trPr>
        <w:tc>
          <w:tcPr>
            <w:tcW w:w="2663" w:type="dxa"/>
            <w:shd w:val="clear" w:color="000000" w:fill="FFFFFF"/>
            <w:vAlign w:val="center"/>
            <w:hideMark/>
          </w:tcPr>
          <w:p w14:paraId="05B65258" w14:textId="77777777" w:rsidR="008A7CEC" w:rsidRDefault="008A7CEC" w:rsidP="008A7CEC">
            <w:pPr>
              <w:spacing w:after="0"/>
              <w:rPr>
                <w:rFonts w:eastAsia="Times New Roman" w:cstheme="minorHAnsi"/>
                <w:sz w:val="20"/>
                <w:szCs w:val="20"/>
              </w:rPr>
            </w:pPr>
            <w:r w:rsidRPr="0005192D">
              <w:rPr>
                <w:rFonts w:eastAsia="Times New Roman" w:cstheme="minorHAnsi"/>
                <w:b/>
                <w:sz w:val="20"/>
                <w:szCs w:val="20"/>
              </w:rPr>
              <w:t>Wheelchairs</w:t>
            </w:r>
            <w:r w:rsidRPr="0005192D">
              <w:rPr>
                <w:rFonts w:eastAsia="Times New Roman" w:cstheme="minorHAnsi"/>
                <w:sz w:val="20"/>
                <w:szCs w:val="20"/>
              </w:rPr>
              <w:t xml:space="preserve"> (602, 603, </w:t>
            </w:r>
          </w:p>
          <w:p w14:paraId="3E81A846" w14:textId="77777777" w:rsidR="008A7CEC" w:rsidRPr="0005192D" w:rsidRDefault="008A7CEC" w:rsidP="008A7CEC">
            <w:pPr>
              <w:spacing w:after="0"/>
              <w:rPr>
                <w:rFonts w:eastAsia="Times New Roman" w:cstheme="minorHAnsi"/>
                <w:sz w:val="20"/>
                <w:szCs w:val="20"/>
              </w:rPr>
            </w:pPr>
            <w:r w:rsidRPr="0005192D">
              <w:rPr>
                <w:rFonts w:eastAsia="Times New Roman" w:cstheme="minorHAnsi"/>
                <w:sz w:val="20"/>
                <w:szCs w:val="20"/>
              </w:rPr>
              <w:t>604, 606)</w:t>
            </w:r>
          </w:p>
        </w:tc>
        <w:tc>
          <w:tcPr>
            <w:tcW w:w="1583" w:type="dxa"/>
            <w:shd w:val="clear" w:color="auto" w:fill="auto"/>
            <w:vAlign w:val="center"/>
            <w:hideMark/>
          </w:tcPr>
          <w:p w14:paraId="0F21690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121,994</w:t>
            </w:r>
          </w:p>
          <w:p w14:paraId="0FC65AE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(4.8%)</w:t>
            </w:r>
          </w:p>
        </w:tc>
        <w:tc>
          <w:tcPr>
            <w:tcW w:w="1419" w:type="dxa"/>
            <w:shd w:val="clear" w:color="auto" w:fill="auto"/>
            <w:vAlign w:val="center"/>
            <w:hideMark/>
          </w:tcPr>
          <w:p w14:paraId="479B10D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121,215</w:t>
            </w:r>
          </w:p>
          <w:p w14:paraId="22E1BA4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(4.8%)</w:t>
            </w:r>
          </w:p>
        </w:tc>
        <w:tc>
          <w:tcPr>
            <w:tcW w:w="1980" w:type="dxa"/>
            <w:shd w:val="clear" w:color="000000" w:fill="FFFFFF"/>
            <w:noWrap/>
            <w:vAlign w:val="center"/>
            <w:hideMark/>
          </w:tcPr>
          <w:p w14:paraId="48B5370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1.13</w:t>
            </w:r>
          </w:p>
          <w:p w14:paraId="6B0BCDB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(1.12, 1.14)</w:t>
            </w:r>
          </w:p>
        </w:tc>
        <w:tc>
          <w:tcPr>
            <w:tcW w:w="1980" w:type="dxa"/>
            <w:shd w:val="clear" w:color="000000" w:fill="FFFFFF"/>
            <w:noWrap/>
            <w:vAlign w:val="center"/>
            <w:hideMark/>
          </w:tcPr>
          <w:p w14:paraId="3EDFFA1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1.12 </w:t>
            </w:r>
          </w:p>
          <w:p w14:paraId="3189192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(1.11, 1.13)</w:t>
            </w:r>
          </w:p>
        </w:tc>
      </w:tr>
      <w:tr w:rsidR="008A7CEC" w:rsidRPr="00282352" w14:paraId="443A632D" w14:textId="77777777" w:rsidTr="008A7CEC">
        <w:trPr>
          <w:cantSplit/>
          <w:trHeight w:val="20"/>
          <w:jc w:val="center"/>
        </w:trPr>
        <w:tc>
          <w:tcPr>
            <w:tcW w:w="2663" w:type="dxa"/>
            <w:shd w:val="clear" w:color="000000" w:fill="FFFFFF"/>
            <w:vAlign w:val="center"/>
            <w:hideMark/>
          </w:tcPr>
          <w:p w14:paraId="6E96110F" w14:textId="77777777" w:rsidR="008A7CEC" w:rsidRPr="0005192D" w:rsidRDefault="008A7CEC" w:rsidP="008A7CEC">
            <w:pPr>
              <w:spacing w:after="0"/>
              <w:rPr>
                <w:rFonts w:eastAsia="Times New Roman" w:cstheme="minorHAnsi"/>
                <w:sz w:val="20"/>
                <w:szCs w:val="20"/>
              </w:rPr>
            </w:pPr>
            <w:r w:rsidRPr="0005192D">
              <w:rPr>
                <w:rFonts w:eastAsia="Times New Roman" w:cstheme="minorHAnsi"/>
                <w:b/>
                <w:sz w:val="20"/>
                <w:szCs w:val="20"/>
              </w:rPr>
              <w:t>Hospital bed</w:t>
            </w:r>
            <w:r w:rsidRPr="0005192D">
              <w:rPr>
                <w:rFonts w:eastAsia="Times New Roman" w:cstheme="minorHAnsi"/>
                <w:sz w:val="20"/>
                <w:szCs w:val="20"/>
              </w:rPr>
              <w:t xml:space="preserve"> (250)</w:t>
            </w:r>
          </w:p>
        </w:tc>
        <w:tc>
          <w:tcPr>
            <w:tcW w:w="1583" w:type="dxa"/>
            <w:shd w:val="clear" w:color="auto" w:fill="auto"/>
            <w:vAlign w:val="center"/>
            <w:hideMark/>
          </w:tcPr>
          <w:p w14:paraId="0E19603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53,048</w:t>
            </w:r>
          </w:p>
          <w:p w14:paraId="7E8CE9E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(2.1%)</w:t>
            </w:r>
          </w:p>
        </w:tc>
        <w:tc>
          <w:tcPr>
            <w:tcW w:w="1419" w:type="dxa"/>
            <w:shd w:val="clear" w:color="auto" w:fill="auto"/>
            <w:vAlign w:val="center"/>
            <w:hideMark/>
          </w:tcPr>
          <w:p w14:paraId="7EF55D0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52,835</w:t>
            </w:r>
          </w:p>
          <w:p w14:paraId="25FE3B1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(2.1%)</w:t>
            </w:r>
          </w:p>
        </w:tc>
        <w:tc>
          <w:tcPr>
            <w:tcW w:w="1980" w:type="dxa"/>
            <w:shd w:val="clear" w:color="000000" w:fill="FFFFFF"/>
            <w:noWrap/>
            <w:vAlign w:val="center"/>
            <w:hideMark/>
          </w:tcPr>
          <w:p w14:paraId="252DDD10"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1.12 </w:t>
            </w:r>
          </w:p>
          <w:p w14:paraId="6B86846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(1.10, 1.13)</w:t>
            </w:r>
          </w:p>
        </w:tc>
        <w:tc>
          <w:tcPr>
            <w:tcW w:w="1980" w:type="dxa"/>
            <w:shd w:val="clear" w:color="000000" w:fill="FFFFFF"/>
            <w:noWrap/>
            <w:vAlign w:val="center"/>
            <w:hideMark/>
          </w:tcPr>
          <w:p w14:paraId="229167B7"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1.12 </w:t>
            </w:r>
          </w:p>
          <w:p w14:paraId="3F448F4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(1.10, 1.13)</w:t>
            </w:r>
          </w:p>
        </w:tc>
      </w:tr>
      <w:tr w:rsidR="008A7CEC" w:rsidRPr="00282352" w14:paraId="3890B42A" w14:textId="77777777" w:rsidTr="008A7CEC">
        <w:trPr>
          <w:cantSplit/>
          <w:trHeight w:val="20"/>
          <w:jc w:val="center"/>
        </w:trPr>
        <w:tc>
          <w:tcPr>
            <w:tcW w:w="2663" w:type="dxa"/>
            <w:shd w:val="clear" w:color="000000" w:fill="FFFFFF"/>
            <w:vAlign w:val="center"/>
            <w:hideMark/>
          </w:tcPr>
          <w:p w14:paraId="0EFB85E6" w14:textId="77777777" w:rsidR="008A7CEC" w:rsidRPr="0005192D" w:rsidRDefault="008A7CEC" w:rsidP="008A7CEC">
            <w:pPr>
              <w:spacing w:after="0"/>
              <w:rPr>
                <w:rFonts w:eastAsia="Times New Roman" w:cstheme="minorHAnsi"/>
                <w:sz w:val="20"/>
                <w:szCs w:val="20"/>
              </w:rPr>
            </w:pPr>
            <w:r w:rsidRPr="0005192D">
              <w:rPr>
                <w:rFonts w:eastAsia="Times New Roman" w:cstheme="minorHAnsi"/>
                <w:b/>
                <w:sz w:val="20"/>
                <w:szCs w:val="20"/>
              </w:rPr>
              <w:t>Lifts</w:t>
            </w:r>
            <w:r w:rsidRPr="0005192D">
              <w:rPr>
                <w:rFonts w:eastAsia="Times New Roman" w:cstheme="minorHAnsi"/>
                <w:sz w:val="20"/>
                <w:szCs w:val="20"/>
              </w:rPr>
              <w:t xml:space="preserve"> (430 and 460)</w:t>
            </w:r>
          </w:p>
        </w:tc>
        <w:tc>
          <w:tcPr>
            <w:tcW w:w="1583" w:type="dxa"/>
            <w:shd w:val="clear" w:color="auto" w:fill="auto"/>
            <w:vAlign w:val="center"/>
            <w:hideMark/>
          </w:tcPr>
          <w:p w14:paraId="624C862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12,996</w:t>
            </w:r>
          </w:p>
          <w:p w14:paraId="2CC31F1F"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(0.5%)</w:t>
            </w:r>
          </w:p>
        </w:tc>
        <w:tc>
          <w:tcPr>
            <w:tcW w:w="1419" w:type="dxa"/>
            <w:shd w:val="clear" w:color="auto" w:fill="auto"/>
            <w:vAlign w:val="center"/>
            <w:hideMark/>
          </w:tcPr>
          <w:p w14:paraId="548DAE65"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12,914</w:t>
            </w:r>
          </w:p>
          <w:p w14:paraId="5A68332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(0.5%)</w:t>
            </w:r>
          </w:p>
        </w:tc>
        <w:tc>
          <w:tcPr>
            <w:tcW w:w="1980" w:type="dxa"/>
            <w:shd w:val="clear" w:color="000000" w:fill="FFFFFF"/>
            <w:noWrap/>
            <w:vAlign w:val="center"/>
            <w:hideMark/>
          </w:tcPr>
          <w:p w14:paraId="6A7E5C0B"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1.09 </w:t>
            </w:r>
          </w:p>
          <w:p w14:paraId="0C9DF0C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(1.07, 1.12)</w:t>
            </w:r>
          </w:p>
        </w:tc>
        <w:tc>
          <w:tcPr>
            <w:tcW w:w="1980" w:type="dxa"/>
            <w:shd w:val="clear" w:color="000000" w:fill="FFFFFF"/>
            <w:noWrap/>
            <w:vAlign w:val="center"/>
            <w:hideMark/>
          </w:tcPr>
          <w:p w14:paraId="222AF9E1"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1.11 </w:t>
            </w:r>
          </w:p>
          <w:p w14:paraId="65C102AE"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(1.08, 1.13)</w:t>
            </w:r>
          </w:p>
        </w:tc>
      </w:tr>
      <w:tr w:rsidR="008A7CEC" w:rsidRPr="00282352" w14:paraId="216EFD64" w14:textId="77777777" w:rsidTr="008A7CEC">
        <w:trPr>
          <w:cantSplit/>
          <w:trHeight w:val="20"/>
          <w:jc w:val="center"/>
        </w:trPr>
        <w:tc>
          <w:tcPr>
            <w:tcW w:w="2663" w:type="dxa"/>
            <w:shd w:val="clear" w:color="000000" w:fill="FFFFFF"/>
            <w:vAlign w:val="center"/>
            <w:hideMark/>
          </w:tcPr>
          <w:p w14:paraId="225C78C4" w14:textId="77777777" w:rsidR="008A7CEC" w:rsidRPr="0005192D" w:rsidRDefault="008A7CEC" w:rsidP="008A7CEC">
            <w:pPr>
              <w:spacing w:after="0"/>
              <w:rPr>
                <w:rFonts w:eastAsia="Times New Roman" w:cstheme="minorHAnsi"/>
                <w:sz w:val="20"/>
                <w:szCs w:val="20"/>
              </w:rPr>
            </w:pPr>
            <w:r w:rsidRPr="0005192D">
              <w:rPr>
                <w:rFonts w:eastAsia="Times New Roman" w:cstheme="minorHAnsi"/>
                <w:b/>
                <w:sz w:val="20"/>
                <w:szCs w:val="20"/>
              </w:rPr>
              <w:t>Oxygen</w:t>
            </w:r>
            <w:r w:rsidRPr="0005192D">
              <w:rPr>
                <w:rFonts w:eastAsia="Times New Roman" w:cstheme="minorHAnsi"/>
                <w:sz w:val="20"/>
                <w:szCs w:val="20"/>
              </w:rPr>
              <w:t xml:space="preserve"> (400)</w:t>
            </w:r>
          </w:p>
        </w:tc>
        <w:tc>
          <w:tcPr>
            <w:tcW w:w="1583" w:type="dxa"/>
            <w:shd w:val="clear" w:color="auto" w:fill="auto"/>
            <w:vAlign w:val="center"/>
            <w:hideMark/>
          </w:tcPr>
          <w:p w14:paraId="5091B1F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253,381</w:t>
            </w:r>
          </w:p>
          <w:p w14:paraId="00647A5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(10.0%)</w:t>
            </w:r>
          </w:p>
        </w:tc>
        <w:tc>
          <w:tcPr>
            <w:tcW w:w="1419" w:type="dxa"/>
            <w:shd w:val="clear" w:color="auto" w:fill="auto"/>
            <w:vAlign w:val="center"/>
            <w:hideMark/>
          </w:tcPr>
          <w:p w14:paraId="29B624E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252,275</w:t>
            </w:r>
          </w:p>
          <w:p w14:paraId="4BB1E4A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(9.9%)</w:t>
            </w:r>
          </w:p>
        </w:tc>
        <w:tc>
          <w:tcPr>
            <w:tcW w:w="1980" w:type="dxa"/>
            <w:shd w:val="clear" w:color="000000" w:fill="FFFFFF"/>
            <w:noWrap/>
            <w:vAlign w:val="center"/>
            <w:hideMark/>
          </w:tcPr>
          <w:p w14:paraId="029E51E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1.40 </w:t>
            </w:r>
          </w:p>
          <w:p w14:paraId="0EBA0130"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(1.39, 1.41)</w:t>
            </w:r>
          </w:p>
        </w:tc>
        <w:tc>
          <w:tcPr>
            <w:tcW w:w="1980" w:type="dxa"/>
            <w:shd w:val="clear" w:color="000000" w:fill="FFFFFF"/>
            <w:noWrap/>
            <w:vAlign w:val="center"/>
            <w:hideMark/>
          </w:tcPr>
          <w:p w14:paraId="10CC4D3C"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1.41 </w:t>
            </w:r>
          </w:p>
          <w:p w14:paraId="08BBA328"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(1.40, 1.42)</w:t>
            </w:r>
          </w:p>
        </w:tc>
      </w:tr>
      <w:tr w:rsidR="008A7CEC" w:rsidRPr="00282352" w14:paraId="1C0BECF0" w14:textId="77777777" w:rsidTr="008A7CEC">
        <w:trPr>
          <w:cantSplit/>
          <w:trHeight w:val="20"/>
          <w:jc w:val="center"/>
        </w:trPr>
        <w:tc>
          <w:tcPr>
            <w:tcW w:w="2663" w:type="dxa"/>
            <w:shd w:val="clear" w:color="000000" w:fill="FFFFFF"/>
            <w:vAlign w:val="center"/>
            <w:hideMark/>
          </w:tcPr>
          <w:p w14:paraId="39FBA039" w14:textId="77777777" w:rsidR="008A7CEC" w:rsidRDefault="008A7CEC" w:rsidP="008A7CEC">
            <w:pPr>
              <w:spacing w:after="0"/>
              <w:rPr>
                <w:rFonts w:eastAsia="Times New Roman" w:cstheme="minorHAnsi"/>
                <w:b/>
                <w:sz w:val="20"/>
                <w:szCs w:val="20"/>
              </w:rPr>
            </w:pPr>
            <w:r w:rsidRPr="0005192D">
              <w:rPr>
                <w:rFonts w:eastAsia="Times New Roman" w:cstheme="minorHAnsi"/>
                <w:b/>
                <w:sz w:val="20"/>
                <w:szCs w:val="20"/>
              </w:rPr>
              <w:t xml:space="preserve">Original reason for </w:t>
            </w:r>
          </w:p>
          <w:p w14:paraId="053E7BB5" w14:textId="77777777" w:rsidR="008A7CEC" w:rsidRDefault="008A7CEC" w:rsidP="008A7CEC">
            <w:pPr>
              <w:spacing w:after="0"/>
              <w:rPr>
                <w:rFonts w:eastAsia="Times New Roman" w:cstheme="minorHAnsi"/>
                <w:b/>
                <w:sz w:val="20"/>
                <w:szCs w:val="20"/>
              </w:rPr>
            </w:pPr>
            <w:r w:rsidRPr="0005192D">
              <w:rPr>
                <w:rFonts w:eastAsia="Times New Roman" w:cstheme="minorHAnsi"/>
                <w:b/>
                <w:sz w:val="20"/>
                <w:szCs w:val="20"/>
              </w:rPr>
              <w:t xml:space="preserve">entitlement: </w:t>
            </w:r>
            <w:r>
              <w:rPr>
                <w:rFonts w:eastAsia="Times New Roman" w:cstheme="minorHAnsi"/>
                <w:b/>
                <w:sz w:val="20"/>
                <w:szCs w:val="20"/>
              </w:rPr>
              <w:t xml:space="preserve">disability </w:t>
            </w:r>
          </w:p>
          <w:p w14:paraId="491C8FCB" w14:textId="77777777" w:rsidR="008A7CEC" w:rsidRPr="0005192D" w:rsidRDefault="008A7CEC" w:rsidP="008A7CEC">
            <w:pPr>
              <w:spacing w:after="0"/>
              <w:rPr>
                <w:rFonts w:eastAsia="Times New Roman" w:cstheme="minorHAnsi"/>
                <w:sz w:val="20"/>
                <w:szCs w:val="20"/>
              </w:rPr>
            </w:pPr>
            <w:r>
              <w:rPr>
                <w:rFonts w:eastAsia="Times New Roman" w:cstheme="minorHAnsi"/>
                <w:b/>
                <w:sz w:val="20"/>
                <w:szCs w:val="20"/>
              </w:rPr>
              <w:t>insurance beneficiary</w:t>
            </w:r>
          </w:p>
        </w:tc>
        <w:tc>
          <w:tcPr>
            <w:tcW w:w="1583" w:type="dxa"/>
            <w:shd w:val="clear" w:color="auto" w:fill="auto"/>
            <w:vAlign w:val="center"/>
            <w:hideMark/>
          </w:tcPr>
          <w:p w14:paraId="67C52BB2"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352,268</w:t>
            </w:r>
          </w:p>
          <w:p w14:paraId="122A3A69"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(13.8%)</w:t>
            </w:r>
          </w:p>
        </w:tc>
        <w:tc>
          <w:tcPr>
            <w:tcW w:w="1419" w:type="dxa"/>
            <w:shd w:val="clear" w:color="auto" w:fill="auto"/>
            <w:vAlign w:val="center"/>
            <w:hideMark/>
          </w:tcPr>
          <w:p w14:paraId="790F937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352,256 (13.8%)</w:t>
            </w:r>
          </w:p>
        </w:tc>
        <w:tc>
          <w:tcPr>
            <w:tcW w:w="1980" w:type="dxa"/>
            <w:shd w:val="clear" w:color="000000" w:fill="FFFFFF"/>
            <w:noWrap/>
            <w:vAlign w:val="center"/>
            <w:hideMark/>
          </w:tcPr>
          <w:p w14:paraId="6598A3A7"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1.27 </w:t>
            </w:r>
          </w:p>
          <w:p w14:paraId="2BCB27B1"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(1.26, 1.27)</w:t>
            </w:r>
          </w:p>
        </w:tc>
        <w:tc>
          <w:tcPr>
            <w:tcW w:w="1980" w:type="dxa"/>
            <w:shd w:val="clear" w:color="000000" w:fill="FFFFFF"/>
            <w:noWrap/>
            <w:vAlign w:val="center"/>
            <w:hideMark/>
          </w:tcPr>
          <w:p w14:paraId="2BBE8BF7"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1.27</w:t>
            </w:r>
          </w:p>
          <w:p w14:paraId="480C5454"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(1.26, 1.27)</w:t>
            </w:r>
          </w:p>
        </w:tc>
      </w:tr>
      <w:tr w:rsidR="008A7CEC" w:rsidRPr="00282352" w14:paraId="25895E02" w14:textId="77777777" w:rsidTr="008A7CEC">
        <w:trPr>
          <w:cantSplit/>
          <w:trHeight w:val="20"/>
          <w:jc w:val="center"/>
        </w:trPr>
        <w:tc>
          <w:tcPr>
            <w:tcW w:w="2663" w:type="dxa"/>
            <w:shd w:val="clear" w:color="000000" w:fill="FFFFFF"/>
            <w:vAlign w:val="center"/>
            <w:hideMark/>
          </w:tcPr>
          <w:p w14:paraId="108D8589" w14:textId="77777777" w:rsidR="008A7CEC" w:rsidRDefault="008A7CEC" w:rsidP="008A7CEC">
            <w:pPr>
              <w:spacing w:after="0"/>
              <w:rPr>
                <w:rFonts w:eastAsia="Times New Roman" w:cstheme="minorHAnsi"/>
                <w:b/>
                <w:sz w:val="20"/>
                <w:szCs w:val="20"/>
              </w:rPr>
            </w:pPr>
            <w:r w:rsidRPr="0005192D">
              <w:rPr>
                <w:rFonts w:eastAsia="Times New Roman" w:cstheme="minorHAnsi"/>
                <w:b/>
                <w:sz w:val="20"/>
                <w:szCs w:val="20"/>
              </w:rPr>
              <w:t xml:space="preserve">Original reason for </w:t>
            </w:r>
          </w:p>
          <w:p w14:paraId="2048A426" w14:textId="77777777" w:rsidR="008A7CEC" w:rsidRDefault="008A7CEC" w:rsidP="008A7CEC">
            <w:pPr>
              <w:spacing w:after="0"/>
              <w:rPr>
                <w:rFonts w:eastAsia="Times New Roman" w:cstheme="minorHAnsi"/>
                <w:b/>
                <w:sz w:val="20"/>
                <w:szCs w:val="20"/>
              </w:rPr>
            </w:pPr>
            <w:r w:rsidRPr="0005192D">
              <w:rPr>
                <w:rFonts w:eastAsia="Times New Roman" w:cstheme="minorHAnsi"/>
                <w:b/>
                <w:sz w:val="20"/>
                <w:szCs w:val="20"/>
              </w:rPr>
              <w:t xml:space="preserve">entitlement: </w:t>
            </w:r>
            <w:r>
              <w:rPr>
                <w:rFonts w:eastAsia="Times New Roman" w:cstheme="minorHAnsi"/>
                <w:b/>
                <w:sz w:val="20"/>
                <w:szCs w:val="20"/>
              </w:rPr>
              <w:t xml:space="preserve">end stage </w:t>
            </w:r>
          </w:p>
          <w:p w14:paraId="1DCE154E" w14:textId="77777777" w:rsidR="008A7CEC" w:rsidRPr="0005192D" w:rsidRDefault="008A7CEC" w:rsidP="008A7CEC">
            <w:pPr>
              <w:spacing w:after="0"/>
              <w:rPr>
                <w:rFonts w:eastAsia="Times New Roman" w:cstheme="minorHAnsi"/>
                <w:b/>
                <w:sz w:val="20"/>
                <w:szCs w:val="20"/>
              </w:rPr>
            </w:pPr>
            <w:r>
              <w:rPr>
                <w:rFonts w:eastAsia="Times New Roman" w:cstheme="minorHAnsi"/>
                <w:b/>
                <w:sz w:val="20"/>
                <w:szCs w:val="20"/>
              </w:rPr>
              <w:t>renal disease</w:t>
            </w:r>
          </w:p>
        </w:tc>
        <w:tc>
          <w:tcPr>
            <w:tcW w:w="1583" w:type="dxa"/>
            <w:shd w:val="clear" w:color="auto" w:fill="auto"/>
            <w:vAlign w:val="center"/>
            <w:hideMark/>
          </w:tcPr>
          <w:p w14:paraId="06142077"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12,307</w:t>
            </w:r>
          </w:p>
          <w:p w14:paraId="4D2E2183"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(0.5%)</w:t>
            </w:r>
          </w:p>
        </w:tc>
        <w:tc>
          <w:tcPr>
            <w:tcW w:w="1419" w:type="dxa"/>
            <w:shd w:val="clear" w:color="auto" w:fill="auto"/>
            <w:vAlign w:val="center"/>
            <w:hideMark/>
          </w:tcPr>
          <w:p w14:paraId="7DC885D6"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12,367</w:t>
            </w:r>
          </w:p>
          <w:p w14:paraId="10C36E7D"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(0.5%)</w:t>
            </w:r>
          </w:p>
        </w:tc>
        <w:tc>
          <w:tcPr>
            <w:tcW w:w="1980" w:type="dxa"/>
            <w:shd w:val="clear" w:color="000000" w:fill="FFFFFF"/>
            <w:noWrap/>
            <w:vAlign w:val="center"/>
            <w:hideMark/>
          </w:tcPr>
          <w:p w14:paraId="34725BBF"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1.27 </w:t>
            </w:r>
          </w:p>
          <w:p w14:paraId="223679E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(1.23, 1.31)</w:t>
            </w:r>
          </w:p>
        </w:tc>
        <w:tc>
          <w:tcPr>
            <w:tcW w:w="1980" w:type="dxa"/>
            <w:shd w:val="clear" w:color="000000" w:fill="FFFFFF"/>
            <w:noWrap/>
            <w:vAlign w:val="center"/>
            <w:hideMark/>
          </w:tcPr>
          <w:p w14:paraId="1EEFE372" w14:textId="77777777" w:rsidR="008A7CEC" w:rsidRDefault="008A7CEC" w:rsidP="008A7CEC">
            <w:pPr>
              <w:spacing w:after="0"/>
              <w:jc w:val="center"/>
              <w:rPr>
                <w:rFonts w:eastAsia="Times New Roman" w:cstheme="minorHAnsi"/>
                <w:sz w:val="20"/>
                <w:szCs w:val="20"/>
              </w:rPr>
            </w:pPr>
            <w:r w:rsidRPr="0005192D">
              <w:rPr>
                <w:rFonts w:eastAsia="Times New Roman" w:cstheme="minorHAnsi"/>
                <w:sz w:val="20"/>
                <w:szCs w:val="20"/>
              </w:rPr>
              <w:t xml:space="preserve">1.33 </w:t>
            </w:r>
          </w:p>
          <w:p w14:paraId="73F5534B" w14:textId="77777777" w:rsidR="008A7CEC" w:rsidRPr="0005192D" w:rsidRDefault="008A7CEC" w:rsidP="008A7CEC">
            <w:pPr>
              <w:spacing w:after="0"/>
              <w:jc w:val="center"/>
              <w:rPr>
                <w:rFonts w:eastAsia="Times New Roman" w:cstheme="minorHAnsi"/>
                <w:sz w:val="20"/>
                <w:szCs w:val="20"/>
              </w:rPr>
            </w:pPr>
            <w:r w:rsidRPr="0005192D">
              <w:rPr>
                <w:rFonts w:eastAsia="Times New Roman" w:cstheme="minorHAnsi"/>
                <w:sz w:val="20"/>
                <w:szCs w:val="20"/>
              </w:rPr>
              <w:t>(1.29, 1.37)</w:t>
            </w:r>
          </w:p>
        </w:tc>
      </w:tr>
      <w:bookmarkEnd w:id="4"/>
      <w:bookmarkEnd w:id="9"/>
    </w:tbl>
    <w:p w14:paraId="020F7F75" w14:textId="05AEDCFF" w:rsidR="008A7CEC" w:rsidRDefault="008A7CEC" w:rsidP="001216CB">
      <w:pPr>
        <w:ind w:left="1080"/>
        <w:rPr>
          <w:rFonts w:cstheme="minorHAnsi"/>
        </w:rPr>
      </w:pPr>
    </w:p>
    <w:p w14:paraId="42A10C10" w14:textId="77777777" w:rsidR="008A7CEC" w:rsidRDefault="008A7CEC" w:rsidP="001216CB">
      <w:pPr>
        <w:ind w:left="1080"/>
        <w:rPr>
          <w:rFonts w:cstheme="minorHAnsi"/>
        </w:rPr>
      </w:pPr>
    </w:p>
    <w:p w14:paraId="6EA6C054" w14:textId="3E059465" w:rsidR="00E314BC" w:rsidRPr="001216CB" w:rsidRDefault="00E314BC" w:rsidP="001216CB">
      <w:pPr>
        <w:ind w:left="1080"/>
        <w:rPr>
          <w:rFonts w:cstheme="minorHAnsi"/>
          <w:u w:val="single"/>
        </w:rPr>
      </w:pPr>
      <w:r w:rsidRPr="001216CB">
        <w:rPr>
          <w:rFonts w:cstheme="minorHAnsi"/>
          <w:u w:val="single"/>
        </w:rPr>
        <w:t>Measure Score Reliability</w:t>
      </w:r>
    </w:p>
    <w:p w14:paraId="1390D87A" w14:textId="56FBEDEA" w:rsidR="008A7CEC" w:rsidRDefault="001216CB" w:rsidP="000C0BC8">
      <w:pPr>
        <w:ind w:left="1080"/>
      </w:pPr>
      <w:r w:rsidRPr="001216CB">
        <w:rPr>
          <w:rFonts w:cstheme="minorHAnsi"/>
        </w:rPr>
        <w:t>We used the formula for signal-to-noise reliability presented by Adams et al. and the formula for intraclass correlation coefficient (ICC) presented by Nakagawa et al. to calculate TIN-level reliability scores. [1, 2]</w:t>
      </w:r>
      <w:r w:rsidRPr="00E314BC">
        <w:rPr>
          <w:rFonts w:cstheme="minorHAnsi"/>
        </w:rPr>
        <w:t xml:space="preserve"> </w:t>
      </w:r>
      <w:r w:rsidR="00E314BC" w:rsidRPr="00E314BC">
        <w:rPr>
          <w:rFonts w:cstheme="minorHAnsi"/>
        </w:rPr>
        <w:t xml:space="preserve">The median signal-to-noise reliability score was 0.46 (IQR: 0.21 – 0.69) for all </w:t>
      </w:r>
      <w:r w:rsidR="003E0BF7">
        <w:rPr>
          <w:rFonts w:cstheme="minorHAnsi"/>
        </w:rPr>
        <w:t>TINs</w:t>
      </w:r>
      <w:r w:rsidR="00E314BC">
        <w:rPr>
          <w:rFonts w:cstheme="minorHAnsi"/>
        </w:rPr>
        <w:t xml:space="preserve"> included in testing</w:t>
      </w:r>
      <w:r w:rsidR="00E314BC" w:rsidRPr="00E314BC">
        <w:rPr>
          <w:rFonts w:cstheme="minorHAnsi"/>
        </w:rPr>
        <w:t>. A minimum acceptable reliability of 0.5 was achieved for TINs with at least 27 MCC patients. At this threshold, reliability scores ranged from 0.51 to nearly 1.00, with a median value of 0.71 and an IQR of 0.61-0.82. With this 27-patient volume minimum, the measure included only 45.3% of clinician groups; however, 93.3% of the patients, 93.8% of the admissions, and 79.9% of clinicians, who reported under these TINs, were retained.</w:t>
      </w:r>
    </w:p>
    <w:p w14:paraId="6B09730E" w14:textId="77777777" w:rsidR="008A7CEC" w:rsidRPr="001216CB" w:rsidRDefault="008A7CEC">
      <w:pPr>
        <w:ind w:left="1080"/>
        <w:rPr>
          <w:rFonts w:cstheme="minorHAnsi"/>
          <w:u w:val="single"/>
        </w:rPr>
      </w:pPr>
      <w:r w:rsidRPr="001216CB">
        <w:rPr>
          <w:rFonts w:cstheme="minorHAnsi"/>
          <w:u w:val="single"/>
        </w:rPr>
        <w:t>References</w:t>
      </w:r>
    </w:p>
    <w:p w14:paraId="648FDDBD" w14:textId="77777777" w:rsidR="008A7CEC" w:rsidRPr="001216CB" w:rsidRDefault="008A7CEC" w:rsidP="008A7CEC">
      <w:pPr>
        <w:spacing w:after="80"/>
        <w:ind w:left="1080"/>
        <w:rPr>
          <w:rFonts w:cstheme="minorHAnsi"/>
        </w:rPr>
      </w:pPr>
      <w:r w:rsidRPr="001216CB">
        <w:rPr>
          <w:rFonts w:cstheme="minorHAnsi"/>
        </w:rPr>
        <w:t>1. Adams JL, Mehrotra A, Thomas JW, McGlynn EA. Physician Cost Profiling — Reliability and Risk of Misclassification. New England Journal of Medicine. 2010;362(11):1014-1021.</w:t>
      </w:r>
    </w:p>
    <w:p w14:paraId="7E3A8D06" w14:textId="77777777" w:rsidR="008A7CEC" w:rsidRPr="001216CB" w:rsidRDefault="008A7CEC" w:rsidP="008A7CEC">
      <w:pPr>
        <w:spacing w:after="80"/>
        <w:ind w:left="1080"/>
        <w:rPr>
          <w:rFonts w:cstheme="minorHAnsi"/>
        </w:rPr>
      </w:pPr>
      <w:r w:rsidRPr="001216CB">
        <w:rPr>
          <w:rFonts w:cstheme="minorHAnsi"/>
        </w:rPr>
        <w:t>2. Nakagawa S, Johnson PCD, Schielzeth H. The coefficient of determination R(2) and intra-class correlation coefficient from generalized linear mixed-effects models revisited and expanded. J R Soc Interface. 2017;14(134).</w:t>
      </w:r>
    </w:p>
    <w:p w14:paraId="30C2C4E3" w14:textId="77777777" w:rsidR="008A7CEC" w:rsidRPr="001815DD" w:rsidRDefault="008A7CEC" w:rsidP="001815DD">
      <w:pPr>
        <w:pStyle w:val="ListParagraph"/>
        <w:ind w:left="1170"/>
        <w:rPr>
          <w:rFonts w:ascii="Arial" w:hAnsi="Arial" w:cs="Arial"/>
        </w:rPr>
      </w:pPr>
    </w:p>
    <w:p w14:paraId="65DAD98E" w14:textId="77777777" w:rsidR="001815DD" w:rsidRPr="001815DD" w:rsidRDefault="001815DD" w:rsidP="001815DD">
      <w:pPr>
        <w:ind w:left="720"/>
        <w:rPr>
          <w:rFonts w:ascii="Arial" w:hAnsi="Arial" w:cs="Arial"/>
          <w:i/>
        </w:rPr>
      </w:pPr>
    </w:p>
    <w:p w14:paraId="04ADC8FD" w14:textId="76D909D6" w:rsidR="007E7FDE" w:rsidRPr="00DE3992" w:rsidRDefault="007E7FDE" w:rsidP="002449AA">
      <w:pPr>
        <w:pStyle w:val="ListParagraph"/>
        <w:numPr>
          <w:ilvl w:val="0"/>
          <w:numId w:val="10"/>
        </w:numPr>
        <w:ind w:firstLine="450"/>
        <w:rPr>
          <w:rFonts w:ascii="Arial" w:hAnsi="Arial" w:cs="Arial"/>
          <w:color w:val="1F4E79" w:themeColor="accent1" w:themeShade="80"/>
        </w:rPr>
      </w:pPr>
      <w:r w:rsidRPr="00DE3992">
        <w:rPr>
          <w:rFonts w:ascii="Arial" w:hAnsi="Arial" w:cs="Arial"/>
          <w:color w:val="1F4E79" w:themeColor="accent1" w:themeShade="80"/>
        </w:rPr>
        <w:t>Validity Testing Results, clinician sites:</w:t>
      </w:r>
    </w:p>
    <w:p w14:paraId="6CDE8259" w14:textId="7EC8600E" w:rsidR="001216CB" w:rsidRPr="001216CB" w:rsidRDefault="001216CB" w:rsidP="001216CB">
      <w:pPr>
        <w:ind w:left="1080"/>
        <w:rPr>
          <w:rFonts w:cstheme="minorHAnsi"/>
        </w:rPr>
      </w:pPr>
      <w:r>
        <w:rPr>
          <w:rFonts w:cstheme="minorHAnsi"/>
        </w:rPr>
        <w:t>We</w:t>
      </w:r>
      <w:r w:rsidRPr="001216CB">
        <w:rPr>
          <w:rFonts w:cstheme="minorHAnsi"/>
        </w:rPr>
        <w:t xml:space="preserve"> held meetings with </w:t>
      </w:r>
      <w:r w:rsidR="00DE3992">
        <w:rPr>
          <w:rFonts w:cstheme="minorHAnsi"/>
        </w:rPr>
        <w:t>a</w:t>
      </w:r>
      <w:r w:rsidRPr="001216CB">
        <w:rPr>
          <w:rFonts w:cstheme="minorHAnsi"/>
        </w:rPr>
        <w:t xml:space="preserve"> national </w:t>
      </w:r>
      <w:r w:rsidR="00DE3992">
        <w:rPr>
          <w:rFonts w:cstheme="minorHAnsi"/>
        </w:rPr>
        <w:t>technical expert panel (</w:t>
      </w:r>
      <w:r w:rsidRPr="001216CB">
        <w:rPr>
          <w:rFonts w:cstheme="minorHAnsi"/>
        </w:rPr>
        <w:t>TEP</w:t>
      </w:r>
      <w:r w:rsidR="00DE3992">
        <w:rPr>
          <w:rFonts w:cstheme="minorHAnsi"/>
        </w:rPr>
        <w:t>) consisting of a diverse group of stakeholders</w:t>
      </w:r>
      <w:r w:rsidRPr="001216CB">
        <w:rPr>
          <w:rFonts w:cstheme="minorHAnsi"/>
        </w:rPr>
        <w:t xml:space="preserve"> during measure development to review draft measure specifications. </w:t>
      </w:r>
      <w:r>
        <w:rPr>
          <w:rFonts w:cstheme="minorHAnsi"/>
        </w:rPr>
        <w:t>We</w:t>
      </w:r>
      <w:r w:rsidRPr="001216CB">
        <w:rPr>
          <w:rFonts w:cstheme="minorHAnsi"/>
        </w:rPr>
        <w:t xml:space="preserve"> will systematically assess the face validity of the measure score as an indicator of quality by confidentially soliciting the TEP members’ input using an online survey as CMS does for quality measures.</w:t>
      </w:r>
    </w:p>
    <w:p w14:paraId="7F5B4E79" w14:textId="77777777" w:rsidR="001216CB" w:rsidRPr="002449AA" w:rsidRDefault="001216CB" w:rsidP="001216CB">
      <w:pPr>
        <w:pStyle w:val="ListParagraph"/>
        <w:ind w:left="1170"/>
        <w:rPr>
          <w:rFonts w:ascii="Arial" w:hAnsi="Arial" w:cs="Arial"/>
        </w:rPr>
      </w:pPr>
    </w:p>
    <w:p w14:paraId="15C33D53" w14:textId="77777777" w:rsidR="00EB2CA5" w:rsidRDefault="007E7FDE" w:rsidP="002449AA">
      <w:pPr>
        <w:pStyle w:val="ListParagraph"/>
        <w:numPr>
          <w:ilvl w:val="0"/>
          <w:numId w:val="10"/>
        </w:numPr>
        <w:ind w:firstLine="450"/>
        <w:rPr>
          <w:rFonts w:ascii="Arial" w:hAnsi="Arial" w:cs="Arial"/>
          <w:i/>
          <w:color w:val="1F4E79" w:themeColor="accent1" w:themeShade="80"/>
        </w:rPr>
      </w:pPr>
      <w:r w:rsidRPr="00DE3992">
        <w:rPr>
          <w:rFonts w:ascii="Arial" w:hAnsi="Arial" w:cs="Arial"/>
          <w:i/>
          <w:color w:val="1F4E79" w:themeColor="accent1" w:themeShade="80"/>
        </w:rPr>
        <w:t>Exclusion frequency:</w:t>
      </w:r>
    </w:p>
    <w:p w14:paraId="7E1460DB" w14:textId="6FBA42C3" w:rsidR="00EB2CA5" w:rsidRDefault="00EB2CA5" w:rsidP="00EB2CA5">
      <w:pPr>
        <w:ind w:left="1080"/>
        <w:rPr>
          <w:rFonts w:cstheme="minorHAnsi"/>
        </w:rPr>
      </w:pPr>
      <w:r w:rsidRPr="00EB2CA5">
        <w:rPr>
          <w:rFonts w:cstheme="minorHAnsi"/>
        </w:rPr>
        <w:t xml:space="preserve"> </w:t>
      </w:r>
      <w:r w:rsidRPr="00F9707B">
        <w:rPr>
          <w:rFonts w:cstheme="minorHAnsi"/>
        </w:rPr>
        <w:t>The excluded group was older (median age of 80 vs. 78 years), was three times more like to have died or entered hospice in 2015 (31.2% vs. 10.1%), and had a substantially higher prevalence of Alzheimer’s and related disorders (41.1% vs. 26.7%). As the excluded group was closer to the end of life, they contributed less at-risk time and had a lower crude hospital admission rate (35.2 vs. 44.4 admissions per 100 person-years)</w:t>
      </w:r>
      <w:r>
        <w:rPr>
          <w:rFonts w:cstheme="minorHAnsi"/>
        </w:rPr>
        <w:t>.</w:t>
      </w:r>
      <w:r w:rsidRPr="00F9707B">
        <w:rPr>
          <w:rFonts w:cstheme="minorHAnsi"/>
        </w:rPr>
        <w:t xml:space="preserve"> </w:t>
      </w:r>
    </w:p>
    <w:p w14:paraId="7752D76E" w14:textId="5721A19B" w:rsidR="00EB2CA5" w:rsidRPr="000C0BC8" w:rsidRDefault="00EB2CA5" w:rsidP="000C0BC8">
      <w:pPr>
        <w:ind w:left="1080"/>
        <w:rPr>
          <w:rFonts w:cstheme="minorHAnsi"/>
        </w:rPr>
      </w:pPr>
      <w:r w:rsidRPr="00F9707B">
        <w:rPr>
          <w:rFonts w:cstheme="minorHAnsi"/>
        </w:rPr>
        <w:t xml:space="preserve">Of the patients eligible for attribution, a total of 659,167 (9.3%) were unassigned to a provider based on the measure’s attribution algorithm. After further excluding patients assigned to risk-bearing ACOs who would participate in the </w:t>
      </w:r>
      <w:r>
        <w:rPr>
          <w:rFonts w:cstheme="minorHAnsi"/>
        </w:rPr>
        <w:t>Quality Payment Program (</w:t>
      </w:r>
      <w:r w:rsidRPr="00F9707B">
        <w:rPr>
          <w:rFonts w:cstheme="minorHAnsi"/>
        </w:rPr>
        <w:t>QPP</w:t>
      </w:r>
      <w:r>
        <w:rPr>
          <w:rFonts w:cstheme="minorHAnsi"/>
        </w:rPr>
        <w:t>)</w:t>
      </w:r>
      <w:r w:rsidRPr="00F9707B">
        <w:rPr>
          <w:rFonts w:cstheme="minorHAnsi"/>
        </w:rPr>
        <w:t xml:space="preserve"> as an advanced </w:t>
      </w:r>
      <w:r>
        <w:rPr>
          <w:rFonts w:cstheme="minorHAnsi"/>
        </w:rPr>
        <w:t>Alternative Payment Models (</w:t>
      </w:r>
      <w:r w:rsidRPr="00F9707B">
        <w:rPr>
          <w:rFonts w:cstheme="minorHAnsi"/>
        </w:rPr>
        <w:t>APM</w:t>
      </w:r>
      <w:r>
        <w:rPr>
          <w:rFonts w:cstheme="minorHAnsi"/>
        </w:rPr>
        <w:t>)</w:t>
      </w:r>
      <w:r w:rsidRPr="00F9707B">
        <w:rPr>
          <w:rFonts w:cstheme="minorHAnsi"/>
        </w:rPr>
        <w:t xml:space="preserve"> (n=368,462) and those not at risk for admission at any time in 2015 (n=32,006), the index MIPS MCC cohort included 5,089,116 patients; we used this</w:t>
      </w:r>
      <w:r>
        <w:rPr>
          <w:rFonts w:cstheme="minorHAnsi"/>
        </w:rPr>
        <w:t xml:space="preserve"> s</w:t>
      </w:r>
      <w:r w:rsidRPr="00F9707B">
        <w:rPr>
          <w:rFonts w:cstheme="minorHAnsi"/>
        </w:rPr>
        <w:t>ample for measure development and testing.</w:t>
      </w:r>
    </w:p>
    <w:p w14:paraId="459A5637" w14:textId="4D34FA5E" w:rsidR="00F9707B" w:rsidRDefault="00F9707B" w:rsidP="00F9707B">
      <w:pPr>
        <w:pStyle w:val="ListParagraph"/>
        <w:numPr>
          <w:ilvl w:val="0"/>
          <w:numId w:val="11"/>
        </w:numPr>
        <w:tabs>
          <w:tab w:val="left" w:pos="1080"/>
        </w:tabs>
        <w:ind w:left="1170" w:hanging="450"/>
        <w:rPr>
          <w:rFonts w:ascii="Arial" w:hAnsi="Arial" w:cs="Arial"/>
          <w:b/>
          <w:color w:val="1F4E79" w:themeColor="accent1" w:themeShade="80"/>
        </w:rPr>
      </w:pPr>
      <w:r w:rsidRPr="00DE3992">
        <w:rPr>
          <w:rFonts w:ascii="Arial" w:hAnsi="Arial" w:cs="Arial"/>
          <w:i/>
          <w:color w:val="1F4E79" w:themeColor="accent1" w:themeShade="80"/>
        </w:rPr>
        <w:t>What were the minimum sample sizes used for reliability results?</w:t>
      </w:r>
      <w:r w:rsidRPr="00DE3992">
        <w:rPr>
          <w:rFonts w:ascii="Arial" w:hAnsi="Arial" w:cs="Arial"/>
          <w:color w:val="1F4E79" w:themeColor="accent1" w:themeShade="80"/>
        </w:rPr>
        <w:t xml:space="preserve"> </w:t>
      </w:r>
      <w:r w:rsidRPr="00DE3992">
        <w:rPr>
          <w:rFonts w:ascii="Arial" w:hAnsi="Arial" w:cs="Arial"/>
          <w:b/>
          <w:color w:val="1F4E79" w:themeColor="accent1" w:themeShade="80"/>
        </w:rPr>
        <w:t>Other Information</w:t>
      </w:r>
      <w:r w:rsidR="00EB2CA5">
        <w:rPr>
          <w:rFonts w:ascii="Arial" w:hAnsi="Arial" w:cs="Arial"/>
          <w:b/>
          <w:color w:val="1F4E79" w:themeColor="accent1" w:themeShade="80"/>
        </w:rPr>
        <w:t xml:space="preserve"> </w:t>
      </w:r>
    </w:p>
    <w:p w14:paraId="0475C67D" w14:textId="0AC4F0A2" w:rsidR="00EB2CA5" w:rsidRPr="000C0BC8" w:rsidRDefault="00EB2CA5" w:rsidP="000C0BC8">
      <w:pPr>
        <w:ind w:left="1080"/>
        <w:rPr>
          <w:rFonts w:cstheme="minorHAnsi"/>
        </w:rPr>
      </w:pPr>
      <w:r w:rsidRPr="00EB2CA5">
        <w:rPr>
          <w:rFonts w:cstheme="minorHAnsi"/>
        </w:rPr>
        <w:t xml:space="preserve">We identified 7,063,390 Medicare beneficiaries aged &gt;=65 years with MCCs who met the cohort inclusion criteria. 7.0% of initially eligible patients were excluded from the sample because they did not have an E&amp;M visit with a MIPS eligible clinician in 2015 (the measurement year), and therefore could not be attributed to a provider leaving 6,148,751 patients eligible for attribution. </w:t>
      </w:r>
    </w:p>
    <w:p w14:paraId="4CEA50E0" w14:textId="40503258" w:rsidR="00F9707B" w:rsidRDefault="00F9707B" w:rsidP="00F9707B">
      <w:pPr>
        <w:pStyle w:val="ListParagraph"/>
        <w:numPr>
          <w:ilvl w:val="0"/>
          <w:numId w:val="9"/>
        </w:numPr>
        <w:ind w:left="1440"/>
        <w:rPr>
          <w:rFonts w:ascii="Arial" w:hAnsi="Arial" w:cs="Arial"/>
          <w:i/>
          <w:color w:val="1F4E79" w:themeColor="accent1" w:themeShade="80"/>
        </w:rPr>
      </w:pPr>
      <w:r w:rsidRPr="00DE3992">
        <w:rPr>
          <w:rFonts w:ascii="Arial" w:hAnsi="Arial" w:cs="Arial"/>
          <w:i/>
          <w:color w:val="1F4E79" w:themeColor="accent1" w:themeShade="80"/>
        </w:rPr>
        <w:t>Is it risk adjusted? If so, how?</w:t>
      </w:r>
    </w:p>
    <w:p w14:paraId="5FA83C59" w14:textId="77777777" w:rsidR="00EB2CA5" w:rsidRPr="00DE3992" w:rsidRDefault="00EB2CA5" w:rsidP="000C0BC8">
      <w:pPr>
        <w:pStyle w:val="ListParagraph"/>
        <w:ind w:left="1440"/>
        <w:rPr>
          <w:rFonts w:ascii="Arial" w:hAnsi="Arial" w:cs="Arial"/>
          <w:i/>
          <w:color w:val="1F4E79" w:themeColor="accent1" w:themeShade="80"/>
        </w:rPr>
      </w:pPr>
    </w:p>
    <w:p w14:paraId="3CF0E4B6" w14:textId="7D495C06" w:rsidR="00AD7302" w:rsidRPr="00AD7302" w:rsidRDefault="00B6048D">
      <w:pPr>
        <w:ind w:left="1080"/>
        <w:rPr>
          <w:rFonts w:cstheme="minorHAnsi"/>
        </w:rPr>
      </w:pPr>
      <w:bookmarkStart w:id="10" w:name="_Hlk5884576"/>
      <w:bookmarkStart w:id="11" w:name="_Hlk5884630"/>
      <w:r>
        <w:rPr>
          <w:rFonts w:cstheme="minorHAnsi"/>
        </w:rPr>
        <w:t>Initially, w</w:t>
      </w:r>
      <w:r w:rsidRPr="00B6048D">
        <w:rPr>
          <w:rFonts w:cstheme="minorHAnsi"/>
        </w:rPr>
        <w:t>e identified 54 candidate demographic and clinical risk factors. In total, we excluded seven variables because their prevalence was &lt;0.5% (pancreatic disease), their unadjusted RR was &lt;1.3 (other malignancy, precerebral arterial occlusion and transient cerebral ischemia, and diabetic retinopathy), or they did not meet the 90% threshold for inclusion based bootstrapping results (pleural effusion/pneumothorax, bone/joint/muscle infections/necrosis, and other organ transplants). Thus, the final risk-adjustment model included 47 demograp</w:t>
      </w:r>
      <w:r w:rsidR="00EB2CA5">
        <w:rPr>
          <w:rFonts w:cstheme="minorHAnsi"/>
        </w:rPr>
        <w:t>hic and clinical risk variables</w:t>
      </w:r>
      <w:r w:rsidRPr="00B6048D">
        <w:rPr>
          <w:rFonts w:cstheme="minorHAnsi"/>
        </w:rPr>
        <w:t xml:space="preserve"> including age, clinical comorbidities, and measures of frailty/disability based on use of selected durable medical equipment (DME) and original reason for Medicare entitlement. Frequencies and adjusted rate ratios (RRs) and 95% confidence intervals (CIs) for the final set of 47 demographic and clinical variables were similar in the Development and Validation Samples</w:t>
      </w:r>
      <w:r w:rsidR="00EB2CA5">
        <w:rPr>
          <w:rFonts w:cstheme="minorHAnsi"/>
        </w:rPr>
        <w:t>.</w:t>
      </w:r>
    </w:p>
    <w:p w14:paraId="3A1AF815" w14:textId="42AD333A" w:rsidR="00AD7302" w:rsidRPr="0027302F" w:rsidRDefault="00AD7302" w:rsidP="00AD7302">
      <w:pPr>
        <w:spacing w:after="0"/>
        <w:ind w:left="360" w:firstLine="720"/>
        <w:rPr>
          <w:rFonts w:cstheme="minorHAnsi"/>
        </w:rPr>
      </w:pPr>
      <w:r w:rsidRPr="0027302F">
        <w:rPr>
          <w:rFonts w:cstheme="minorHAnsi"/>
        </w:rPr>
        <w:t>Model Variables</w:t>
      </w:r>
    </w:p>
    <w:p w14:paraId="37AC1659" w14:textId="77777777" w:rsidR="00AD7302" w:rsidRPr="00AD7302" w:rsidRDefault="00AD7302" w:rsidP="00AD7302">
      <w:pPr>
        <w:spacing w:after="0"/>
        <w:ind w:left="1080"/>
        <w:rPr>
          <w:rFonts w:cstheme="minorHAnsi"/>
          <w:i/>
        </w:rPr>
      </w:pPr>
      <w:r w:rsidRPr="00AD7302">
        <w:rPr>
          <w:rFonts w:cstheme="minorHAnsi"/>
          <w:i/>
        </w:rPr>
        <w:t>Demographic</w:t>
      </w:r>
    </w:p>
    <w:p w14:paraId="5FE215AB" w14:textId="235DDBF1" w:rsidR="00AD7302" w:rsidRPr="00AD7302" w:rsidRDefault="00AD7302" w:rsidP="00AD7302">
      <w:pPr>
        <w:pStyle w:val="ListParagraph"/>
        <w:numPr>
          <w:ilvl w:val="1"/>
          <w:numId w:val="11"/>
        </w:numPr>
        <w:spacing w:after="0"/>
        <w:rPr>
          <w:rFonts w:cstheme="minorHAnsi"/>
        </w:rPr>
      </w:pPr>
      <w:r w:rsidRPr="00AD7302">
        <w:rPr>
          <w:rFonts w:cstheme="minorHAnsi"/>
        </w:rPr>
        <w:t>Age</w:t>
      </w:r>
    </w:p>
    <w:p w14:paraId="7F6629F1" w14:textId="77777777" w:rsidR="00AD7302" w:rsidRPr="00AD7302" w:rsidRDefault="00AD7302" w:rsidP="00AD7302">
      <w:pPr>
        <w:spacing w:after="0"/>
        <w:ind w:left="1080"/>
        <w:rPr>
          <w:rFonts w:cstheme="minorHAnsi"/>
          <w:i/>
        </w:rPr>
      </w:pPr>
      <w:r w:rsidRPr="00AD7302">
        <w:rPr>
          <w:rFonts w:cstheme="minorHAnsi"/>
          <w:i/>
        </w:rPr>
        <w:t>Nine chronic disease groups defined using ICD-9-CM and ICD-10-CM codes</w:t>
      </w:r>
    </w:p>
    <w:p w14:paraId="0D64072D" w14:textId="77777777" w:rsidR="00AD7302" w:rsidRPr="00AD7302" w:rsidRDefault="00AD7302" w:rsidP="00AD7302">
      <w:pPr>
        <w:pStyle w:val="ListParagraph"/>
        <w:numPr>
          <w:ilvl w:val="1"/>
          <w:numId w:val="11"/>
        </w:numPr>
        <w:spacing w:after="0"/>
        <w:rPr>
          <w:rFonts w:cstheme="minorHAnsi"/>
        </w:rPr>
      </w:pPr>
      <w:r w:rsidRPr="00AD7302">
        <w:rPr>
          <w:rFonts w:cstheme="minorHAnsi"/>
        </w:rPr>
        <w:t>Acute myocardial infarction</w:t>
      </w:r>
    </w:p>
    <w:p w14:paraId="5174104E" w14:textId="77777777" w:rsidR="00AD7302" w:rsidRPr="00AD7302" w:rsidRDefault="00AD7302" w:rsidP="00AD7302">
      <w:pPr>
        <w:pStyle w:val="ListParagraph"/>
        <w:numPr>
          <w:ilvl w:val="1"/>
          <w:numId w:val="11"/>
        </w:numPr>
        <w:spacing w:after="0"/>
        <w:rPr>
          <w:rFonts w:cstheme="minorHAnsi"/>
        </w:rPr>
      </w:pPr>
      <w:r w:rsidRPr="00AD7302">
        <w:rPr>
          <w:rFonts w:cstheme="minorHAnsi"/>
        </w:rPr>
        <w:t>Alzheimer’s disease and related disorders or senile dementia</w:t>
      </w:r>
    </w:p>
    <w:p w14:paraId="6CA25AB2" w14:textId="77777777" w:rsidR="00AD7302" w:rsidRPr="00AD7302" w:rsidRDefault="00AD7302" w:rsidP="00AD7302">
      <w:pPr>
        <w:pStyle w:val="ListParagraph"/>
        <w:numPr>
          <w:ilvl w:val="1"/>
          <w:numId w:val="11"/>
        </w:numPr>
        <w:spacing w:after="0"/>
        <w:rPr>
          <w:rFonts w:cstheme="minorHAnsi"/>
        </w:rPr>
      </w:pPr>
      <w:r w:rsidRPr="00AD7302">
        <w:rPr>
          <w:rFonts w:cstheme="minorHAnsi"/>
        </w:rPr>
        <w:t>Atrial fibrillation</w:t>
      </w:r>
    </w:p>
    <w:p w14:paraId="2B7E611E" w14:textId="77777777" w:rsidR="00AD7302" w:rsidRPr="00AD7302" w:rsidRDefault="00AD7302" w:rsidP="00AD7302">
      <w:pPr>
        <w:pStyle w:val="ListParagraph"/>
        <w:numPr>
          <w:ilvl w:val="1"/>
          <w:numId w:val="11"/>
        </w:numPr>
        <w:spacing w:after="0"/>
        <w:rPr>
          <w:rFonts w:cstheme="minorHAnsi"/>
        </w:rPr>
      </w:pPr>
      <w:r w:rsidRPr="00AD7302">
        <w:rPr>
          <w:rFonts w:cstheme="minorHAnsi"/>
        </w:rPr>
        <w:t>Chronic kidney disease</w:t>
      </w:r>
    </w:p>
    <w:p w14:paraId="2A607884" w14:textId="77777777" w:rsidR="00AD7302" w:rsidRPr="00AD7302" w:rsidRDefault="00AD7302" w:rsidP="00AD7302">
      <w:pPr>
        <w:pStyle w:val="ListParagraph"/>
        <w:numPr>
          <w:ilvl w:val="1"/>
          <w:numId w:val="11"/>
        </w:numPr>
        <w:spacing w:after="0"/>
        <w:rPr>
          <w:rFonts w:cstheme="minorHAnsi"/>
        </w:rPr>
      </w:pPr>
      <w:r w:rsidRPr="00AD7302">
        <w:rPr>
          <w:rFonts w:cstheme="minorHAnsi"/>
        </w:rPr>
        <w:t>Chronic obstructive pulmonary disease or asthma</w:t>
      </w:r>
    </w:p>
    <w:p w14:paraId="51FC37C5" w14:textId="77777777" w:rsidR="00AD7302" w:rsidRPr="00AD7302" w:rsidRDefault="00AD7302" w:rsidP="00AD7302">
      <w:pPr>
        <w:pStyle w:val="ListParagraph"/>
        <w:numPr>
          <w:ilvl w:val="1"/>
          <w:numId w:val="11"/>
        </w:numPr>
        <w:spacing w:after="0"/>
        <w:rPr>
          <w:rFonts w:cstheme="minorHAnsi"/>
        </w:rPr>
      </w:pPr>
      <w:r w:rsidRPr="00AD7302">
        <w:rPr>
          <w:rFonts w:cstheme="minorHAnsi"/>
        </w:rPr>
        <w:t>Depression</w:t>
      </w:r>
    </w:p>
    <w:p w14:paraId="53F455E9" w14:textId="77777777" w:rsidR="00AD7302" w:rsidRPr="00AD7302" w:rsidRDefault="00AD7302" w:rsidP="00AD7302">
      <w:pPr>
        <w:pStyle w:val="ListParagraph"/>
        <w:numPr>
          <w:ilvl w:val="1"/>
          <w:numId w:val="11"/>
        </w:numPr>
        <w:spacing w:after="0"/>
        <w:rPr>
          <w:rFonts w:cstheme="minorHAnsi"/>
        </w:rPr>
      </w:pPr>
      <w:r w:rsidRPr="00AD7302">
        <w:rPr>
          <w:rFonts w:cstheme="minorHAnsi"/>
        </w:rPr>
        <w:t>Diabetes</w:t>
      </w:r>
    </w:p>
    <w:p w14:paraId="5F90A136" w14:textId="77777777" w:rsidR="00AD7302" w:rsidRPr="00AD7302" w:rsidRDefault="00AD7302" w:rsidP="00AD7302">
      <w:pPr>
        <w:pStyle w:val="ListParagraph"/>
        <w:numPr>
          <w:ilvl w:val="1"/>
          <w:numId w:val="11"/>
        </w:numPr>
        <w:spacing w:after="0"/>
        <w:rPr>
          <w:rFonts w:cstheme="minorHAnsi"/>
        </w:rPr>
      </w:pPr>
      <w:r w:rsidRPr="00AD7302">
        <w:rPr>
          <w:rFonts w:cstheme="minorHAnsi"/>
        </w:rPr>
        <w:t>Heart failure</w:t>
      </w:r>
    </w:p>
    <w:p w14:paraId="4A857F17" w14:textId="77777777" w:rsidR="00AD7302" w:rsidRPr="00AD7302" w:rsidRDefault="00AD7302" w:rsidP="00AD7302">
      <w:pPr>
        <w:pStyle w:val="ListParagraph"/>
        <w:numPr>
          <w:ilvl w:val="1"/>
          <w:numId w:val="11"/>
        </w:numPr>
        <w:spacing w:after="0"/>
        <w:rPr>
          <w:rFonts w:cstheme="minorHAnsi"/>
        </w:rPr>
      </w:pPr>
      <w:r w:rsidRPr="00AD7302">
        <w:rPr>
          <w:rFonts w:cstheme="minorHAnsi"/>
        </w:rPr>
        <w:t>Stroke or transient ischemic attack</w:t>
      </w:r>
    </w:p>
    <w:p w14:paraId="7E697376" w14:textId="77777777" w:rsidR="00AD7302" w:rsidRPr="00AD7302" w:rsidRDefault="00AD7302" w:rsidP="00AD7302">
      <w:pPr>
        <w:spacing w:after="0"/>
        <w:ind w:left="1080"/>
        <w:rPr>
          <w:rFonts w:cstheme="minorHAnsi"/>
          <w:i/>
        </w:rPr>
      </w:pPr>
      <w:r w:rsidRPr="00AD7302">
        <w:rPr>
          <w:rFonts w:cstheme="minorHAnsi"/>
          <w:i/>
        </w:rPr>
        <w:t>Clinical comorbidities defined using Condition Categories (CCs) or ICD-9-CM codes</w:t>
      </w:r>
    </w:p>
    <w:p w14:paraId="2E7F7B77" w14:textId="77777777" w:rsidR="00AD7302" w:rsidRPr="00AD7302" w:rsidRDefault="00AD7302" w:rsidP="00AD7302">
      <w:pPr>
        <w:pStyle w:val="ListParagraph"/>
        <w:numPr>
          <w:ilvl w:val="1"/>
          <w:numId w:val="11"/>
        </w:numPr>
        <w:spacing w:after="0"/>
        <w:rPr>
          <w:rFonts w:cstheme="minorHAnsi"/>
        </w:rPr>
      </w:pPr>
      <w:r w:rsidRPr="00AD7302">
        <w:rPr>
          <w:rFonts w:cstheme="minorHAnsi"/>
        </w:rPr>
        <w:t>Dialysis status (CC 134)</w:t>
      </w:r>
    </w:p>
    <w:p w14:paraId="6BB058F9" w14:textId="77777777" w:rsidR="00AD7302" w:rsidRPr="00AD7302" w:rsidRDefault="00AD7302" w:rsidP="00AD7302">
      <w:pPr>
        <w:pStyle w:val="ListParagraph"/>
        <w:numPr>
          <w:ilvl w:val="1"/>
          <w:numId w:val="11"/>
        </w:numPr>
        <w:spacing w:after="0"/>
        <w:rPr>
          <w:rFonts w:cstheme="minorHAnsi"/>
        </w:rPr>
      </w:pPr>
      <w:r w:rsidRPr="00AD7302">
        <w:rPr>
          <w:rFonts w:cstheme="minorHAnsi"/>
        </w:rPr>
        <w:t>Respiratory failure (CC 82, 83, 84)</w:t>
      </w:r>
    </w:p>
    <w:p w14:paraId="67523301" w14:textId="77777777" w:rsidR="00AD7302" w:rsidRPr="00AD7302" w:rsidRDefault="00AD7302" w:rsidP="00AD7302">
      <w:pPr>
        <w:pStyle w:val="ListParagraph"/>
        <w:numPr>
          <w:ilvl w:val="1"/>
          <w:numId w:val="11"/>
        </w:numPr>
        <w:spacing w:after="0"/>
        <w:rPr>
          <w:rFonts w:cstheme="minorHAnsi"/>
        </w:rPr>
      </w:pPr>
      <w:r w:rsidRPr="00AD7302">
        <w:rPr>
          <w:rFonts w:cstheme="minorHAnsi"/>
        </w:rPr>
        <w:t>Liver disease (CC 27 [remove ICD-9-CM 572.4], 28, 29, 30)</w:t>
      </w:r>
    </w:p>
    <w:p w14:paraId="577B9297" w14:textId="77777777" w:rsidR="00AD7302" w:rsidRPr="00AD7302" w:rsidRDefault="00AD7302" w:rsidP="00AD7302">
      <w:pPr>
        <w:pStyle w:val="ListParagraph"/>
        <w:numPr>
          <w:ilvl w:val="1"/>
          <w:numId w:val="11"/>
        </w:numPr>
        <w:spacing w:after="0"/>
        <w:rPr>
          <w:rFonts w:cstheme="minorHAnsi"/>
        </w:rPr>
      </w:pPr>
      <w:r w:rsidRPr="00AD7302">
        <w:rPr>
          <w:rFonts w:cstheme="minorHAnsi"/>
        </w:rPr>
        <w:t>Pneumonia (CC 114, 115, 116)</w:t>
      </w:r>
    </w:p>
    <w:p w14:paraId="3AB393E8" w14:textId="77777777" w:rsidR="00AD7302" w:rsidRPr="00AD7302" w:rsidRDefault="00AD7302" w:rsidP="00AD7302">
      <w:pPr>
        <w:pStyle w:val="ListParagraph"/>
        <w:numPr>
          <w:ilvl w:val="1"/>
          <w:numId w:val="11"/>
        </w:numPr>
        <w:spacing w:after="0"/>
        <w:rPr>
          <w:rFonts w:cstheme="minorHAnsi"/>
        </w:rPr>
      </w:pPr>
      <w:r w:rsidRPr="00AD7302">
        <w:rPr>
          <w:rFonts w:cstheme="minorHAnsi"/>
        </w:rPr>
        <w:t>Septicemia/shock (CC 2)</w:t>
      </w:r>
    </w:p>
    <w:p w14:paraId="163DF816" w14:textId="77777777" w:rsidR="00AD7302" w:rsidRPr="00AD7302" w:rsidRDefault="00AD7302" w:rsidP="00AD7302">
      <w:pPr>
        <w:pStyle w:val="ListParagraph"/>
        <w:numPr>
          <w:ilvl w:val="1"/>
          <w:numId w:val="11"/>
        </w:numPr>
        <w:spacing w:after="0"/>
        <w:rPr>
          <w:rFonts w:cstheme="minorHAnsi"/>
        </w:rPr>
      </w:pPr>
      <w:r w:rsidRPr="00AD7302">
        <w:rPr>
          <w:rFonts w:cstheme="minorHAnsi"/>
        </w:rPr>
        <w:t>Marked disability/frailty (CC 21, 70, 71, 73, 157, 158, 159, 160, 161, 189, 190)</w:t>
      </w:r>
    </w:p>
    <w:p w14:paraId="62631E6F" w14:textId="77777777" w:rsidR="00AD7302" w:rsidRPr="00AD7302" w:rsidRDefault="00AD7302" w:rsidP="00AD7302">
      <w:pPr>
        <w:pStyle w:val="ListParagraph"/>
        <w:numPr>
          <w:ilvl w:val="1"/>
          <w:numId w:val="11"/>
        </w:numPr>
        <w:spacing w:after="0"/>
        <w:rPr>
          <w:rFonts w:cstheme="minorHAnsi"/>
        </w:rPr>
      </w:pPr>
      <w:r w:rsidRPr="00AD7302">
        <w:rPr>
          <w:rFonts w:cstheme="minorHAnsi"/>
        </w:rPr>
        <w:t>Hematologic/al diseases (CC 46 [remove ICD-9-CM 283.11], 48)</w:t>
      </w:r>
    </w:p>
    <w:p w14:paraId="0F937C3E" w14:textId="77777777" w:rsidR="00AD7302" w:rsidRPr="00AD7302" w:rsidRDefault="00AD7302" w:rsidP="00AD7302">
      <w:pPr>
        <w:pStyle w:val="ListParagraph"/>
        <w:numPr>
          <w:ilvl w:val="1"/>
          <w:numId w:val="11"/>
        </w:numPr>
        <w:spacing w:after="0"/>
        <w:rPr>
          <w:rFonts w:cstheme="minorHAnsi"/>
        </w:rPr>
      </w:pPr>
      <w:r w:rsidRPr="00AD7302">
        <w:rPr>
          <w:rFonts w:cstheme="minorHAnsi"/>
        </w:rPr>
        <w:t>Advanced cancer (CC 8, 9, 10, 13)</w:t>
      </w:r>
    </w:p>
    <w:p w14:paraId="281209ED" w14:textId="77777777" w:rsidR="00AD7302" w:rsidRPr="00AD7302" w:rsidRDefault="00AD7302" w:rsidP="00AD7302">
      <w:pPr>
        <w:pStyle w:val="ListParagraph"/>
        <w:numPr>
          <w:ilvl w:val="1"/>
          <w:numId w:val="11"/>
        </w:numPr>
        <w:spacing w:after="0"/>
        <w:rPr>
          <w:rFonts w:cstheme="minorHAnsi"/>
        </w:rPr>
      </w:pPr>
      <w:r w:rsidRPr="00AD7302">
        <w:rPr>
          <w:rFonts w:cstheme="minorHAnsi"/>
        </w:rPr>
        <w:t>Infectious and immune disorders (CC 1, 3, 4, 5 [remove ICD-9-CM 016.00, 016.01, 016.02, 016.03, 016.04, 016.05, 016.06], 6, 47, 90)</w:t>
      </w:r>
    </w:p>
    <w:p w14:paraId="571393CD" w14:textId="77777777" w:rsidR="00AD7302" w:rsidRPr="00AD7302" w:rsidRDefault="00AD7302" w:rsidP="00AD7302">
      <w:pPr>
        <w:pStyle w:val="ListParagraph"/>
        <w:numPr>
          <w:ilvl w:val="1"/>
          <w:numId w:val="11"/>
        </w:numPr>
        <w:spacing w:after="0"/>
        <w:rPr>
          <w:rFonts w:cstheme="minorHAnsi"/>
        </w:rPr>
      </w:pPr>
      <w:r w:rsidRPr="00AD7302">
        <w:rPr>
          <w:rFonts w:cstheme="minorHAnsi"/>
        </w:rPr>
        <w:t>Severe cognitive impairment (CC 50, 64, 65, 80)</w:t>
      </w:r>
    </w:p>
    <w:p w14:paraId="2519FCFC" w14:textId="77777777" w:rsidR="00AD7302" w:rsidRPr="00AD7302" w:rsidRDefault="00AD7302" w:rsidP="00AD7302">
      <w:pPr>
        <w:pStyle w:val="ListParagraph"/>
        <w:numPr>
          <w:ilvl w:val="1"/>
          <w:numId w:val="11"/>
        </w:numPr>
        <w:spacing w:after="0"/>
        <w:rPr>
          <w:rFonts w:cstheme="minorHAnsi"/>
        </w:rPr>
      </w:pPr>
      <w:r w:rsidRPr="00AD7302">
        <w:rPr>
          <w:rFonts w:cstheme="minorHAnsi"/>
        </w:rPr>
        <w:t>Major organ transplant status (CC 132, 186)</w:t>
      </w:r>
    </w:p>
    <w:p w14:paraId="710B1D65" w14:textId="77777777" w:rsidR="00AD7302" w:rsidRPr="00AD7302" w:rsidRDefault="00AD7302" w:rsidP="00AD7302">
      <w:pPr>
        <w:pStyle w:val="ListParagraph"/>
        <w:numPr>
          <w:ilvl w:val="1"/>
          <w:numId w:val="11"/>
        </w:numPr>
        <w:spacing w:after="0"/>
        <w:rPr>
          <w:rFonts w:cstheme="minorHAnsi"/>
        </w:rPr>
      </w:pPr>
      <w:r w:rsidRPr="00AD7302">
        <w:rPr>
          <w:rFonts w:cstheme="minorHAnsi"/>
        </w:rPr>
        <w:t>Pulmonary heart disease (ICD-9-CM 415.0, 416.0, 416.1, 416.8, 416.9, 417.0, 417.1, 417.8, 417.9)</w:t>
      </w:r>
    </w:p>
    <w:p w14:paraId="5273A154" w14:textId="77777777" w:rsidR="00AD7302" w:rsidRPr="00AD7302" w:rsidRDefault="00AD7302" w:rsidP="00AD7302">
      <w:pPr>
        <w:pStyle w:val="ListParagraph"/>
        <w:numPr>
          <w:ilvl w:val="1"/>
          <w:numId w:val="11"/>
        </w:numPr>
        <w:spacing w:after="0"/>
        <w:rPr>
          <w:rFonts w:cstheme="minorHAnsi"/>
        </w:rPr>
      </w:pPr>
      <w:r w:rsidRPr="00AD7302">
        <w:rPr>
          <w:rFonts w:cstheme="minorHAnsi"/>
        </w:rPr>
        <w:t>Cardiomyopathy (ICD-9-CM 425.2, 425.4, 425.5, 425.7, 425.8, 425.9, 429.0, 429.1, 425.11, 425.18)</w:t>
      </w:r>
    </w:p>
    <w:p w14:paraId="3900F440" w14:textId="77777777" w:rsidR="00AD7302" w:rsidRPr="00AD7302" w:rsidRDefault="00AD7302" w:rsidP="00AD7302">
      <w:pPr>
        <w:pStyle w:val="ListParagraph"/>
        <w:numPr>
          <w:ilvl w:val="1"/>
          <w:numId w:val="11"/>
        </w:numPr>
        <w:spacing w:after="0"/>
        <w:rPr>
          <w:rFonts w:cstheme="minorHAnsi"/>
        </w:rPr>
      </w:pPr>
      <w:r w:rsidRPr="00AD7302">
        <w:rPr>
          <w:rFonts w:cstheme="minorHAnsi"/>
        </w:rPr>
        <w:t>Gastrointestinal disease (CC 31, 32, 33, 35, 36)</w:t>
      </w:r>
    </w:p>
    <w:p w14:paraId="74A701D4" w14:textId="77777777" w:rsidR="00AD7302" w:rsidRPr="00AD7302" w:rsidRDefault="00AD7302" w:rsidP="00AD7302">
      <w:pPr>
        <w:pStyle w:val="ListParagraph"/>
        <w:numPr>
          <w:ilvl w:val="1"/>
          <w:numId w:val="11"/>
        </w:numPr>
        <w:spacing w:after="0"/>
        <w:rPr>
          <w:rFonts w:cstheme="minorHAnsi"/>
        </w:rPr>
      </w:pPr>
      <w:r w:rsidRPr="00AD7302">
        <w:rPr>
          <w:rFonts w:cstheme="minorHAnsi"/>
        </w:rPr>
        <w:t>Iron deficiency anemia (CC 49)</w:t>
      </w:r>
    </w:p>
    <w:p w14:paraId="45FE2644" w14:textId="77777777" w:rsidR="00AD7302" w:rsidRPr="00AD7302" w:rsidRDefault="00AD7302" w:rsidP="00AD7302">
      <w:pPr>
        <w:pStyle w:val="ListParagraph"/>
        <w:numPr>
          <w:ilvl w:val="1"/>
          <w:numId w:val="11"/>
        </w:numPr>
        <w:spacing w:after="0"/>
        <w:rPr>
          <w:rFonts w:cstheme="minorHAnsi"/>
        </w:rPr>
      </w:pPr>
      <w:r w:rsidRPr="00AD7302">
        <w:rPr>
          <w:rFonts w:cstheme="minorHAnsi"/>
        </w:rPr>
        <w:t>Ischemic heart disease except AMI (CC 87, 88, 89, 98; ICD-9-CM 429.5, 429.6)</w:t>
      </w:r>
    </w:p>
    <w:p w14:paraId="420EC91B" w14:textId="77777777" w:rsidR="00AD7302" w:rsidRPr="00AD7302" w:rsidRDefault="00AD7302" w:rsidP="00AD7302">
      <w:pPr>
        <w:pStyle w:val="ListParagraph"/>
        <w:numPr>
          <w:ilvl w:val="1"/>
          <w:numId w:val="11"/>
        </w:numPr>
        <w:spacing w:after="0"/>
        <w:rPr>
          <w:rFonts w:cstheme="minorHAnsi"/>
        </w:rPr>
      </w:pPr>
      <w:r w:rsidRPr="00AD7302">
        <w:rPr>
          <w:rFonts w:cstheme="minorHAnsi"/>
        </w:rPr>
        <w:t>Other lung disorders (CC 112 [remove ICD-9-CM 494.0, 494.1], 118 [remove ICD-9 CM 490])</w:t>
      </w:r>
    </w:p>
    <w:p w14:paraId="4C45F8CF" w14:textId="77777777" w:rsidR="00AD7302" w:rsidRPr="00AD7302" w:rsidRDefault="00AD7302" w:rsidP="00AD7302">
      <w:pPr>
        <w:pStyle w:val="ListParagraph"/>
        <w:numPr>
          <w:ilvl w:val="1"/>
          <w:numId w:val="11"/>
        </w:numPr>
        <w:spacing w:after="0"/>
        <w:rPr>
          <w:rFonts w:cstheme="minorHAnsi"/>
        </w:rPr>
      </w:pPr>
      <w:r w:rsidRPr="00AD7302">
        <w:rPr>
          <w:rFonts w:cstheme="minorHAnsi"/>
        </w:rPr>
        <w:t>Vascular or circulatory disease (CC 106, 107, 108, 109 [remove ICD-9-CM codes 440.1, 442.1])</w:t>
      </w:r>
    </w:p>
    <w:p w14:paraId="3366FB89" w14:textId="77777777" w:rsidR="00AD7302" w:rsidRPr="00AD7302" w:rsidRDefault="00AD7302" w:rsidP="00AD7302">
      <w:pPr>
        <w:pStyle w:val="ListParagraph"/>
        <w:numPr>
          <w:ilvl w:val="1"/>
          <w:numId w:val="11"/>
        </w:numPr>
        <w:spacing w:after="0"/>
        <w:rPr>
          <w:rFonts w:cstheme="minorHAnsi"/>
        </w:rPr>
      </w:pPr>
      <w:r w:rsidRPr="00AD7302">
        <w:rPr>
          <w:rFonts w:cstheme="minorHAnsi"/>
        </w:rPr>
        <w:t>Other significant endocrine disorders (CC 23 [remove ICD-9-CM codes 271.4, 588.1, 588.81])</w:t>
      </w:r>
    </w:p>
    <w:p w14:paraId="10CC848C" w14:textId="77777777" w:rsidR="00AD7302" w:rsidRPr="00AD7302" w:rsidRDefault="00AD7302" w:rsidP="00AD7302">
      <w:pPr>
        <w:pStyle w:val="ListParagraph"/>
        <w:numPr>
          <w:ilvl w:val="1"/>
          <w:numId w:val="11"/>
        </w:numPr>
        <w:spacing w:after="0"/>
        <w:rPr>
          <w:rFonts w:cstheme="minorHAnsi"/>
        </w:rPr>
      </w:pPr>
      <w:r w:rsidRPr="00AD7302">
        <w:rPr>
          <w:rFonts w:cstheme="minorHAnsi"/>
        </w:rPr>
        <w:t>Other disabilities and paralysis (CC 72, 74, 103, 104, 119)</w:t>
      </w:r>
    </w:p>
    <w:p w14:paraId="1105B72B" w14:textId="77777777" w:rsidR="00AD7302" w:rsidRPr="00AD7302" w:rsidRDefault="00AD7302" w:rsidP="00AD7302">
      <w:pPr>
        <w:pStyle w:val="ListParagraph"/>
        <w:numPr>
          <w:ilvl w:val="1"/>
          <w:numId w:val="11"/>
        </w:numPr>
        <w:spacing w:after="0"/>
        <w:rPr>
          <w:rFonts w:cstheme="minorHAnsi"/>
        </w:rPr>
      </w:pPr>
      <w:r w:rsidRPr="00AD7302">
        <w:rPr>
          <w:rFonts w:cstheme="minorHAnsi"/>
        </w:rPr>
        <w:t>Substance abuse (CC 54, 55, 56)</w:t>
      </w:r>
    </w:p>
    <w:p w14:paraId="2350AAF7" w14:textId="77777777" w:rsidR="00AD7302" w:rsidRPr="00AD7302" w:rsidRDefault="00AD7302" w:rsidP="00AD7302">
      <w:pPr>
        <w:pStyle w:val="ListParagraph"/>
        <w:numPr>
          <w:ilvl w:val="1"/>
          <w:numId w:val="11"/>
        </w:numPr>
        <w:spacing w:after="0"/>
        <w:rPr>
          <w:rFonts w:cstheme="minorHAnsi"/>
        </w:rPr>
      </w:pPr>
      <w:r w:rsidRPr="00AD7302">
        <w:rPr>
          <w:rFonts w:cstheme="minorHAnsi"/>
        </w:rPr>
        <w:t>Other neurologic disorders (75, 77, 78, 79, 81, 105)</w:t>
      </w:r>
    </w:p>
    <w:p w14:paraId="68BB7E00" w14:textId="77777777" w:rsidR="00AD7302" w:rsidRPr="00AD7302" w:rsidRDefault="00AD7302" w:rsidP="00AD7302">
      <w:pPr>
        <w:pStyle w:val="ListParagraph"/>
        <w:numPr>
          <w:ilvl w:val="1"/>
          <w:numId w:val="11"/>
        </w:numPr>
        <w:spacing w:after="0"/>
        <w:rPr>
          <w:rFonts w:cstheme="minorHAnsi"/>
        </w:rPr>
      </w:pPr>
      <w:r w:rsidRPr="00AD7302">
        <w:rPr>
          <w:rFonts w:cstheme="minorHAnsi"/>
        </w:rPr>
        <w:t>Specified arrhythmias and other heart rhythm disorders (CC 96 [remove ICD-9-CM 427.31] and 97)</w:t>
      </w:r>
    </w:p>
    <w:p w14:paraId="7BDDAFA5" w14:textId="77777777" w:rsidR="00AD7302" w:rsidRPr="00AD7302" w:rsidRDefault="00AD7302" w:rsidP="00AD7302">
      <w:pPr>
        <w:pStyle w:val="ListParagraph"/>
        <w:numPr>
          <w:ilvl w:val="1"/>
          <w:numId w:val="11"/>
        </w:numPr>
        <w:spacing w:after="0"/>
        <w:rPr>
          <w:rFonts w:cstheme="minorHAnsi"/>
        </w:rPr>
      </w:pPr>
      <w:r w:rsidRPr="00AD7302">
        <w:rPr>
          <w:rFonts w:cstheme="minorHAnsi"/>
        </w:rPr>
        <w:t>Hypertension (CC 95)</w:t>
      </w:r>
    </w:p>
    <w:p w14:paraId="02A8517E" w14:textId="77777777" w:rsidR="00AD7302" w:rsidRPr="00AD7302" w:rsidRDefault="00AD7302" w:rsidP="00AD7302">
      <w:pPr>
        <w:pStyle w:val="ListParagraph"/>
        <w:numPr>
          <w:ilvl w:val="1"/>
          <w:numId w:val="11"/>
        </w:numPr>
        <w:spacing w:after="0"/>
        <w:rPr>
          <w:rFonts w:cstheme="minorHAnsi"/>
        </w:rPr>
      </w:pPr>
      <w:r w:rsidRPr="00AD7302">
        <w:rPr>
          <w:rFonts w:cstheme="minorHAnsi"/>
        </w:rPr>
        <w:t>Hip or vertebral fracture (CC 169, 170)</w:t>
      </w:r>
    </w:p>
    <w:p w14:paraId="0E4B0EB1" w14:textId="77777777" w:rsidR="00AD7302" w:rsidRPr="00AD7302" w:rsidRDefault="00AD7302" w:rsidP="00AD7302">
      <w:pPr>
        <w:pStyle w:val="ListParagraph"/>
        <w:numPr>
          <w:ilvl w:val="1"/>
          <w:numId w:val="11"/>
        </w:numPr>
        <w:spacing w:after="0"/>
        <w:rPr>
          <w:rFonts w:cstheme="minorHAnsi"/>
        </w:rPr>
      </w:pPr>
      <w:r w:rsidRPr="00AD7302">
        <w:rPr>
          <w:rFonts w:cstheme="minorHAnsi"/>
        </w:rPr>
        <w:t>Lower-risk cardiovascular disease (CC 91, 92, 93)</w:t>
      </w:r>
    </w:p>
    <w:p w14:paraId="707F4D74" w14:textId="77777777" w:rsidR="00AD7302" w:rsidRPr="00AD7302" w:rsidRDefault="00AD7302" w:rsidP="00AD7302">
      <w:pPr>
        <w:pStyle w:val="ListParagraph"/>
        <w:numPr>
          <w:ilvl w:val="1"/>
          <w:numId w:val="11"/>
        </w:numPr>
        <w:spacing w:after="0"/>
        <w:rPr>
          <w:rFonts w:cstheme="minorHAnsi"/>
        </w:rPr>
      </w:pPr>
      <w:r w:rsidRPr="00AD7302">
        <w:rPr>
          <w:rFonts w:cstheme="minorHAnsi"/>
        </w:rPr>
        <w:t>Cerebrovascular disease (CC 102)</w:t>
      </w:r>
    </w:p>
    <w:p w14:paraId="5ECB51FA" w14:textId="77777777" w:rsidR="00AD7302" w:rsidRPr="00AD7302" w:rsidRDefault="00AD7302" w:rsidP="00AD7302">
      <w:pPr>
        <w:pStyle w:val="ListParagraph"/>
        <w:numPr>
          <w:ilvl w:val="1"/>
          <w:numId w:val="11"/>
        </w:numPr>
        <w:spacing w:after="0"/>
        <w:rPr>
          <w:rFonts w:cstheme="minorHAnsi"/>
        </w:rPr>
      </w:pPr>
      <w:r w:rsidRPr="00AD7302">
        <w:rPr>
          <w:rFonts w:cstheme="minorHAnsi"/>
        </w:rPr>
        <w:t>Morbid obesity (ICD-9-CM V853.5, V853.6, V853.7, V853.8, 278.01, V853.9, V854.4, V854.5, V854.3)</w:t>
      </w:r>
    </w:p>
    <w:p w14:paraId="3914C0F5" w14:textId="77777777" w:rsidR="00AD7302" w:rsidRPr="00AD7302" w:rsidRDefault="00AD7302" w:rsidP="00AD7302">
      <w:pPr>
        <w:pStyle w:val="ListParagraph"/>
        <w:numPr>
          <w:ilvl w:val="1"/>
          <w:numId w:val="11"/>
        </w:numPr>
        <w:spacing w:after="0"/>
        <w:rPr>
          <w:rFonts w:cstheme="minorHAnsi"/>
        </w:rPr>
      </w:pPr>
      <w:r w:rsidRPr="00AD7302">
        <w:rPr>
          <w:rFonts w:cstheme="minorHAnsi"/>
        </w:rPr>
        <w:t>Urinary disorders (CC 142 [remove ICD-9-CM codes 591, 753.21, 753.20, 753.29, 753.22, 753.23] and 145 [remove ICD-9-CM 587, 588.9, 588.89, 753.12, 753.13, 753.15, 753.16, 753.17, 753.19])</w:t>
      </w:r>
    </w:p>
    <w:p w14:paraId="6C3B4860" w14:textId="77777777" w:rsidR="00AD7302" w:rsidRPr="00AD7302" w:rsidRDefault="00AD7302" w:rsidP="00AD7302">
      <w:pPr>
        <w:pStyle w:val="ListParagraph"/>
        <w:numPr>
          <w:ilvl w:val="1"/>
          <w:numId w:val="11"/>
        </w:numPr>
        <w:spacing w:after="0"/>
        <w:rPr>
          <w:rFonts w:cstheme="minorHAnsi"/>
        </w:rPr>
      </w:pPr>
      <w:r w:rsidRPr="00AD7302">
        <w:rPr>
          <w:rFonts w:cstheme="minorHAnsi"/>
        </w:rPr>
        <w:t>Psychiatric disorders other than depression (CC 57, 59 [remove ICD-9 CM 298.0], 60, 62, 63)</w:t>
      </w:r>
    </w:p>
    <w:p w14:paraId="39546EC1" w14:textId="77777777" w:rsidR="00AD7302" w:rsidRPr="00AD7302" w:rsidRDefault="00AD7302" w:rsidP="00AD7302">
      <w:pPr>
        <w:pStyle w:val="ListParagraph"/>
        <w:numPr>
          <w:ilvl w:val="1"/>
          <w:numId w:val="11"/>
        </w:numPr>
        <w:spacing w:after="0"/>
        <w:rPr>
          <w:rFonts w:cstheme="minorHAnsi"/>
        </w:rPr>
      </w:pPr>
      <w:r w:rsidRPr="00AD7302">
        <w:rPr>
          <w:rFonts w:cstheme="minorHAnsi"/>
        </w:rPr>
        <w:t>Walking aids (140 and 590)*</w:t>
      </w:r>
    </w:p>
    <w:p w14:paraId="7729C0E5" w14:textId="77777777" w:rsidR="00AD7302" w:rsidRPr="00AD7302" w:rsidRDefault="00AD7302" w:rsidP="00AD7302">
      <w:pPr>
        <w:pStyle w:val="ListParagraph"/>
        <w:numPr>
          <w:ilvl w:val="1"/>
          <w:numId w:val="11"/>
        </w:numPr>
        <w:spacing w:after="0"/>
        <w:rPr>
          <w:rFonts w:cstheme="minorHAnsi"/>
        </w:rPr>
      </w:pPr>
      <w:r w:rsidRPr="00AD7302">
        <w:rPr>
          <w:rFonts w:cstheme="minorHAnsi"/>
        </w:rPr>
        <w:t>Wheelchairs (602, 603, 604, 606)*</w:t>
      </w:r>
    </w:p>
    <w:p w14:paraId="17DA08C8" w14:textId="77777777" w:rsidR="00AD7302" w:rsidRPr="000C0BC8" w:rsidRDefault="00AD7302">
      <w:pPr>
        <w:pStyle w:val="ListParagraph"/>
        <w:numPr>
          <w:ilvl w:val="1"/>
          <w:numId w:val="11"/>
        </w:numPr>
        <w:spacing w:after="0"/>
        <w:rPr>
          <w:rFonts w:cstheme="minorHAnsi"/>
        </w:rPr>
      </w:pPr>
      <w:r w:rsidRPr="000C0BC8">
        <w:rPr>
          <w:rFonts w:cstheme="minorHAnsi"/>
        </w:rPr>
        <w:t>Hospital bed (250)*</w:t>
      </w:r>
    </w:p>
    <w:p w14:paraId="228F903D" w14:textId="77777777" w:rsidR="00AD7302" w:rsidRPr="00AD7302" w:rsidRDefault="00AD7302" w:rsidP="00AD7302">
      <w:pPr>
        <w:pStyle w:val="ListParagraph"/>
        <w:numPr>
          <w:ilvl w:val="1"/>
          <w:numId w:val="11"/>
        </w:numPr>
        <w:spacing w:after="0"/>
        <w:rPr>
          <w:rFonts w:cstheme="minorHAnsi"/>
        </w:rPr>
      </w:pPr>
      <w:r w:rsidRPr="00AD7302">
        <w:rPr>
          <w:rFonts w:cstheme="minorHAnsi"/>
        </w:rPr>
        <w:t>Lifts (430 and 460)*</w:t>
      </w:r>
    </w:p>
    <w:p w14:paraId="789D34BF" w14:textId="77777777" w:rsidR="00AD7302" w:rsidRPr="00AD7302" w:rsidRDefault="00AD7302" w:rsidP="00AD7302">
      <w:pPr>
        <w:pStyle w:val="ListParagraph"/>
        <w:numPr>
          <w:ilvl w:val="1"/>
          <w:numId w:val="11"/>
        </w:numPr>
        <w:spacing w:after="0"/>
        <w:rPr>
          <w:rFonts w:cstheme="minorHAnsi"/>
        </w:rPr>
      </w:pPr>
      <w:r w:rsidRPr="00AD7302">
        <w:rPr>
          <w:rFonts w:cstheme="minorHAnsi"/>
        </w:rPr>
        <w:t>Oxygen (400)*</w:t>
      </w:r>
    </w:p>
    <w:p w14:paraId="41FD7341" w14:textId="77777777" w:rsidR="00AD7302" w:rsidRPr="00AD7302" w:rsidRDefault="00AD7302" w:rsidP="00AD7302">
      <w:pPr>
        <w:pStyle w:val="ListParagraph"/>
        <w:numPr>
          <w:ilvl w:val="1"/>
          <w:numId w:val="11"/>
        </w:numPr>
        <w:spacing w:after="0"/>
        <w:rPr>
          <w:rFonts w:cstheme="minorHAnsi"/>
        </w:rPr>
      </w:pPr>
      <w:r w:rsidRPr="00AD7302">
        <w:rPr>
          <w:rFonts w:cstheme="minorHAnsi"/>
        </w:rPr>
        <w:t>Original reason for entitlement: disability insurance beneficiary</w:t>
      </w:r>
    </w:p>
    <w:p w14:paraId="2CF81421" w14:textId="41C1D36B" w:rsidR="0027302F" w:rsidRPr="0027302F" w:rsidRDefault="00AD7302" w:rsidP="0027302F">
      <w:pPr>
        <w:pStyle w:val="ListParagraph"/>
        <w:numPr>
          <w:ilvl w:val="1"/>
          <w:numId w:val="11"/>
        </w:numPr>
        <w:spacing w:after="0"/>
        <w:rPr>
          <w:rFonts w:cstheme="minorHAnsi"/>
        </w:rPr>
      </w:pPr>
      <w:r w:rsidRPr="00AD7302">
        <w:rPr>
          <w:rFonts w:cstheme="minorHAnsi"/>
        </w:rPr>
        <w:t>Original reason for entitlement: end stage renal disease</w:t>
      </w:r>
    </w:p>
    <w:p w14:paraId="784A7683" w14:textId="7A7CAF7D" w:rsidR="0027302F" w:rsidRDefault="0027302F" w:rsidP="0027302F">
      <w:pPr>
        <w:pStyle w:val="ListParagraph"/>
        <w:spacing w:after="0"/>
        <w:ind w:left="2160"/>
        <w:rPr>
          <w:rFonts w:cstheme="minorHAnsi"/>
        </w:rPr>
      </w:pPr>
      <w:r w:rsidRPr="0027302F">
        <w:rPr>
          <w:rFonts w:cstheme="minorHAnsi"/>
        </w:rPr>
        <w:t>* Measures of frailty/disability defined using Policy Group Maps maintained by Palmetto GBA under contract to CMS for Durable Medical Equipment or original reason for Medicare entitlement</w:t>
      </w:r>
    </w:p>
    <w:p w14:paraId="1C6549E5" w14:textId="6131B00A" w:rsidR="00EB2CA5" w:rsidRDefault="00EB2CA5" w:rsidP="0027302F">
      <w:pPr>
        <w:pStyle w:val="ListParagraph"/>
        <w:spacing w:after="0"/>
        <w:ind w:left="2160"/>
        <w:rPr>
          <w:rFonts w:cstheme="minorHAnsi"/>
        </w:rPr>
      </w:pPr>
    </w:p>
    <w:p w14:paraId="7A7C2047" w14:textId="77777777" w:rsidR="00EB2CA5" w:rsidRDefault="00EB2CA5" w:rsidP="00EB2CA5">
      <w:pPr>
        <w:ind w:left="1080"/>
        <w:rPr>
          <w:rFonts w:cstheme="minorHAnsi"/>
          <w:u w:val="single"/>
        </w:rPr>
      </w:pPr>
      <w:r w:rsidRPr="00C56B70">
        <w:rPr>
          <w:rFonts w:cstheme="minorHAnsi"/>
          <w:u w:val="single"/>
        </w:rPr>
        <w:t>Risk adjustment for Social Risk Factors</w:t>
      </w:r>
    </w:p>
    <w:p w14:paraId="4A3B675E" w14:textId="29FAD576" w:rsidR="00EB2CA5" w:rsidRDefault="00EB2CA5" w:rsidP="000C0BC8">
      <w:pPr>
        <w:ind w:left="1080"/>
        <w:rPr>
          <w:rFonts w:cstheme="minorHAnsi"/>
        </w:rPr>
      </w:pPr>
      <w:r w:rsidRPr="00C56B70">
        <w:rPr>
          <w:rFonts w:cstheme="minorHAnsi"/>
        </w:rPr>
        <w:t>We also evaluated four residential and community context variables for possible inclusion in the risk-adjustment model: 1) the AHRQ SES Index, 2) rural residence, 3) PCP density, and 4) specialist density. Of the four, only AHRQ SES Index and specialist density met our thresholds of having a demographic and clinical variables-adjusted RR of ≥1.05 and remaining statistically significant at the 0.05 level in the multivariable model that incl</w:t>
      </w:r>
      <w:r>
        <w:rPr>
          <w:rFonts w:cstheme="minorHAnsi"/>
        </w:rPr>
        <w:t>uded all of the risk adjusters</w:t>
      </w:r>
      <w:r w:rsidRPr="00C56B70">
        <w:rPr>
          <w:rFonts w:cstheme="minorHAnsi"/>
        </w:rPr>
        <w:t xml:space="preserve">. When the demographic and clinical variables, AHRQ SES Index, and specialist density were </w:t>
      </w:r>
      <w:r>
        <w:rPr>
          <w:rFonts w:cstheme="minorHAnsi"/>
        </w:rPr>
        <w:t>included in the model</w:t>
      </w:r>
      <w:r w:rsidRPr="00C56B70">
        <w:rPr>
          <w:rFonts w:cstheme="minorHAnsi"/>
        </w:rPr>
        <w:t xml:space="preserve">, the adjusted RRs for AHRQ SES Index and specialist density were 1.07 and 1.04, respectively; when dual eligibility was </w:t>
      </w:r>
      <w:r>
        <w:rPr>
          <w:rFonts w:cstheme="minorHAnsi"/>
        </w:rPr>
        <w:t>also added to the model</w:t>
      </w:r>
      <w:r w:rsidRPr="00C56B70">
        <w:rPr>
          <w:rFonts w:cstheme="minorHAnsi"/>
        </w:rPr>
        <w:t>, the RR for AHRQ SES Index was 1.06, and the RR for specialty density remained unchanged.</w:t>
      </w:r>
    </w:p>
    <w:p w14:paraId="00CFE2A9" w14:textId="77777777" w:rsidR="00CF0366" w:rsidRPr="000C0BC8" w:rsidRDefault="00CF0366" w:rsidP="00CF0366">
      <w:pPr>
        <w:spacing w:after="0"/>
        <w:ind w:left="360" w:firstLine="720"/>
        <w:rPr>
          <w:rFonts w:cstheme="minorHAnsi"/>
        </w:rPr>
      </w:pPr>
      <w:r w:rsidRPr="0027302F">
        <w:rPr>
          <w:rFonts w:cstheme="minorHAnsi"/>
        </w:rPr>
        <w:t>Model Variables</w:t>
      </w:r>
      <w:r>
        <w:rPr>
          <w:rFonts w:cstheme="minorHAnsi"/>
        </w:rPr>
        <w:t xml:space="preserve"> for Social Risk</w:t>
      </w:r>
    </w:p>
    <w:p w14:paraId="4237158F" w14:textId="77777777" w:rsidR="00CF0366" w:rsidRPr="00C56B70" w:rsidRDefault="00CF0366" w:rsidP="00CF0366">
      <w:pPr>
        <w:pStyle w:val="ListParagraph"/>
        <w:numPr>
          <w:ilvl w:val="0"/>
          <w:numId w:val="23"/>
        </w:numPr>
        <w:spacing w:after="0"/>
        <w:rPr>
          <w:rFonts w:cstheme="minorHAnsi"/>
        </w:rPr>
      </w:pPr>
      <w:r w:rsidRPr="00C56B70">
        <w:rPr>
          <w:rFonts w:cstheme="minorHAnsi"/>
        </w:rPr>
        <w:t>Agency for Healthcare Research and Quality (AHRQ) Socioeconomic Status (SES) Index, from the American Community Survey (ACS)</w:t>
      </w:r>
    </w:p>
    <w:p w14:paraId="5642DDDE" w14:textId="77777777" w:rsidR="00CF0366" w:rsidRPr="00C56B70" w:rsidRDefault="00CF0366" w:rsidP="00CF0366">
      <w:pPr>
        <w:pStyle w:val="ListParagraph"/>
        <w:numPr>
          <w:ilvl w:val="0"/>
          <w:numId w:val="23"/>
        </w:numPr>
        <w:spacing w:after="0"/>
        <w:rPr>
          <w:rFonts w:cstheme="minorHAnsi"/>
        </w:rPr>
      </w:pPr>
      <w:r w:rsidRPr="00C56B70">
        <w:rPr>
          <w:rFonts w:cstheme="minorHAnsi"/>
        </w:rPr>
        <w:t>Density of specialists, from the AHRF</w:t>
      </w:r>
    </w:p>
    <w:p w14:paraId="16DBCBAA" w14:textId="5E466430" w:rsidR="00CF0366" w:rsidRPr="000C0BC8" w:rsidRDefault="00CF0366" w:rsidP="000C0BC8">
      <w:pPr>
        <w:ind w:left="1080"/>
        <w:rPr>
          <w:rFonts w:cstheme="minorHAnsi"/>
        </w:rPr>
      </w:pPr>
      <w:r>
        <w:rPr>
          <w:rFonts w:cstheme="minorHAnsi"/>
        </w:rPr>
        <w:br/>
      </w:r>
      <w:r w:rsidRPr="00CF0366">
        <w:rPr>
          <w:rFonts w:cstheme="minorHAnsi"/>
        </w:rPr>
        <w:t>CMS decided to adjust the measure for Medicare-Medicaid dual-eligibility status in May 2019. The measure is being updated to include adjustment for Medicare-Medicaid dual-eligibility status. Updated measure results and face validity testing will be available prior to the Measure Applications Partnership (MAP) meeting in December 2019.</w:t>
      </w:r>
    </w:p>
    <w:p w14:paraId="57ACAE42" w14:textId="16A5F252" w:rsidR="00EB2CA5" w:rsidRDefault="00EB2CA5" w:rsidP="0027302F">
      <w:pPr>
        <w:pStyle w:val="ListParagraph"/>
        <w:spacing w:after="0"/>
        <w:ind w:left="2160"/>
        <w:rPr>
          <w:rFonts w:cstheme="minorHAnsi"/>
        </w:rPr>
      </w:pPr>
    </w:p>
    <w:p w14:paraId="76B20174" w14:textId="77777777" w:rsidR="00EB2CA5" w:rsidRPr="00DE3992" w:rsidRDefault="00EB2CA5" w:rsidP="00EB2CA5">
      <w:pPr>
        <w:pStyle w:val="ListParagraph"/>
        <w:numPr>
          <w:ilvl w:val="0"/>
          <w:numId w:val="6"/>
        </w:numPr>
        <w:ind w:left="1440"/>
        <w:contextualSpacing w:val="0"/>
        <w:rPr>
          <w:rFonts w:ascii="Arial" w:hAnsi="Arial" w:cs="Arial"/>
          <w:i/>
          <w:color w:val="1F4E79" w:themeColor="accent1" w:themeShade="80"/>
        </w:rPr>
      </w:pPr>
      <w:r w:rsidRPr="00DE3992">
        <w:rPr>
          <w:rFonts w:ascii="Arial" w:hAnsi="Arial" w:cs="Arial"/>
          <w:i/>
          <w:color w:val="1F4E79" w:themeColor="accent1" w:themeShade="80"/>
        </w:rPr>
        <w:t>What benchmarking information is available?</w:t>
      </w:r>
    </w:p>
    <w:p w14:paraId="346D9942" w14:textId="77777777" w:rsidR="00182B75" w:rsidRDefault="00C87468" w:rsidP="000C0BC8">
      <w:pPr>
        <w:ind w:left="1080"/>
        <w:rPr>
          <w:rFonts w:cstheme="minorHAnsi"/>
        </w:rPr>
      </w:pPr>
      <w:r w:rsidRPr="000C0BC8">
        <w:rPr>
          <w:rFonts w:cstheme="minorHAnsi"/>
        </w:rPr>
        <w:t>We have not established any benchmarks for this measure. For MIPS quality measures, CMS establishes benchmarks using historical data and displays them in terms of deciles.</w:t>
      </w:r>
      <w:r>
        <w:rPr>
          <w:rFonts w:cstheme="minorHAnsi"/>
        </w:rPr>
        <w:t xml:space="preserve"> </w:t>
      </w:r>
    </w:p>
    <w:p w14:paraId="710EF01A" w14:textId="77777777" w:rsidR="00182B75" w:rsidRDefault="00C87468" w:rsidP="000C0BC8">
      <w:pPr>
        <w:ind w:left="1080"/>
        <w:rPr>
          <w:rFonts w:cstheme="minorHAnsi"/>
        </w:rPr>
      </w:pPr>
      <w:r>
        <w:rPr>
          <w:rFonts w:cstheme="minorHAnsi"/>
        </w:rPr>
        <w:t xml:space="preserve">For more information on CMS quality measure benchmarking, please </w:t>
      </w:r>
      <w:r w:rsidR="00182B75">
        <w:rPr>
          <w:rFonts w:cstheme="minorHAnsi"/>
        </w:rPr>
        <w:t>see the QPP 2019 Quality measure Benchmarks Overview. [1]</w:t>
      </w:r>
    </w:p>
    <w:p w14:paraId="6BC58205" w14:textId="64AB3E88" w:rsidR="00182B75" w:rsidRPr="000C0BC8" w:rsidRDefault="00182B75" w:rsidP="000C0BC8">
      <w:pPr>
        <w:ind w:left="1080"/>
        <w:rPr>
          <w:rFonts w:cstheme="minorHAnsi"/>
          <w:u w:val="single"/>
        </w:rPr>
      </w:pPr>
      <w:r>
        <w:rPr>
          <w:rFonts w:cstheme="minorHAnsi"/>
          <w:u w:val="single"/>
        </w:rPr>
        <w:t>References</w:t>
      </w:r>
    </w:p>
    <w:p w14:paraId="774DED2E" w14:textId="5AF3271C" w:rsidR="00EB2CA5" w:rsidRPr="000C0BC8" w:rsidRDefault="00182B75" w:rsidP="000C0BC8">
      <w:pPr>
        <w:spacing w:after="80"/>
        <w:ind w:left="1080"/>
        <w:rPr>
          <w:rFonts w:cstheme="minorHAnsi"/>
        </w:rPr>
      </w:pPr>
      <w:r w:rsidRPr="000C0BC8">
        <w:rPr>
          <w:rFonts w:cstheme="minorHAnsi"/>
        </w:rPr>
        <w:t xml:space="preserve">1. (2019). "2019 Quality Measure Benchmarks Overview." Retrieved May 10, 2019, from </w:t>
      </w:r>
      <w:hyperlink r:id="rId11" w:history="1">
        <w:r w:rsidRPr="000C0BC8">
          <w:rPr>
            <w:rFonts w:cstheme="minorHAnsi"/>
          </w:rPr>
          <w:t>https://qpp-cm-prod-content.s3.amazonaws.com/uploads/342/2019%20MIPS%20Quality%20Benchmarks.zip</w:t>
        </w:r>
      </w:hyperlink>
      <w:r w:rsidRPr="000C0BC8">
        <w:rPr>
          <w:rFonts w:cstheme="minorHAnsi"/>
        </w:rPr>
        <w:t>.</w:t>
      </w:r>
    </w:p>
    <w:bookmarkEnd w:id="10"/>
    <w:bookmarkEnd w:id="11"/>
    <w:p w14:paraId="6F3101F1" w14:textId="12F9DF2E" w:rsidR="00F9707B" w:rsidRPr="00F9707B" w:rsidRDefault="00F9707B" w:rsidP="00F9707B">
      <w:pPr>
        <w:rPr>
          <w:rFonts w:ascii="Arial" w:hAnsi="Arial" w:cs="Arial"/>
          <w:i/>
        </w:rPr>
      </w:pPr>
    </w:p>
    <w:p w14:paraId="044CABAD" w14:textId="77777777" w:rsidR="00300FD4" w:rsidRPr="00BF6DE9" w:rsidRDefault="00300FD4" w:rsidP="00300FD4">
      <w:pPr>
        <w:pStyle w:val="ListParagraph"/>
        <w:numPr>
          <w:ilvl w:val="0"/>
          <w:numId w:val="1"/>
        </w:numPr>
        <w:rPr>
          <w:rFonts w:ascii="Arial" w:hAnsi="Arial" w:cs="Arial"/>
          <w:b/>
        </w:rPr>
      </w:pPr>
      <w:r w:rsidRPr="00BF6DE9">
        <w:rPr>
          <w:rFonts w:ascii="Arial" w:hAnsi="Arial" w:cs="Arial"/>
          <w:b/>
        </w:rPr>
        <w:t>Endorsement</w:t>
      </w:r>
    </w:p>
    <w:p w14:paraId="0C62B30A" w14:textId="7355D389" w:rsidR="00300FD4" w:rsidRPr="00DE3992" w:rsidRDefault="007E7FDE" w:rsidP="00300FD4">
      <w:pPr>
        <w:pStyle w:val="ListParagraph"/>
        <w:numPr>
          <w:ilvl w:val="0"/>
          <w:numId w:val="7"/>
        </w:numPr>
        <w:contextualSpacing w:val="0"/>
        <w:rPr>
          <w:rFonts w:ascii="Arial" w:hAnsi="Arial" w:cs="Arial"/>
          <w:i/>
          <w:color w:val="1F4E79" w:themeColor="accent1" w:themeShade="80"/>
        </w:rPr>
      </w:pPr>
      <w:r w:rsidRPr="00DE3992">
        <w:rPr>
          <w:rFonts w:ascii="Arial" w:hAnsi="Arial" w:cs="Arial"/>
          <w:i/>
          <w:color w:val="1F4E79" w:themeColor="accent1" w:themeShade="80"/>
        </w:rPr>
        <w:t xml:space="preserve">Provide </w:t>
      </w:r>
      <w:r w:rsidR="00300FD4" w:rsidRPr="00DE3992">
        <w:rPr>
          <w:rFonts w:ascii="Arial" w:hAnsi="Arial" w:cs="Arial"/>
          <w:i/>
          <w:color w:val="1F4E79" w:themeColor="accent1" w:themeShade="80"/>
        </w:rPr>
        <w:t xml:space="preserve">NQF </w:t>
      </w:r>
      <w:r w:rsidRPr="00DE3992">
        <w:rPr>
          <w:rFonts w:ascii="Arial" w:hAnsi="Arial" w:cs="Arial"/>
          <w:i/>
          <w:color w:val="1F4E79" w:themeColor="accent1" w:themeShade="80"/>
        </w:rPr>
        <w:t>endorsement status</w:t>
      </w:r>
      <w:r w:rsidR="00363D3C" w:rsidRPr="00DE3992">
        <w:rPr>
          <w:rFonts w:ascii="Arial" w:hAnsi="Arial" w:cs="Arial"/>
          <w:i/>
          <w:color w:val="1F4E79" w:themeColor="accent1" w:themeShade="80"/>
        </w:rPr>
        <w:t xml:space="preserve"> (and ID)</w:t>
      </w:r>
      <w:r w:rsidRPr="00DE3992">
        <w:rPr>
          <w:rFonts w:ascii="Arial" w:hAnsi="Arial" w:cs="Arial"/>
          <w:i/>
          <w:color w:val="1F4E79" w:themeColor="accent1" w:themeShade="80"/>
        </w:rPr>
        <w:t xml:space="preserve"> and/</w:t>
      </w:r>
      <w:r w:rsidR="00300FD4" w:rsidRPr="00DE3992">
        <w:rPr>
          <w:rFonts w:ascii="Arial" w:hAnsi="Arial" w:cs="Arial"/>
          <w:i/>
          <w:color w:val="1F4E79" w:themeColor="accent1" w:themeShade="80"/>
        </w:rPr>
        <w:t>or other endorsing body</w:t>
      </w:r>
    </w:p>
    <w:p w14:paraId="3EA11678" w14:textId="361BA88D" w:rsidR="00670F9F" w:rsidRPr="00670F9F" w:rsidRDefault="00670F9F" w:rsidP="00670F9F">
      <w:pPr>
        <w:ind w:left="1080"/>
        <w:rPr>
          <w:rFonts w:cstheme="minorHAnsi"/>
        </w:rPr>
      </w:pPr>
      <w:r w:rsidRPr="00670F9F">
        <w:rPr>
          <w:rFonts w:cstheme="minorHAnsi"/>
        </w:rPr>
        <w:t>This measure is not currently NQF endorsed.</w:t>
      </w:r>
    </w:p>
    <w:p w14:paraId="2F6E35F9" w14:textId="77777777" w:rsidR="00300FD4" w:rsidRPr="00BF6DE9" w:rsidRDefault="00300FD4" w:rsidP="00300FD4">
      <w:pPr>
        <w:pStyle w:val="ListParagraph"/>
        <w:numPr>
          <w:ilvl w:val="0"/>
          <w:numId w:val="1"/>
        </w:numPr>
        <w:rPr>
          <w:rFonts w:ascii="Arial" w:hAnsi="Arial" w:cs="Arial"/>
          <w:b/>
        </w:rPr>
      </w:pPr>
      <w:r w:rsidRPr="00BF6DE9">
        <w:rPr>
          <w:rFonts w:ascii="Arial" w:hAnsi="Arial" w:cs="Arial"/>
          <w:b/>
        </w:rPr>
        <w:t>Summary</w:t>
      </w:r>
    </w:p>
    <w:p w14:paraId="32196EF8" w14:textId="3A4412A1" w:rsidR="00300FD4" w:rsidRPr="00BF6DE9" w:rsidRDefault="00300FD4" w:rsidP="00300FD4">
      <w:pPr>
        <w:pStyle w:val="ListParagraph"/>
        <w:numPr>
          <w:ilvl w:val="0"/>
          <w:numId w:val="4"/>
        </w:numPr>
        <w:rPr>
          <w:rFonts w:ascii="Arial" w:hAnsi="Arial" w:cs="Arial"/>
          <w:i/>
        </w:rPr>
      </w:pPr>
      <w:r w:rsidRPr="00DE3992">
        <w:rPr>
          <w:rFonts w:ascii="Arial" w:hAnsi="Arial" w:cs="Arial"/>
          <w:i/>
          <w:color w:val="1F4E79" w:themeColor="accent1" w:themeShade="80"/>
        </w:rPr>
        <w:t>Alignment with CMS Quality Strategy or MACRA</w:t>
      </w:r>
      <w:r w:rsidR="00E27F29" w:rsidRPr="00DE3992">
        <w:rPr>
          <w:rFonts w:ascii="Arial" w:hAnsi="Arial" w:cs="Arial"/>
          <w:i/>
          <w:color w:val="1F4E79" w:themeColor="accent1" w:themeShade="80"/>
        </w:rPr>
        <w:t>:</w:t>
      </w:r>
      <w:r w:rsidR="00E27F29">
        <w:rPr>
          <w:rFonts w:ascii="Arial" w:hAnsi="Arial" w:cs="Arial"/>
          <w:i/>
        </w:rPr>
        <w:t xml:space="preserve"> </w:t>
      </w:r>
      <w:r w:rsidR="00DE3992" w:rsidRPr="00DE3992">
        <w:rPr>
          <w:rFonts w:cstheme="minorHAnsi"/>
        </w:rPr>
        <w:t>This measure falls into the domain of Communication and Care Coordination.</w:t>
      </w:r>
    </w:p>
    <w:p w14:paraId="14C2EDF2" w14:textId="6BE134B4" w:rsidR="00300FD4" w:rsidRPr="009868D1" w:rsidRDefault="00300FD4" w:rsidP="009868D1">
      <w:pPr>
        <w:pStyle w:val="ListParagraph"/>
        <w:numPr>
          <w:ilvl w:val="0"/>
          <w:numId w:val="4"/>
        </w:numPr>
        <w:rPr>
          <w:rFonts w:cstheme="minorHAnsi"/>
        </w:rPr>
      </w:pPr>
      <w:r w:rsidRPr="00DE3992">
        <w:rPr>
          <w:rFonts w:ascii="Arial" w:hAnsi="Arial" w:cs="Arial"/>
          <w:i/>
          <w:color w:val="1F4E79" w:themeColor="accent1" w:themeShade="80"/>
        </w:rPr>
        <w:t>Importance to MIPS or other CMS programs</w:t>
      </w:r>
      <w:r w:rsidR="00E27F29" w:rsidRPr="00DE3992">
        <w:rPr>
          <w:rFonts w:ascii="Arial" w:hAnsi="Arial" w:cs="Arial"/>
          <w:color w:val="1F4E79" w:themeColor="accent1" w:themeShade="80"/>
        </w:rPr>
        <w:t>:</w:t>
      </w:r>
      <w:r w:rsidR="00E27F29" w:rsidRPr="009868D1">
        <w:rPr>
          <w:rFonts w:ascii="Arial" w:hAnsi="Arial" w:cs="Arial"/>
        </w:rPr>
        <w:t xml:space="preserve"> </w:t>
      </w:r>
      <w:r w:rsidR="009868D1">
        <w:rPr>
          <w:rFonts w:cstheme="minorHAnsi"/>
        </w:rPr>
        <w:t>By incentivizing improved coordination of care for patients with chronic conditions, this measure is expected to r</w:t>
      </w:r>
      <w:r w:rsidR="00CC3939">
        <w:rPr>
          <w:rFonts w:cstheme="minorHAnsi"/>
        </w:rPr>
        <w:t>educe</w:t>
      </w:r>
      <w:r w:rsidR="00E27F29" w:rsidRPr="009868D1">
        <w:rPr>
          <w:rFonts w:cstheme="minorHAnsi"/>
        </w:rPr>
        <w:t xml:space="preserve"> </w:t>
      </w:r>
      <w:r w:rsidR="009868D1">
        <w:rPr>
          <w:rFonts w:cstheme="minorHAnsi"/>
        </w:rPr>
        <w:t>the number</w:t>
      </w:r>
      <w:r w:rsidR="00E27F29" w:rsidRPr="009868D1">
        <w:rPr>
          <w:rFonts w:cstheme="minorHAnsi"/>
        </w:rPr>
        <w:t xml:space="preserve"> of hospita</w:t>
      </w:r>
      <w:r w:rsidR="009868D1">
        <w:rPr>
          <w:rFonts w:cstheme="minorHAnsi"/>
        </w:rPr>
        <w:t>lizations and days hospitalized for patients, i</w:t>
      </w:r>
      <w:r w:rsidR="00E27F29" w:rsidRPr="009868D1">
        <w:rPr>
          <w:rFonts w:cstheme="minorHAnsi"/>
        </w:rPr>
        <w:t>mprove</w:t>
      </w:r>
      <w:r w:rsidR="009868D1">
        <w:rPr>
          <w:rFonts w:cstheme="minorHAnsi"/>
        </w:rPr>
        <w:t>d outpatient disease management, reduced rates of complications including mortality; and produce c</w:t>
      </w:r>
      <w:r w:rsidR="00E27F29" w:rsidRPr="009868D1">
        <w:rPr>
          <w:rFonts w:cstheme="minorHAnsi"/>
        </w:rPr>
        <w:t>ost savings resulting from fewer hospitalizations.</w:t>
      </w:r>
    </w:p>
    <w:p w14:paraId="152F2C31" w14:textId="72E98BD0" w:rsidR="00300FD4" w:rsidRPr="00BF6DE9" w:rsidRDefault="00300FD4" w:rsidP="009868D1">
      <w:pPr>
        <w:pStyle w:val="ListParagraph"/>
        <w:numPr>
          <w:ilvl w:val="0"/>
          <w:numId w:val="4"/>
        </w:numPr>
        <w:rPr>
          <w:rFonts w:ascii="Arial" w:hAnsi="Arial" w:cs="Arial"/>
          <w:i/>
        </w:rPr>
      </w:pPr>
      <w:r w:rsidRPr="00DE3992">
        <w:rPr>
          <w:rFonts w:ascii="Arial" w:hAnsi="Arial" w:cs="Arial"/>
          <w:i/>
          <w:color w:val="1F4E79" w:themeColor="accent1" w:themeShade="80"/>
        </w:rPr>
        <w:t>Rationale: Use of measure for inclusion in program (specialty society, regional collaborative, other)</w:t>
      </w:r>
      <w:r w:rsidR="009868D1" w:rsidRPr="00DE3992">
        <w:rPr>
          <w:rFonts w:ascii="Arial" w:hAnsi="Arial" w:cs="Arial"/>
          <w:i/>
          <w:color w:val="1F4E79" w:themeColor="accent1" w:themeShade="80"/>
        </w:rPr>
        <w:t xml:space="preserve"> </w:t>
      </w:r>
      <w:r w:rsidR="009868D1" w:rsidRPr="009868D1">
        <w:rPr>
          <w:rFonts w:cstheme="minorHAnsi"/>
        </w:rPr>
        <w:t xml:space="preserve">This measure has not yet been implemented, CMS is developing the MIPS MCC measure for use in the </w:t>
      </w:r>
      <w:r w:rsidR="009868D1">
        <w:rPr>
          <w:rFonts w:cstheme="minorHAnsi"/>
        </w:rPr>
        <w:t>MIPS program</w:t>
      </w:r>
      <w:r w:rsidR="009868D1" w:rsidRPr="009868D1">
        <w:rPr>
          <w:rFonts w:cstheme="minorHAnsi"/>
        </w:rPr>
        <w:t>.</w:t>
      </w:r>
    </w:p>
    <w:p w14:paraId="4DBF0E05" w14:textId="5430F6D6" w:rsidR="00300FD4" w:rsidRPr="00BF6DE9" w:rsidRDefault="00300FD4" w:rsidP="00300FD4">
      <w:pPr>
        <w:pStyle w:val="ListParagraph"/>
        <w:numPr>
          <w:ilvl w:val="0"/>
          <w:numId w:val="4"/>
        </w:numPr>
        <w:rPr>
          <w:rFonts w:ascii="Arial" w:hAnsi="Arial" w:cs="Arial"/>
          <w:i/>
        </w:rPr>
      </w:pPr>
      <w:r w:rsidRPr="00DE3992">
        <w:rPr>
          <w:rFonts w:ascii="Arial" w:hAnsi="Arial" w:cs="Arial"/>
          <w:i/>
          <w:color w:val="1F4E79" w:themeColor="accent1" w:themeShade="80"/>
        </w:rPr>
        <w:t>Public reporting (if applicable)</w:t>
      </w:r>
      <w:r w:rsidR="009868D1" w:rsidRPr="00DE3992">
        <w:rPr>
          <w:rFonts w:ascii="Arial" w:hAnsi="Arial" w:cs="Arial"/>
          <w:color w:val="1F4E79" w:themeColor="accent1" w:themeShade="80"/>
        </w:rPr>
        <w:t>:</w:t>
      </w:r>
      <w:r w:rsidR="009868D1">
        <w:rPr>
          <w:rFonts w:ascii="Arial" w:hAnsi="Arial" w:cs="Arial"/>
        </w:rPr>
        <w:t xml:space="preserve"> </w:t>
      </w:r>
      <w:r w:rsidR="000C0BC8" w:rsidRPr="000C0BC8">
        <w:rPr>
          <w:rFonts w:cstheme="minorHAnsi"/>
        </w:rPr>
        <w:t>N/A; this measure has not yet been implemented.</w:t>
      </w:r>
    </w:p>
    <w:p w14:paraId="1003A375" w14:textId="19A21C0F" w:rsidR="000C0BC8" w:rsidRPr="000C0BC8" w:rsidRDefault="0061473D" w:rsidP="000C0BC8">
      <w:pPr>
        <w:pStyle w:val="ListParagraph"/>
        <w:numPr>
          <w:ilvl w:val="0"/>
          <w:numId w:val="4"/>
        </w:numPr>
        <w:rPr>
          <w:rFonts w:cstheme="minorHAnsi"/>
        </w:rPr>
      </w:pPr>
      <w:r w:rsidRPr="00DE3992">
        <w:rPr>
          <w:rFonts w:ascii="Arial" w:hAnsi="Arial" w:cs="Arial"/>
          <w:i/>
          <w:color w:val="1F4E79" w:themeColor="accent1" w:themeShade="80"/>
        </w:rPr>
        <w:t>Preferable relevant Peer-Review Journal for publication</w:t>
      </w:r>
      <w:r w:rsidR="00DE3992" w:rsidRPr="00DE3992">
        <w:rPr>
          <w:rFonts w:ascii="Arial" w:hAnsi="Arial" w:cs="Arial"/>
          <w:i/>
          <w:color w:val="1F4E79" w:themeColor="accent1" w:themeShade="80"/>
        </w:rPr>
        <w:t>:</w:t>
      </w:r>
      <w:r w:rsidR="00DE3992">
        <w:rPr>
          <w:rFonts w:ascii="Arial" w:hAnsi="Arial" w:cs="Arial"/>
          <w:i/>
        </w:rPr>
        <w:t xml:space="preserve"> </w:t>
      </w:r>
      <w:r w:rsidR="00DE3992" w:rsidRPr="00DE3992">
        <w:rPr>
          <w:rFonts w:cstheme="minorHAnsi"/>
        </w:rPr>
        <w:t>We recommend submitting this measure to Medical Care or Health Affairs.</w:t>
      </w:r>
    </w:p>
    <w:sectPr w:rsidR="000C0BC8" w:rsidRPr="000C0BC8" w:rsidSect="00E45B0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9BBC" w14:textId="77777777" w:rsidR="00C148F5" w:rsidRDefault="00C148F5" w:rsidP="00007C75">
      <w:pPr>
        <w:spacing w:after="0" w:line="240" w:lineRule="auto"/>
      </w:pPr>
      <w:r>
        <w:separator/>
      </w:r>
    </w:p>
  </w:endnote>
  <w:endnote w:type="continuationSeparator" w:id="0">
    <w:p w14:paraId="25E4AB1C" w14:textId="77777777" w:rsidR="00C148F5" w:rsidRDefault="00C148F5" w:rsidP="0000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9AAC" w14:textId="5FA98D62" w:rsidR="00EB2CA5" w:rsidRDefault="00EB2CA5">
    <w:pPr>
      <w:pStyle w:val="Footer"/>
    </w:pPr>
    <w:r>
      <w:rPr>
        <w:noProof/>
      </w:rPr>
      <mc:AlternateContent>
        <mc:Choice Requires="wpg">
          <w:drawing>
            <wp:anchor distT="0" distB="0" distL="114300" distR="114300" simplePos="0" relativeHeight="251659264" behindDoc="0" locked="0" layoutInCell="1" allowOverlap="1" wp14:anchorId="06A1C78A" wp14:editId="0770B1E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DC1FA" w14:textId="679E0269" w:rsidR="00EB2CA5" w:rsidRDefault="00DF5374">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B2CA5">
                                  <w:rPr>
                                    <w:caps/>
                                    <w:color w:val="5B9BD5" w:themeColor="accent1"/>
                                    <w:sz w:val="20"/>
                                    <w:szCs w:val="20"/>
                                  </w:rPr>
                                  <w:t>Peer Reviewed Journal Article Requirement</w:t>
                                </w:r>
                              </w:sdtContent>
                            </w:sdt>
                            <w:r w:rsidR="00EB2CA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B2CA5">
                                  <w:rPr>
                                    <w:color w:val="808080" w:themeColor="background1" w:themeShade="80"/>
                                    <w:sz w:val="20"/>
                                    <w:szCs w:val="20"/>
                                  </w:rPr>
                                  <w:t>Revised for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6A1C78A"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3ADC1FA" w14:textId="679E0269" w:rsidR="00EB2CA5" w:rsidRDefault="00DF5374">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B2CA5">
                            <w:rPr>
                              <w:caps/>
                              <w:color w:val="5B9BD5" w:themeColor="accent1"/>
                              <w:sz w:val="20"/>
                              <w:szCs w:val="20"/>
                            </w:rPr>
                            <w:t>Peer Reviewed Journal Article Requirement</w:t>
                          </w:r>
                        </w:sdtContent>
                      </w:sdt>
                      <w:r w:rsidR="00EB2CA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B2CA5">
                            <w:rPr>
                              <w:color w:val="808080" w:themeColor="background1" w:themeShade="80"/>
                              <w:sz w:val="20"/>
                              <w:szCs w:val="20"/>
                            </w:rPr>
                            <w:t>Revised for 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D0D4" w14:textId="77777777" w:rsidR="00C148F5" w:rsidRDefault="00C148F5" w:rsidP="00007C75">
      <w:pPr>
        <w:spacing w:after="0" w:line="240" w:lineRule="auto"/>
      </w:pPr>
      <w:r>
        <w:separator/>
      </w:r>
    </w:p>
  </w:footnote>
  <w:footnote w:type="continuationSeparator" w:id="0">
    <w:p w14:paraId="164417D4" w14:textId="77777777" w:rsidR="00C148F5" w:rsidRDefault="00C148F5" w:rsidP="0000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DD4"/>
    <w:multiLevelType w:val="hybridMultilevel"/>
    <w:tmpl w:val="5D04F164"/>
    <w:lvl w:ilvl="0" w:tplc="971CA5B6">
      <w:start w:val="1"/>
      <w:numFmt w:val="decimal"/>
      <w:lvlText w:val="%1."/>
      <w:lvlJc w:val="left"/>
      <w:pPr>
        <w:ind w:left="432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4962217"/>
    <w:multiLevelType w:val="hybridMultilevel"/>
    <w:tmpl w:val="2E40C1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006EE8"/>
    <w:multiLevelType w:val="hybridMultilevel"/>
    <w:tmpl w:val="CB46F4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C92D80"/>
    <w:multiLevelType w:val="hybridMultilevel"/>
    <w:tmpl w:val="341C9120"/>
    <w:lvl w:ilvl="0" w:tplc="8550BE3E">
      <w:start w:val="1"/>
      <w:numFmt w:val="upperRoman"/>
      <w:lvlText w:val="%1."/>
      <w:lvlJc w:val="right"/>
      <w:pPr>
        <w:ind w:left="720" w:hanging="360"/>
      </w:pPr>
      <w:rPr>
        <w:b/>
      </w:rPr>
    </w:lvl>
    <w:lvl w:ilvl="1" w:tplc="0409000F">
      <w:start w:val="1"/>
      <w:numFmt w:val="decimal"/>
      <w:lvlText w:val="%2."/>
      <w:lvlJc w:val="left"/>
      <w:pPr>
        <w:ind w:left="1230" w:hanging="15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1278E"/>
    <w:multiLevelType w:val="hybridMultilevel"/>
    <w:tmpl w:val="70FAAFC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2B69F0"/>
    <w:multiLevelType w:val="hybridMultilevel"/>
    <w:tmpl w:val="E7A088B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19185A"/>
    <w:multiLevelType w:val="hybridMultilevel"/>
    <w:tmpl w:val="B5865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246155"/>
    <w:multiLevelType w:val="hybridMultilevel"/>
    <w:tmpl w:val="8260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93525"/>
    <w:multiLevelType w:val="hybridMultilevel"/>
    <w:tmpl w:val="EA20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806025"/>
    <w:multiLevelType w:val="hybridMultilevel"/>
    <w:tmpl w:val="533A3C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B841FD"/>
    <w:multiLevelType w:val="hybridMultilevel"/>
    <w:tmpl w:val="DAE2A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513200"/>
    <w:multiLevelType w:val="hybridMultilevel"/>
    <w:tmpl w:val="49189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C7A43"/>
    <w:multiLevelType w:val="hybridMultilevel"/>
    <w:tmpl w:val="5CCEA1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27E291B"/>
    <w:multiLevelType w:val="hybridMultilevel"/>
    <w:tmpl w:val="32427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8541F"/>
    <w:multiLevelType w:val="hybridMultilevel"/>
    <w:tmpl w:val="4D96C650"/>
    <w:lvl w:ilvl="0" w:tplc="D3120116">
      <w:start w:val="1"/>
      <w:numFmt w:val="lowerLetter"/>
      <w:lvlText w:val="%1."/>
      <w:lvlJc w:val="left"/>
      <w:pPr>
        <w:ind w:left="1440" w:hanging="360"/>
      </w:pPr>
      <w:rPr>
        <w:b w:val="0"/>
      </w:rPr>
    </w:lvl>
    <w:lvl w:ilvl="1" w:tplc="971CA5B6">
      <w:start w:val="1"/>
      <w:numFmt w:val="decimal"/>
      <w:lvlText w:val="%2."/>
      <w:lvlJc w:val="left"/>
      <w:pPr>
        <w:ind w:left="2160" w:hanging="360"/>
      </w:pPr>
      <w:rPr>
        <w:rFonts w:hint="default"/>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454ED2"/>
    <w:multiLevelType w:val="hybridMultilevel"/>
    <w:tmpl w:val="4C7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C5288"/>
    <w:multiLevelType w:val="hybridMultilevel"/>
    <w:tmpl w:val="C88884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EB775AB"/>
    <w:multiLevelType w:val="hybridMultilevel"/>
    <w:tmpl w:val="E2AC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4419D"/>
    <w:multiLevelType w:val="hybridMultilevel"/>
    <w:tmpl w:val="B468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072565"/>
    <w:multiLevelType w:val="hybridMultilevel"/>
    <w:tmpl w:val="7DA48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177845"/>
    <w:multiLevelType w:val="hybridMultilevel"/>
    <w:tmpl w:val="6FD81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9E072D"/>
    <w:multiLevelType w:val="hybridMultilevel"/>
    <w:tmpl w:val="F726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6309B7"/>
    <w:multiLevelType w:val="hybridMultilevel"/>
    <w:tmpl w:val="E0245458"/>
    <w:lvl w:ilvl="0" w:tplc="971CA5B6">
      <w:start w:val="1"/>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00A46"/>
    <w:multiLevelType w:val="hybridMultilevel"/>
    <w:tmpl w:val="C66245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0"/>
  </w:num>
  <w:num w:numId="3">
    <w:abstractNumId w:val="11"/>
  </w:num>
  <w:num w:numId="4">
    <w:abstractNumId w:val="10"/>
  </w:num>
  <w:num w:numId="5">
    <w:abstractNumId w:val="17"/>
  </w:num>
  <w:num w:numId="6">
    <w:abstractNumId w:val="6"/>
  </w:num>
  <w:num w:numId="7">
    <w:abstractNumId w:val="18"/>
  </w:num>
  <w:num w:numId="8">
    <w:abstractNumId w:val="13"/>
  </w:num>
  <w:num w:numId="9">
    <w:abstractNumId w:val="15"/>
  </w:num>
  <w:num w:numId="10">
    <w:abstractNumId w:val="2"/>
  </w:num>
  <w:num w:numId="11">
    <w:abstractNumId w:val="14"/>
  </w:num>
  <w:num w:numId="12">
    <w:abstractNumId w:val="4"/>
  </w:num>
  <w:num w:numId="13">
    <w:abstractNumId w:val="9"/>
  </w:num>
  <w:num w:numId="14">
    <w:abstractNumId w:val="7"/>
  </w:num>
  <w:num w:numId="15">
    <w:abstractNumId w:val="8"/>
  </w:num>
  <w:num w:numId="16">
    <w:abstractNumId w:val="1"/>
  </w:num>
  <w:num w:numId="17">
    <w:abstractNumId w:val="19"/>
  </w:num>
  <w:num w:numId="18">
    <w:abstractNumId w:val="5"/>
  </w:num>
  <w:num w:numId="19">
    <w:abstractNumId w:val="0"/>
  </w:num>
  <w:num w:numId="20">
    <w:abstractNumId w:val="12"/>
  </w:num>
  <w:num w:numId="21">
    <w:abstractNumId w:val="16"/>
  </w:num>
  <w:num w:numId="22">
    <w:abstractNumId w:val="23"/>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sjQxMTQytLAwNzBW0lEKTi0uzszPAykwrQUAHiBzxSwAAAA="/>
  </w:docVars>
  <w:rsids>
    <w:rsidRoot w:val="00BD2120"/>
    <w:rsid w:val="00007C75"/>
    <w:rsid w:val="000156AE"/>
    <w:rsid w:val="000836BC"/>
    <w:rsid w:val="00087B73"/>
    <w:rsid w:val="00093EF0"/>
    <w:rsid w:val="000B21FC"/>
    <w:rsid w:val="000C0BC8"/>
    <w:rsid w:val="000D38B8"/>
    <w:rsid w:val="001121DA"/>
    <w:rsid w:val="001216CB"/>
    <w:rsid w:val="00153640"/>
    <w:rsid w:val="001815DD"/>
    <w:rsid w:val="00182B75"/>
    <w:rsid w:val="00191E83"/>
    <w:rsid w:val="001A60D9"/>
    <w:rsid w:val="0022289D"/>
    <w:rsid w:val="0022441B"/>
    <w:rsid w:val="002449AA"/>
    <w:rsid w:val="002704D1"/>
    <w:rsid w:val="0027302F"/>
    <w:rsid w:val="002C60EB"/>
    <w:rsid w:val="002E4214"/>
    <w:rsid w:val="002E5674"/>
    <w:rsid w:val="00300FD4"/>
    <w:rsid w:val="00304408"/>
    <w:rsid w:val="00363D3C"/>
    <w:rsid w:val="00395864"/>
    <w:rsid w:val="00396569"/>
    <w:rsid w:val="003E0BF7"/>
    <w:rsid w:val="0041080A"/>
    <w:rsid w:val="00415C0B"/>
    <w:rsid w:val="00466BD1"/>
    <w:rsid w:val="004E4440"/>
    <w:rsid w:val="00540510"/>
    <w:rsid w:val="00545F9F"/>
    <w:rsid w:val="005A4EC4"/>
    <w:rsid w:val="005A723F"/>
    <w:rsid w:val="005C2735"/>
    <w:rsid w:val="005C731D"/>
    <w:rsid w:val="005D6906"/>
    <w:rsid w:val="005D7582"/>
    <w:rsid w:val="005E7A4F"/>
    <w:rsid w:val="0061473D"/>
    <w:rsid w:val="00626B61"/>
    <w:rsid w:val="00670F9F"/>
    <w:rsid w:val="006A588F"/>
    <w:rsid w:val="00731875"/>
    <w:rsid w:val="007652F8"/>
    <w:rsid w:val="007A0EB0"/>
    <w:rsid w:val="007B0045"/>
    <w:rsid w:val="007E552E"/>
    <w:rsid w:val="007E7FDE"/>
    <w:rsid w:val="008137A5"/>
    <w:rsid w:val="00817C4F"/>
    <w:rsid w:val="0087625D"/>
    <w:rsid w:val="008909CD"/>
    <w:rsid w:val="008A7CEC"/>
    <w:rsid w:val="008D6226"/>
    <w:rsid w:val="00902D7C"/>
    <w:rsid w:val="0091180E"/>
    <w:rsid w:val="009442F0"/>
    <w:rsid w:val="0095750F"/>
    <w:rsid w:val="00986624"/>
    <w:rsid w:val="009868D1"/>
    <w:rsid w:val="009B2AD1"/>
    <w:rsid w:val="009C7FBA"/>
    <w:rsid w:val="009E02D1"/>
    <w:rsid w:val="009F5DCA"/>
    <w:rsid w:val="00A32F07"/>
    <w:rsid w:val="00A51F40"/>
    <w:rsid w:val="00A701A6"/>
    <w:rsid w:val="00A749A1"/>
    <w:rsid w:val="00A8094F"/>
    <w:rsid w:val="00AB3D59"/>
    <w:rsid w:val="00AD0E94"/>
    <w:rsid w:val="00AD7302"/>
    <w:rsid w:val="00AF6280"/>
    <w:rsid w:val="00B45F23"/>
    <w:rsid w:val="00B6048D"/>
    <w:rsid w:val="00B9342A"/>
    <w:rsid w:val="00BB4EFF"/>
    <w:rsid w:val="00BB5187"/>
    <w:rsid w:val="00BD2120"/>
    <w:rsid w:val="00BF2DAE"/>
    <w:rsid w:val="00BF6DE9"/>
    <w:rsid w:val="00C148F5"/>
    <w:rsid w:val="00C326B2"/>
    <w:rsid w:val="00C64A04"/>
    <w:rsid w:val="00C705A5"/>
    <w:rsid w:val="00C85576"/>
    <w:rsid w:val="00C87468"/>
    <w:rsid w:val="00CC3939"/>
    <w:rsid w:val="00CF0366"/>
    <w:rsid w:val="00CF405A"/>
    <w:rsid w:val="00CF59D3"/>
    <w:rsid w:val="00D10608"/>
    <w:rsid w:val="00D17454"/>
    <w:rsid w:val="00D87585"/>
    <w:rsid w:val="00DA2669"/>
    <w:rsid w:val="00DA3E27"/>
    <w:rsid w:val="00DB4CDB"/>
    <w:rsid w:val="00DD5758"/>
    <w:rsid w:val="00DE3992"/>
    <w:rsid w:val="00DE3C3C"/>
    <w:rsid w:val="00DF5374"/>
    <w:rsid w:val="00E27F29"/>
    <w:rsid w:val="00E314BC"/>
    <w:rsid w:val="00E36316"/>
    <w:rsid w:val="00E45B08"/>
    <w:rsid w:val="00E60FCE"/>
    <w:rsid w:val="00E67DD6"/>
    <w:rsid w:val="00EB2CA5"/>
    <w:rsid w:val="00EC3F86"/>
    <w:rsid w:val="00EE7763"/>
    <w:rsid w:val="00F03986"/>
    <w:rsid w:val="00F23B7F"/>
    <w:rsid w:val="00F656F2"/>
    <w:rsid w:val="00F73169"/>
    <w:rsid w:val="00F74053"/>
    <w:rsid w:val="00F81046"/>
    <w:rsid w:val="00F83322"/>
    <w:rsid w:val="00F862BA"/>
    <w:rsid w:val="00F9707B"/>
    <w:rsid w:val="00FA5B7D"/>
    <w:rsid w:val="00FC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402D8"/>
  <w15:chartTrackingRefBased/>
  <w15:docId w15:val="{87694A99-5505-4893-9E6B-9139E1D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
    <w:basedOn w:val="Normal"/>
    <w:link w:val="ListParagraphChar"/>
    <w:uiPriority w:val="34"/>
    <w:qFormat/>
    <w:rsid w:val="00E45B08"/>
    <w:pPr>
      <w:ind w:left="720"/>
      <w:contextualSpacing/>
    </w:pPr>
  </w:style>
  <w:style w:type="paragraph" w:styleId="BalloonText">
    <w:name w:val="Balloon Text"/>
    <w:basedOn w:val="Normal"/>
    <w:link w:val="BalloonTextChar"/>
    <w:uiPriority w:val="99"/>
    <w:semiHidden/>
    <w:unhideWhenUsed/>
    <w:rsid w:val="00E4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08"/>
    <w:rPr>
      <w:rFonts w:ascii="Segoe UI" w:hAnsi="Segoe UI" w:cs="Segoe UI"/>
      <w:sz w:val="18"/>
      <w:szCs w:val="18"/>
    </w:rPr>
  </w:style>
  <w:style w:type="table" w:styleId="TableGrid">
    <w:name w:val="Table Grid"/>
    <w:basedOn w:val="TableNormal"/>
    <w:uiPriority w:val="39"/>
    <w:rsid w:val="009E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AD1"/>
    <w:rPr>
      <w:sz w:val="16"/>
      <w:szCs w:val="16"/>
    </w:rPr>
  </w:style>
  <w:style w:type="paragraph" w:styleId="CommentText">
    <w:name w:val="annotation text"/>
    <w:basedOn w:val="Normal"/>
    <w:link w:val="CommentTextChar"/>
    <w:uiPriority w:val="99"/>
    <w:semiHidden/>
    <w:unhideWhenUsed/>
    <w:rsid w:val="009B2AD1"/>
    <w:pPr>
      <w:spacing w:line="240" w:lineRule="auto"/>
    </w:pPr>
    <w:rPr>
      <w:sz w:val="20"/>
      <w:szCs w:val="20"/>
    </w:rPr>
  </w:style>
  <w:style w:type="character" w:customStyle="1" w:styleId="CommentTextChar">
    <w:name w:val="Comment Text Char"/>
    <w:basedOn w:val="DefaultParagraphFont"/>
    <w:link w:val="CommentText"/>
    <w:uiPriority w:val="99"/>
    <w:semiHidden/>
    <w:rsid w:val="009B2AD1"/>
    <w:rPr>
      <w:sz w:val="20"/>
      <w:szCs w:val="20"/>
    </w:rPr>
  </w:style>
  <w:style w:type="paragraph" w:styleId="CommentSubject">
    <w:name w:val="annotation subject"/>
    <w:basedOn w:val="CommentText"/>
    <w:next w:val="CommentText"/>
    <w:link w:val="CommentSubjectChar"/>
    <w:uiPriority w:val="99"/>
    <w:semiHidden/>
    <w:unhideWhenUsed/>
    <w:rsid w:val="009B2AD1"/>
    <w:rPr>
      <w:b/>
      <w:bCs/>
    </w:rPr>
  </w:style>
  <w:style w:type="character" w:customStyle="1" w:styleId="CommentSubjectChar">
    <w:name w:val="Comment Subject Char"/>
    <w:basedOn w:val="CommentTextChar"/>
    <w:link w:val="CommentSubject"/>
    <w:uiPriority w:val="99"/>
    <w:semiHidden/>
    <w:rsid w:val="009B2AD1"/>
    <w:rPr>
      <w:b/>
      <w:bCs/>
      <w:sz w:val="20"/>
      <w:szCs w:val="20"/>
    </w:rPr>
  </w:style>
  <w:style w:type="paragraph" w:styleId="Header">
    <w:name w:val="header"/>
    <w:basedOn w:val="Normal"/>
    <w:link w:val="HeaderChar"/>
    <w:uiPriority w:val="99"/>
    <w:unhideWhenUsed/>
    <w:rsid w:val="0000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75"/>
  </w:style>
  <w:style w:type="paragraph" w:styleId="Footer">
    <w:name w:val="footer"/>
    <w:basedOn w:val="Normal"/>
    <w:link w:val="FooterChar"/>
    <w:uiPriority w:val="99"/>
    <w:unhideWhenUsed/>
    <w:rsid w:val="0000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75"/>
  </w:style>
  <w:style w:type="paragraph" w:styleId="Title">
    <w:name w:val="Title"/>
    <w:basedOn w:val="Normal"/>
    <w:next w:val="Normal"/>
    <w:link w:val="TitleChar"/>
    <w:uiPriority w:val="10"/>
    <w:qFormat/>
    <w:rsid w:val="00DA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69"/>
    <w:pPr>
      <w:numPr>
        <w:ilvl w:val="1"/>
      </w:numPr>
      <w:jc w:val="center"/>
    </w:pPr>
    <w:rPr>
      <w:rFonts w:ascii="Arial" w:eastAsiaTheme="minorEastAsia" w:hAnsi="Arial"/>
      <w:spacing w:val="15"/>
      <w:sz w:val="24"/>
    </w:rPr>
  </w:style>
  <w:style w:type="character" w:customStyle="1" w:styleId="SubtitleChar">
    <w:name w:val="Subtitle Char"/>
    <w:basedOn w:val="DefaultParagraphFont"/>
    <w:link w:val="Subtitle"/>
    <w:uiPriority w:val="11"/>
    <w:rsid w:val="00DA2669"/>
    <w:rPr>
      <w:rFonts w:ascii="Arial" w:eastAsiaTheme="minorEastAsia" w:hAnsi="Arial"/>
      <w:spacing w:val="15"/>
      <w:sz w:val="24"/>
    </w:rPr>
  </w:style>
  <w:style w:type="paragraph" w:styleId="NormalWeb">
    <w:name w:val="Normal (Web)"/>
    <w:basedOn w:val="Normal"/>
    <w:uiPriority w:val="99"/>
    <w:semiHidden/>
    <w:unhideWhenUsed/>
    <w:rsid w:val="00B934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15DD"/>
    <w:rPr>
      <w:color w:val="0563C1" w:themeColor="hyperlink"/>
      <w:u w:val="single"/>
    </w:rPr>
  </w:style>
  <w:style w:type="paragraph" w:customStyle="1" w:styleId="EndNoteBibliography">
    <w:name w:val="EndNote Bibliography"/>
    <w:basedOn w:val="Normal"/>
    <w:link w:val="EndNoteBibliographyChar"/>
    <w:rsid w:val="001216CB"/>
    <w:pPr>
      <w:spacing w:after="200" w:line="240" w:lineRule="auto"/>
    </w:pPr>
    <w:rPr>
      <w:rFonts w:ascii="Calibri" w:eastAsia="Calibri" w:hAnsi="Calibri" w:cs="Calibri"/>
      <w:noProof/>
    </w:rPr>
  </w:style>
  <w:style w:type="character" w:customStyle="1" w:styleId="EndNoteBibliographyChar">
    <w:name w:val="EndNote Bibliography Char"/>
    <w:basedOn w:val="DefaultParagraphFont"/>
    <w:link w:val="EndNoteBibliography"/>
    <w:rsid w:val="001216CB"/>
    <w:rPr>
      <w:rFonts w:ascii="Calibri" w:eastAsia="Calibri" w:hAnsi="Calibri" w:cs="Calibri"/>
      <w:noProof/>
    </w:rPr>
  </w:style>
  <w:style w:type="character" w:customStyle="1" w:styleId="ListParagraphChar">
    <w:name w:val="List Paragraph Char"/>
    <w:aliases w:val="Bulleted List Level 1 Char"/>
    <w:link w:val="ListParagraph"/>
    <w:uiPriority w:val="34"/>
    <w:rsid w:val="00F9707B"/>
  </w:style>
  <w:style w:type="paragraph" w:styleId="Caption">
    <w:name w:val="caption"/>
    <w:basedOn w:val="Normal"/>
    <w:next w:val="Normal"/>
    <w:uiPriority w:val="35"/>
    <w:unhideWhenUsed/>
    <w:qFormat/>
    <w:rsid w:val="008A7CEC"/>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6048D"/>
    <w:rPr>
      <w:color w:val="808080"/>
      <w:shd w:val="clear" w:color="auto" w:fill="E6E6E6"/>
    </w:rPr>
  </w:style>
  <w:style w:type="character" w:styleId="FollowedHyperlink">
    <w:name w:val="FollowedHyperlink"/>
    <w:basedOn w:val="DefaultParagraphFont"/>
    <w:uiPriority w:val="99"/>
    <w:semiHidden/>
    <w:unhideWhenUsed/>
    <w:rsid w:val="00182B75"/>
    <w:rPr>
      <w:color w:val="954F72" w:themeColor="followedHyperlink"/>
      <w:u w:val="single"/>
    </w:rPr>
  </w:style>
  <w:style w:type="paragraph" w:styleId="Revision">
    <w:name w:val="Revision"/>
    <w:hidden/>
    <w:uiPriority w:val="99"/>
    <w:semiHidden/>
    <w:rsid w:val="000C0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10264">
      <w:bodyDiv w:val="1"/>
      <w:marLeft w:val="0"/>
      <w:marRight w:val="0"/>
      <w:marTop w:val="0"/>
      <w:marBottom w:val="0"/>
      <w:divBdr>
        <w:top w:val="none" w:sz="0" w:space="0" w:color="auto"/>
        <w:left w:val="none" w:sz="0" w:space="0" w:color="auto"/>
        <w:bottom w:val="none" w:sz="0" w:space="0" w:color="auto"/>
        <w:right w:val="none" w:sz="0" w:space="0" w:color="auto"/>
      </w:divBdr>
    </w:div>
    <w:div w:id="403375639">
      <w:bodyDiv w:val="1"/>
      <w:marLeft w:val="0"/>
      <w:marRight w:val="0"/>
      <w:marTop w:val="0"/>
      <w:marBottom w:val="0"/>
      <w:divBdr>
        <w:top w:val="none" w:sz="0" w:space="0" w:color="auto"/>
        <w:left w:val="none" w:sz="0" w:space="0" w:color="auto"/>
        <w:bottom w:val="none" w:sz="0" w:space="0" w:color="auto"/>
        <w:right w:val="none" w:sz="0" w:space="0" w:color="auto"/>
      </w:divBdr>
    </w:div>
    <w:div w:id="511532787">
      <w:bodyDiv w:val="1"/>
      <w:marLeft w:val="0"/>
      <w:marRight w:val="0"/>
      <w:marTop w:val="0"/>
      <w:marBottom w:val="0"/>
      <w:divBdr>
        <w:top w:val="none" w:sz="0" w:space="0" w:color="auto"/>
        <w:left w:val="none" w:sz="0" w:space="0" w:color="auto"/>
        <w:bottom w:val="none" w:sz="0" w:space="0" w:color="auto"/>
        <w:right w:val="none" w:sz="0" w:space="0" w:color="auto"/>
      </w:divBdr>
    </w:div>
    <w:div w:id="573046937">
      <w:bodyDiv w:val="1"/>
      <w:marLeft w:val="0"/>
      <w:marRight w:val="0"/>
      <w:marTop w:val="0"/>
      <w:marBottom w:val="0"/>
      <w:divBdr>
        <w:top w:val="none" w:sz="0" w:space="0" w:color="auto"/>
        <w:left w:val="none" w:sz="0" w:space="0" w:color="auto"/>
        <w:bottom w:val="none" w:sz="0" w:space="0" w:color="auto"/>
        <w:right w:val="none" w:sz="0" w:space="0" w:color="auto"/>
      </w:divBdr>
    </w:div>
    <w:div w:id="827671900">
      <w:bodyDiv w:val="1"/>
      <w:marLeft w:val="0"/>
      <w:marRight w:val="0"/>
      <w:marTop w:val="0"/>
      <w:marBottom w:val="0"/>
      <w:divBdr>
        <w:top w:val="none" w:sz="0" w:space="0" w:color="auto"/>
        <w:left w:val="none" w:sz="0" w:space="0" w:color="auto"/>
        <w:bottom w:val="none" w:sz="0" w:space="0" w:color="auto"/>
        <w:right w:val="none" w:sz="0" w:space="0" w:color="auto"/>
      </w:divBdr>
    </w:div>
    <w:div w:id="901716482">
      <w:bodyDiv w:val="1"/>
      <w:marLeft w:val="0"/>
      <w:marRight w:val="0"/>
      <w:marTop w:val="0"/>
      <w:marBottom w:val="0"/>
      <w:divBdr>
        <w:top w:val="none" w:sz="0" w:space="0" w:color="auto"/>
        <w:left w:val="none" w:sz="0" w:space="0" w:color="auto"/>
        <w:bottom w:val="none" w:sz="0" w:space="0" w:color="auto"/>
        <w:right w:val="none" w:sz="0" w:space="0" w:color="auto"/>
      </w:divBdr>
    </w:div>
    <w:div w:id="1058936021">
      <w:bodyDiv w:val="1"/>
      <w:marLeft w:val="0"/>
      <w:marRight w:val="0"/>
      <w:marTop w:val="0"/>
      <w:marBottom w:val="0"/>
      <w:divBdr>
        <w:top w:val="none" w:sz="0" w:space="0" w:color="auto"/>
        <w:left w:val="none" w:sz="0" w:space="0" w:color="auto"/>
        <w:bottom w:val="none" w:sz="0" w:space="0" w:color="auto"/>
        <w:right w:val="none" w:sz="0" w:space="0" w:color="auto"/>
      </w:divBdr>
    </w:div>
    <w:div w:id="1279487841">
      <w:bodyDiv w:val="1"/>
      <w:marLeft w:val="0"/>
      <w:marRight w:val="0"/>
      <w:marTop w:val="0"/>
      <w:marBottom w:val="0"/>
      <w:divBdr>
        <w:top w:val="none" w:sz="0" w:space="0" w:color="auto"/>
        <w:left w:val="none" w:sz="0" w:space="0" w:color="auto"/>
        <w:bottom w:val="none" w:sz="0" w:space="0" w:color="auto"/>
        <w:right w:val="none" w:sz="0" w:space="0" w:color="auto"/>
      </w:divBdr>
    </w:div>
    <w:div w:id="1383095133">
      <w:bodyDiv w:val="1"/>
      <w:marLeft w:val="0"/>
      <w:marRight w:val="0"/>
      <w:marTop w:val="0"/>
      <w:marBottom w:val="0"/>
      <w:divBdr>
        <w:top w:val="none" w:sz="0" w:space="0" w:color="auto"/>
        <w:left w:val="none" w:sz="0" w:space="0" w:color="auto"/>
        <w:bottom w:val="none" w:sz="0" w:space="0" w:color="auto"/>
        <w:right w:val="none" w:sz="0" w:space="0" w:color="auto"/>
      </w:divBdr>
    </w:div>
    <w:div w:id="1558586615">
      <w:bodyDiv w:val="1"/>
      <w:marLeft w:val="0"/>
      <w:marRight w:val="0"/>
      <w:marTop w:val="0"/>
      <w:marBottom w:val="0"/>
      <w:divBdr>
        <w:top w:val="none" w:sz="0" w:space="0" w:color="auto"/>
        <w:left w:val="none" w:sz="0" w:space="0" w:color="auto"/>
        <w:bottom w:val="none" w:sz="0" w:space="0" w:color="auto"/>
        <w:right w:val="none" w:sz="0" w:space="0" w:color="auto"/>
      </w:divBdr>
    </w:div>
    <w:div w:id="1600872425">
      <w:bodyDiv w:val="1"/>
      <w:marLeft w:val="0"/>
      <w:marRight w:val="0"/>
      <w:marTop w:val="0"/>
      <w:marBottom w:val="0"/>
      <w:divBdr>
        <w:top w:val="none" w:sz="0" w:space="0" w:color="auto"/>
        <w:left w:val="none" w:sz="0" w:space="0" w:color="auto"/>
        <w:bottom w:val="none" w:sz="0" w:space="0" w:color="auto"/>
        <w:right w:val="none" w:sz="0" w:space="0" w:color="auto"/>
      </w:divBdr>
    </w:div>
    <w:div w:id="1631864962">
      <w:bodyDiv w:val="1"/>
      <w:marLeft w:val="0"/>
      <w:marRight w:val="0"/>
      <w:marTop w:val="0"/>
      <w:marBottom w:val="0"/>
      <w:divBdr>
        <w:top w:val="none" w:sz="0" w:space="0" w:color="auto"/>
        <w:left w:val="none" w:sz="0" w:space="0" w:color="auto"/>
        <w:bottom w:val="none" w:sz="0" w:space="0" w:color="auto"/>
        <w:right w:val="none" w:sz="0" w:space="0" w:color="auto"/>
      </w:divBdr>
    </w:div>
    <w:div w:id="17525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pp-cm-prod-content.s3.amazonaws.com/uploads/342/2019%20MIPS%20Quality%20Benchmarks.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95B5B5E7B404B849E7658CC89622B" ma:contentTypeVersion="0" ma:contentTypeDescription="Create a new document." ma:contentTypeScope="" ma:versionID="8d7ac8e5185e1d76b61e8fca6526f5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1067-4B12-4DD8-8C94-6913C5128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7EE3FB-6EE6-4082-A3FB-F0D31E4C06E6}">
  <ds:schemaRefs>
    <ds:schemaRef ds:uri="http://schemas.microsoft.com/sharepoint/v3/contenttype/forms"/>
  </ds:schemaRefs>
</ds:datastoreItem>
</file>

<file path=customXml/itemProps3.xml><?xml version="1.0" encoding="utf-8"?>
<ds:datastoreItem xmlns:ds="http://schemas.openxmlformats.org/officeDocument/2006/customXml" ds:itemID="{0E498149-8C96-4D27-9B97-687916BE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F13DC5-3424-4305-9A2C-F6EAF5D8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4820</Words>
  <Characters>27478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Peer Reviewed Journal Article Requirement</vt:lpstr>
    </vt:vector>
  </TitlesOfParts>
  <Company>CMS</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Reviewed Journal Article Requirement</dc:title>
  <dc:subject>Revised for 2018</dc:subject>
  <dc:creator>CMS</dc:creator>
  <cp:keywords>Peer Reviewed Journal Article Requirement</cp:keywords>
  <dc:description/>
  <cp:lastModifiedBy>Mawuse Matias</cp:lastModifiedBy>
  <cp:revision>2</cp:revision>
  <cp:lastPrinted>2019-05-07T23:15:00Z</cp:lastPrinted>
  <dcterms:created xsi:type="dcterms:W3CDTF">2020-03-24T15:39:00Z</dcterms:created>
  <dcterms:modified xsi:type="dcterms:W3CDTF">2020-03-24T15:39:00Z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0x0101008BA95B5B5E7B404B849E7658CC89622B</vt:lpwstr>
  </property>
</Properties>
</file>