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E4AF0" w14:textId="77777777" w:rsidR="005D6A32" w:rsidRDefault="005D6A32" w:rsidP="00D87585">
      <w:pPr>
        <w:pStyle w:val="Subtitle"/>
      </w:pPr>
      <w:bookmarkStart w:id="0" w:name="_GoBack"/>
      <w:bookmarkEnd w:id="0"/>
    </w:p>
    <w:p w14:paraId="2349CC9E" w14:textId="57DDD09F" w:rsidR="00BD2120" w:rsidRPr="000156AE" w:rsidRDefault="00BD2120" w:rsidP="00D87585">
      <w:pPr>
        <w:pStyle w:val="Subtitle"/>
      </w:pPr>
      <w:r w:rsidRPr="000156AE">
        <w:t>Peer Reviewed Journal Article Requirement</w:t>
      </w:r>
      <w:r w:rsidR="005D6A32">
        <w:t xml:space="preserve"> Template</w:t>
      </w:r>
    </w:p>
    <w:p w14:paraId="6439E334" w14:textId="52E46469" w:rsidR="005D6A32" w:rsidRDefault="005D6A32" w:rsidP="005D6A32">
      <w:pPr>
        <w:rPr>
          <w:rFonts w:ascii="Arial" w:hAnsi="Arial" w:cs="Arial"/>
          <w:color w:val="000000"/>
        </w:rPr>
      </w:pPr>
      <w:r w:rsidRPr="005D6A32">
        <w:rPr>
          <w:rFonts w:ascii="Arial" w:hAnsi="Arial" w:cs="Arial"/>
          <w:color w:val="000000"/>
        </w:rPr>
        <w:t>Section 101(c)(1) of the Medicare Access and CHIP Reauthorization Act of 2015 (MACRA)requires submission of new measures for publication in applicable specialty-appropriate, peer-reviewed journals prior to implementing in the Merit-based Incentive Payment System (MIPS).These measures will be submitted by the Centers for Medicare &amp; Medicaid Services (CMS), to</w:t>
      </w:r>
      <w:r>
        <w:rPr>
          <w:rFonts w:ascii="Arial" w:hAnsi="Arial" w:cs="Arial"/>
          <w:color w:val="000000"/>
        </w:rPr>
        <w:t xml:space="preserve"> </w:t>
      </w:r>
      <w:r w:rsidRPr="005D6A32">
        <w:rPr>
          <w:rFonts w:ascii="Arial" w:hAnsi="Arial" w:cs="Arial"/>
          <w:color w:val="000000"/>
        </w:rPr>
        <w:t>a journal(s) before including any new measure in the final list of annual clinical quality measures (CQM) under MIPS. The measure owner shall provide the required information for article submission under the MACRA per CMS “Call fo</w:t>
      </w:r>
      <w:r>
        <w:rPr>
          <w:rFonts w:ascii="Arial" w:hAnsi="Arial" w:cs="Arial"/>
          <w:color w:val="000000"/>
        </w:rPr>
        <w:t>r Measures” submission process.</w:t>
      </w:r>
    </w:p>
    <w:p w14:paraId="03C192BD" w14:textId="53D95024" w:rsidR="005D6A32" w:rsidRPr="005D6A32" w:rsidRDefault="005D6A32" w:rsidP="005D6A32">
      <w:pPr>
        <w:rPr>
          <w:rFonts w:ascii="Arial" w:hAnsi="Arial" w:cs="Arial"/>
          <w:color w:val="000000"/>
        </w:rPr>
      </w:pPr>
      <w:r w:rsidRPr="005D6A32">
        <w:rPr>
          <w:rFonts w:ascii="Arial" w:hAnsi="Arial" w:cs="Arial"/>
          <w:color w:val="000000"/>
        </w:rPr>
        <w:t>Measure owners submitting measures into JIRA1 must complete the required information by</w:t>
      </w:r>
      <w:r>
        <w:rPr>
          <w:rFonts w:ascii="Arial" w:hAnsi="Arial" w:cs="Arial"/>
          <w:color w:val="000000"/>
        </w:rPr>
        <w:t xml:space="preserve"> </w:t>
      </w:r>
      <w:r w:rsidRPr="005D6A32">
        <w:rPr>
          <w:rFonts w:ascii="Arial" w:hAnsi="Arial" w:cs="Arial"/>
          <w:color w:val="000000"/>
        </w:rPr>
        <w:t xml:space="preserve">the Call for Measures deadline. Some of the information requested below may be listed in specific fields in the JIRA tool, however to ensure that CMS has all of the necessary information and to avoid delays in the evaluation of your submission, please fully complete this form as an attached Word document in JIRA. The information in JIRA must be consistent with the information below. This includes, but is not limited to: </w:t>
      </w:r>
    </w:p>
    <w:p w14:paraId="5A5FF424" w14:textId="4369BF60" w:rsidR="00300FD4" w:rsidRPr="00DD5758" w:rsidRDefault="009033F4" w:rsidP="00300FD4">
      <w:pPr>
        <w:spacing w:after="0" w:line="240" w:lineRule="auto"/>
        <w:jc w:val="center"/>
        <w:rPr>
          <w:rFonts w:ascii="Arial" w:hAnsi="Arial" w:cs="Arial"/>
          <w:b/>
          <w:i/>
        </w:rPr>
      </w:pPr>
      <w:r>
        <w:rPr>
          <w:rFonts w:ascii="Arial" w:hAnsi="Arial" w:cs="Arial"/>
          <w:b/>
          <w:i/>
        </w:rPr>
        <w:t xml:space="preserve">Measure Title: </w:t>
      </w:r>
      <w:r w:rsidR="005D6A32" w:rsidRPr="00DD5758">
        <w:rPr>
          <w:rFonts w:ascii="Arial" w:hAnsi="Arial" w:cs="Arial"/>
          <w:b/>
          <w:i/>
        </w:rPr>
        <w:t xml:space="preserve"> </w:t>
      </w:r>
      <w:r w:rsidR="007C4F9B" w:rsidRPr="00863112">
        <w:rPr>
          <w:rFonts w:ascii="Arial" w:hAnsi="Arial" w:cs="Arial"/>
          <w:b/>
          <w:i/>
          <w:color w:val="FF0000"/>
        </w:rPr>
        <w:t>Hemodialysis Vascular Access: Practitioner Level Long-term Catheter Rate</w:t>
      </w:r>
      <w:r w:rsidR="007C4F9B" w:rsidRPr="00863112" w:rsidDel="007C4F9B">
        <w:rPr>
          <w:rFonts w:ascii="Arial" w:hAnsi="Arial" w:cs="Arial"/>
          <w:b/>
          <w:i/>
          <w:color w:val="FF0000"/>
        </w:rPr>
        <w:t xml:space="preserve"> </w:t>
      </w:r>
    </w:p>
    <w:p w14:paraId="7E4E453D" w14:textId="31588B6B" w:rsidR="00300FD4" w:rsidRPr="00AA3A80" w:rsidRDefault="009033F4" w:rsidP="00AA3A80">
      <w:pPr>
        <w:spacing w:after="0" w:line="240" w:lineRule="auto"/>
        <w:jc w:val="center"/>
        <w:rPr>
          <w:rFonts w:ascii="Arial" w:hAnsi="Arial" w:cs="Arial"/>
          <w:b/>
          <w:i/>
        </w:rPr>
      </w:pPr>
      <w:r>
        <w:rPr>
          <w:rFonts w:ascii="Arial" w:hAnsi="Arial" w:cs="Arial"/>
          <w:b/>
          <w:i/>
        </w:rPr>
        <w:t xml:space="preserve">Domain: </w:t>
      </w:r>
      <w:r w:rsidRPr="00863112">
        <w:rPr>
          <w:rFonts w:ascii="Arial" w:hAnsi="Arial" w:cs="Arial"/>
          <w:b/>
          <w:i/>
          <w:color w:val="FF0000"/>
        </w:rPr>
        <w:t>Effective Clinical Care</w:t>
      </w:r>
      <w:r w:rsidR="00AA3A80" w:rsidRPr="009033F4">
        <w:rPr>
          <w:rFonts w:ascii="Arial" w:hAnsi="Arial" w:cs="Arial"/>
          <w:b/>
          <w:i/>
        </w:rPr>
        <w:br/>
      </w:r>
      <w:r>
        <w:rPr>
          <w:rFonts w:ascii="Arial" w:hAnsi="Arial" w:cs="Arial"/>
          <w:b/>
          <w:i/>
        </w:rPr>
        <w:t xml:space="preserve">Meaningful Measure Area (MMA): </w:t>
      </w:r>
      <w:r w:rsidR="00F456F6" w:rsidRPr="00863112">
        <w:rPr>
          <w:rFonts w:ascii="Arial" w:hAnsi="Arial" w:cs="Arial"/>
          <w:b/>
          <w:i/>
          <w:color w:val="FF0000"/>
        </w:rPr>
        <w:t>Management of Chronic Conditions</w:t>
      </w:r>
      <w:r w:rsidR="00300FD4" w:rsidRPr="00DD5758">
        <w:rPr>
          <w:rFonts w:ascii="Arial" w:hAnsi="Arial" w:cs="Arial"/>
          <w:b/>
          <w:i/>
          <w:noProof/>
        </w:rPr>
        <mc:AlternateContent>
          <mc:Choice Requires="wps">
            <w:drawing>
              <wp:inline distT="0" distB="0" distL="0" distR="0" wp14:anchorId="7EEAE8C7" wp14:editId="2EB93DC7">
                <wp:extent cx="5019675" cy="1552575"/>
                <wp:effectExtent l="0" t="0" r="28575" b="28575"/>
                <wp:docPr id="217" name="Text Box 2" descr="Indicates measure owner, measure developer, and measure descrip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1552575"/>
                        </a:xfrm>
                        <a:prstGeom prst="rect">
                          <a:avLst/>
                        </a:prstGeom>
                        <a:solidFill>
                          <a:srgbClr val="FFFFFF"/>
                        </a:solidFill>
                        <a:ln w="9525">
                          <a:solidFill>
                            <a:srgbClr val="000000"/>
                          </a:solidFill>
                          <a:miter lim="800000"/>
                          <a:headEnd/>
                          <a:tailEnd/>
                        </a:ln>
                      </wps:spPr>
                      <wps:txbx>
                        <w:txbxContent>
                          <w:p w14:paraId="281D542B" w14:textId="1B58A345" w:rsidR="00300FD4" w:rsidRPr="00863112" w:rsidRDefault="00300FD4" w:rsidP="00300FD4">
                            <w:pPr>
                              <w:spacing w:after="0" w:line="240" w:lineRule="auto"/>
                              <w:rPr>
                                <w:rFonts w:ascii="Arial" w:hAnsi="Arial" w:cs="Arial"/>
                                <w:color w:val="FF0000"/>
                                <w:u w:val="single"/>
                              </w:rPr>
                            </w:pPr>
                            <w:r w:rsidRPr="00AA3A80">
                              <w:rPr>
                                <w:rFonts w:ascii="Arial" w:hAnsi="Arial" w:cs="Arial"/>
                                <w:b/>
                                <w:sz w:val="24"/>
                                <w:szCs w:val="24"/>
                              </w:rPr>
                              <w:t>Measure Owner:</w:t>
                            </w:r>
                            <w:r w:rsidRPr="00AA3A80">
                              <w:rPr>
                                <w:rFonts w:ascii="Arial" w:hAnsi="Arial" w:cs="Arial"/>
                                <w:b/>
                              </w:rPr>
                              <w:t xml:space="preserve"> </w:t>
                            </w:r>
                            <w:r w:rsidR="007C4F9B" w:rsidRPr="00863112">
                              <w:rPr>
                                <w:rFonts w:ascii="Arial" w:hAnsi="Arial" w:cs="Arial"/>
                                <w:i/>
                                <w:color w:val="FF0000"/>
                              </w:rPr>
                              <w:t>Centers for Medicare and Medicaid Services</w:t>
                            </w:r>
                          </w:p>
                          <w:p w14:paraId="0832BC35" w14:textId="327C3E9F" w:rsidR="00300FD4" w:rsidRPr="00863112" w:rsidRDefault="00300FD4" w:rsidP="00300FD4">
                            <w:pPr>
                              <w:spacing w:after="0" w:line="240" w:lineRule="auto"/>
                              <w:rPr>
                                <w:rFonts w:ascii="Arial" w:hAnsi="Arial" w:cs="Arial"/>
                                <w:color w:val="FF0000"/>
                              </w:rPr>
                            </w:pPr>
                            <w:r w:rsidRPr="00AA3A80">
                              <w:rPr>
                                <w:rFonts w:ascii="Arial" w:hAnsi="Arial" w:cs="Arial"/>
                                <w:b/>
                                <w:sz w:val="24"/>
                                <w:szCs w:val="24"/>
                              </w:rPr>
                              <w:t>Measure Developer:</w:t>
                            </w:r>
                            <w:r w:rsidRPr="00AA3A80">
                              <w:rPr>
                                <w:rFonts w:ascii="Arial" w:hAnsi="Arial" w:cs="Arial"/>
                                <w:b/>
                              </w:rPr>
                              <w:t xml:space="preserve"> </w:t>
                            </w:r>
                            <w:r w:rsidR="007C4F9B" w:rsidRPr="00863112">
                              <w:rPr>
                                <w:rFonts w:ascii="Arial" w:hAnsi="Arial" w:cs="Arial"/>
                                <w:i/>
                                <w:color w:val="FF0000"/>
                              </w:rPr>
                              <w:t xml:space="preserve">University of Michigan Kidney Epidemiology and Cost Center </w:t>
                            </w:r>
                          </w:p>
                          <w:p w14:paraId="2CDF3E3C" w14:textId="77777777" w:rsidR="007C4F9B" w:rsidRPr="00AA3A80" w:rsidRDefault="00300FD4" w:rsidP="007C4F9B">
                            <w:pPr>
                              <w:rPr>
                                <w:rFonts w:ascii="Arial" w:hAnsi="Arial" w:cs="Arial"/>
                              </w:rPr>
                            </w:pPr>
                            <w:r w:rsidRPr="00AA3A80">
                              <w:rPr>
                                <w:rFonts w:ascii="Arial" w:hAnsi="Arial" w:cs="Arial"/>
                                <w:b/>
                                <w:sz w:val="24"/>
                                <w:szCs w:val="24"/>
                              </w:rPr>
                              <w:t>Description:</w:t>
                            </w:r>
                            <w:r w:rsidR="007C4F9B" w:rsidRPr="00AA3A80">
                              <w:rPr>
                                <w:rFonts w:ascii="Arial" w:hAnsi="Arial" w:cs="Arial"/>
                                <w:b/>
                                <w:sz w:val="24"/>
                                <w:szCs w:val="24"/>
                              </w:rPr>
                              <w:t xml:space="preserve"> </w:t>
                            </w:r>
                            <w:r w:rsidR="007C4F9B" w:rsidRPr="00863112">
                              <w:rPr>
                                <w:rFonts w:ascii="Arial" w:hAnsi="Arial" w:cs="Arial"/>
                                <w:color w:val="FF0000"/>
                              </w:rPr>
                              <w:t>Percentage of adult hemodialysis patient-months using a catheter continuously for three months or longer for vascular access attributable to an individual practitioner or group practice.</w:t>
                            </w:r>
                          </w:p>
                          <w:p w14:paraId="1D6AF4C7" w14:textId="439069B5" w:rsidR="00300FD4" w:rsidRPr="000156AE" w:rsidRDefault="00300FD4" w:rsidP="00300FD4">
                            <w:pPr>
                              <w:spacing w:after="0" w:line="240" w:lineRule="auto"/>
                              <w:rPr>
                                <w:b/>
                                <w:sz w:val="24"/>
                                <w:szCs w:val="24"/>
                              </w:rPr>
                            </w:pPr>
                          </w:p>
                          <w:p w14:paraId="2B3D40A0" w14:textId="77777777" w:rsidR="00300FD4" w:rsidRDefault="00300FD4" w:rsidP="00300FD4">
                            <w:pPr>
                              <w:spacing w:after="0" w:line="240" w:lineRule="auto"/>
                              <w:rPr>
                                <w:b/>
                              </w:rPr>
                            </w:pPr>
                          </w:p>
                          <w:p w14:paraId="67E4F4CB" w14:textId="77777777" w:rsidR="00300FD4" w:rsidRPr="006500F5" w:rsidRDefault="00300FD4" w:rsidP="00300FD4">
                            <w:pPr>
                              <w:spacing w:after="0" w:line="240" w:lineRule="auto"/>
                              <w:rPr>
                                <w:b/>
                              </w:rPr>
                            </w:pPr>
                          </w:p>
                        </w:txbxContent>
                      </wps:txbx>
                      <wps:bodyPr rot="0" vert="horz" wrap="square" lIns="91440" tIns="45720" rIns="91440" bIns="45720" anchor="t" anchorCtr="0">
                        <a:noAutofit/>
                      </wps:bodyPr>
                    </wps:wsp>
                  </a:graphicData>
                </a:graphic>
              </wp:inline>
            </w:drawing>
          </mc:Choice>
          <mc:Fallback>
            <w:pict>
              <v:shapetype w14:anchorId="7EEAE8C7" id="_x0000_t202" coordsize="21600,21600" o:spt="202" path="m,l,21600r21600,l21600,xe">
                <v:stroke joinstyle="miter"/>
                <v:path gradientshapeok="t" o:connecttype="rect"/>
              </v:shapetype>
              <v:shape id="Text Box 2" o:spid="_x0000_s1026" type="#_x0000_t202" alt="Indicates measure owner, measure developer, and measure description" style="width:395.25pt;height:12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">
                <v:textbox>
                  <w:txbxContent>
                    <w:p w14:paraId="281D542B" w14:textId="1B58A345" w:rsidR="00300FD4" w:rsidRPr="00863112" w:rsidRDefault="00300FD4" w:rsidP="00300FD4">
                      <w:pPr>
                        <w:spacing w:after="0" w:line="240" w:lineRule="auto"/>
                        <w:rPr>
                          <w:rFonts w:ascii="Arial" w:hAnsi="Arial" w:cs="Arial"/>
                          <w:color w:val="FF0000"/>
                          <w:u w:val="single"/>
                        </w:rPr>
                      </w:pPr>
                      <w:r w:rsidRPr="00AA3A80">
                        <w:rPr>
                          <w:rFonts w:ascii="Arial" w:hAnsi="Arial" w:cs="Arial"/>
                          <w:b/>
                          <w:sz w:val="24"/>
                          <w:szCs w:val="24"/>
                        </w:rPr>
                        <w:t>Measure Owner:</w:t>
                      </w:r>
                      <w:r w:rsidRPr="00AA3A80">
                        <w:rPr>
                          <w:rFonts w:ascii="Arial" w:hAnsi="Arial" w:cs="Arial"/>
                          <w:b/>
                        </w:rPr>
                        <w:t xml:space="preserve"> </w:t>
                      </w:r>
                      <w:r w:rsidR="007C4F9B" w:rsidRPr="00863112">
                        <w:rPr>
                          <w:rFonts w:ascii="Arial" w:hAnsi="Arial" w:cs="Arial"/>
                          <w:i/>
                          <w:color w:val="FF0000"/>
                        </w:rPr>
                        <w:t>Centers for Medicare and Medicaid Services</w:t>
                      </w:r>
                    </w:p>
                    <w:p w14:paraId="0832BC35" w14:textId="327C3E9F" w:rsidR="00300FD4" w:rsidRPr="00863112" w:rsidRDefault="00300FD4" w:rsidP="00300FD4">
                      <w:pPr>
                        <w:spacing w:after="0" w:line="240" w:lineRule="auto"/>
                        <w:rPr>
                          <w:rFonts w:ascii="Arial" w:hAnsi="Arial" w:cs="Arial"/>
                          <w:color w:val="FF0000"/>
                        </w:rPr>
                      </w:pPr>
                      <w:r w:rsidRPr="00AA3A80">
                        <w:rPr>
                          <w:rFonts w:ascii="Arial" w:hAnsi="Arial" w:cs="Arial"/>
                          <w:b/>
                          <w:sz w:val="24"/>
                          <w:szCs w:val="24"/>
                        </w:rPr>
                        <w:t>Measure Developer:</w:t>
                      </w:r>
                      <w:r w:rsidRPr="00AA3A80">
                        <w:rPr>
                          <w:rFonts w:ascii="Arial" w:hAnsi="Arial" w:cs="Arial"/>
                          <w:b/>
                        </w:rPr>
                        <w:t xml:space="preserve"> </w:t>
                      </w:r>
                      <w:r w:rsidR="007C4F9B" w:rsidRPr="00863112">
                        <w:rPr>
                          <w:rFonts w:ascii="Arial" w:hAnsi="Arial" w:cs="Arial"/>
                          <w:i/>
                          <w:color w:val="FF0000"/>
                        </w:rPr>
                        <w:t xml:space="preserve">University of Michigan Kidney Epidemiology and Cost Center </w:t>
                      </w:r>
                    </w:p>
                    <w:p w14:paraId="2CDF3E3C" w14:textId="77777777" w:rsidR="007C4F9B" w:rsidRPr="00AA3A80" w:rsidRDefault="00300FD4" w:rsidP="007C4F9B">
                      <w:pPr>
                        <w:rPr>
                          <w:rFonts w:ascii="Arial" w:hAnsi="Arial" w:cs="Arial"/>
                        </w:rPr>
                      </w:pPr>
                      <w:r w:rsidRPr="00AA3A80">
                        <w:rPr>
                          <w:rFonts w:ascii="Arial" w:hAnsi="Arial" w:cs="Arial"/>
                          <w:b/>
                          <w:sz w:val="24"/>
                          <w:szCs w:val="24"/>
                        </w:rPr>
                        <w:t>Description:</w:t>
                      </w:r>
                      <w:r w:rsidR="007C4F9B" w:rsidRPr="00AA3A80">
                        <w:rPr>
                          <w:rFonts w:ascii="Arial" w:hAnsi="Arial" w:cs="Arial"/>
                          <w:b/>
                          <w:sz w:val="24"/>
                          <w:szCs w:val="24"/>
                        </w:rPr>
                        <w:t xml:space="preserve"> </w:t>
                      </w:r>
                      <w:r w:rsidR="007C4F9B" w:rsidRPr="00863112">
                        <w:rPr>
                          <w:rFonts w:ascii="Arial" w:hAnsi="Arial" w:cs="Arial"/>
                          <w:color w:val="FF0000"/>
                        </w:rPr>
                        <w:t>Percentage of adult hemodialysis patient-months using a catheter continuously for three months or longer for vascular access attributable to an individual practitioner or group practice.</w:t>
                      </w:r>
                    </w:p>
                    <w:p w14:paraId="1D6AF4C7" w14:textId="439069B5" w:rsidR="00300FD4" w:rsidRPr="000156AE" w:rsidRDefault="00300FD4" w:rsidP="00300FD4">
                      <w:pPr>
                        <w:spacing w:after="0" w:line="240" w:lineRule="auto"/>
                        <w:rPr>
                          <w:b/>
                          <w:sz w:val="24"/>
                          <w:szCs w:val="24"/>
                        </w:rPr>
                      </w:pPr>
                    </w:p>
                    <w:p w14:paraId="2B3D40A0" w14:textId="77777777" w:rsidR="00300FD4" w:rsidRDefault="00300FD4" w:rsidP="00300FD4">
                      <w:pPr>
                        <w:spacing w:after="0" w:line="240" w:lineRule="auto"/>
                        <w:rPr>
                          <w:b/>
                        </w:rPr>
                      </w:pPr>
                    </w:p>
                    <w:p w14:paraId="67E4F4CB" w14:textId="77777777" w:rsidR="00300FD4" w:rsidRPr="006500F5" w:rsidRDefault="00300FD4" w:rsidP="00300FD4">
                      <w:pPr>
                        <w:spacing w:after="0" w:line="240" w:lineRule="auto"/>
                        <w:rPr>
                          <w:b/>
                        </w:rPr>
                      </w:pPr>
                    </w:p>
                  </w:txbxContent>
                </v:textbox>
                <w10:anchorlock/>
              </v:shape>
            </w:pict>
          </mc:Fallback>
        </mc:AlternateContent>
      </w:r>
    </w:p>
    <w:p w14:paraId="29D1EEBF" w14:textId="77777777" w:rsidR="00300FD4" w:rsidRPr="00DD5758" w:rsidRDefault="00300FD4" w:rsidP="00300FD4">
      <w:pPr>
        <w:pStyle w:val="ListParagraph"/>
        <w:numPr>
          <w:ilvl w:val="0"/>
          <w:numId w:val="1"/>
        </w:numPr>
        <w:rPr>
          <w:rFonts w:ascii="Arial" w:hAnsi="Arial" w:cs="Arial"/>
          <w:b/>
        </w:rPr>
      </w:pPr>
      <w:r w:rsidRPr="00DD5758">
        <w:rPr>
          <w:rFonts w:ascii="Arial" w:hAnsi="Arial" w:cs="Arial"/>
          <w:b/>
        </w:rPr>
        <w:t>Statement</w:t>
      </w:r>
    </w:p>
    <w:p w14:paraId="75C0D047" w14:textId="66EECDEF" w:rsidR="00300FD4" w:rsidRPr="00863112" w:rsidRDefault="00300FD4" w:rsidP="007C4F9B">
      <w:pPr>
        <w:pStyle w:val="ListParagraph"/>
        <w:numPr>
          <w:ilvl w:val="0"/>
          <w:numId w:val="3"/>
        </w:numPr>
        <w:rPr>
          <w:rFonts w:ascii="Arial" w:hAnsi="Arial" w:cs="Arial"/>
          <w:color w:val="FF0000"/>
        </w:rPr>
      </w:pPr>
      <w:r w:rsidRPr="00DD5758">
        <w:rPr>
          <w:rFonts w:ascii="Arial" w:hAnsi="Arial" w:cs="Arial"/>
          <w:i/>
        </w:rPr>
        <w:t>Background (Why is this measure important?)</w:t>
      </w:r>
      <w:r w:rsidR="007C4F9B">
        <w:rPr>
          <w:rFonts w:ascii="Arial" w:hAnsi="Arial" w:cs="Arial"/>
          <w:i/>
        </w:rPr>
        <w:br/>
      </w:r>
      <w:r w:rsidR="007C4F9B" w:rsidRPr="00863112">
        <w:rPr>
          <w:rFonts w:ascii="Arial" w:hAnsi="Arial" w:cs="Arial"/>
          <w:color w:val="FF0000"/>
        </w:rPr>
        <w:t>Based upon data from the CMS Fistula First/Catheter Last initiative, a gradual trend towards lower catheter use has been observed among prevalent maintenance HD patients in the US, declining from approximately 28% in 2006 to approximately 18% by August 2015. Furthermore, the percentage of maintenance HD patients using a catheter for at least three months has declined as well over this time period from nearly 12% to 10.8%. This implies that continued monitoring of chronic catheter use is needed to sustain this trend. Addition of practitioner level measures may create opportunities for further improvement of this important quality metric.</w:t>
      </w:r>
    </w:p>
    <w:p w14:paraId="3E8E99A3" w14:textId="77777777" w:rsidR="00974416" w:rsidRPr="00863112" w:rsidRDefault="00974416" w:rsidP="00355C9E">
      <w:pPr>
        <w:spacing w:after="200" w:line="276" w:lineRule="auto"/>
        <w:ind w:left="1440"/>
        <w:rPr>
          <w:rFonts w:ascii="Arial" w:hAnsi="Arial" w:cs="Arial"/>
          <w:color w:val="FF0000"/>
        </w:rPr>
      </w:pPr>
      <w:r w:rsidRPr="00863112">
        <w:rPr>
          <w:rFonts w:ascii="Arial" w:hAnsi="Arial" w:cs="Arial"/>
          <w:color w:val="FF0000"/>
        </w:rPr>
        <w:t>The 12 studies listed below highlight the core benefits associated with using an AV fistula or graft such as reduced mortality and morbidity relative to using a tunneled catheter.  Specifically, AV fistula have:</w:t>
      </w:r>
    </w:p>
    <w:p w14:paraId="7FA8DE99" w14:textId="77777777" w:rsidR="00974416" w:rsidRPr="00863112" w:rsidRDefault="00974416" w:rsidP="00974416">
      <w:pPr>
        <w:numPr>
          <w:ilvl w:val="0"/>
          <w:numId w:val="13"/>
        </w:numPr>
        <w:spacing w:after="200" w:line="276" w:lineRule="auto"/>
        <w:ind w:left="2160"/>
        <w:contextualSpacing/>
        <w:rPr>
          <w:rFonts w:ascii="Arial" w:eastAsiaTheme="minorEastAsia" w:hAnsi="Arial" w:cs="Arial"/>
          <w:color w:val="FF0000"/>
        </w:rPr>
      </w:pPr>
      <w:r w:rsidRPr="00863112">
        <w:rPr>
          <w:rFonts w:ascii="Arial" w:eastAsiaTheme="minorEastAsia" w:hAnsi="Arial" w:cs="Arial"/>
          <w:color w:val="FF0000"/>
        </w:rPr>
        <w:t>Lowest Cost</w:t>
      </w:r>
      <w:r w:rsidRPr="00863112">
        <w:rPr>
          <w:rFonts w:ascii="Arial" w:eastAsiaTheme="minorEastAsia" w:hAnsi="Arial" w:cs="Arial"/>
          <w:color w:val="FF0000"/>
          <w:vertAlign w:val="superscript"/>
        </w:rPr>
        <w:t>1-3</w:t>
      </w:r>
      <w:r w:rsidRPr="00863112">
        <w:rPr>
          <w:rFonts w:ascii="Arial" w:eastAsiaTheme="minorEastAsia" w:hAnsi="Arial" w:cs="Arial"/>
          <w:color w:val="FF0000"/>
        </w:rPr>
        <w:t>: Compared to catheters, Medicare expenditures for AVF are approximately $17,000 less per person per year.</w:t>
      </w:r>
    </w:p>
    <w:p w14:paraId="0C70925D" w14:textId="77777777" w:rsidR="00974416" w:rsidRPr="00863112" w:rsidRDefault="00974416" w:rsidP="00974416">
      <w:pPr>
        <w:numPr>
          <w:ilvl w:val="0"/>
          <w:numId w:val="13"/>
        </w:numPr>
        <w:spacing w:after="200" w:line="276" w:lineRule="auto"/>
        <w:ind w:left="2160"/>
        <w:contextualSpacing/>
        <w:rPr>
          <w:rFonts w:ascii="Arial" w:eastAsiaTheme="minorEastAsia" w:hAnsi="Arial" w:cs="Arial"/>
          <w:color w:val="FF0000"/>
        </w:rPr>
      </w:pPr>
      <w:r w:rsidRPr="00863112">
        <w:rPr>
          <w:rFonts w:ascii="Arial" w:eastAsiaTheme="minorEastAsia" w:hAnsi="Arial" w:cs="Arial"/>
          <w:color w:val="FF0000"/>
        </w:rPr>
        <w:t>Lowest rates of infection:  AV fistula have the lowest rates of infection followed by AV grafts and then tunneled dialysis catheters</w:t>
      </w:r>
      <w:r w:rsidRPr="00863112">
        <w:rPr>
          <w:rFonts w:ascii="Arial" w:eastAsiaTheme="minorEastAsia" w:hAnsi="Arial" w:cs="Arial"/>
          <w:color w:val="FF0000"/>
          <w:vertAlign w:val="superscript"/>
        </w:rPr>
        <w:t>4</w:t>
      </w:r>
      <w:r w:rsidRPr="00863112">
        <w:rPr>
          <w:rFonts w:ascii="Arial" w:eastAsiaTheme="minorEastAsia" w:hAnsi="Arial" w:cs="Arial"/>
          <w:color w:val="FF0000"/>
        </w:rPr>
        <w:t>.  Vascular access infections are common, and represent the second most common cause of death for patients receiving hemodialysis.</w:t>
      </w:r>
      <w:r w:rsidRPr="00863112">
        <w:rPr>
          <w:rFonts w:ascii="Arial" w:eastAsiaTheme="minorEastAsia" w:hAnsi="Arial" w:cs="Arial"/>
          <w:color w:val="FF0000"/>
          <w:vertAlign w:val="superscript"/>
        </w:rPr>
        <w:t>5</w:t>
      </w:r>
    </w:p>
    <w:p w14:paraId="55ABBA26" w14:textId="77777777" w:rsidR="00974416" w:rsidRPr="00863112" w:rsidRDefault="00974416" w:rsidP="00974416">
      <w:pPr>
        <w:numPr>
          <w:ilvl w:val="0"/>
          <w:numId w:val="13"/>
        </w:numPr>
        <w:spacing w:after="200" w:line="276" w:lineRule="auto"/>
        <w:ind w:left="2160"/>
        <w:contextualSpacing/>
        <w:rPr>
          <w:rFonts w:ascii="Arial" w:eastAsiaTheme="minorEastAsia" w:hAnsi="Arial" w:cs="Arial"/>
          <w:color w:val="FF0000"/>
        </w:rPr>
      </w:pPr>
      <w:r w:rsidRPr="00863112">
        <w:rPr>
          <w:rFonts w:ascii="Arial" w:eastAsiaTheme="minorEastAsia" w:hAnsi="Arial" w:cs="Arial"/>
          <w:color w:val="FF0000"/>
        </w:rPr>
        <w:t>Lowest mortality and hospitalization:  Patients using catheters (RR=2.3) and grafts (RR=1.47) have a greater mortality risk than patients dialyzed with fistulae</w:t>
      </w:r>
      <w:r w:rsidRPr="00863112">
        <w:rPr>
          <w:rFonts w:ascii="Arial" w:eastAsiaTheme="minorEastAsia" w:hAnsi="Arial" w:cs="Arial"/>
          <w:color w:val="FF0000"/>
          <w:vertAlign w:val="superscript"/>
        </w:rPr>
        <w:t>6-9</w:t>
      </w:r>
      <w:r w:rsidRPr="00863112">
        <w:rPr>
          <w:rFonts w:ascii="Arial" w:eastAsiaTheme="minorEastAsia" w:hAnsi="Arial" w:cs="Arial"/>
          <w:color w:val="FF0000"/>
        </w:rPr>
        <w:t>.  Other studies have also found that use of fistulae reduces mortality and morbidity</w:t>
      </w:r>
      <w:r w:rsidRPr="00863112">
        <w:rPr>
          <w:rFonts w:ascii="Arial" w:eastAsiaTheme="minorEastAsia" w:hAnsi="Arial" w:cs="Arial"/>
          <w:color w:val="FF0000"/>
          <w:vertAlign w:val="superscript"/>
        </w:rPr>
        <w:t>10-12</w:t>
      </w:r>
      <w:r w:rsidRPr="00863112">
        <w:rPr>
          <w:rFonts w:ascii="Arial" w:eastAsiaTheme="minorEastAsia" w:hAnsi="Arial" w:cs="Arial"/>
          <w:color w:val="FF0000"/>
        </w:rPr>
        <w:t xml:space="preserve"> compared to AV grafts or catheters.</w:t>
      </w:r>
    </w:p>
    <w:p w14:paraId="38111EC5" w14:textId="77777777" w:rsidR="00974416" w:rsidRPr="00863112" w:rsidRDefault="00974416" w:rsidP="00974416">
      <w:pPr>
        <w:spacing w:after="200" w:line="276" w:lineRule="auto"/>
        <w:ind w:left="720"/>
        <w:rPr>
          <w:rFonts w:ascii="Arial" w:hAnsi="Arial" w:cs="Arial"/>
          <w:color w:val="FF0000"/>
        </w:rPr>
      </w:pPr>
    </w:p>
    <w:p w14:paraId="03D632AD" w14:textId="77777777" w:rsidR="00974416" w:rsidRPr="00863112" w:rsidRDefault="00974416" w:rsidP="00355C9E">
      <w:pPr>
        <w:spacing w:after="200" w:line="276" w:lineRule="auto"/>
        <w:ind w:left="1440"/>
        <w:rPr>
          <w:rFonts w:ascii="Arial" w:hAnsi="Arial" w:cs="Arial"/>
          <w:color w:val="FF0000"/>
        </w:rPr>
      </w:pPr>
      <w:r w:rsidRPr="00863112">
        <w:rPr>
          <w:rFonts w:ascii="Arial" w:hAnsi="Arial" w:cs="Arial"/>
          <w:color w:val="FF0000"/>
        </w:rPr>
        <w:t>References:</w:t>
      </w:r>
    </w:p>
    <w:p w14:paraId="4B62D8C9" w14:textId="77777777" w:rsidR="00974416" w:rsidRPr="00863112" w:rsidRDefault="00974416" w:rsidP="00355C9E">
      <w:pPr>
        <w:numPr>
          <w:ilvl w:val="0"/>
          <w:numId w:val="14"/>
        </w:numPr>
        <w:spacing w:after="120" w:line="276" w:lineRule="auto"/>
        <w:ind w:left="1800"/>
        <w:contextualSpacing/>
        <w:rPr>
          <w:rFonts w:ascii="Arial" w:eastAsiaTheme="minorEastAsia" w:hAnsi="Arial" w:cs="Arial"/>
          <w:color w:val="FF0000"/>
        </w:rPr>
      </w:pPr>
      <w:r w:rsidRPr="00863112">
        <w:rPr>
          <w:rFonts w:ascii="Arial" w:eastAsiaTheme="minorEastAsia" w:hAnsi="Arial" w:cs="Arial"/>
          <w:color w:val="FF0000"/>
        </w:rPr>
        <w:t xml:space="preserve">Mehta S: Statistical summary of clinical results of vascular access procedures for </w:t>
      </w:r>
      <w:proofErr w:type="spellStart"/>
      <w:r w:rsidRPr="00863112">
        <w:rPr>
          <w:rFonts w:ascii="Arial" w:eastAsiaTheme="minorEastAsia" w:hAnsi="Arial" w:cs="Arial"/>
          <w:color w:val="FF0000"/>
        </w:rPr>
        <w:t>haemodialysis</w:t>
      </w:r>
      <w:proofErr w:type="spellEnd"/>
      <w:r w:rsidRPr="00863112">
        <w:rPr>
          <w:rFonts w:ascii="Arial" w:eastAsiaTheme="minorEastAsia" w:hAnsi="Arial" w:cs="Arial"/>
          <w:color w:val="FF0000"/>
        </w:rPr>
        <w:t>, in Sommer BG, Henry ML (eds): Vascular Access for Hemodialysis-II (ed 2). Chicago, IL, Gore, 1991, pp 145-157</w:t>
      </w:r>
    </w:p>
    <w:p w14:paraId="2A236ADE" w14:textId="77777777" w:rsidR="00974416" w:rsidRPr="00863112" w:rsidRDefault="00974416" w:rsidP="00355C9E">
      <w:pPr>
        <w:numPr>
          <w:ilvl w:val="0"/>
          <w:numId w:val="14"/>
        </w:numPr>
        <w:spacing w:after="120" w:line="276" w:lineRule="auto"/>
        <w:ind w:left="1800"/>
        <w:contextualSpacing/>
        <w:rPr>
          <w:rFonts w:ascii="Arial" w:eastAsiaTheme="minorEastAsia" w:hAnsi="Arial" w:cs="Arial"/>
          <w:color w:val="FF0000"/>
        </w:rPr>
      </w:pPr>
      <w:r w:rsidRPr="00863112">
        <w:rPr>
          <w:rFonts w:ascii="Arial" w:eastAsiaTheme="minorEastAsia" w:hAnsi="Arial" w:cs="Arial"/>
          <w:color w:val="FF0000"/>
        </w:rPr>
        <w:t>The Cost Effectiveness of Alternative Types of Vascular access and the Economic Cost of ESRD. Bethesda, MD, National Institutes of Health, National Institute of Diabetes and Digestive and Kidney Diseases, 1995, pp 139-157</w:t>
      </w:r>
    </w:p>
    <w:p w14:paraId="2BC783F1" w14:textId="77777777" w:rsidR="00974416" w:rsidRPr="00863112" w:rsidRDefault="00974416" w:rsidP="00355C9E">
      <w:pPr>
        <w:numPr>
          <w:ilvl w:val="0"/>
          <w:numId w:val="14"/>
        </w:numPr>
        <w:spacing w:after="120" w:line="276" w:lineRule="auto"/>
        <w:ind w:left="1800"/>
        <w:contextualSpacing/>
        <w:rPr>
          <w:rFonts w:ascii="Arial" w:eastAsiaTheme="minorEastAsia" w:hAnsi="Arial" w:cs="Arial"/>
          <w:color w:val="FF0000"/>
        </w:rPr>
      </w:pPr>
      <w:r w:rsidRPr="00863112">
        <w:rPr>
          <w:rFonts w:ascii="Arial" w:eastAsiaTheme="minorEastAsia" w:hAnsi="Arial" w:cs="Arial"/>
          <w:color w:val="FF0000"/>
        </w:rPr>
        <w:t>Eggers P, Milam R: Trends in vascular access procedures and expenditures in Medicare’s ESRD program, in Henry ML (ed): Vascular Access for Hemodialysis-VII. Chicago, IL, Gore, 2001, pp 133-143</w:t>
      </w:r>
    </w:p>
    <w:p w14:paraId="201D7E5C" w14:textId="77777777" w:rsidR="00974416" w:rsidRPr="00863112" w:rsidRDefault="00974416" w:rsidP="00355C9E">
      <w:pPr>
        <w:numPr>
          <w:ilvl w:val="0"/>
          <w:numId w:val="14"/>
        </w:numPr>
        <w:spacing w:after="120" w:line="276" w:lineRule="auto"/>
        <w:ind w:left="1800"/>
        <w:contextualSpacing/>
        <w:rPr>
          <w:rFonts w:ascii="Arial" w:eastAsiaTheme="minorEastAsia" w:hAnsi="Arial" w:cs="Arial"/>
          <w:color w:val="FF0000"/>
        </w:rPr>
      </w:pPr>
      <w:r w:rsidRPr="00863112">
        <w:rPr>
          <w:rFonts w:ascii="Arial" w:eastAsiaTheme="minorEastAsia" w:hAnsi="Arial" w:cs="Arial"/>
          <w:color w:val="FF0000"/>
        </w:rPr>
        <w:t xml:space="preserve">Nassar GM, </w:t>
      </w:r>
      <w:proofErr w:type="spellStart"/>
      <w:r w:rsidRPr="00863112">
        <w:rPr>
          <w:rFonts w:ascii="Arial" w:eastAsiaTheme="minorEastAsia" w:hAnsi="Arial" w:cs="Arial"/>
          <w:color w:val="FF0000"/>
        </w:rPr>
        <w:t>Ayus</w:t>
      </w:r>
      <w:proofErr w:type="spellEnd"/>
      <w:r w:rsidRPr="00863112">
        <w:rPr>
          <w:rFonts w:ascii="Arial" w:eastAsiaTheme="minorEastAsia" w:hAnsi="Arial" w:cs="Arial"/>
          <w:color w:val="FF0000"/>
        </w:rPr>
        <w:t xml:space="preserve"> JC: Infectious complications of the hemodialysis access. Kidney Int 60:1-13, 2001</w:t>
      </w:r>
    </w:p>
    <w:p w14:paraId="26853FAD" w14:textId="77777777" w:rsidR="00974416" w:rsidRPr="00863112" w:rsidRDefault="00974416" w:rsidP="00355C9E">
      <w:pPr>
        <w:numPr>
          <w:ilvl w:val="0"/>
          <w:numId w:val="14"/>
        </w:numPr>
        <w:spacing w:after="120" w:line="276" w:lineRule="auto"/>
        <w:ind w:left="1800"/>
        <w:contextualSpacing/>
        <w:rPr>
          <w:rFonts w:ascii="Arial" w:eastAsiaTheme="minorEastAsia" w:hAnsi="Arial" w:cs="Arial"/>
          <w:color w:val="FF0000"/>
        </w:rPr>
      </w:pPr>
      <w:r w:rsidRPr="00863112">
        <w:rPr>
          <w:rFonts w:ascii="Arial" w:eastAsiaTheme="minorEastAsia" w:hAnsi="Arial" w:cs="Arial"/>
          <w:color w:val="FF0000"/>
        </w:rPr>
        <w:t xml:space="preserve">Gulati S, </w:t>
      </w:r>
      <w:proofErr w:type="spellStart"/>
      <w:r w:rsidRPr="00863112">
        <w:rPr>
          <w:rFonts w:ascii="Arial" w:eastAsiaTheme="minorEastAsia" w:hAnsi="Arial" w:cs="Arial"/>
          <w:color w:val="FF0000"/>
        </w:rPr>
        <w:t>Sahu</w:t>
      </w:r>
      <w:proofErr w:type="spellEnd"/>
      <w:r w:rsidRPr="00863112">
        <w:rPr>
          <w:rFonts w:ascii="Arial" w:eastAsiaTheme="minorEastAsia" w:hAnsi="Arial" w:cs="Arial"/>
          <w:color w:val="FF0000"/>
        </w:rPr>
        <w:t xml:space="preserve"> KM, </w:t>
      </w:r>
      <w:proofErr w:type="spellStart"/>
      <w:r w:rsidRPr="00863112">
        <w:rPr>
          <w:rFonts w:ascii="Arial" w:eastAsiaTheme="minorEastAsia" w:hAnsi="Arial" w:cs="Arial"/>
          <w:color w:val="FF0000"/>
        </w:rPr>
        <w:t>Avula</w:t>
      </w:r>
      <w:proofErr w:type="spellEnd"/>
      <w:r w:rsidRPr="00863112">
        <w:rPr>
          <w:rFonts w:ascii="Arial" w:eastAsiaTheme="minorEastAsia" w:hAnsi="Arial" w:cs="Arial"/>
          <w:color w:val="FF0000"/>
        </w:rPr>
        <w:t xml:space="preserve"> S, Sharma RK, </w:t>
      </w:r>
      <w:proofErr w:type="spellStart"/>
      <w:r w:rsidRPr="00863112">
        <w:rPr>
          <w:rFonts w:ascii="Arial" w:eastAsiaTheme="minorEastAsia" w:hAnsi="Arial" w:cs="Arial"/>
          <w:color w:val="FF0000"/>
        </w:rPr>
        <w:t>Ayyagiri</w:t>
      </w:r>
      <w:proofErr w:type="spellEnd"/>
      <w:r w:rsidRPr="00863112">
        <w:rPr>
          <w:rFonts w:ascii="Arial" w:eastAsiaTheme="minorEastAsia" w:hAnsi="Arial" w:cs="Arial"/>
          <w:color w:val="FF0000"/>
        </w:rPr>
        <w:t xml:space="preserve"> A, Pandey CM: Role of vascular access as a risk factor for infections in hemodialysis. Ren Fail 25:967-973, 2003</w:t>
      </w:r>
    </w:p>
    <w:p w14:paraId="60E8A8C9" w14:textId="77777777" w:rsidR="00974416" w:rsidRPr="00863112" w:rsidRDefault="00974416" w:rsidP="00355C9E">
      <w:pPr>
        <w:numPr>
          <w:ilvl w:val="0"/>
          <w:numId w:val="14"/>
        </w:numPr>
        <w:spacing w:after="120" w:line="276" w:lineRule="auto"/>
        <w:ind w:left="1800"/>
        <w:contextualSpacing/>
        <w:rPr>
          <w:rFonts w:ascii="Arial" w:eastAsiaTheme="minorEastAsia" w:hAnsi="Arial" w:cs="Arial"/>
          <w:color w:val="FF0000"/>
        </w:rPr>
      </w:pPr>
      <w:r w:rsidRPr="00863112">
        <w:rPr>
          <w:rFonts w:ascii="Arial" w:eastAsiaTheme="minorEastAsia" w:hAnsi="Arial" w:cs="Arial"/>
          <w:color w:val="FF0000"/>
        </w:rPr>
        <w:t xml:space="preserve">Dhingra RK, Young EW, Hulbert-Shearon TE, </w:t>
      </w:r>
      <w:proofErr w:type="spellStart"/>
      <w:r w:rsidRPr="00863112">
        <w:rPr>
          <w:rFonts w:ascii="Arial" w:eastAsiaTheme="minorEastAsia" w:hAnsi="Arial" w:cs="Arial"/>
          <w:color w:val="FF0000"/>
        </w:rPr>
        <w:t>Leavey</w:t>
      </w:r>
      <w:proofErr w:type="spellEnd"/>
      <w:r w:rsidRPr="00863112">
        <w:rPr>
          <w:rFonts w:ascii="Arial" w:eastAsiaTheme="minorEastAsia" w:hAnsi="Arial" w:cs="Arial"/>
          <w:color w:val="FF0000"/>
        </w:rPr>
        <w:t xml:space="preserve"> SF, Port FK: Type of vascular access and mortality in U.S. hemodialysis patients. Kidney Int 60:1443-1451, 2001</w:t>
      </w:r>
    </w:p>
    <w:p w14:paraId="58A01829" w14:textId="77777777" w:rsidR="00974416" w:rsidRPr="00863112" w:rsidRDefault="00974416" w:rsidP="00355C9E">
      <w:pPr>
        <w:numPr>
          <w:ilvl w:val="0"/>
          <w:numId w:val="14"/>
        </w:numPr>
        <w:spacing w:after="120" w:line="276" w:lineRule="auto"/>
        <w:ind w:left="1800"/>
        <w:contextualSpacing/>
        <w:rPr>
          <w:rFonts w:ascii="Arial" w:eastAsiaTheme="minorEastAsia" w:hAnsi="Arial" w:cs="Arial"/>
          <w:color w:val="FF0000"/>
        </w:rPr>
      </w:pPr>
      <w:r w:rsidRPr="00863112">
        <w:rPr>
          <w:rFonts w:ascii="Arial" w:eastAsiaTheme="minorEastAsia" w:hAnsi="Arial" w:cs="Arial"/>
          <w:color w:val="FF0000"/>
        </w:rPr>
        <w:t xml:space="preserve">Woods JD, Port FK: The impact of vascular access for </w:t>
      </w:r>
      <w:proofErr w:type="spellStart"/>
      <w:r w:rsidRPr="00863112">
        <w:rPr>
          <w:rFonts w:ascii="Arial" w:eastAsiaTheme="minorEastAsia" w:hAnsi="Arial" w:cs="Arial"/>
          <w:color w:val="FF0000"/>
        </w:rPr>
        <w:t>haemodialysis</w:t>
      </w:r>
      <w:proofErr w:type="spellEnd"/>
      <w:r w:rsidRPr="00863112">
        <w:rPr>
          <w:rFonts w:ascii="Arial" w:eastAsiaTheme="minorEastAsia" w:hAnsi="Arial" w:cs="Arial"/>
          <w:color w:val="FF0000"/>
        </w:rPr>
        <w:t xml:space="preserve"> on patient morbidity and mortality. </w:t>
      </w:r>
      <w:proofErr w:type="spellStart"/>
      <w:r w:rsidRPr="00863112">
        <w:rPr>
          <w:rFonts w:ascii="Arial" w:eastAsiaTheme="minorEastAsia" w:hAnsi="Arial" w:cs="Arial"/>
          <w:color w:val="FF0000"/>
        </w:rPr>
        <w:t>Nephrol</w:t>
      </w:r>
      <w:proofErr w:type="spellEnd"/>
      <w:r w:rsidRPr="00863112">
        <w:rPr>
          <w:rFonts w:ascii="Arial" w:eastAsiaTheme="minorEastAsia" w:hAnsi="Arial" w:cs="Arial"/>
          <w:color w:val="FF0000"/>
        </w:rPr>
        <w:t xml:space="preserve"> Dial Transplant 12:657-659, 1997</w:t>
      </w:r>
    </w:p>
    <w:p w14:paraId="10CBC160" w14:textId="77777777" w:rsidR="00974416" w:rsidRPr="00863112" w:rsidRDefault="00974416" w:rsidP="00355C9E">
      <w:pPr>
        <w:numPr>
          <w:ilvl w:val="0"/>
          <w:numId w:val="14"/>
        </w:numPr>
        <w:spacing w:after="120" w:line="276" w:lineRule="auto"/>
        <w:ind w:left="1800"/>
        <w:contextualSpacing/>
        <w:rPr>
          <w:rFonts w:ascii="Arial" w:eastAsiaTheme="minorEastAsia" w:hAnsi="Arial" w:cs="Arial"/>
          <w:color w:val="FF0000"/>
        </w:rPr>
      </w:pPr>
      <w:proofErr w:type="spellStart"/>
      <w:r w:rsidRPr="00863112">
        <w:rPr>
          <w:rFonts w:ascii="Arial" w:eastAsiaTheme="minorEastAsia" w:hAnsi="Arial" w:cs="Arial"/>
          <w:color w:val="FF0000"/>
        </w:rPr>
        <w:t>Xue</w:t>
      </w:r>
      <w:proofErr w:type="spellEnd"/>
      <w:r w:rsidRPr="00863112">
        <w:rPr>
          <w:rFonts w:ascii="Arial" w:eastAsiaTheme="minorEastAsia" w:hAnsi="Arial" w:cs="Arial"/>
          <w:color w:val="FF0000"/>
        </w:rPr>
        <w:t xml:space="preserve"> JL, Dahl D, </w:t>
      </w:r>
      <w:proofErr w:type="spellStart"/>
      <w:r w:rsidRPr="00863112">
        <w:rPr>
          <w:rFonts w:ascii="Arial" w:eastAsiaTheme="minorEastAsia" w:hAnsi="Arial" w:cs="Arial"/>
          <w:color w:val="FF0000"/>
        </w:rPr>
        <w:t>Ebben</w:t>
      </w:r>
      <w:proofErr w:type="spellEnd"/>
      <w:r w:rsidRPr="00863112">
        <w:rPr>
          <w:rFonts w:ascii="Arial" w:eastAsiaTheme="minorEastAsia" w:hAnsi="Arial" w:cs="Arial"/>
          <w:color w:val="FF0000"/>
        </w:rPr>
        <w:t xml:space="preserve"> JP, Collins AJ: The association of initial hemodialysis access type with mortality outcomes in elderly Medicare ESRD patients. Am J Kidney Dis 42:1013-1019, 2003</w:t>
      </w:r>
    </w:p>
    <w:p w14:paraId="73C6499A" w14:textId="77777777" w:rsidR="00974416" w:rsidRPr="00863112" w:rsidRDefault="00974416" w:rsidP="00355C9E">
      <w:pPr>
        <w:numPr>
          <w:ilvl w:val="0"/>
          <w:numId w:val="14"/>
        </w:numPr>
        <w:spacing w:after="120" w:line="276" w:lineRule="auto"/>
        <w:ind w:left="1800"/>
        <w:contextualSpacing/>
        <w:rPr>
          <w:rFonts w:ascii="Arial" w:eastAsiaTheme="minorEastAsia" w:hAnsi="Arial" w:cs="Arial"/>
          <w:color w:val="FF0000"/>
        </w:rPr>
      </w:pPr>
      <w:r w:rsidRPr="00863112">
        <w:rPr>
          <w:rFonts w:ascii="Arial" w:eastAsiaTheme="minorEastAsia" w:hAnsi="Arial" w:cs="Arial"/>
          <w:color w:val="FF0000"/>
        </w:rPr>
        <w:t xml:space="preserve">Polkinghorne KR, McDonald SP, Atkins RC, Kerr PG: Vascular access and all-cause mortality: A propensity score analysis. J Am Soc </w:t>
      </w:r>
      <w:proofErr w:type="spellStart"/>
      <w:r w:rsidRPr="00863112">
        <w:rPr>
          <w:rFonts w:ascii="Arial" w:eastAsiaTheme="minorEastAsia" w:hAnsi="Arial" w:cs="Arial"/>
          <w:color w:val="FF0000"/>
        </w:rPr>
        <w:t>Nephrol</w:t>
      </w:r>
      <w:proofErr w:type="spellEnd"/>
      <w:r w:rsidRPr="00863112">
        <w:rPr>
          <w:rFonts w:ascii="Arial" w:eastAsiaTheme="minorEastAsia" w:hAnsi="Arial" w:cs="Arial"/>
          <w:color w:val="FF0000"/>
        </w:rPr>
        <w:t xml:space="preserve"> 15:477-486, 2004</w:t>
      </w:r>
    </w:p>
    <w:p w14:paraId="19028EF6" w14:textId="77777777" w:rsidR="00974416" w:rsidRPr="00863112" w:rsidRDefault="00974416" w:rsidP="00355C9E">
      <w:pPr>
        <w:numPr>
          <w:ilvl w:val="0"/>
          <w:numId w:val="14"/>
        </w:numPr>
        <w:spacing w:after="120" w:line="276" w:lineRule="auto"/>
        <w:ind w:left="1800"/>
        <w:contextualSpacing/>
        <w:rPr>
          <w:rFonts w:ascii="Arial" w:eastAsiaTheme="minorEastAsia" w:hAnsi="Arial" w:cs="Arial"/>
          <w:color w:val="FF0000"/>
        </w:rPr>
      </w:pPr>
      <w:r w:rsidRPr="00863112">
        <w:rPr>
          <w:rFonts w:ascii="Arial" w:eastAsiaTheme="minorEastAsia" w:hAnsi="Arial" w:cs="Arial"/>
          <w:color w:val="FF0000"/>
        </w:rPr>
        <w:t xml:space="preserve">Huber TS, Carter JW, Carter RL, Seeger JM: Patency of autogenous and polytetrafluoroethylene upper extremity arteriovenous hemodialysis accesses: A systematic review. J </w:t>
      </w:r>
      <w:proofErr w:type="spellStart"/>
      <w:r w:rsidRPr="00863112">
        <w:rPr>
          <w:rFonts w:ascii="Arial" w:eastAsiaTheme="minorEastAsia" w:hAnsi="Arial" w:cs="Arial"/>
          <w:color w:val="FF0000"/>
        </w:rPr>
        <w:t>Vasc</w:t>
      </w:r>
      <w:proofErr w:type="spellEnd"/>
      <w:r w:rsidRPr="00863112">
        <w:rPr>
          <w:rFonts w:ascii="Arial" w:eastAsiaTheme="minorEastAsia" w:hAnsi="Arial" w:cs="Arial"/>
          <w:color w:val="FF0000"/>
        </w:rPr>
        <w:t xml:space="preserve"> Surg 38(5):1005-11, 2003</w:t>
      </w:r>
    </w:p>
    <w:p w14:paraId="12332A25" w14:textId="77777777" w:rsidR="00974416" w:rsidRPr="00863112" w:rsidRDefault="00974416" w:rsidP="00355C9E">
      <w:pPr>
        <w:numPr>
          <w:ilvl w:val="0"/>
          <w:numId w:val="14"/>
        </w:numPr>
        <w:spacing w:after="120" w:line="276" w:lineRule="auto"/>
        <w:ind w:left="1800"/>
        <w:contextualSpacing/>
        <w:rPr>
          <w:rFonts w:ascii="Arial" w:eastAsiaTheme="minorEastAsia" w:hAnsi="Arial" w:cs="Arial"/>
          <w:color w:val="FF0000"/>
        </w:rPr>
      </w:pPr>
      <w:proofErr w:type="spellStart"/>
      <w:r w:rsidRPr="00863112">
        <w:rPr>
          <w:rFonts w:ascii="Arial" w:eastAsiaTheme="minorEastAsia" w:hAnsi="Arial" w:cs="Arial"/>
          <w:color w:val="FF0000"/>
        </w:rPr>
        <w:t>Perera</w:t>
      </w:r>
      <w:proofErr w:type="spellEnd"/>
      <w:r w:rsidRPr="00863112">
        <w:rPr>
          <w:rFonts w:ascii="Arial" w:eastAsiaTheme="minorEastAsia" w:hAnsi="Arial" w:cs="Arial"/>
          <w:color w:val="FF0000"/>
        </w:rPr>
        <w:t xml:space="preserve"> GB, Mueller MP, </w:t>
      </w:r>
      <w:proofErr w:type="spellStart"/>
      <w:r w:rsidRPr="00863112">
        <w:rPr>
          <w:rFonts w:ascii="Arial" w:eastAsiaTheme="minorEastAsia" w:hAnsi="Arial" w:cs="Arial"/>
          <w:color w:val="FF0000"/>
        </w:rPr>
        <w:t>Kubaska</w:t>
      </w:r>
      <w:proofErr w:type="spellEnd"/>
      <w:r w:rsidRPr="00863112">
        <w:rPr>
          <w:rFonts w:ascii="Arial" w:eastAsiaTheme="minorEastAsia" w:hAnsi="Arial" w:cs="Arial"/>
          <w:color w:val="FF0000"/>
        </w:rPr>
        <w:t xml:space="preserve"> SM, Wilson SE, Lawrence PF, </w:t>
      </w:r>
      <w:proofErr w:type="spellStart"/>
      <w:r w:rsidRPr="00863112">
        <w:rPr>
          <w:rFonts w:ascii="Arial" w:eastAsiaTheme="minorEastAsia" w:hAnsi="Arial" w:cs="Arial"/>
          <w:color w:val="FF0000"/>
        </w:rPr>
        <w:t>Fujitani</w:t>
      </w:r>
      <w:proofErr w:type="spellEnd"/>
      <w:r w:rsidRPr="00863112">
        <w:rPr>
          <w:rFonts w:ascii="Arial" w:eastAsiaTheme="minorEastAsia" w:hAnsi="Arial" w:cs="Arial"/>
          <w:color w:val="FF0000"/>
        </w:rPr>
        <w:t xml:space="preserve"> RM: Superiority of autogenous arteriovenous hemodialysis access: Maintenance of function with fewer secondary interventions. Ann </w:t>
      </w:r>
      <w:proofErr w:type="spellStart"/>
      <w:r w:rsidRPr="00863112">
        <w:rPr>
          <w:rFonts w:ascii="Arial" w:eastAsiaTheme="minorEastAsia" w:hAnsi="Arial" w:cs="Arial"/>
          <w:color w:val="FF0000"/>
        </w:rPr>
        <w:t>Vasc</w:t>
      </w:r>
      <w:proofErr w:type="spellEnd"/>
      <w:r w:rsidRPr="00863112">
        <w:rPr>
          <w:rFonts w:ascii="Arial" w:eastAsiaTheme="minorEastAsia" w:hAnsi="Arial" w:cs="Arial"/>
          <w:color w:val="FF0000"/>
        </w:rPr>
        <w:t xml:space="preserve"> Surg 18:66-73, 2004</w:t>
      </w:r>
    </w:p>
    <w:p w14:paraId="4FE47873" w14:textId="77777777" w:rsidR="00974416" w:rsidRPr="00863112" w:rsidRDefault="00974416" w:rsidP="00355C9E">
      <w:pPr>
        <w:numPr>
          <w:ilvl w:val="0"/>
          <w:numId w:val="14"/>
        </w:numPr>
        <w:spacing w:after="120" w:line="276" w:lineRule="auto"/>
        <w:ind w:left="1800"/>
        <w:contextualSpacing/>
        <w:rPr>
          <w:rFonts w:ascii="Arial" w:eastAsiaTheme="minorEastAsia" w:hAnsi="Arial" w:cs="Arial"/>
          <w:color w:val="FF0000"/>
        </w:rPr>
      </w:pPr>
      <w:proofErr w:type="spellStart"/>
      <w:r w:rsidRPr="00863112">
        <w:rPr>
          <w:rFonts w:ascii="Arial" w:eastAsiaTheme="minorEastAsia" w:hAnsi="Arial" w:cs="Arial"/>
          <w:color w:val="FF0000"/>
        </w:rPr>
        <w:t>Pisoni</w:t>
      </w:r>
      <w:proofErr w:type="spellEnd"/>
      <w:r w:rsidRPr="00863112">
        <w:rPr>
          <w:rFonts w:ascii="Arial" w:eastAsiaTheme="minorEastAsia" w:hAnsi="Arial" w:cs="Arial"/>
          <w:color w:val="FF0000"/>
        </w:rPr>
        <w:t xml:space="preserve"> RL, Young EW, Dykstra DM, et al: Vascular access use in Europe and the United States: Results from the DOPPS. Kidney Int 61:305-316, 2002</w:t>
      </w:r>
    </w:p>
    <w:p w14:paraId="7D86A548" w14:textId="77777777" w:rsidR="00974416" w:rsidRPr="00974416" w:rsidRDefault="00974416" w:rsidP="00974416">
      <w:pPr>
        <w:rPr>
          <w:rFonts w:ascii="Arial" w:hAnsi="Arial" w:cs="Arial"/>
        </w:rPr>
      </w:pPr>
    </w:p>
    <w:p w14:paraId="0DC51305" w14:textId="15A02A5A" w:rsidR="00351E57" w:rsidRPr="00863112" w:rsidRDefault="00300FD4" w:rsidP="009033F4">
      <w:pPr>
        <w:pStyle w:val="ListParagraph"/>
        <w:numPr>
          <w:ilvl w:val="0"/>
          <w:numId w:val="3"/>
        </w:numPr>
        <w:rPr>
          <w:rFonts w:ascii="Arial" w:hAnsi="Arial" w:cs="Arial"/>
          <w:color w:val="FF0000"/>
        </w:rPr>
      </w:pPr>
      <w:r w:rsidRPr="009033F4">
        <w:rPr>
          <w:rFonts w:ascii="Arial" w:hAnsi="Arial" w:cs="Arial"/>
          <w:i/>
        </w:rPr>
        <w:t>Environmental Scan (Are there existing measures in this area?)</w:t>
      </w:r>
      <w:r w:rsidR="00351E57">
        <w:rPr>
          <w:rFonts w:ascii="Arial" w:hAnsi="Arial" w:cs="Arial"/>
        </w:rPr>
        <w:br/>
      </w:r>
      <w:r w:rsidR="00351E57" w:rsidRPr="00863112">
        <w:rPr>
          <w:rFonts w:ascii="Arial" w:hAnsi="Arial" w:cs="Arial"/>
          <w:color w:val="FF0000"/>
        </w:rPr>
        <w:t>Two facility level metrics:</w:t>
      </w:r>
      <w:r w:rsidR="00351E57" w:rsidRPr="00863112">
        <w:rPr>
          <w:rFonts w:ascii="Arial" w:hAnsi="Arial" w:cs="Arial"/>
          <w:color w:val="FF0000"/>
        </w:rPr>
        <w:br/>
      </w:r>
    </w:p>
    <w:p w14:paraId="01032B28" w14:textId="3C857505" w:rsidR="00300FD4" w:rsidRPr="00863112" w:rsidRDefault="00351E57" w:rsidP="009033F4">
      <w:pPr>
        <w:pStyle w:val="ListParagraph"/>
        <w:numPr>
          <w:ilvl w:val="1"/>
          <w:numId w:val="3"/>
        </w:numPr>
        <w:contextualSpacing w:val="0"/>
        <w:rPr>
          <w:rFonts w:ascii="Arial" w:hAnsi="Arial" w:cs="Arial"/>
          <w:color w:val="FF0000"/>
        </w:rPr>
      </w:pPr>
      <w:r w:rsidRPr="00863112">
        <w:rPr>
          <w:rFonts w:ascii="Arial" w:hAnsi="Arial" w:cs="Arial"/>
          <w:color w:val="FF0000"/>
        </w:rPr>
        <w:t>#2977 Hemodialysis Vascular Access: Standardized Fistula Rate</w:t>
      </w:r>
    </w:p>
    <w:p w14:paraId="66E70EBD" w14:textId="492D6544" w:rsidR="009033F4" w:rsidRPr="00863112" w:rsidRDefault="009033F4" w:rsidP="009033F4">
      <w:pPr>
        <w:pStyle w:val="ListParagraph"/>
        <w:numPr>
          <w:ilvl w:val="1"/>
          <w:numId w:val="3"/>
        </w:numPr>
        <w:contextualSpacing w:val="0"/>
        <w:rPr>
          <w:rFonts w:ascii="Arial" w:hAnsi="Arial" w:cs="Arial"/>
          <w:color w:val="FF0000"/>
        </w:rPr>
      </w:pPr>
      <w:r w:rsidRPr="00863112">
        <w:rPr>
          <w:rFonts w:ascii="Arial" w:hAnsi="Arial" w:cs="Arial"/>
          <w:color w:val="FF0000"/>
        </w:rPr>
        <w:t>#2978 Hemodialysis Vascular Access: Long-term Catheter Rate</w:t>
      </w:r>
    </w:p>
    <w:p w14:paraId="708AB3DC" w14:textId="61070FBB" w:rsidR="00300FD4" w:rsidRPr="00DD5758" w:rsidRDefault="00300FD4" w:rsidP="00300FD4">
      <w:pPr>
        <w:pStyle w:val="ListParagraph"/>
        <w:numPr>
          <w:ilvl w:val="0"/>
          <w:numId w:val="1"/>
        </w:numPr>
        <w:rPr>
          <w:rFonts w:ascii="Arial" w:hAnsi="Arial" w:cs="Arial"/>
          <w:b/>
        </w:rPr>
      </w:pPr>
      <w:r w:rsidRPr="00DD5758">
        <w:rPr>
          <w:rFonts w:ascii="Arial" w:hAnsi="Arial" w:cs="Arial"/>
          <w:b/>
        </w:rPr>
        <w:t>Gap Analysis</w:t>
      </w:r>
    </w:p>
    <w:p w14:paraId="1422F516" w14:textId="1BAC2A5F" w:rsidR="00300FD4" w:rsidRDefault="007E7FDE" w:rsidP="00300FD4">
      <w:pPr>
        <w:pStyle w:val="ListParagraph"/>
        <w:numPr>
          <w:ilvl w:val="0"/>
          <w:numId w:val="2"/>
        </w:numPr>
        <w:rPr>
          <w:rFonts w:ascii="Arial" w:hAnsi="Arial" w:cs="Arial"/>
          <w:i/>
        </w:rPr>
      </w:pPr>
      <w:r>
        <w:rPr>
          <w:rFonts w:ascii="Arial" w:hAnsi="Arial" w:cs="Arial"/>
          <w:i/>
        </w:rPr>
        <w:t xml:space="preserve">Provide </w:t>
      </w:r>
      <w:r w:rsidR="00300FD4" w:rsidRPr="00DD5758">
        <w:rPr>
          <w:rFonts w:ascii="Arial" w:hAnsi="Arial" w:cs="Arial"/>
          <w:i/>
        </w:rPr>
        <w:t xml:space="preserve">Evidence for </w:t>
      </w:r>
      <w:r w:rsidR="000B0D5A">
        <w:rPr>
          <w:rFonts w:ascii="Arial" w:hAnsi="Arial" w:cs="Arial"/>
          <w:i/>
        </w:rPr>
        <w:t>the</w:t>
      </w:r>
      <w:r w:rsidR="002E5674">
        <w:rPr>
          <w:rFonts w:ascii="Arial" w:hAnsi="Arial" w:cs="Arial"/>
          <w:i/>
        </w:rPr>
        <w:t xml:space="preserve"> </w:t>
      </w:r>
      <w:r w:rsidR="00300FD4" w:rsidRPr="00DD5758">
        <w:rPr>
          <w:rFonts w:ascii="Arial" w:hAnsi="Arial" w:cs="Arial"/>
          <w:i/>
        </w:rPr>
        <w:t>Measure (What are the gaps and opportunities to improve care?)</w:t>
      </w:r>
    </w:p>
    <w:p w14:paraId="665E2E28" w14:textId="77777777" w:rsidR="007C4F9B" w:rsidRPr="00863112" w:rsidRDefault="007C4F9B" w:rsidP="00AA3A80">
      <w:pPr>
        <w:pStyle w:val="ListParagraph"/>
        <w:ind w:left="1440"/>
        <w:rPr>
          <w:rFonts w:ascii="Arial" w:hAnsi="Arial" w:cs="Arial"/>
          <w:color w:val="FF0000"/>
          <w:szCs w:val="20"/>
        </w:rPr>
      </w:pPr>
      <w:r w:rsidRPr="00863112">
        <w:rPr>
          <w:rFonts w:ascii="Arial" w:hAnsi="Arial" w:cs="Arial"/>
          <w:color w:val="FF0000"/>
          <w:szCs w:val="20"/>
        </w:rPr>
        <w:t xml:space="preserve">Analysis of CROWNWeb data from January 2016- December 2016 indicated the </w:t>
      </w:r>
      <w:proofErr w:type="spellStart"/>
      <w:r w:rsidRPr="00863112">
        <w:rPr>
          <w:rFonts w:ascii="Arial" w:hAnsi="Arial" w:cs="Arial"/>
          <w:color w:val="FF0000"/>
          <w:szCs w:val="20"/>
        </w:rPr>
        <w:t>physican</w:t>
      </w:r>
      <w:proofErr w:type="spellEnd"/>
      <w:r w:rsidRPr="00863112">
        <w:rPr>
          <w:rFonts w:ascii="Arial" w:hAnsi="Arial" w:cs="Arial"/>
          <w:color w:val="FF0000"/>
          <w:szCs w:val="20"/>
        </w:rPr>
        <w:t>-level mean percentage of patient-months with a long-term catheter was 9.7% (SD=9.0%). Distribution: Min=0%, 1st quartile=4.5%, median=8.3%, 3rd quartile=12.7%, Max=100%.</w:t>
      </w:r>
    </w:p>
    <w:p w14:paraId="36E24B50" w14:textId="77777777" w:rsidR="007C4F9B" w:rsidRPr="00863112" w:rsidRDefault="007C4F9B" w:rsidP="00AA3A80">
      <w:pPr>
        <w:pStyle w:val="ListParagraph"/>
        <w:ind w:left="1440"/>
        <w:rPr>
          <w:rFonts w:ascii="Arial" w:hAnsi="Arial" w:cs="Arial"/>
          <w:i/>
          <w:color w:val="FF0000"/>
        </w:rPr>
      </w:pPr>
    </w:p>
    <w:p w14:paraId="1C2111B4" w14:textId="6FE60AFE" w:rsidR="00300FD4" w:rsidRPr="00863112" w:rsidRDefault="00300FD4" w:rsidP="00300FD4">
      <w:pPr>
        <w:pStyle w:val="ListParagraph"/>
        <w:numPr>
          <w:ilvl w:val="0"/>
          <w:numId w:val="2"/>
        </w:numPr>
        <w:rPr>
          <w:rFonts w:ascii="Arial" w:hAnsi="Arial" w:cs="Arial"/>
          <w:color w:val="FF0000"/>
        </w:rPr>
      </w:pPr>
      <w:r w:rsidRPr="00863112">
        <w:rPr>
          <w:rFonts w:ascii="Arial" w:hAnsi="Arial" w:cs="Arial"/>
          <w:i/>
          <w:color w:val="FF0000"/>
        </w:rPr>
        <w:t>Expected Outcome (Patient care/patient health improvements, cost savings)</w:t>
      </w:r>
      <w:r w:rsidR="007E2182" w:rsidRPr="00863112">
        <w:rPr>
          <w:rFonts w:ascii="Arial" w:hAnsi="Arial" w:cs="Arial"/>
          <w:i/>
          <w:color w:val="FF0000"/>
        </w:rPr>
        <w:br/>
      </w:r>
      <w:r w:rsidR="00AA3A80" w:rsidRPr="00863112">
        <w:rPr>
          <w:rFonts w:ascii="Arial" w:hAnsi="Arial" w:cs="Arial"/>
          <w:color w:val="FF0000"/>
        </w:rPr>
        <w:t>Encourage reduction in catheter use</w:t>
      </w:r>
    </w:p>
    <w:p w14:paraId="086D5A86" w14:textId="77777777" w:rsidR="00974416" w:rsidRPr="00863112" w:rsidRDefault="00300FD4">
      <w:pPr>
        <w:pStyle w:val="ListParagraph"/>
        <w:numPr>
          <w:ilvl w:val="0"/>
          <w:numId w:val="2"/>
        </w:numPr>
        <w:rPr>
          <w:rFonts w:ascii="Arial" w:hAnsi="Arial" w:cs="Arial"/>
          <w:color w:val="FF0000"/>
        </w:rPr>
      </w:pPr>
      <w:r w:rsidRPr="00863112">
        <w:rPr>
          <w:rFonts w:ascii="Arial" w:hAnsi="Arial" w:cs="Arial"/>
          <w:i/>
          <w:color w:val="FF0000"/>
        </w:rPr>
        <w:lastRenderedPageBreak/>
        <w:t xml:space="preserve">Recommendation for </w:t>
      </w:r>
      <w:r w:rsidR="002E5674" w:rsidRPr="00863112">
        <w:rPr>
          <w:rFonts w:ascii="Arial" w:hAnsi="Arial" w:cs="Arial"/>
          <w:i/>
          <w:color w:val="FF0000"/>
        </w:rPr>
        <w:t xml:space="preserve">the </w:t>
      </w:r>
      <w:r w:rsidRPr="00863112">
        <w:rPr>
          <w:rFonts w:ascii="Arial" w:hAnsi="Arial" w:cs="Arial"/>
          <w:i/>
          <w:color w:val="FF0000"/>
        </w:rPr>
        <w:t>Measure (Is it based on a study, consensus opinion, USPSTF recommendation etc.?)</w:t>
      </w:r>
    </w:p>
    <w:p w14:paraId="75CA5B08" w14:textId="77777777" w:rsidR="00974416" w:rsidRPr="00863112" w:rsidRDefault="00974416" w:rsidP="00974416">
      <w:pPr>
        <w:pStyle w:val="ListParagraph"/>
        <w:spacing w:after="200" w:line="276" w:lineRule="auto"/>
        <w:ind w:left="1440"/>
        <w:rPr>
          <w:rFonts w:ascii="Arial" w:hAnsi="Arial" w:cs="Arial"/>
          <w:color w:val="FF0000"/>
          <w:szCs w:val="20"/>
        </w:rPr>
      </w:pPr>
      <w:r w:rsidRPr="00863112">
        <w:rPr>
          <w:rFonts w:ascii="Arial" w:hAnsi="Arial" w:cs="Arial"/>
          <w:color w:val="FF0000"/>
          <w:szCs w:val="20"/>
        </w:rPr>
        <w:t>GUIDELINE 2.  SELECTION AND PLACEMENT OF HEMODIALYSIS ACCESS</w:t>
      </w:r>
    </w:p>
    <w:p w14:paraId="6F1345DA" w14:textId="77777777" w:rsidR="00974416" w:rsidRPr="00863112" w:rsidRDefault="00974416" w:rsidP="00974416">
      <w:pPr>
        <w:pStyle w:val="ListParagraph"/>
        <w:spacing w:after="200" w:line="276" w:lineRule="auto"/>
        <w:ind w:left="1440"/>
        <w:rPr>
          <w:rFonts w:ascii="Arial" w:hAnsi="Arial" w:cs="Arial"/>
          <w:color w:val="FF0000"/>
          <w:szCs w:val="20"/>
        </w:rPr>
      </w:pPr>
      <w:r w:rsidRPr="00863112">
        <w:rPr>
          <w:rFonts w:ascii="Arial" w:hAnsi="Arial" w:cs="Arial"/>
          <w:color w:val="FF0000"/>
          <w:szCs w:val="20"/>
        </w:rPr>
        <w:t>A structured approach to the type and location of long-term HD accesses should help optimize access survival and minimize complications. Options for fistula placement should be considered first, followed by prosthetic grafts if fistula placement is not possible. Catheters should be avoided for HD and used only when other options listed are not available.</w:t>
      </w:r>
    </w:p>
    <w:p w14:paraId="516BB774" w14:textId="77777777" w:rsidR="00974416" w:rsidRPr="00863112" w:rsidRDefault="00974416" w:rsidP="00974416">
      <w:pPr>
        <w:pStyle w:val="ListParagraph"/>
        <w:spacing w:after="200" w:line="276" w:lineRule="auto"/>
        <w:ind w:left="1440"/>
        <w:rPr>
          <w:rFonts w:ascii="Arial" w:hAnsi="Arial" w:cs="Arial"/>
          <w:color w:val="FF0000"/>
          <w:szCs w:val="20"/>
        </w:rPr>
      </w:pPr>
      <w:r w:rsidRPr="00863112">
        <w:rPr>
          <w:rFonts w:ascii="Arial" w:hAnsi="Arial" w:cs="Arial"/>
          <w:color w:val="FF0000"/>
          <w:szCs w:val="20"/>
        </w:rPr>
        <w:t>2.1 The order of preference for placement of fistulae in patients with kidney failure who choose HD as their initial mode of KRT should be (in descending order of preference):</w:t>
      </w:r>
    </w:p>
    <w:p w14:paraId="2C69AF57" w14:textId="77777777" w:rsidR="00974416" w:rsidRPr="00863112" w:rsidRDefault="00974416" w:rsidP="00974416">
      <w:pPr>
        <w:pStyle w:val="ListParagraph"/>
        <w:spacing w:after="200" w:line="276" w:lineRule="auto"/>
        <w:ind w:left="2160"/>
        <w:rPr>
          <w:rFonts w:ascii="Arial" w:hAnsi="Arial" w:cs="Arial"/>
          <w:color w:val="FF0000"/>
          <w:szCs w:val="20"/>
        </w:rPr>
      </w:pPr>
      <w:r w:rsidRPr="00863112">
        <w:rPr>
          <w:rFonts w:ascii="Arial" w:hAnsi="Arial" w:cs="Arial"/>
          <w:color w:val="FF0000"/>
          <w:szCs w:val="20"/>
        </w:rPr>
        <w:t>2.1.1 Preferred: Fistulae. (B)</w:t>
      </w:r>
    </w:p>
    <w:p w14:paraId="6D785A0B" w14:textId="77777777" w:rsidR="00974416" w:rsidRPr="00863112" w:rsidRDefault="00974416" w:rsidP="00974416">
      <w:pPr>
        <w:pStyle w:val="ListParagraph"/>
        <w:spacing w:after="200" w:line="276" w:lineRule="auto"/>
        <w:ind w:left="2160"/>
        <w:rPr>
          <w:rFonts w:ascii="Arial" w:hAnsi="Arial" w:cs="Arial"/>
          <w:color w:val="FF0000"/>
          <w:szCs w:val="20"/>
        </w:rPr>
      </w:pPr>
      <w:r w:rsidRPr="00863112">
        <w:rPr>
          <w:rFonts w:ascii="Arial" w:hAnsi="Arial" w:cs="Arial"/>
          <w:color w:val="FF0000"/>
          <w:szCs w:val="20"/>
        </w:rPr>
        <w:t>2.1.2 Acceptable: AVG of synthetic or biological material.  (B)</w:t>
      </w:r>
    </w:p>
    <w:p w14:paraId="3D23561A" w14:textId="77777777" w:rsidR="00974416" w:rsidRPr="00863112" w:rsidRDefault="00974416" w:rsidP="00974416">
      <w:pPr>
        <w:pStyle w:val="ListParagraph"/>
        <w:spacing w:after="200" w:line="276" w:lineRule="auto"/>
        <w:ind w:left="2160"/>
        <w:rPr>
          <w:rFonts w:ascii="Arial" w:hAnsi="Arial" w:cs="Arial"/>
          <w:color w:val="FF0000"/>
          <w:szCs w:val="20"/>
        </w:rPr>
      </w:pPr>
      <w:r w:rsidRPr="00863112">
        <w:rPr>
          <w:rFonts w:ascii="Arial" w:hAnsi="Arial" w:cs="Arial"/>
          <w:color w:val="FF0000"/>
          <w:szCs w:val="20"/>
        </w:rPr>
        <w:t>2.1.3 Avoid if possible: Long-term catheters. (B)</w:t>
      </w:r>
    </w:p>
    <w:p w14:paraId="0FAAF1E6" w14:textId="77777777" w:rsidR="00974416" w:rsidRPr="00863112" w:rsidRDefault="00974416" w:rsidP="00974416">
      <w:pPr>
        <w:pStyle w:val="ListParagraph"/>
        <w:spacing w:after="200" w:line="276" w:lineRule="auto"/>
        <w:ind w:left="2160"/>
        <w:rPr>
          <w:rFonts w:ascii="Arial" w:eastAsia="SimSun" w:hAnsi="Arial" w:cs="Arial"/>
          <w:color w:val="FF0000"/>
          <w:sz w:val="24"/>
          <w:szCs w:val="24"/>
        </w:rPr>
      </w:pPr>
      <w:r w:rsidRPr="00863112">
        <w:rPr>
          <w:rFonts w:ascii="Arial" w:hAnsi="Arial" w:cs="Arial"/>
          <w:color w:val="FF0000"/>
          <w:szCs w:val="20"/>
        </w:rPr>
        <w:t>2.1.4 Patients should be considered for construction of a primary fistula after failure of every dialysis AV access. (B)</w:t>
      </w:r>
    </w:p>
    <w:p w14:paraId="1CDD5A54" w14:textId="4B3697E0" w:rsidR="00351E57" w:rsidRPr="00863112" w:rsidRDefault="00351E57" w:rsidP="00974416">
      <w:pPr>
        <w:pStyle w:val="ListParagraph"/>
        <w:ind w:left="1440"/>
        <w:rPr>
          <w:rFonts w:ascii="Arial" w:hAnsi="Arial" w:cs="Arial"/>
          <w:color w:val="FF0000"/>
        </w:rPr>
      </w:pPr>
      <w:r w:rsidRPr="00863112">
        <w:rPr>
          <w:rFonts w:ascii="Arial" w:hAnsi="Arial" w:cs="Arial"/>
          <w:i/>
          <w:color w:val="FF0000"/>
        </w:rPr>
        <w:br/>
      </w:r>
      <w:r w:rsidRPr="00863112">
        <w:rPr>
          <w:rFonts w:ascii="Arial" w:hAnsi="Arial" w:cs="Arial"/>
          <w:color w:val="FF0000"/>
        </w:rPr>
        <w:t>National Kidney Foundation KDOQI Clinical Practice Guidelines and Clinical Practice Recommendations for 2006 Updates: Hemodialysis Adequacy, Peritoneal Dialysis Adequacy and Vascular Access. Am J Kidney Dis 48:S1-S322, 2006 (suppl 1).</w:t>
      </w:r>
    </w:p>
    <w:p w14:paraId="3BB0EF85" w14:textId="543A8B7A" w:rsidR="00300FD4" w:rsidRPr="00863112" w:rsidRDefault="009E06DF" w:rsidP="00AA3A80">
      <w:pPr>
        <w:pStyle w:val="ListParagraph"/>
        <w:ind w:left="1440"/>
        <w:contextualSpacing w:val="0"/>
        <w:rPr>
          <w:rFonts w:ascii="Arial" w:hAnsi="Arial" w:cs="Arial"/>
          <w:color w:val="FF0000"/>
        </w:rPr>
      </w:pPr>
      <w:hyperlink r:id="rId11" w:history="1">
        <w:r w:rsidR="00351E57" w:rsidRPr="00863112">
          <w:rPr>
            <w:rStyle w:val="Hyperlink"/>
            <w:color w:val="FF0000"/>
          </w:rPr>
          <w:t>http://www.kidney.org/professionals/KDOQI/guidelines_commentaries</w:t>
        </w:r>
      </w:hyperlink>
      <w:r w:rsidR="00351E57" w:rsidRPr="00863112">
        <w:rPr>
          <w:rFonts w:ascii="Arial" w:hAnsi="Arial" w:cs="Arial"/>
          <w:color w:val="FF0000"/>
        </w:rPr>
        <w:t xml:space="preserve">   </w:t>
      </w:r>
    </w:p>
    <w:p w14:paraId="0E9E0E64" w14:textId="77777777" w:rsidR="005D6A32" w:rsidRPr="005D6A32" w:rsidRDefault="00300FD4" w:rsidP="005D6A32">
      <w:pPr>
        <w:pStyle w:val="ListParagraph"/>
        <w:numPr>
          <w:ilvl w:val="0"/>
          <w:numId w:val="1"/>
        </w:numPr>
        <w:rPr>
          <w:rFonts w:ascii="Arial" w:hAnsi="Arial" w:cs="Arial"/>
        </w:rPr>
      </w:pPr>
      <w:r w:rsidRPr="00BF6DE9">
        <w:rPr>
          <w:rFonts w:ascii="Arial" w:hAnsi="Arial" w:cs="Arial"/>
          <w:b/>
        </w:rPr>
        <w:t>Reliability/Validity</w:t>
      </w:r>
    </w:p>
    <w:p w14:paraId="25F98AE0" w14:textId="278D2703" w:rsidR="001121DA" w:rsidRPr="005D6A32" w:rsidRDefault="007E7FDE" w:rsidP="005D6A32">
      <w:pPr>
        <w:pStyle w:val="ListParagraph"/>
        <w:numPr>
          <w:ilvl w:val="0"/>
          <w:numId w:val="12"/>
        </w:numPr>
        <w:rPr>
          <w:rFonts w:ascii="Arial" w:hAnsi="Arial" w:cs="Arial"/>
        </w:rPr>
      </w:pPr>
      <w:r w:rsidRPr="005D6A32">
        <w:rPr>
          <w:rFonts w:ascii="Arial" w:hAnsi="Arial" w:cs="Arial"/>
          <w:i/>
        </w:rPr>
        <w:t xml:space="preserve">What testing has been performed at the clinician level? Please provide testing results including the N value, Bonnie test case results, correlation coefficient and any other pertinent information or values to be considered. </w:t>
      </w:r>
    </w:p>
    <w:p w14:paraId="4B876635" w14:textId="77777777" w:rsidR="00F441A0" w:rsidRPr="00863112" w:rsidRDefault="007E7FDE" w:rsidP="00F441A0">
      <w:pPr>
        <w:pStyle w:val="ListParagraph"/>
        <w:numPr>
          <w:ilvl w:val="0"/>
          <w:numId w:val="10"/>
        </w:numPr>
        <w:rPr>
          <w:rFonts w:ascii="Arial" w:hAnsi="Arial" w:cs="Arial"/>
          <w:color w:val="FF0000"/>
        </w:rPr>
      </w:pPr>
      <w:r w:rsidRPr="005D6A32">
        <w:rPr>
          <w:rFonts w:ascii="Arial" w:hAnsi="Arial" w:cs="Arial"/>
          <w:i/>
        </w:rPr>
        <w:t>Reliability Testing Results:</w:t>
      </w:r>
      <w:r w:rsidR="00F441A0">
        <w:rPr>
          <w:rFonts w:ascii="Arial" w:hAnsi="Arial" w:cs="Arial"/>
          <w:i/>
        </w:rPr>
        <w:br/>
      </w:r>
      <w:r w:rsidR="00F441A0" w:rsidRPr="00863112">
        <w:rPr>
          <w:rFonts w:ascii="Arial" w:hAnsi="Arial" w:cs="Arial"/>
          <w:color w:val="FF0000"/>
        </w:rPr>
        <w:t>Patients on both home and in-center hemodialysis during the last HD treatment of the month from January 2016-December 2016 were included in the analyses. The number of clinicians per month ranged from 7,921-8,058 and the total number of patient-months ranged from 249,965- 256,693.</w:t>
      </w:r>
    </w:p>
    <w:p w14:paraId="3EDF09AD" w14:textId="2FA117EA" w:rsidR="007E7FDE" w:rsidRPr="00C97B32" w:rsidRDefault="00F441A0" w:rsidP="00AA3A80">
      <w:pPr>
        <w:pStyle w:val="ListParagraph"/>
        <w:ind w:left="1440"/>
        <w:rPr>
          <w:rFonts w:ascii="Arial" w:hAnsi="Arial" w:cs="Arial"/>
          <w:i/>
        </w:rPr>
      </w:pPr>
      <w:r w:rsidRPr="00863112">
        <w:rPr>
          <w:rFonts w:ascii="Arial" w:hAnsi="Arial" w:cs="Arial"/>
          <w:color w:val="FF0000"/>
        </w:rPr>
        <w:t>The IUR is 0.602.</w:t>
      </w:r>
      <w:r w:rsidRPr="00863112">
        <w:rPr>
          <w:rFonts w:ascii="Arial" w:hAnsi="Arial" w:cs="Arial"/>
          <w:i/>
          <w:color w:val="FF0000"/>
        </w:rPr>
        <w:t xml:space="preserve"> </w:t>
      </w:r>
      <w:r w:rsidRPr="00863112">
        <w:rPr>
          <w:rFonts w:ascii="Arial" w:hAnsi="Arial" w:cs="Arial"/>
          <w:color w:val="FF0000"/>
        </w:rPr>
        <w:t>The IUR indicates that 60.2% of the variation in the annual long-term catheter rate can be attributed to between-practitioner differences in performance (signal) and about 39.8% to the within-practitioner variation (noise). This value of IUR implies a moderate degree of reliability.</w:t>
      </w:r>
      <w:r>
        <w:rPr>
          <w:rFonts w:ascii="Arial" w:hAnsi="Arial" w:cs="Arial"/>
          <w:i/>
        </w:rPr>
        <w:br/>
      </w:r>
    </w:p>
    <w:p w14:paraId="141A0FD8" w14:textId="46DE9654" w:rsidR="009033F4" w:rsidRPr="00863112" w:rsidRDefault="007E7FDE" w:rsidP="00F441A0">
      <w:pPr>
        <w:pStyle w:val="ListParagraph"/>
        <w:numPr>
          <w:ilvl w:val="0"/>
          <w:numId w:val="10"/>
        </w:numPr>
        <w:rPr>
          <w:rFonts w:ascii="Arial" w:hAnsi="Arial" w:cs="Arial"/>
          <w:color w:val="FF0000"/>
        </w:rPr>
      </w:pPr>
      <w:r w:rsidRPr="005D6A32">
        <w:rPr>
          <w:rFonts w:ascii="Arial" w:hAnsi="Arial" w:cs="Arial"/>
          <w:i/>
        </w:rPr>
        <w:t>Validity Testing Results, clinician sites:</w:t>
      </w:r>
      <w:r w:rsidR="005D6A32" w:rsidRPr="005D6A32">
        <w:rPr>
          <w:rFonts w:ascii="Arial" w:hAnsi="Arial" w:cs="Arial"/>
          <w:i/>
        </w:rPr>
        <w:t xml:space="preserve"> </w:t>
      </w:r>
      <w:r w:rsidR="00F441A0">
        <w:rPr>
          <w:rFonts w:ascii="Arial" w:hAnsi="Arial" w:cs="Arial"/>
          <w:i/>
        </w:rPr>
        <w:br/>
      </w:r>
      <w:r w:rsidR="009033F4" w:rsidRPr="00863112">
        <w:rPr>
          <w:rFonts w:ascii="Arial" w:hAnsi="Arial" w:cs="Arial"/>
          <w:color w:val="FF0000"/>
        </w:rPr>
        <w:t>Patients on both home and in-center hemodialysis during the last HD treatment of the month from January 2016-December 2016 were included in the analyses. The number of clinicians per month ranged from 7,921-8,058 and the total number of patient-months ranged from 249,965- 256,693.</w:t>
      </w:r>
    </w:p>
    <w:p w14:paraId="12418855" w14:textId="0E209C55" w:rsidR="00F441A0" w:rsidRPr="00863112" w:rsidRDefault="00F441A0" w:rsidP="009033F4">
      <w:pPr>
        <w:pStyle w:val="ListParagraph"/>
        <w:ind w:left="1440"/>
        <w:rPr>
          <w:rFonts w:ascii="Arial" w:hAnsi="Arial" w:cs="Arial"/>
          <w:color w:val="FF0000"/>
        </w:rPr>
      </w:pPr>
      <w:r w:rsidRPr="00863112">
        <w:rPr>
          <w:rFonts w:ascii="Arial" w:hAnsi="Arial" w:cs="Arial"/>
          <w:color w:val="FF0000"/>
        </w:rPr>
        <w:t>Validity was assessed using the trend test to measure the association between patient level number of catheter months occurred in January-March 2016 and mortality in the following 6 months (April-September 2016). Mortality in the chronic dialysis population has been associated with presence of long-term catheter use in dialysis facility level analyses performed for NQF measure submission and in numerous published studies.  The association has construct validity as presence of a long-term catheter has known complications that can cause death, including septicemia and pulmonary embolism.  Percentages of death were calculated in each category of patient level catheter months (i.e. 0,1,2,3 months).</w:t>
      </w:r>
    </w:p>
    <w:p w14:paraId="5A36661C" w14:textId="77777777" w:rsidR="00AA3A80" w:rsidRPr="00863112" w:rsidRDefault="00AA3A80" w:rsidP="00355C9E">
      <w:pPr>
        <w:pStyle w:val="ListParagraph"/>
        <w:ind w:left="1440"/>
        <w:rPr>
          <w:rFonts w:ascii="Arial" w:hAnsi="Arial" w:cs="Arial"/>
          <w:color w:val="FF0000"/>
        </w:rPr>
      </w:pPr>
    </w:p>
    <w:p w14:paraId="3C2D3F5F" w14:textId="65612123" w:rsidR="005D6A32" w:rsidRPr="00863112" w:rsidRDefault="00F441A0" w:rsidP="00AA3A80">
      <w:pPr>
        <w:pStyle w:val="ListParagraph"/>
        <w:ind w:left="1440"/>
        <w:rPr>
          <w:rFonts w:ascii="Arial" w:hAnsi="Arial" w:cs="Arial"/>
          <w:color w:val="FF0000"/>
        </w:rPr>
      </w:pPr>
      <w:r w:rsidRPr="00863112">
        <w:rPr>
          <w:rFonts w:ascii="Arial" w:hAnsi="Arial" w:cs="Arial"/>
          <w:color w:val="FF0000"/>
        </w:rPr>
        <w:t>Percentages of death are 6.9%, 11.1%, 11.9%, and 11.8% for patients with 0, 1, 2, and 3 months of catheter use respectively.</w:t>
      </w:r>
    </w:p>
    <w:p w14:paraId="5A413938" w14:textId="77777777" w:rsidR="00AA3A80" w:rsidRPr="00AA3A80" w:rsidRDefault="00AA3A80" w:rsidP="00AA3A80">
      <w:pPr>
        <w:pStyle w:val="ListParagraph"/>
        <w:ind w:left="1440"/>
        <w:rPr>
          <w:rFonts w:ascii="Arial" w:hAnsi="Arial" w:cs="Arial"/>
        </w:rPr>
      </w:pPr>
    </w:p>
    <w:p w14:paraId="04ADC8FD" w14:textId="521F3609" w:rsidR="007E7FDE" w:rsidRPr="00AA3A80" w:rsidRDefault="005D6A32" w:rsidP="00AA3A80">
      <w:pPr>
        <w:pStyle w:val="ListParagraph"/>
        <w:numPr>
          <w:ilvl w:val="0"/>
          <w:numId w:val="10"/>
        </w:numPr>
        <w:rPr>
          <w:rFonts w:ascii="Arial" w:hAnsi="Arial" w:cs="Arial"/>
        </w:rPr>
      </w:pPr>
      <w:r w:rsidRPr="00BF6DE9">
        <w:rPr>
          <w:rFonts w:ascii="Arial" w:hAnsi="Arial" w:cs="Arial"/>
          <w:i/>
        </w:rPr>
        <w:lastRenderedPageBreak/>
        <w:t>Exclusion frequency:</w:t>
      </w:r>
    </w:p>
    <w:p w14:paraId="331FF6A2" w14:textId="77777777" w:rsidR="00F441A0" w:rsidRPr="00863112" w:rsidRDefault="00F441A0" w:rsidP="00AA3A80">
      <w:pPr>
        <w:pStyle w:val="ListParagraph"/>
        <w:spacing w:before="240" w:after="240"/>
        <w:ind w:left="1440"/>
        <w:rPr>
          <w:rFonts w:ascii="Arial" w:eastAsia="SimSun" w:hAnsi="Arial" w:cs="Arial"/>
          <w:color w:val="FF0000"/>
          <w:szCs w:val="24"/>
        </w:rPr>
      </w:pPr>
      <w:r w:rsidRPr="00863112">
        <w:rPr>
          <w:rFonts w:ascii="Arial" w:eastAsia="SimSun" w:hAnsi="Arial" w:cs="Arial"/>
          <w:color w:val="FF0000"/>
          <w:szCs w:val="24"/>
        </w:rPr>
        <w:t>Table 1: Percent of patient-months at risk excluded</w:t>
      </w:r>
    </w:p>
    <w:tbl>
      <w:tblPr>
        <w:tblW w:w="5692" w:type="dxa"/>
        <w:tblInd w:w="2047" w:type="dxa"/>
        <w:tblLook w:val="04A0" w:firstRow="1" w:lastRow="0" w:firstColumn="1" w:lastColumn="0" w:noHBand="0" w:noVBand="1"/>
      </w:tblPr>
      <w:tblGrid>
        <w:gridCol w:w="852"/>
        <w:gridCol w:w="1860"/>
        <w:gridCol w:w="2020"/>
        <w:gridCol w:w="1024"/>
      </w:tblGrid>
      <w:tr w:rsidR="00863112" w:rsidRPr="00863112" w14:paraId="62057E40" w14:textId="77777777" w:rsidTr="00AA3A80">
        <w:trPr>
          <w:trHeight w:val="288"/>
        </w:trPr>
        <w:tc>
          <w:tcPr>
            <w:tcW w:w="852" w:type="dxa"/>
            <w:tcBorders>
              <w:top w:val="single" w:sz="4" w:space="0" w:color="auto"/>
              <w:left w:val="single" w:sz="4" w:space="0" w:color="auto"/>
              <w:bottom w:val="single" w:sz="4" w:space="0" w:color="auto"/>
              <w:right w:val="single" w:sz="4" w:space="0" w:color="auto"/>
            </w:tcBorders>
            <w:noWrap/>
            <w:vAlign w:val="bottom"/>
            <w:hideMark/>
          </w:tcPr>
          <w:p w14:paraId="6C457805" w14:textId="77777777" w:rsidR="00F441A0" w:rsidRPr="00863112" w:rsidRDefault="00F441A0">
            <w:pPr>
              <w:spacing w:line="256" w:lineRule="auto"/>
              <w:jc w:val="center"/>
              <w:rPr>
                <w:rFonts w:ascii="Arial" w:eastAsia="Times New Roman" w:hAnsi="Arial" w:cs="Arial"/>
                <w:b/>
                <w:color w:val="FF0000"/>
              </w:rPr>
            </w:pPr>
            <w:r w:rsidRPr="00863112">
              <w:rPr>
                <w:rFonts w:ascii="Arial" w:eastAsia="Times New Roman" w:hAnsi="Arial" w:cs="Arial"/>
                <w:b/>
                <w:color w:val="FF0000"/>
              </w:rPr>
              <w:t>Year</w:t>
            </w:r>
          </w:p>
        </w:tc>
        <w:tc>
          <w:tcPr>
            <w:tcW w:w="1860" w:type="dxa"/>
            <w:tcBorders>
              <w:top w:val="single" w:sz="4" w:space="0" w:color="auto"/>
              <w:left w:val="nil"/>
              <w:bottom w:val="single" w:sz="4" w:space="0" w:color="auto"/>
              <w:right w:val="single" w:sz="4" w:space="0" w:color="auto"/>
            </w:tcBorders>
            <w:noWrap/>
            <w:vAlign w:val="bottom"/>
            <w:hideMark/>
          </w:tcPr>
          <w:p w14:paraId="401A497C" w14:textId="77777777" w:rsidR="00F441A0" w:rsidRPr="00863112" w:rsidRDefault="00F441A0">
            <w:pPr>
              <w:spacing w:line="256" w:lineRule="auto"/>
              <w:jc w:val="center"/>
              <w:rPr>
                <w:rFonts w:ascii="Arial" w:eastAsia="Times New Roman" w:hAnsi="Arial" w:cs="Arial"/>
                <w:b/>
                <w:color w:val="FF0000"/>
              </w:rPr>
            </w:pPr>
            <w:r w:rsidRPr="00863112">
              <w:rPr>
                <w:rFonts w:ascii="Arial" w:eastAsia="Times New Roman" w:hAnsi="Arial" w:cs="Arial"/>
                <w:b/>
                <w:color w:val="FF0000"/>
              </w:rPr>
              <w:t>Before Exclusion</w:t>
            </w:r>
          </w:p>
        </w:tc>
        <w:tc>
          <w:tcPr>
            <w:tcW w:w="2020" w:type="dxa"/>
            <w:tcBorders>
              <w:top w:val="single" w:sz="4" w:space="0" w:color="auto"/>
              <w:left w:val="nil"/>
              <w:bottom w:val="single" w:sz="4" w:space="0" w:color="auto"/>
              <w:right w:val="single" w:sz="4" w:space="0" w:color="auto"/>
            </w:tcBorders>
            <w:noWrap/>
            <w:vAlign w:val="bottom"/>
            <w:hideMark/>
          </w:tcPr>
          <w:p w14:paraId="4B81E2A7" w14:textId="77777777" w:rsidR="00F441A0" w:rsidRPr="00863112" w:rsidRDefault="00F441A0">
            <w:pPr>
              <w:spacing w:line="256" w:lineRule="auto"/>
              <w:jc w:val="center"/>
              <w:rPr>
                <w:rFonts w:ascii="Arial" w:eastAsia="Times New Roman" w:hAnsi="Arial" w:cs="Arial"/>
                <w:b/>
                <w:color w:val="FF0000"/>
              </w:rPr>
            </w:pPr>
            <w:r w:rsidRPr="00863112">
              <w:rPr>
                <w:rFonts w:ascii="Arial" w:eastAsia="Times New Roman" w:hAnsi="Arial" w:cs="Arial"/>
                <w:b/>
                <w:color w:val="FF0000"/>
              </w:rPr>
              <w:t>After Exclusion</w:t>
            </w:r>
          </w:p>
        </w:tc>
        <w:tc>
          <w:tcPr>
            <w:tcW w:w="960" w:type="dxa"/>
            <w:tcBorders>
              <w:top w:val="single" w:sz="4" w:space="0" w:color="auto"/>
              <w:left w:val="nil"/>
              <w:bottom w:val="single" w:sz="4" w:space="0" w:color="auto"/>
              <w:right w:val="single" w:sz="4" w:space="0" w:color="auto"/>
            </w:tcBorders>
            <w:noWrap/>
            <w:vAlign w:val="bottom"/>
            <w:hideMark/>
          </w:tcPr>
          <w:p w14:paraId="50E0FAE2" w14:textId="77777777" w:rsidR="00F441A0" w:rsidRPr="00863112" w:rsidRDefault="00F441A0">
            <w:pPr>
              <w:spacing w:line="256" w:lineRule="auto"/>
              <w:jc w:val="center"/>
              <w:rPr>
                <w:rFonts w:ascii="Arial" w:eastAsia="Times New Roman" w:hAnsi="Arial" w:cs="Arial"/>
                <w:b/>
                <w:color w:val="FF0000"/>
              </w:rPr>
            </w:pPr>
            <w:r w:rsidRPr="00863112">
              <w:rPr>
                <w:rFonts w:ascii="Arial" w:eastAsia="Times New Roman" w:hAnsi="Arial" w:cs="Arial"/>
                <w:b/>
                <w:color w:val="FF0000"/>
              </w:rPr>
              <w:t>Percent</w:t>
            </w:r>
          </w:p>
        </w:tc>
      </w:tr>
      <w:tr w:rsidR="00863112" w:rsidRPr="00863112" w14:paraId="0246DFB8" w14:textId="77777777" w:rsidTr="00AA3A80">
        <w:trPr>
          <w:trHeight w:val="288"/>
        </w:trPr>
        <w:tc>
          <w:tcPr>
            <w:tcW w:w="852" w:type="dxa"/>
            <w:tcBorders>
              <w:top w:val="nil"/>
              <w:left w:val="single" w:sz="4" w:space="0" w:color="auto"/>
              <w:bottom w:val="single" w:sz="4" w:space="0" w:color="auto"/>
              <w:right w:val="single" w:sz="4" w:space="0" w:color="auto"/>
            </w:tcBorders>
            <w:noWrap/>
            <w:vAlign w:val="bottom"/>
            <w:hideMark/>
          </w:tcPr>
          <w:p w14:paraId="07C94867" w14:textId="77777777" w:rsidR="00F441A0" w:rsidRPr="00863112" w:rsidRDefault="00F441A0">
            <w:pPr>
              <w:spacing w:line="256" w:lineRule="auto"/>
              <w:jc w:val="center"/>
              <w:rPr>
                <w:rFonts w:ascii="Arial" w:eastAsia="Times New Roman" w:hAnsi="Arial" w:cs="Arial"/>
                <w:color w:val="FF0000"/>
              </w:rPr>
            </w:pPr>
            <w:r w:rsidRPr="00863112">
              <w:rPr>
                <w:rFonts w:ascii="Arial" w:eastAsia="Times New Roman" w:hAnsi="Arial" w:cs="Arial"/>
                <w:color w:val="FF0000"/>
              </w:rPr>
              <w:t>2016</w:t>
            </w:r>
          </w:p>
        </w:tc>
        <w:tc>
          <w:tcPr>
            <w:tcW w:w="1860" w:type="dxa"/>
            <w:tcBorders>
              <w:top w:val="nil"/>
              <w:left w:val="nil"/>
              <w:bottom w:val="single" w:sz="4" w:space="0" w:color="auto"/>
              <w:right w:val="single" w:sz="4" w:space="0" w:color="auto"/>
            </w:tcBorders>
            <w:noWrap/>
            <w:vAlign w:val="bottom"/>
            <w:hideMark/>
          </w:tcPr>
          <w:p w14:paraId="4FEB4127" w14:textId="77777777" w:rsidR="00F441A0" w:rsidRPr="00863112" w:rsidRDefault="00F441A0">
            <w:pPr>
              <w:spacing w:line="256" w:lineRule="auto"/>
              <w:jc w:val="center"/>
              <w:rPr>
                <w:rFonts w:ascii="Arial" w:eastAsia="Times New Roman" w:hAnsi="Arial" w:cs="Arial"/>
                <w:color w:val="FF0000"/>
              </w:rPr>
            </w:pPr>
            <w:r w:rsidRPr="00863112">
              <w:rPr>
                <w:rFonts w:ascii="Arial" w:hAnsi="Arial" w:cs="Arial"/>
                <w:color w:val="FF0000"/>
              </w:rPr>
              <w:t>3,082,045</w:t>
            </w:r>
          </w:p>
        </w:tc>
        <w:tc>
          <w:tcPr>
            <w:tcW w:w="2020" w:type="dxa"/>
            <w:tcBorders>
              <w:top w:val="nil"/>
              <w:left w:val="nil"/>
              <w:bottom w:val="single" w:sz="4" w:space="0" w:color="auto"/>
              <w:right w:val="single" w:sz="4" w:space="0" w:color="auto"/>
            </w:tcBorders>
            <w:noWrap/>
            <w:vAlign w:val="bottom"/>
            <w:hideMark/>
          </w:tcPr>
          <w:p w14:paraId="0F2F55AE" w14:textId="77777777" w:rsidR="00F441A0" w:rsidRPr="00863112" w:rsidRDefault="00F441A0">
            <w:pPr>
              <w:spacing w:line="256" w:lineRule="auto"/>
              <w:jc w:val="center"/>
              <w:rPr>
                <w:rFonts w:ascii="Arial" w:eastAsia="Times New Roman" w:hAnsi="Arial" w:cs="Arial"/>
                <w:color w:val="FF0000"/>
              </w:rPr>
            </w:pPr>
            <w:r w:rsidRPr="00863112">
              <w:rPr>
                <w:rFonts w:ascii="Arial" w:hAnsi="Arial" w:cs="Arial"/>
                <w:color w:val="FF0000"/>
              </w:rPr>
              <w:t>3,035,130</w:t>
            </w:r>
          </w:p>
        </w:tc>
        <w:tc>
          <w:tcPr>
            <w:tcW w:w="960" w:type="dxa"/>
            <w:tcBorders>
              <w:top w:val="nil"/>
              <w:left w:val="nil"/>
              <w:bottom w:val="single" w:sz="4" w:space="0" w:color="auto"/>
              <w:right w:val="single" w:sz="4" w:space="0" w:color="auto"/>
            </w:tcBorders>
            <w:noWrap/>
            <w:vAlign w:val="bottom"/>
            <w:hideMark/>
          </w:tcPr>
          <w:p w14:paraId="25F6A5E4" w14:textId="77777777" w:rsidR="00F441A0" w:rsidRPr="00863112" w:rsidRDefault="00F441A0">
            <w:pPr>
              <w:spacing w:line="256" w:lineRule="auto"/>
              <w:jc w:val="center"/>
              <w:rPr>
                <w:rFonts w:ascii="Arial" w:eastAsia="Times New Roman" w:hAnsi="Arial" w:cs="Arial"/>
                <w:color w:val="FF0000"/>
              </w:rPr>
            </w:pPr>
            <w:r w:rsidRPr="00863112">
              <w:rPr>
                <w:rFonts w:ascii="Arial" w:hAnsi="Arial" w:cs="Arial"/>
                <w:color w:val="FF0000"/>
              </w:rPr>
              <w:t>1.52%</w:t>
            </w:r>
          </w:p>
        </w:tc>
      </w:tr>
    </w:tbl>
    <w:p w14:paraId="740138AF" w14:textId="77777777" w:rsidR="00F441A0" w:rsidRPr="00863112" w:rsidRDefault="00F441A0" w:rsidP="00AA3A80">
      <w:pPr>
        <w:pStyle w:val="ListParagraph"/>
        <w:ind w:left="1440"/>
        <w:rPr>
          <w:rFonts w:ascii="Arial" w:eastAsia="Calibri" w:hAnsi="Arial" w:cs="Arial"/>
          <w:color w:val="FF0000"/>
        </w:rPr>
      </w:pPr>
    </w:p>
    <w:p w14:paraId="6DE87D2C" w14:textId="77777777" w:rsidR="00F441A0" w:rsidRPr="00863112" w:rsidRDefault="00F441A0" w:rsidP="00AA3A80">
      <w:pPr>
        <w:pStyle w:val="ListParagraph"/>
        <w:ind w:left="1440"/>
        <w:rPr>
          <w:rFonts w:ascii="Arial" w:eastAsia="Calibri" w:hAnsi="Arial" w:cs="Arial"/>
          <w:color w:val="FF0000"/>
        </w:rPr>
      </w:pPr>
    </w:p>
    <w:p w14:paraId="0B16EB9C" w14:textId="77777777" w:rsidR="00F441A0" w:rsidRPr="00863112" w:rsidRDefault="00F441A0" w:rsidP="00AA3A80">
      <w:pPr>
        <w:pStyle w:val="ListParagraph"/>
        <w:spacing w:before="240" w:after="240"/>
        <w:ind w:left="1440"/>
        <w:rPr>
          <w:rFonts w:ascii="Arial" w:eastAsia="SimSun" w:hAnsi="Arial" w:cs="Arial"/>
          <w:color w:val="FF0000"/>
          <w:szCs w:val="24"/>
        </w:rPr>
      </w:pPr>
      <w:r w:rsidRPr="00863112">
        <w:rPr>
          <w:rFonts w:ascii="Arial" w:eastAsia="SimSun" w:hAnsi="Arial" w:cs="Arial"/>
          <w:color w:val="FF0000"/>
          <w:szCs w:val="24"/>
        </w:rPr>
        <w:t>Table 2: Number and percent of unique patients excluded</w:t>
      </w:r>
    </w:p>
    <w:p w14:paraId="0959856F" w14:textId="77777777" w:rsidR="00F441A0" w:rsidRPr="00863112" w:rsidRDefault="00F441A0" w:rsidP="00AA3A80">
      <w:pPr>
        <w:pStyle w:val="ListParagraph"/>
        <w:ind w:left="1440"/>
        <w:rPr>
          <w:rFonts w:ascii="Arial" w:eastAsia="Calibri" w:hAnsi="Arial" w:cs="Arial"/>
          <w:color w:val="FF0000"/>
        </w:rPr>
      </w:pPr>
    </w:p>
    <w:tbl>
      <w:tblPr>
        <w:tblW w:w="5759" w:type="dxa"/>
        <w:tblInd w:w="2047" w:type="dxa"/>
        <w:tblLook w:val="04A0" w:firstRow="1" w:lastRow="0" w:firstColumn="1" w:lastColumn="0" w:noHBand="0" w:noVBand="1"/>
      </w:tblPr>
      <w:tblGrid>
        <w:gridCol w:w="919"/>
        <w:gridCol w:w="1860"/>
        <w:gridCol w:w="2020"/>
        <w:gridCol w:w="1024"/>
      </w:tblGrid>
      <w:tr w:rsidR="00863112" w:rsidRPr="00863112" w14:paraId="21073C5C" w14:textId="77777777" w:rsidTr="00AA3A80">
        <w:trPr>
          <w:trHeight w:val="288"/>
        </w:trPr>
        <w:tc>
          <w:tcPr>
            <w:tcW w:w="919" w:type="dxa"/>
            <w:tcBorders>
              <w:top w:val="single" w:sz="4" w:space="0" w:color="auto"/>
              <w:left w:val="single" w:sz="4" w:space="0" w:color="auto"/>
              <w:bottom w:val="single" w:sz="4" w:space="0" w:color="auto"/>
              <w:right w:val="single" w:sz="4" w:space="0" w:color="auto"/>
            </w:tcBorders>
            <w:noWrap/>
            <w:vAlign w:val="bottom"/>
            <w:hideMark/>
          </w:tcPr>
          <w:p w14:paraId="4A60AAEC" w14:textId="77777777" w:rsidR="00F441A0" w:rsidRPr="00863112" w:rsidRDefault="00F441A0">
            <w:pPr>
              <w:spacing w:line="256" w:lineRule="auto"/>
              <w:jc w:val="center"/>
              <w:rPr>
                <w:rFonts w:ascii="Arial" w:eastAsia="Times New Roman" w:hAnsi="Arial" w:cs="Arial"/>
                <w:b/>
                <w:color w:val="FF0000"/>
              </w:rPr>
            </w:pPr>
            <w:r w:rsidRPr="00863112">
              <w:rPr>
                <w:rFonts w:ascii="Arial" w:eastAsia="Times New Roman" w:hAnsi="Arial" w:cs="Arial"/>
                <w:b/>
                <w:color w:val="FF0000"/>
              </w:rPr>
              <w:t>Year</w:t>
            </w:r>
          </w:p>
        </w:tc>
        <w:tc>
          <w:tcPr>
            <w:tcW w:w="1860" w:type="dxa"/>
            <w:tcBorders>
              <w:top w:val="single" w:sz="4" w:space="0" w:color="auto"/>
              <w:left w:val="nil"/>
              <w:bottom w:val="single" w:sz="4" w:space="0" w:color="auto"/>
              <w:right w:val="single" w:sz="4" w:space="0" w:color="auto"/>
            </w:tcBorders>
            <w:noWrap/>
            <w:vAlign w:val="bottom"/>
            <w:hideMark/>
          </w:tcPr>
          <w:p w14:paraId="7989F107" w14:textId="77777777" w:rsidR="00F441A0" w:rsidRPr="00863112" w:rsidRDefault="00F441A0">
            <w:pPr>
              <w:spacing w:line="256" w:lineRule="auto"/>
              <w:jc w:val="center"/>
              <w:rPr>
                <w:rFonts w:ascii="Arial" w:eastAsia="Times New Roman" w:hAnsi="Arial" w:cs="Arial"/>
                <w:b/>
                <w:color w:val="FF0000"/>
              </w:rPr>
            </w:pPr>
            <w:r w:rsidRPr="00863112">
              <w:rPr>
                <w:rFonts w:ascii="Arial" w:eastAsia="Times New Roman" w:hAnsi="Arial" w:cs="Arial"/>
                <w:b/>
                <w:color w:val="FF0000"/>
              </w:rPr>
              <w:t xml:space="preserve">Before Exclusion </w:t>
            </w:r>
          </w:p>
        </w:tc>
        <w:tc>
          <w:tcPr>
            <w:tcW w:w="2020" w:type="dxa"/>
            <w:tcBorders>
              <w:top w:val="single" w:sz="4" w:space="0" w:color="auto"/>
              <w:left w:val="nil"/>
              <w:bottom w:val="single" w:sz="4" w:space="0" w:color="auto"/>
              <w:right w:val="single" w:sz="4" w:space="0" w:color="auto"/>
            </w:tcBorders>
            <w:noWrap/>
            <w:vAlign w:val="bottom"/>
            <w:hideMark/>
          </w:tcPr>
          <w:p w14:paraId="3BF09CD1" w14:textId="77777777" w:rsidR="00F441A0" w:rsidRPr="00863112" w:rsidRDefault="00F441A0">
            <w:pPr>
              <w:spacing w:line="256" w:lineRule="auto"/>
              <w:jc w:val="center"/>
              <w:rPr>
                <w:rFonts w:ascii="Arial" w:eastAsia="Times New Roman" w:hAnsi="Arial" w:cs="Arial"/>
                <w:b/>
                <w:color w:val="FF0000"/>
              </w:rPr>
            </w:pPr>
            <w:r w:rsidRPr="00863112">
              <w:rPr>
                <w:rFonts w:ascii="Arial" w:eastAsia="Times New Roman" w:hAnsi="Arial" w:cs="Arial"/>
                <w:b/>
                <w:color w:val="FF0000"/>
              </w:rPr>
              <w:t xml:space="preserve">After Exclusion </w:t>
            </w:r>
          </w:p>
        </w:tc>
        <w:tc>
          <w:tcPr>
            <w:tcW w:w="960" w:type="dxa"/>
            <w:tcBorders>
              <w:top w:val="single" w:sz="4" w:space="0" w:color="auto"/>
              <w:left w:val="nil"/>
              <w:bottom w:val="single" w:sz="4" w:space="0" w:color="auto"/>
              <w:right w:val="single" w:sz="4" w:space="0" w:color="auto"/>
            </w:tcBorders>
            <w:noWrap/>
            <w:vAlign w:val="bottom"/>
            <w:hideMark/>
          </w:tcPr>
          <w:p w14:paraId="18BCE0C2" w14:textId="77777777" w:rsidR="00F441A0" w:rsidRPr="00863112" w:rsidRDefault="00F441A0">
            <w:pPr>
              <w:spacing w:line="256" w:lineRule="auto"/>
              <w:jc w:val="center"/>
              <w:rPr>
                <w:rFonts w:ascii="Arial" w:eastAsia="Times New Roman" w:hAnsi="Arial" w:cs="Arial"/>
                <w:b/>
                <w:color w:val="FF0000"/>
              </w:rPr>
            </w:pPr>
            <w:r w:rsidRPr="00863112">
              <w:rPr>
                <w:rFonts w:ascii="Arial" w:eastAsia="Times New Roman" w:hAnsi="Arial" w:cs="Arial"/>
                <w:b/>
                <w:color w:val="FF0000"/>
              </w:rPr>
              <w:t>Percent</w:t>
            </w:r>
          </w:p>
        </w:tc>
      </w:tr>
      <w:tr w:rsidR="00863112" w:rsidRPr="00863112" w14:paraId="00244CCC" w14:textId="77777777" w:rsidTr="00AA3A80">
        <w:trPr>
          <w:trHeight w:val="288"/>
        </w:trPr>
        <w:tc>
          <w:tcPr>
            <w:tcW w:w="919" w:type="dxa"/>
            <w:tcBorders>
              <w:top w:val="nil"/>
              <w:left w:val="single" w:sz="4" w:space="0" w:color="auto"/>
              <w:bottom w:val="single" w:sz="4" w:space="0" w:color="auto"/>
              <w:right w:val="single" w:sz="4" w:space="0" w:color="auto"/>
            </w:tcBorders>
            <w:noWrap/>
            <w:vAlign w:val="bottom"/>
            <w:hideMark/>
          </w:tcPr>
          <w:p w14:paraId="2DA34CA5" w14:textId="77777777" w:rsidR="00F441A0" w:rsidRPr="00863112" w:rsidRDefault="00F441A0">
            <w:pPr>
              <w:spacing w:line="256" w:lineRule="auto"/>
              <w:jc w:val="center"/>
              <w:rPr>
                <w:rFonts w:ascii="Arial" w:eastAsia="Times New Roman" w:hAnsi="Arial" w:cs="Arial"/>
                <w:color w:val="FF0000"/>
              </w:rPr>
            </w:pPr>
            <w:r w:rsidRPr="00863112">
              <w:rPr>
                <w:rFonts w:ascii="Arial" w:eastAsia="Times New Roman" w:hAnsi="Arial" w:cs="Arial"/>
                <w:color w:val="FF0000"/>
              </w:rPr>
              <w:t>2016</w:t>
            </w:r>
          </w:p>
        </w:tc>
        <w:tc>
          <w:tcPr>
            <w:tcW w:w="1860" w:type="dxa"/>
            <w:tcBorders>
              <w:top w:val="nil"/>
              <w:left w:val="nil"/>
              <w:bottom w:val="single" w:sz="4" w:space="0" w:color="auto"/>
              <w:right w:val="single" w:sz="4" w:space="0" w:color="auto"/>
            </w:tcBorders>
            <w:noWrap/>
            <w:vAlign w:val="bottom"/>
            <w:hideMark/>
          </w:tcPr>
          <w:p w14:paraId="6CC02AC2" w14:textId="77777777" w:rsidR="00F441A0" w:rsidRPr="00863112" w:rsidRDefault="00F441A0">
            <w:pPr>
              <w:spacing w:line="256" w:lineRule="auto"/>
              <w:jc w:val="center"/>
              <w:rPr>
                <w:rFonts w:ascii="Arial" w:eastAsia="Times New Roman" w:hAnsi="Arial" w:cs="Arial"/>
                <w:color w:val="FF0000"/>
              </w:rPr>
            </w:pPr>
            <w:r w:rsidRPr="00863112">
              <w:rPr>
                <w:rFonts w:ascii="Arial" w:hAnsi="Arial" w:cs="Arial"/>
                <w:color w:val="FF0000"/>
              </w:rPr>
              <w:t>343,840</w:t>
            </w:r>
          </w:p>
        </w:tc>
        <w:tc>
          <w:tcPr>
            <w:tcW w:w="2020" w:type="dxa"/>
            <w:tcBorders>
              <w:top w:val="nil"/>
              <w:left w:val="nil"/>
              <w:bottom w:val="single" w:sz="4" w:space="0" w:color="auto"/>
              <w:right w:val="single" w:sz="4" w:space="0" w:color="auto"/>
            </w:tcBorders>
            <w:noWrap/>
            <w:vAlign w:val="bottom"/>
            <w:hideMark/>
          </w:tcPr>
          <w:p w14:paraId="233545FF" w14:textId="77777777" w:rsidR="00F441A0" w:rsidRPr="00863112" w:rsidRDefault="00F441A0">
            <w:pPr>
              <w:spacing w:line="256" w:lineRule="auto"/>
              <w:jc w:val="center"/>
              <w:rPr>
                <w:rFonts w:ascii="Arial" w:eastAsia="Times New Roman" w:hAnsi="Arial" w:cs="Arial"/>
                <w:color w:val="FF0000"/>
              </w:rPr>
            </w:pPr>
            <w:r w:rsidRPr="00863112">
              <w:rPr>
                <w:rFonts w:ascii="Arial" w:hAnsi="Arial" w:cs="Arial"/>
                <w:color w:val="FF0000"/>
              </w:rPr>
              <w:t>338,718</w:t>
            </w:r>
          </w:p>
        </w:tc>
        <w:tc>
          <w:tcPr>
            <w:tcW w:w="960" w:type="dxa"/>
            <w:tcBorders>
              <w:top w:val="nil"/>
              <w:left w:val="nil"/>
              <w:bottom w:val="single" w:sz="4" w:space="0" w:color="auto"/>
              <w:right w:val="single" w:sz="4" w:space="0" w:color="auto"/>
            </w:tcBorders>
            <w:noWrap/>
            <w:vAlign w:val="bottom"/>
            <w:hideMark/>
          </w:tcPr>
          <w:p w14:paraId="4DCB024E" w14:textId="77777777" w:rsidR="00F441A0" w:rsidRPr="00863112" w:rsidRDefault="00F441A0">
            <w:pPr>
              <w:spacing w:line="256" w:lineRule="auto"/>
              <w:jc w:val="center"/>
              <w:rPr>
                <w:rFonts w:ascii="Arial" w:eastAsia="Times New Roman" w:hAnsi="Arial" w:cs="Arial"/>
                <w:color w:val="FF0000"/>
              </w:rPr>
            </w:pPr>
            <w:r w:rsidRPr="00863112">
              <w:rPr>
                <w:rFonts w:ascii="Arial" w:hAnsi="Arial" w:cs="Arial"/>
                <w:color w:val="FF0000"/>
              </w:rPr>
              <w:t>1.49%</w:t>
            </w:r>
          </w:p>
        </w:tc>
      </w:tr>
    </w:tbl>
    <w:p w14:paraId="0BA2D527" w14:textId="77777777" w:rsidR="00F441A0" w:rsidRPr="00863112" w:rsidRDefault="00F441A0" w:rsidP="00AA3A80">
      <w:pPr>
        <w:pStyle w:val="ListParagraph"/>
        <w:spacing w:after="120"/>
        <w:ind w:left="1440"/>
        <w:rPr>
          <w:rFonts w:ascii="Arial" w:eastAsia="Calibri" w:hAnsi="Arial" w:cs="Arial"/>
          <w:color w:val="FF0000"/>
        </w:rPr>
      </w:pPr>
    </w:p>
    <w:p w14:paraId="25B73353" w14:textId="77777777" w:rsidR="00AA3A80" w:rsidRPr="00863112" w:rsidRDefault="00AA3A80" w:rsidP="00AA3A80">
      <w:pPr>
        <w:pStyle w:val="ListParagraph"/>
        <w:spacing w:before="240" w:after="240"/>
        <w:ind w:left="1440"/>
        <w:rPr>
          <w:rFonts w:ascii="Arial" w:eastAsia="SimSun" w:hAnsi="Arial" w:cs="Arial"/>
          <w:color w:val="FF0000"/>
          <w:szCs w:val="24"/>
        </w:rPr>
      </w:pPr>
    </w:p>
    <w:p w14:paraId="1AF37D46" w14:textId="77777777" w:rsidR="00AA3A80" w:rsidRPr="00863112" w:rsidRDefault="00AA3A80" w:rsidP="00AA3A80">
      <w:pPr>
        <w:pStyle w:val="ListParagraph"/>
        <w:spacing w:before="240" w:after="240"/>
        <w:ind w:left="1440"/>
        <w:rPr>
          <w:rFonts w:ascii="Arial" w:eastAsia="SimSun" w:hAnsi="Arial" w:cs="Arial"/>
          <w:color w:val="FF0000"/>
          <w:szCs w:val="24"/>
        </w:rPr>
      </w:pPr>
    </w:p>
    <w:p w14:paraId="130CDB06" w14:textId="77777777" w:rsidR="00AA3A80" w:rsidRPr="00863112" w:rsidRDefault="00AA3A80" w:rsidP="00AA3A80">
      <w:pPr>
        <w:pStyle w:val="ListParagraph"/>
        <w:spacing w:before="240" w:after="240"/>
        <w:ind w:left="1440"/>
        <w:rPr>
          <w:rFonts w:ascii="Arial" w:eastAsia="SimSun" w:hAnsi="Arial" w:cs="Arial"/>
          <w:color w:val="FF0000"/>
          <w:szCs w:val="24"/>
        </w:rPr>
      </w:pPr>
    </w:p>
    <w:p w14:paraId="00D7DEA3" w14:textId="0A1998F0" w:rsidR="00F441A0" w:rsidRPr="00863112" w:rsidRDefault="00F441A0" w:rsidP="00AA3A80">
      <w:pPr>
        <w:pStyle w:val="ListParagraph"/>
        <w:spacing w:before="240" w:after="240"/>
        <w:ind w:left="1440"/>
        <w:rPr>
          <w:rFonts w:ascii="Arial" w:eastAsia="SimSun" w:hAnsi="Arial" w:cs="Arial"/>
          <w:color w:val="FF0000"/>
          <w:szCs w:val="24"/>
        </w:rPr>
      </w:pPr>
      <w:r w:rsidRPr="00863112">
        <w:rPr>
          <w:rFonts w:ascii="Arial" w:eastAsia="SimSun" w:hAnsi="Arial" w:cs="Arial"/>
          <w:color w:val="FF0000"/>
          <w:szCs w:val="24"/>
        </w:rPr>
        <w:t>Table 3: Distribution of performance scores before and after the exclusion</w:t>
      </w:r>
    </w:p>
    <w:tbl>
      <w:tblPr>
        <w:tblW w:w="7479" w:type="dxa"/>
        <w:tblInd w:w="2047" w:type="dxa"/>
        <w:tblLook w:val="04A0" w:firstRow="1" w:lastRow="0" w:firstColumn="1" w:lastColumn="0" w:noHBand="0" w:noVBand="1"/>
      </w:tblPr>
      <w:tblGrid>
        <w:gridCol w:w="1657"/>
        <w:gridCol w:w="978"/>
        <w:gridCol w:w="1038"/>
        <w:gridCol w:w="1207"/>
        <w:gridCol w:w="1220"/>
        <w:gridCol w:w="1379"/>
      </w:tblGrid>
      <w:tr w:rsidR="00863112" w:rsidRPr="00863112" w14:paraId="5D1E3812" w14:textId="77777777" w:rsidTr="00AA3A80">
        <w:trPr>
          <w:trHeight w:val="576"/>
        </w:trPr>
        <w:tc>
          <w:tcPr>
            <w:tcW w:w="1658" w:type="dxa"/>
            <w:tcBorders>
              <w:top w:val="single" w:sz="4" w:space="0" w:color="auto"/>
              <w:left w:val="single" w:sz="4" w:space="0" w:color="auto"/>
              <w:bottom w:val="single" w:sz="4" w:space="0" w:color="auto"/>
              <w:right w:val="single" w:sz="4" w:space="0" w:color="auto"/>
            </w:tcBorders>
            <w:vAlign w:val="bottom"/>
            <w:hideMark/>
          </w:tcPr>
          <w:p w14:paraId="7484CE2C" w14:textId="77777777" w:rsidR="00F441A0" w:rsidRPr="00863112" w:rsidRDefault="00F441A0">
            <w:pPr>
              <w:spacing w:line="256" w:lineRule="auto"/>
              <w:jc w:val="center"/>
              <w:rPr>
                <w:rFonts w:ascii="Arial" w:eastAsia="Times New Roman" w:hAnsi="Arial" w:cs="Arial"/>
                <w:b/>
                <w:bCs/>
                <w:color w:val="FF0000"/>
              </w:rPr>
            </w:pPr>
            <w:r w:rsidRPr="00863112">
              <w:rPr>
                <w:rFonts w:ascii="Arial" w:eastAsia="Times New Roman" w:hAnsi="Arial" w:cs="Arial"/>
                <w:b/>
                <w:bCs/>
                <w:color w:val="FF0000"/>
              </w:rPr>
              <w:t>Catheter Rate</w:t>
            </w:r>
          </w:p>
        </w:tc>
        <w:tc>
          <w:tcPr>
            <w:tcW w:w="979" w:type="dxa"/>
            <w:tcBorders>
              <w:top w:val="single" w:sz="4" w:space="0" w:color="auto"/>
              <w:left w:val="nil"/>
              <w:bottom w:val="single" w:sz="4" w:space="0" w:color="auto"/>
              <w:right w:val="single" w:sz="4" w:space="0" w:color="auto"/>
            </w:tcBorders>
            <w:vAlign w:val="bottom"/>
            <w:hideMark/>
          </w:tcPr>
          <w:p w14:paraId="25E65D0F" w14:textId="77777777" w:rsidR="00F441A0" w:rsidRPr="00863112" w:rsidRDefault="00F441A0">
            <w:pPr>
              <w:spacing w:line="256" w:lineRule="auto"/>
              <w:jc w:val="center"/>
              <w:rPr>
                <w:rFonts w:ascii="Arial" w:eastAsia="Times New Roman" w:hAnsi="Arial" w:cs="Arial"/>
                <w:b/>
                <w:bCs/>
                <w:color w:val="FF0000"/>
              </w:rPr>
            </w:pPr>
            <w:r w:rsidRPr="00863112">
              <w:rPr>
                <w:rFonts w:ascii="Arial" w:eastAsia="Times New Roman" w:hAnsi="Arial" w:cs="Arial"/>
                <w:b/>
                <w:bCs/>
                <w:color w:val="FF0000"/>
              </w:rPr>
              <w:t>N</w:t>
            </w:r>
          </w:p>
        </w:tc>
        <w:tc>
          <w:tcPr>
            <w:tcW w:w="1039" w:type="dxa"/>
            <w:tcBorders>
              <w:top w:val="single" w:sz="4" w:space="0" w:color="auto"/>
              <w:left w:val="nil"/>
              <w:bottom w:val="single" w:sz="4" w:space="0" w:color="auto"/>
              <w:right w:val="single" w:sz="4" w:space="0" w:color="auto"/>
            </w:tcBorders>
            <w:vAlign w:val="bottom"/>
            <w:hideMark/>
          </w:tcPr>
          <w:p w14:paraId="118CD64E" w14:textId="77777777" w:rsidR="00F441A0" w:rsidRPr="00863112" w:rsidRDefault="00F441A0">
            <w:pPr>
              <w:spacing w:line="256" w:lineRule="auto"/>
              <w:jc w:val="center"/>
              <w:rPr>
                <w:rFonts w:ascii="Arial" w:eastAsia="Times New Roman" w:hAnsi="Arial" w:cs="Arial"/>
                <w:b/>
                <w:bCs/>
                <w:color w:val="FF0000"/>
              </w:rPr>
            </w:pPr>
            <w:r w:rsidRPr="00863112">
              <w:rPr>
                <w:rFonts w:ascii="Arial" w:eastAsia="Times New Roman" w:hAnsi="Arial" w:cs="Arial"/>
                <w:b/>
                <w:bCs/>
                <w:color w:val="FF0000"/>
              </w:rPr>
              <w:t>Mean</w:t>
            </w:r>
          </w:p>
        </w:tc>
        <w:tc>
          <w:tcPr>
            <w:tcW w:w="1203" w:type="dxa"/>
            <w:tcBorders>
              <w:top w:val="single" w:sz="4" w:space="0" w:color="auto"/>
              <w:left w:val="nil"/>
              <w:bottom w:val="single" w:sz="4" w:space="0" w:color="auto"/>
              <w:right w:val="single" w:sz="4" w:space="0" w:color="auto"/>
            </w:tcBorders>
            <w:vAlign w:val="bottom"/>
            <w:hideMark/>
          </w:tcPr>
          <w:p w14:paraId="6306173F" w14:textId="77777777" w:rsidR="00F441A0" w:rsidRPr="00863112" w:rsidRDefault="00F441A0">
            <w:pPr>
              <w:spacing w:line="256" w:lineRule="auto"/>
              <w:jc w:val="center"/>
              <w:rPr>
                <w:rFonts w:ascii="Arial" w:eastAsia="Times New Roman" w:hAnsi="Arial" w:cs="Arial"/>
                <w:b/>
                <w:bCs/>
                <w:color w:val="FF0000"/>
              </w:rPr>
            </w:pPr>
            <w:r w:rsidRPr="00863112">
              <w:rPr>
                <w:rFonts w:ascii="Arial" w:eastAsia="Times New Roman" w:hAnsi="Arial" w:cs="Arial"/>
                <w:b/>
                <w:bCs/>
                <w:color w:val="FF0000"/>
              </w:rPr>
              <w:t>Standard Deviation</w:t>
            </w:r>
          </w:p>
        </w:tc>
        <w:tc>
          <w:tcPr>
            <w:tcW w:w="1220" w:type="dxa"/>
            <w:tcBorders>
              <w:top w:val="single" w:sz="4" w:space="0" w:color="auto"/>
              <w:left w:val="nil"/>
              <w:bottom w:val="single" w:sz="4" w:space="0" w:color="auto"/>
              <w:right w:val="single" w:sz="4" w:space="0" w:color="auto"/>
            </w:tcBorders>
            <w:vAlign w:val="bottom"/>
            <w:hideMark/>
          </w:tcPr>
          <w:p w14:paraId="7BB6AC77" w14:textId="77777777" w:rsidR="00F441A0" w:rsidRPr="00863112" w:rsidRDefault="00F441A0">
            <w:pPr>
              <w:spacing w:line="256" w:lineRule="auto"/>
              <w:jc w:val="center"/>
              <w:rPr>
                <w:rFonts w:ascii="Arial" w:eastAsia="Times New Roman" w:hAnsi="Arial" w:cs="Arial"/>
                <w:b/>
                <w:bCs/>
                <w:color w:val="FF0000"/>
              </w:rPr>
            </w:pPr>
            <w:r w:rsidRPr="00863112">
              <w:rPr>
                <w:rFonts w:ascii="Arial" w:eastAsia="Times New Roman" w:hAnsi="Arial" w:cs="Arial"/>
                <w:b/>
                <w:bCs/>
                <w:color w:val="FF0000"/>
              </w:rPr>
              <w:t>Minimum</w:t>
            </w:r>
          </w:p>
        </w:tc>
        <w:tc>
          <w:tcPr>
            <w:tcW w:w="1380" w:type="dxa"/>
            <w:tcBorders>
              <w:top w:val="single" w:sz="4" w:space="0" w:color="auto"/>
              <w:left w:val="nil"/>
              <w:bottom w:val="single" w:sz="4" w:space="0" w:color="auto"/>
              <w:right w:val="single" w:sz="4" w:space="0" w:color="auto"/>
            </w:tcBorders>
            <w:vAlign w:val="bottom"/>
            <w:hideMark/>
          </w:tcPr>
          <w:p w14:paraId="2A03569B" w14:textId="77777777" w:rsidR="00F441A0" w:rsidRPr="00863112" w:rsidRDefault="00F441A0">
            <w:pPr>
              <w:spacing w:line="256" w:lineRule="auto"/>
              <w:jc w:val="center"/>
              <w:rPr>
                <w:rFonts w:ascii="Arial" w:eastAsia="Times New Roman" w:hAnsi="Arial" w:cs="Arial"/>
                <w:b/>
                <w:bCs/>
                <w:color w:val="FF0000"/>
              </w:rPr>
            </w:pPr>
            <w:r w:rsidRPr="00863112">
              <w:rPr>
                <w:rFonts w:ascii="Arial" w:eastAsia="Times New Roman" w:hAnsi="Arial" w:cs="Arial"/>
                <w:b/>
                <w:bCs/>
                <w:color w:val="FF0000"/>
              </w:rPr>
              <w:t>Maximum</w:t>
            </w:r>
          </w:p>
        </w:tc>
      </w:tr>
      <w:tr w:rsidR="00863112" w:rsidRPr="00863112" w14:paraId="0264BADC" w14:textId="77777777" w:rsidTr="00AA3A80">
        <w:trPr>
          <w:trHeight w:val="576"/>
        </w:trPr>
        <w:tc>
          <w:tcPr>
            <w:tcW w:w="1658" w:type="dxa"/>
            <w:tcBorders>
              <w:top w:val="nil"/>
              <w:left w:val="single" w:sz="4" w:space="0" w:color="auto"/>
              <w:bottom w:val="single" w:sz="4" w:space="0" w:color="auto"/>
              <w:right w:val="single" w:sz="4" w:space="0" w:color="auto"/>
            </w:tcBorders>
            <w:vAlign w:val="bottom"/>
            <w:hideMark/>
          </w:tcPr>
          <w:p w14:paraId="6B59FA7B" w14:textId="77777777" w:rsidR="00F441A0" w:rsidRPr="00863112" w:rsidRDefault="00F441A0">
            <w:pPr>
              <w:spacing w:line="256" w:lineRule="auto"/>
              <w:rPr>
                <w:rFonts w:ascii="Arial" w:eastAsia="Times New Roman" w:hAnsi="Arial" w:cs="Arial"/>
                <w:bCs/>
                <w:color w:val="FF0000"/>
              </w:rPr>
            </w:pPr>
            <w:r w:rsidRPr="00863112">
              <w:rPr>
                <w:rFonts w:ascii="Arial" w:eastAsia="Times New Roman" w:hAnsi="Arial" w:cs="Arial"/>
                <w:bCs/>
                <w:color w:val="FF0000"/>
              </w:rPr>
              <w:t>Before exclusion</w:t>
            </w:r>
          </w:p>
        </w:tc>
        <w:tc>
          <w:tcPr>
            <w:tcW w:w="979" w:type="dxa"/>
            <w:tcBorders>
              <w:top w:val="nil"/>
              <w:left w:val="nil"/>
              <w:bottom w:val="single" w:sz="4" w:space="0" w:color="auto"/>
              <w:right w:val="single" w:sz="4" w:space="0" w:color="auto"/>
            </w:tcBorders>
            <w:vAlign w:val="bottom"/>
            <w:hideMark/>
          </w:tcPr>
          <w:p w14:paraId="75EB28C2" w14:textId="77777777" w:rsidR="00F441A0" w:rsidRPr="00863112" w:rsidRDefault="00F441A0">
            <w:pPr>
              <w:spacing w:line="256" w:lineRule="auto"/>
              <w:jc w:val="center"/>
              <w:rPr>
                <w:rFonts w:ascii="Arial" w:eastAsia="Times New Roman" w:hAnsi="Arial" w:cs="Arial"/>
                <w:color w:val="FF0000"/>
              </w:rPr>
            </w:pPr>
            <w:r w:rsidRPr="00863112">
              <w:rPr>
                <w:rFonts w:ascii="Arial" w:hAnsi="Arial" w:cs="Arial"/>
                <w:color w:val="FF0000"/>
              </w:rPr>
              <w:t>8037</w:t>
            </w:r>
          </w:p>
        </w:tc>
        <w:tc>
          <w:tcPr>
            <w:tcW w:w="1039" w:type="dxa"/>
            <w:tcBorders>
              <w:top w:val="nil"/>
              <w:left w:val="nil"/>
              <w:bottom w:val="single" w:sz="4" w:space="0" w:color="auto"/>
              <w:right w:val="single" w:sz="4" w:space="0" w:color="auto"/>
            </w:tcBorders>
            <w:vAlign w:val="bottom"/>
            <w:hideMark/>
          </w:tcPr>
          <w:p w14:paraId="59877FDA" w14:textId="77777777" w:rsidR="00F441A0" w:rsidRPr="00863112" w:rsidRDefault="00F441A0">
            <w:pPr>
              <w:spacing w:line="256" w:lineRule="auto"/>
              <w:jc w:val="center"/>
              <w:rPr>
                <w:rFonts w:ascii="Arial" w:eastAsia="Times New Roman" w:hAnsi="Arial" w:cs="Arial"/>
                <w:color w:val="FF0000"/>
              </w:rPr>
            </w:pPr>
            <w:r w:rsidRPr="00863112">
              <w:rPr>
                <w:rFonts w:ascii="Arial" w:hAnsi="Arial" w:cs="Arial"/>
                <w:color w:val="FF0000"/>
              </w:rPr>
              <w:t>10.4%</w:t>
            </w:r>
          </w:p>
        </w:tc>
        <w:tc>
          <w:tcPr>
            <w:tcW w:w="1203" w:type="dxa"/>
            <w:tcBorders>
              <w:top w:val="nil"/>
              <w:left w:val="nil"/>
              <w:bottom w:val="single" w:sz="4" w:space="0" w:color="auto"/>
              <w:right w:val="single" w:sz="4" w:space="0" w:color="auto"/>
            </w:tcBorders>
            <w:vAlign w:val="bottom"/>
            <w:hideMark/>
          </w:tcPr>
          <w:p w14:paraId="3E40C542" w14:textId="77777777" w:rsidR="00F441A0" w:rsidRPr="00863112" w:rsidRDefault="00F441A0">
            <w:pPr>
              <w:spacing w:line="256" w:lineRule="auto"/>
              <w:jc w:val="center"/>
              <w:rPr>
                <w:rFonts w:ascii="Arial" w:eastAsia="Times New Roman" w:hAnsi="Arial" w:cs="Arial"/>
                <w:color w:val="FF0000"/>
              </w:rPr>
            </w:pPr>
            <w:r w:rsidRPr="00863112">
              <w:rPr>
                <w:rFonts w:ascii="Arial" w:hAnsi="Arial" w:cs="Arial"/>
                <w:color w:val="FF0000"/>
              </w:rPr>
              <w:t>6.5%</w:t>
            </w:r>
          </w:p>
        </w:tc>
        <w:tc>
          <w:tcPr>
            <w:tcW w:w="1220" w:type="dxa"/>
            <w:tcBorders>
              <w:top w:val="nil"/>
              <w:left w:val="nil"/>
              <w:bottom w:val="single" w:sz="4" w:space="0" w:color="auto"/>
              <w:right w:val="single" w:sz="4" w:space="0" w:color="auto"/>
            </w:tcBorders>
            <w:vAlign w:val="bottom"/>
            <w:hideMark/>
          </w:tcPr>
          <w:p w14:paraId="55DC4081" w14:textId="77777777" w:rsidR="00F441A0" w:rsidRPr="00863112" w:rsidRDefault="00F441A0">
            <w:pPr>
              <w:spacing w:line="256" w:lineRule="auto"/>
              <w:jc w:val="center"/>
              <w:rPr>
                <w:rFonts w:ascii="Arial" w:eastAsia="Times New Roman" w:hAnsi="Arial" w:cs="Arial"/>
                <w:color w:val="FF0000"/>
              </w:rPr>
            </w:pPr>
            <w:r w:rsidRPr="00863112">
              <w:rPr>
                <w:rFonts w:ascii="Arial" w:hAnsi="Arial" w:cs="Arial"/>
                <w:color w:val="FF0000"/>
              </w:rPr>
              <w:t>0.0%</w:t>
            </w:r>
          </w:p>
        </w:tc>
        <w:tc>
          <w:tcPr>
            <w:tcW w:w="1380" w:type="dxa"/>
            <w:tcBorders>
              <w:top w:val="nil"/>
              <w:left w:val="nil"/>
              <w:bottom w:val="single" w:sz="4" w:space="0" w:color="auto"/>
              <w:right w:val="single" w:sz="4" w:space="0" w:color="auto"/>
            </w:tcBorders>
            <w:vAlign w:val="bottom"/>
            <w:hideMark/>
          </w:tcPr>
          <w:p w14:paraId="7DA3724C" w14:textId="77777777" w:rsidR="00F441A0" w:rsidRPr="00863112" w:rsidRDefault="00F441A0">
            <w:pPr>
              <w:spacing w:line="256" w:lineRule="auto"/>
              <w:jc w:val="center"/>
              <w:rPr>
                <w:rFonts w:ascii="Arial" w:eastAsia="Times New Roman" w:hAnsi="Arial" w:cs="Arial"/>
                <w:color w:val="FF0000"/>
              </w:rPr>
            </w:pPr>
            <w:r w:rsidRPr="00863112">
              <w:rPr>
                <w:rFonts w:ascii="Arial" w:hAnsi="Arial" w:cs="Arial"/>
                <w:color w:val="FF0000"/>
              </w:rPr>
              <w:t>66.2%</w:t>
            </w:r>
          </w:p>
        </w:tc>
      </w:tr>
      <w:tr w:rsidR="00863112" w:rsidRPr="00863112" w14:paraId="20E6F809" w14:textId="77777777" w:rsidTr="00AA3A80">
        <w:trPr>
          <w:trHeight w:val="576"/>
        </w:trPr>
        <w:tc>
          <w:tcPr>
            <w:tcW w:w="1658" w:type="dxa"/>
            <w:tcBorders>
              <w:top w:val="nil"/>
              <w:left w:val="single" w:sz="4" w:space="0" w:color="auto"/>
              <w:bottom w:val="single" w:sz="4" w:space="0" w:color="auto"/>
              <w:right w:val="single" w:sz="4" w:space="0" w:color="auto"/>
            </w:tcBorders>
            <w:vAlign w:val="bottom"/>
            <w:hideMark/>
          </w:tcPr>
          <w:p w14:paraId="6D61371A" w14:textId="77777777" w:rsidR="00F441A0" w:rsidRPr="00863112" w:rsidRDefault="00F441A0">
            <w:pPr>
              <w:spacing w:line="256" w:lineRule="auto"/>
              <w:rPr>
                <w:rFonts w:ascii="Arial" w:eastAsia="Times New Roman" w:hAnsi="Arial" w:cs="Arial"/>
                <w:bCs/>
                <w:color w:val="FF0000"/>
              </w:rPr>
            </w:pPr>
            <w:r w:rsidRPr="00863112">
              <w:rPr>
                <w:rFonts w:ascii="Arial" w:eastAsia="Times New Roman" w:hAnsi="Arial" w:cs="Arial"/>
                <w:bCs/>
                <w:color w:val="FF0000"/>
              </w:rPr>
              <w:t>After exclusion</w:t>
            </w:r>
          </w:p>
        </w:tc>
        <w:tc>
          <w:tcPr>
            <w:tcW w:w="979" w:type="dxa"/>
            <w:tcBorders>
              <w:top w:val="nil"/>
              <w:left w:val="nil"/>
              <w:bottom w:val="single" w:sz="4" w:space="0" w:color="auto"/>
              <w:right w:val="single" w:sz="4" w:space="0" w:color="auto"/>
            </w:tcBorders>
            <w:vAlign w:val="bottom"/>
            <w:hideMark/>
          </w:tcPr>
          <w:p w14:paraId="458BCE98" w14:textId="77777777" w:rsidR="00F441A0" w:rsidRPr="00863112" w:rsidRDefault="00F441A0">
            <w:pPr>
              <w:spacing w:line="256" w:lineRule="auto"/>
              <w:jc w:val="center"/>
              <w:rPr>
                <w:rFonts w:ascii="Arial" w:eastAsia="Times New Roman" w:hAnsi="Arial" w:cs="Arial"/>
                <w:color w:val="FF0000"/>
              </w:rPr>
            </w:pPr>
            <w:r w:rsidRPr="00863112">
              <w:rPr>
                <w:rFonts w:ascii="Arial" w:hAnsi="Arial" w:cs="Arial"/>
                <w:color w:val="FF0000"/>
              </w:rPr>
              <w:t>8037</w:t>
            </w:r>
          </w:p>
        </w:tc>
        <w:tc>
          <w:tcPr>
            <w:tcW w:w="1039" w:type="dxa"/>
            <w:tcBorders>
              <w:top w:val="nil"/>
              <w:left w:val="nil"/>
              <w:bottom w:val="single" w:sz="4" w:space="0" w:color="auto"/>
              <w:right w:val="single" w:sz="4" w:space="0" w:color="auto"/>
            </w:tcBorders>
            <w:vAlign w:val="bottom"/>
            <w:hideMark/>
          </w:tcPr>
          <w:p w14:paraId="1F816839" w14:textId="77777777" w:rsidR="00F441A0" w:rsidRPr="00863112" w:rsidRDefault="00F441A0">
            <w:pPr>
              <w:spacing w:line="256" w:lineRule="auto"/>
              <w:jc w:val="center"/>
              <w:rPr>
                <w:rFonts w:ascii="Arial" w:eastAsia="Times New Roman" w:hAnsi="Arial" w:cs="Arial"/>
                <w:color w:val="FF0000"/>
              </w:rPr>
            </w:pPr>
            <w:r w:rsidRPr="00863112">
              <w:rPr>
                <w:rFonts w:ascii="Arial" w:hAnsi="Arial" w:cs="Arial"/>
                <w:color w:val="FF0000"/>
              </w:rPr>
              <w:t>9.7%</w:t>
            </w:r>
          </w:p>
        </w:tc>
        <w:tc>
          <w:tcPr>
            <w:tcW w:w="1203" w:type="dxa"/>
            <w:tcBorders>
              <w:top w:val="nil"/>
              <w:left w:val="nil"/>
              <w:bottom w:val="single" w:sz="4" w:space="0" w:color="auto"/>
              <w:right w:val="single" w:sz="4" w:space="0" w:color="auto"/>
            </w:tcBorders>
            <w:vAlign w:val="bottom"/>
            <w:hideMark/>
          </w:tcPr>
          <w:p w14:paraId="428825BA" w14:textId="77777777" w:rsidR="00F441A0" w:rsidRPr="00863112" w:rsidRDefault="00F441A0">
            <w:pPr>
              <w:spacing w:line="256" w:lineRule="auto"/>
              <w:jc w:val="center"/>
              <w:rPr>
                <w:rFonts w:ascii="Arial" w:eastAsia="Times New Roman" w:hAnsi="Arial" w:cs="Arial"/>
                <w:color w:val="FF0000"/>
              </w:rPr>
            </w:pPr>
            <w:r w:rsidRPr="00863112">
              <w:rPr>
                <w:rFonts w:ascii="Arial" w:hAnsi="Arial" w:cs="Arial"/>
                <w:color w:val="FF0000"/>
              </w:rPr>
              <w:t>6.3%</w:t>
            </w:r>
          </w:p>
        </w:tc>
        <w:tc>
          <w:tcPr>
            <w:tcW w:w="1220" w:type="dxa"/>
            <w:tcBorders>
              <w:top w:val="nil"/>
              <w:left w:val="nil"/>
              <w:bottom w:val="single" w:sz="4" w:space="0" w:color="auto"/>
              <w:right w:val="single" w:sz="4" w:space="0" w:color="auto"/>
            </w:tcBorders>
            <w:vAlign w:val="bottom"/>
            <w:hideMark/>
          </w:tcPr>
          <w:p w14:paraId="7C1C344C" w14:textId="77777777" w:rsidR="00F441A0" w:rsidRPr="00863112" w:rsidRDefault="00F441A0">
            <w:pPr>
              <w:spacing w:line="256" w:lineRule="auto"/>
              <w:jc w:val="center"/>
              <w:rPr>
                <w:rFonts w:ascii="Arial" w:eastAsia="Times New Roman" w:hAnsi="Arial" w:cs="Arial"/>
                <w:color w:val="FF0000"/>
              </w:rPr>
            </w:pPr>
            <w:r w:rsidRPr="00863112">
              <w:rPr>
                <w:rFonts w:ascii="Arial" w:hAnsi="Arial" w:cs="Arial"/>
                <w:color w:val="FF0000"/>
              </w:rPr>
              <w:t>0.0%</w:t>
            </w:r>
          </w:p>
        </w:tc>
        <w:tc>
          <w:tcPr>
            <w:tcW w:w="1380" w:type="dxa"/>
            <w:tcBorders>
              <w:top w:val="nil"/>
              <w:left w:val="nil"/>
              <w:bottom w:val="single" w:sz="4" w:space="0" w:color="auto"/>
              <w:right w:val="single" w:sz="4" w:space="0" w:color="auto"/>
            </w:tcBorders>
            <w:vAlign w:val="bottom"/>
            <w:hideMark/>
          </w:tcPr>
          <w:p w14:paraId="610F3EBE" w14:textId="77777777" w:rsidR="00F441A0" w:rsidRPr="00863112" w:rsidRDefault="00F441A0">
            <w:pPr>
              <w:spacing w:line="256" w:lineRule="auto"/>
              <w:jc w:val="center"/>
              <w:rPr>
                <w:rFonts w:ascii="Arial" w:eastAsia="Times New Roman" w:hAnsi="Arial" w:cs="Arial"/>
                <w:color w:val="FF0000"/>
              </w:rPr>
            </w:pPr>
            <w:r w:rsidRPr="00863112">
              <w:rPr>
                <w:rFonts w:ascii="Arial" w:hAnsi="Arial" w:cs="Arial"/>
                <w:color w:val="FF0000"/>
              </w:rPr>
              <w:t>66.2%</w:t>
            </w:r>
          </w:p>
        </w:tc>
      </w:tr>
    </w:tbl>
    <w:p w14:paraId="57C63228" w14:textId="77777777" w:rsidR="00F441A0" w:rsidRPr="00AA3A80" w:rsidRDefault="00F441A0" w:rsidP="00AA3A80">
      <w:pPr>
        <w:pStyle w:val="ListParagraph"/>
        <w:autoSpaceDE w:val="0"/>
        <w:autoSpaceDN w:val="0"/>
        <w:adjustRightInd w:val="0"/>
        <w:ind w:left="1440"/>
        <w:rPr>
          <w:rFonts w:ascii="Arial" w:hAnsi="Arial" w:cs="Arial"/>
          <w:bCs/>
          <w:sz w:val="12"/>
        </w:rPr>
      </w:pPr>
    </w:p>
    <w:p w14:paraId="1268E2CB" w14:textId="77777777" w:rsidR="00F441A0" w:rsidRPr="00EF053E" w:rsidRDefault="00F441A0" w:rsidP="00AA3A80">
      <w:pPr>
        <w:pStyle w:val="ListParagraph"/>
        <w:ind w:left="1440"/>
        <w:rPr>
          <w:rFonts w:ascii="Arial" w:hAnsi="Arial" w:cs="Arial"/>
        </w:rPr>
      </w:pPr>
    </w:p>
    <w:p w14:paraId="4432E8EE" w14:textId="6F3B329E" w:rsidR="00FA0FE5" w:rsidRPr="002449AA" w:rsidRDefault="00FA0FE5" w:rsidP="00AA3A80">
      <w:pPr>
        <w:pStyle w:val="ListParagraph"/>
        <w:numPr>
          <w:ilvl w:val="0"/>
          <w:numId w:val="10"/>
        </w:numPr>
        <w:rPr>
          <w:rFonts w:ascii="Arial" w:hAnsi="Arial" w:cs="Arial"/>
        </w:rPr>
      </w:pPr>
      <w:r w:rsidRPr="005D6A32">
        <w:rPr>
          <w:rFonts w:ascii="Arial" w:hAnsi="Arial" w:cs="Arial"/>
          <w:i/>
        </w:rPr>
        <w:t xml:space="preserve">What </w:t>
      </w:r>
      <w:r>
        <w:rPr>
          <w:rFonts w:ascii="Arial" w:hAnsi="Arial" w:cs="Arial"/>
          <w:i/>
        </w:rPr>
        <w:t>were the minimum sample sizes used for reliability results?</w:t>
      </w:r>
      <w:r w:rsidR="00F441A0">
        <w:rPr>
          <w:rFonts w:ascii="Arial" w:hAnsi="Arial" w:cs="Arial"/>
          <w:i/>
        </w:rPr>
        <w:br/>
      </w:r>
      <w:r w:rsidR="00F441A0" w:rsidRPr="00863112">
        <w:rPr>
          <w:rFonts w:ascii="Arial" w:hAnsi="Arial" w:cs="Arial"/>
          <w:color w:val="FF0000"/>
        </w:rPr>
        <w:t>Practitioners with &lt;11 eligible patients were excluded from the IUR calculation.</w:t>
      </w:r>
      <w:r w:rsidR="00AA3A80">
        <w:rPr>
          <w:rFonts w:ascii="Arial" w:hAnsi="Arial" w:cs="Arial"/>
        </w:rPr>
        <w:br/>
      </w:r>
    </w:p>
    <w:p w14:paraId="6D89D2C1" w14:textId="668B1569" w:rsidR="005D6A32" w:rsidRPr="005D6A32" w:rsidRDefault="005D6A32" w:rsidP="005D6A32">
      <w:pPr>
        <w:pStyle w:val="ListParagraph"/>
        <w:numPr>
          <w:ilvl w:val="0"/>
          <w:numId w:val="12"/>
        </w:numPr>
        <w:rPr>
          <w:rFonts w:ascii="Arial" w:hAnsi="Arial" w:cs="Arial"/>
          <w:i/>
        </w:rPr>
      </w:pPr>
      <w:r>
        <w:rPr>
          <w:rFonts w:ascii="Arial" w:hAnsi="Arial" w:cs="Arial"/>
          <w:i/>
        </w:rPr>
        <w:t>Other Information:</w:t>
      </w:r>
    </w:p>
    <w:p w14:paraId="4DAC199A" w14:textId="074091A3" w:rsidR="00F441A0" w:rsidRPr="00AA3A80" w:rsidRDefault="005D6A32">
      <w:pPr>
        <w:pStyle w:val="ListParagraph"/>
        <w:numPr>
          <w:ilvl w:val="0"/>
          <w:numId w:val="10"/>
        </w:numPr>
        <w:ind w:firstLine="450"/>
      </w:pPr>
      <w:r>
        <w:rPr>
          <w:rFonts w:ascii="Arial" w:hAnsi="Arial" w:cs="Arial"/>
          <w:i/>
        </w:rPr>
        <w:t>Is it risk adjusted? If so, how?</w:t>
      </w:r>
    </w:p>
    <w:p w14:paraId="531FBFAE" w14:textId="640656CC" w:rsidR="005C641D" w:rsidRPr="00863112" w:rsidRDefault="005C641D" w:rsidP="00AA3A80">
      <w:pPr>
        <w:pStyle w:val="ListParagraph"/>
        <w:ind w:left="2160"/>
        <w:rPr>
          <w:color w:val="FF0000"/>
        </w:rPr>
      </w:pPr>
      <w:r w:rsidRPr="00863112">
        <w:rPr>
          <w:rFonts w:ascii="Arial" w:hAnsi="Arial" w:cs="Arial"/>
          <w:color w:val="FF0000"/>
        </w:rPr>
        <w:t>No Risk Adjustment</w:t>
      </w:r>
    </w:p>
    <w:p w14:paraId="080F73C7" w14:textId="19B57943" w:rsidR="005D6A32" w:rsidRDefault="005D6A32" w:rsidP="00AA3A80">
      <w:pPr>
        <w:pStyle w:val="ListParagraph"/>
        <w:numPr>
          <w:ilvl w:val="1"/>
          <w:numId w:val="10"/>
        </w:numPr>
        <w:rPr>
          <w:rFonts w:ascii="Arial" w:hAnsi="Arial" w:cs="Arial"/>
          <w:i/>
        </w:rPr>
      </w:pPr>
      <w:r>
        <w:rPr>
          <w:rFonts w:ascii="Arial" w:hAnsi="Arial" w:cs="Arial"/>
          <w:i/>
        </w:rPr>
        <w:t>What benchmarking information is available?</w:t>
      </w:r>
      <w:r w:rsidR="005C641D">
        <w:rPr>
          <w:rFonts w:ascii="Arial" w:hAnsi="Arial" w:cs="Arial"/>
          <w:i/>
        </w:rPr>
        <w:br/>
      </w:r>
      <w:r w:rsidR="005C641D" w:rsidRPr="00863112">
        <w:rPr>
          <w:rFonts w:ascii="Arial" w:hAnsi="Arial" w:cs="Arial"/>
          <w:color w:val="FF0000"/>
        </w:rPr>
        <w:t>None</w:t>
      </w:r>
    </w:p>
    <w:p w14:paraId="4B7B4A5D" w14:textId="53613B23" w:rsidR="00771C8D" w:rsidRPr="000B0D5A" w:rsidRDefault="00771C8D" w:rsidP="00AA3A80">
      <w:pPr>
        <w:pStyle w:val="ListParagraph"/>
        <w:numPr>
          <w:ilvl w:val="1"/>
          <w:numId w:val="10"/>
        </w:numPr>
        <w:rPr>
          <w:rFonts w:ascii="Arial" w:hAnsi="Arial" w:cs="Arial"/>
          <w:i/>
        </w:rPr>
      </w:pPr>
      <w:r w:rsidRPr="000B0D5A">
        <w:rPr>
          <w:rFonts w:ascii="Arial" w:hAnsi="Arial" w:cs="Arial"/>
          <w:i/>
        </w:rPr>
        <w:t>Collection Type: Specify the data collection type.</w:t>
      </w:r>
      <w:r w:rsidR="00F441A0">
        <w:rPr>
          <w:rFonts w:ascii="Arial" w:hAnsi="Arial" w:cs="Arial"/>
          <w:i/>
        </w:rPr>
        <w:br/>
      </w:r>
      <w:r w:rsidR="00F441A0" w:rsidRPr="00863112">
        <w:rPr>
          <w:rFonts w:ascii="Arial" w:hAnsi="Arial" w:cs="Arial"/>
          <w:color w:val="FF0000"/>
        </w:rPr>
        <w:t>D</w:t>
      </w:r>
      <w:r w:rsidR="005C641D" w:rsidRPr="00863112">
        <w:rPr>
          <w:rFonts w:ascii="Arial" w:hAnsi="Arial" w:cs="Arial"/>
          <w:color w:val="FF0000"/>
        </w:rPr>
        <w:t xml:space="preserve">ata is obtained from Medicare claims and CROWNWeb </w:t>
      </w:r>
    </w:p>
    <w:p w14:paraId="71A5A37D" w14:textId="77777777" w:rsidR="005D6A32" w:rsidRPr="00BF6DE9" w:rsidRDefault="005D6A32" w:rsidP="005D6A32">
      <w:pPr>
        <w:pStyle w:val="ListParagraph"/>
        <w:ind w:left="1170"/>
        <w:rPr>
          <w:rFonts w:ascii="Arial" w:hAnsi="Arial" w:cs="Arial"/>
          <w:i/>
        </w:rPr>
      </w:pPr>
    </w:p>
    <w:p w14:paraId="044CABAD" w14:textId="640F7AA3" w:rsidR="00300FD4" w:rsidRPr="005D6A32" w:rsidRDefault="00300FD4" w:rsidP="005D6A32">
      <w:pPr>
        <w:pStyle w:val="ListParagraph"/>
        <w:numPr>
          <w:ilvl w:val="0"/>
          <w:numId w:val="1"/>
        </w:numPr>
      </w:pPr>
      <w:r w:rsidRPr="005D6A32">
        <w:rPr>
          <w:rFonts w:ascii="Arial" w:hAnsi="Arial" w:cs="Arial"/>
          <w:b/>
        </w:rPr>
        <w:t>Endorsement</w:t>
      </w:r>
    </w:p>
    <w:p w14:paraId="0C62B30A" w14:textId="5B0B22EF" w:rsidR="00300FD4" w:rsidRPr="00BF6DE9" w:rsidRDefault="007E7FDE" w:rsidP="00300FD4">
      <w:pPr>
        <w:pStyle w:val="ListParagraph"/>
        <w:numPr>
          <w:ilvl w:val="0"/>
          <w:numId w:val="7"/>
        </w:numPr>
        <w:contextualSpacing w:val="0"/>
        <w:rPr>
          <w:rFonts w:ascii="Arial" w:hAnsi="Arial" w:cs="Arial"/>
          <w:i/>
        </w:rPr>
      </w:pPr>
      <w:r w:rsidRPr="00BF6DE9">
        <w:rPr>
          <w:rFonts w:ascii="Arial" w:hAnsi="Arial" w:cs="Arial"/>
          <w:i/>
        </w:rPr>
        <w:t xml:space="preserve">Provide </w:t>
      </w:r>
      <w:r w:rsidR="00300FD4" w:rsidRPr="00BF6DE9">
        <w:rPr>
          <w:rFonts w:ascii="Arial" w:hAnsi="Arial" w:cs="Arial"/>
          <w:i/>
        </w:rPr>
        <w:t xml:space="preserve">NQF </w:t>
      </w:r>
      <w:r w:rsidRPr="00BF6DE9">
        <w:rPr>
          <w:rFonts w:ascii="Arial" w:hAnsi="Arial" w:cs="Arial"/>
          <w:i/>
        </w:rPr>
        <w:t>endorsement status</w:t>
      </w:r>
      <w:r w:rsidR="00363D3C" w:rsidRPr="00BF6DE9">
        <w:rPr>
          <w:rFonts w:ascii="Arial" w:hAnsi="Arial" w:cs="Arial"/>
          <w:i/>
        </w:rPr>
        <w:t xml:space="preserve"> (and ID)</w:t>
      </w:r>
      <w:r w:rsidRPr="00BF6DE9">
        <w:rPr>
          <w:rFonts w:ascii="Arial" w:hAnsi="Arial" w:cs="Arial"/>
          <w:i/>
        </w:rPr>
        <w:t xml:space="preserve"> and/</w:t>
      </w:r>
      <w:r w:rsidR="00300FD4" w:rsidRPr="00BF6DE9">
        <w:rPr>
          <w:rFonts w:ascii="Arial" w:hAnsi="Arial" w:cs="Arial"/>
          <w:i/>
        </w:rPr>
        <w:t>or other endorsing body</w:t>
      </w:r>
      <w:r w:rsidR="009B2AD1" w:rsidRPr="00BF6DE9">
        <w:rPr>
          <w:rFonts w:ascii="Arial" w:hAnsi="Arial" w:cs="Arial"/>
          <w:i/>
        </w:rPr>
        <w:t xml:space="preserve"> (</w:t>
      </w:r>
      <w:r w:rsidR="0061473D" w:rsidRPr="00BF6DE9">
        <w:rPr>
          <w:rFonts w:ascii="Arial" w:hAnsi="Arial" w:cs="Arial"/>
          <w:i/>
        </w:rPr>
        <w:t xml:space="preserve">If measure is only endorsed for paper records, please </w:t>
      </w:r>
      <w:r w:rsidR="009B2AD1" w:rsidRPr="00BF6DE9">
        <w:rPr>
          <w:rFonts w:ascii="Arial" w:hAnsi="Arial" w:cs="Arial"/>
          <w:i/>
        </w:rPr>
        <w:t xml:space="preserve">note </w:t>
      </w:r>
      <w:r w:rsidR="0061473D" w:rsidRPr="00BF6DE9">
        <w:rPr>
          <w:rFonts w:ascii="Arial" w:hAnsi="Arial" w:cs="Arial"/>
          <w:i/>
        </w:rPr>
        <w:t xml:space="preserve">endorsement for </w:t>
      </w:r>
      <w:r w:rsidR="009B2AD1" w:rsidRPr="00BF6DE9">
        <w:rPr>
          <w:rFonts w:ascii="Arial" w:hAnsi="Arial" w:cs="Arial"/>
          <w:i/>
        </w:rPr>
        <w:t xml:space="preserve">only </w:t>
      </w:r>
      <w:r w:rsidR="0061473D" w:rsidRPr="00BF6DE9">
        <w:rPr>
          <w:rFonts w:ascii="Arial" w:hAnsi="Arial" w:cs="Arial"/>
          <w:i/>
        </w:rPr>
        <w:t>the</w:t>
      </w:r>
      <w:r w:rsidR="009B2AD1" w:rsidRPr="00BF6DE9">
        <w:rPr>
          <w:rFonts w:ascii="Arial" w:hAnsi="Arial" w:cs="Arial"/>
          <w:i/>
        </w:rPr>
        <w:t xml:space="preserve"> data source being submitted)</w:t>
      </w:r>
      <w:r w:rsidR="005C641D">
        <w:rPr>
          <w:rFonts w:ascii="Arial" w:hAnsi="Arial" w:cs="Arial"/>
          <w:i/>
        </w:rPr>
        <w:br/>
      </w:r>
      <w:r w:rsidR="005C641D" w:rsidRPr="00863112">
        <w:rPr>
          <w:rFonts w:ascii="Arial" w:hAnsi="Arial" w:cs="Arial"/>
          <w:color w:val="FF0000"/>
        </w:rPr>
        <w:t>Not endorsed; submission planned in 2020</w:t>
      </w:r>
    </w:p>
    <w:p w14:paraId="2F6E35F9" w14:textId="2DF0E5AE" w:rsidR="00300FD4" w:rsidRPr="005D6A32" w:rsidRDefault="00300FD4" w:rsidP="005D6A32">
      <w:pPr>
        <w:pStyle w:val="ListParagraph"/>
        <w:numPr>
          <w:ilvl w:val="0"/>
          <w:numId w:val="1"/>
        </w:numPr>
        <w:rPr>
          <w:rFonts w:ascii="Arial" w:hAnsi="Arial" w:cs="Arial"/>
          <w:b/>
        </w:rPr>
      </w:pPr>
      <w:r w:rsidRPr="005D6A32">
        <w:rPr>
          <w:rFonts w:ascii="Arial" w:hAnsi="Arial" w:cs="Arial"/>
          <w:b/>
        </w:rPr>
        <w:t>Summary</w:t>
      </w:r>
    </w:p>
    <w:p w14:paraId="32196EF8" w14:textId="3BB13ED5" w:rsidR="00300FD4" w:rsidRPr="00BF6DE9" w:rsidRDefault="00300FD4" w:rsidP="00300FD4">
      <w:pPr>
        <w:pStyle w:val="ListParagraph"/>
        <w:numPr>
          <w:ilvl w:val="0"/>
          <w:numId w:val="4"/>
        </w:numPr>
        <w:rPr>
          <w:rFonts w:ascii="Arial" w:hAnsi="Arial" w:cs="Arial"/>
          <w:i/>
        </w:rPr>
      </w:pPr>
      <w:r w:rsidRPr="00BF6DE9">
        <w:rPr>
          <w:rFonts w:ascii="Arial" w:hAnsi="Arial" w:cs="Arial"/>
          <w:i/>
        </w:rPr>
        <w:t xml:space="preserve">Alignment with CMS </w:t>
      </w:r>
      <w:r w:rsidR="00D6429F">
        <w:rPr>
          <w:rFonts w:ascii="Arial" w:hAnsi="Arial" w:cs="Arial"/>
          <w:i/>
        </w:rPr>
        <w:t>Meaningful Measures</w:t>
      </w:r>
      <w:r w:rsidR="00981A2F">
        <w:rPr>
          <w:rFonts w:ascii="Arial" w:hAnsi="Arial" w:cs="Arial"/>
          <w:i/>
        </w:rPr>
        <w:t xml:space="preserve"> Initiative</w:t>
      </w:r>
      <w:r w:rsidRPr="00BF6DE9">
        <w:rPr>
          <w:rFonts w:ascii="Arial" w:hAnsi="Arial" w:cs="Arial"/>
          <w:i/>
        </w:rPr>
        <w:t xml:space="preserve"> or </w:t>
      </w:r>
      <w:proofErr w:type="gramStart"/>
      <w:r w:rsidRPr="00BF6DE9">
        <w:rPr>
          <w:rFonts w:ascii="Arial" w:hAnsi="Arial" w:cs="Arial"/>
          <w:i/>
        </w:rPr>
        <w:t>MACRA  (</w:t>
      </w:r>
      <w:proofErr w:type="gramEnd"/>
      <w:r w:rsidRPr="00BF6DE9">
        <w:rPr>
          <w:rFonts w:ascii="Arial" w:hAnsi="Arial" w:cs="Arial"/>
          <w:i/>
        </w:rPr>
        <w:t>If applicable)</w:t>
      </w:r>
      <w:r w:rsidR="00974416">
        <w:rPr>
          <w:rFonts w:ascii="Arial" w:hAnsi="Arial" w:cs="Arial"/>
          <w:i/>
        </w:rPr>
        <w:br/>
      </w:r>
      <w:r w:rsidR="00974416" w:rsidRPr="00863112">
        <w:rPr>
          <w:rFonts w:ascii="Arial" w:hAnsi="Arial" w:cs="Arial"/>
          <w:color w:val="FF0000"/>
        </w:rPr>
        <w:t>This measure falls into the Management of Chronic Conditions  goal of CMS’s Meaningful Measures Initiative.</w:t>
      </w:r>
    </w:p>
    <w:p w14:paraId="14C2EDF2" w14:textId="3D2BF32C" w:rsidR="00300FD4" w:rsidRPr="00863112" w:rsidRDefault="00300FD4" w:rsidP="00300FD4">
      <w:pPr>
        <w:pStyle w:val="ListParagraph"/>
        <w:numPr>
          <w:ilvl w:val="0"/>
          <w:numId w:val="4"/>
        </w:numPr>
        <w:rPr>
          <w:rFonts w:ascii="Arial" w:hAnsi="Arial" w:cs="Arial"/>
          <w:i/>
          <w:color w:val="FF0000"/>
        </w:rPr>
      </w:pPr>
      <w:r w:rsidRPr="00BF6DE9">
        <w:rPr>
          <w:rFonts w:ascii="Arial" w:hAnsi="Arial" w:cs="Arial"/>
          <w:i/>
        </w:rPr>
        <w:lastRenderedPageBreak/>
        <w:t>Importance to MIPS or other CMS programs</w:t>
      </w:r>
      <w:r w:rsidR="00863112">
        <w:rPr>
          <w:rFonts w:ascii="Arial" w:hAnsi="Arial" w:cs="Arial"/>
          <w:i/>
        </w:rPr>
        <w:br/>
      </w:r>
      <w:r w:rsidR="00863112" w:rsidRPr="00863112">
        <w:rPr>
          <w:rFonts w:ascii="Arial" w:hAnsi="Arial" w:cs="Arial"/>
          <w:color w:val="FF0000"/>
        </w:rPr>
        <w:t>This measure will incentivize clinicians to evaluate their patients’ vascular access status and will potentially reduce infection, mortality and hospitalization rates.</w:t>
      </w:r>
      <w:r w:rsidR="00863112" w:rsidRPr="00863112">
        <w:rPr>
          <w:color w:val="FF0000"/>
        </w:rPr>
        <w:t xml:space="preserve"> </w:t>
      </w:r>
    </w:p>
    <w:p w14:paraId="152F2C31" w14:textId="02D3490C" w:rsidR="00300FD4" w:rsidRPr="00863112" w:rsidRDefault="00300FD4" w:rsidP="00974416">
      <w:pPr>
        <w:pStyle w:val="ListParagraph"/>
        <w:numPr>
          <w:ilvl w:val="0"/>
          <w:numId w:val="4"/>
        </w:numPr>
        <w:rPr>
          <w:rFonts w:ascii="Arial" w:hAnsi="Arial" w:cs="Arial"/>
          <w:i/>
          <w:color w:val="FF0000"/>
        </w:rPr>
      </w:pPr>
      <w:r w:rsidRPr="00BF6DE9">
        <w:rPr>
          <w:rFonts w:ascii="Arial" w:hAnsi="Arial" w:cs="Arial"/>
          <w:i/>
        </w:rPr>
        <w:t>Rationale: Use of measure for inclusion in program (specialty society, regional collaborative, other)</w:t>
      </w:r>
      <w:r w:rsidR="00974416">
        <w:rPr>
          <w:rFonts w:ascii="Arial" w:hAnsi="Arial" w:cs="Arial"/>
          <w:i/>
        </w:rPr>
        <w:br/>
      </w:r>
      <w:r w:rsidR="00974416" w:rsidRPr="00863112">
        <w:rPr>
          <w:rFonts w:ascii="Arial" w:hAnsi="Arial" w:cs="Arial"/>
          <w:color w:val="FF0000"/>
        </w:rPr>
        <w:t>This measure is in support of the KDOQI</w:t>
      </w:r>
      <w:r w:rsidR="00863112" w:rsidRPr="00863112">
        <w:rPr>
          <w:rFonts w:ascii="Arial" w:hAnsi="Arial" w:cs="Arial"/>
          <w:color w:val="FF0000"/>
        </w:rPr>
        <w:t xml:space="preserve"> guidelines cited above. The logic model is as follows: m</w:t>
      </w:r>
      <w:r w:rsidR="00974416" w:rsidRPr="00863112">
        <w:rPr>
          <w:rFonts w:ascii="Arial" w:hAnsi="Arial" w:cs="Arial"/>
          <w:color w:val="FF0000"/>
        </w:rPr>
        <w:t>easure long term catheter rate-&gt; Assess value -&gt;Identify patients who do not have an AV Fistula or AV graft-&gt;Evaluation for an AV fistula or graft by a qualified dialysis vascular access provider-&gt;Increase Fistula/Graft Rate  -&gt;Lower catheter rate-&gt;Lower patient mortality.</w:t>
      </w:r>
    </w:p>
    <w:p w14:paraId="4DBF0E05" w14:textId="31D0F934" w:rsidR="00300FD4" w:rsidRPr="009033F4" w:rsidRDefault="00300FD4" w:rsidP="009033F4">
      <w:pPr>
        <w:pStyle w:val="ListParagraph"/>
        <w:numPr>
          <w:ilvl w:val="0"/>
          <w:numId w:val="4"/>
        </w:numPr>
        <w:rPr>
          <w:rFonts w:ascii="Arial" w:hAnsi="Arial" w:cs="Arial"/>
          <w:i/>
        </w:rPr>
      </w:pPr>
      <w:r w:rsidRPr="00863112">
        <w:rPr>
          <w:rFonts w:ascii="Arial" w:hAnsi="Arial" w:cs="Arial"/>
          <w:i/>
          <w:color w:val="FF0000"/>
        </w:rPr>
        <w:t>Public reporting (if applicable)</w:t>
      </w:r>
      <w:r w:rsidR="009033F4" w:rsidRPr="00863112">
        <w:rPr>
          <w:color w:val="FF0000"/>
        </w:rPr>
        <w:t xml:space="preserve"> </w:t>
      </w:r>
      <w:r w:rsidR="009033F4">
        <w:br/>
      </w:r>
      <w:r w:rsidR="009033F4" w:rsidRPr="009033F4">
        <w:rPr>
          <w:rFonts w:ascii="Arial" w:hAnsi="Arial" w:cs="Arial"/>
        </w:rPr>
        <w:t>Because this measure has not been implemented yet, it is not publicly reported.</w:t>
      </w:r>
    </w:p>
    <w:p w14:paraId="3589B4D4" w14:textId="6725B2A8" w:rsidR="009E02D1" w:rsidRPr="00355C9E" w:rsidRDefault="0061473D" w:rsidP="00D87585">
      <w:pPr>
        <w:pStyle w:val="ListParagraph"/>
        <w:numPr>
          <w:ilvl w:val="0"/>
          <w:numId w:val="4"/>
        </w:numPr>
        <w:rPr>
          <w:rFonts w:ascii="Arial" w:hAnsi="Arial" w:cs="Arial"/>
          <w:b/>
        </w:rPr>
      </w:pPr>
      <w:r w:rsidRPr="00BF6DE9">
        <w:rPr>
          <w:rFonts w:ascii="Arial" w:hAnsi="Arial" w:cs="Arial"/>
          <w:i/>
        </w:rPr>
        <w:t>Preferable relevant Peer-Review</w:t>
      </w:r>
      <w:r w:rsidR="00A43287">
        <w:rPr>
          <w:rFonts w:ascii="Arial" w:hAnsi="Arial" w:cs="Arial"/>
          <w:i/>
        </w:rPr>
        <w:t>ed</w:t>
      </w:r>
      <w:r w:rsidRPr="00BF6DE9">
        <w:rPr>
          <w:rFonts w:ascii="Arial" w:hAnsi="Arial" w:cs="Arial"/>
          <w:i/>
        </w:rPr>
        <w:t xml:space="preserve"> Journal for publication</w:t>
      </w:r>
    </w:p>
    <w:p w14:paraId="2C43D0F1" w14:textId="28E50F16" w:rsidR="00355C9E" w:rsidRPr="00863112" w:rsidRDefault="00355C9E" w:rsidP="00355C9E">
      <w:pPr>
        <w:pStyle w:val="ListParagraph"/>
        <w:ind w:left="1440"/>
        <w:rPr>
          <w:rFonts w:ascii="Arial" w:hAnsi="Arial" w:cs="Arial"/>
          <w:b/>
          <w:color w:val="FF0000"/>
        </w:rPr>
      </w:pPr>
      <w:r w:rsidRPr="00863112">
        <w:rPr>
          <w:rFonts w:ascii="Arial" w:hAnsi="Arial" w:cs="Arial"/>
          <w:color w:val="FF0000"/>
        </w:rPr>
        <w:t xml:space="preserve">Journal of the American Society of Nephrology </w:t>
      </w:r>
    </w:p>
    <w:sectPr w:rsidR="00355C9E" w:rsidRPr="00863112" w:rsidSect="00E45B08">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8F4CA" w14:textId="77777777" w:rsidR="00AF03C1" w:rsidRDefault="00AF03C1" w:rsidP="00007C75">
      <w:pPr>
        <w:spacing w:after="0" w:line="240" w:lineRule="auto"/>
      </w:pPr>
      <w:r>
        <w:separator/>
      </w:r>
    </w:p>
  </w:endnote>
  <w:endnote w:type="continuationSeparator" w:id="0">
    <w:p w14:paraId="4CFA97D9" w14:textId="77777777" w:rsidR="00AF03C1" w:rsidRDefault="00AF03C1" w:rsidP="00007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D9AAC" w14:textId="5FA98D62" w:rsidR="00007C75" w:rsidRDefault="00007C75">
    <w:pPr>
      <w:pStyle w:val="Footer"/>
    </w:pPr>
    <w:r>
      <w:rPr>
        <w:noProof/>
      </w:rPr>
      <mc:AlternateContent>
        <mc:Choice Requires="wpg">
          <w:drawing>
            <wp:anchor distT="0" distB="0" distL="114300" distR="114300" simplePos="0" relativeHeight="251659264" behindDoc="0" locked="0" layoutInCell="1" allowOverlap="1" wp14:anchorId="06A1C78A" wp14:editId="0770B1EF">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ADC1FA" w14:textId="031D4F77" w:rsidR="00007C75" w:rsidRDefault="009E06DF">
                            <w:pPr>
                              <w:pStyle w:val="Footer"/>
                              <w:tabs>
                                <w:tab w:val="clear" w:pos="4680"/>
                                <w:tab w:val="clear" w:pos="9360"/>
                              </w:tabs>
                              <w:jc w:val="right"/>
                            </w:pPr>
                            <w:sdt>
                              <w:sdtPr>
                                <w:rPr>
                                  <w:caps/>
                                  <w:color w:val="5B9BD5"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C64481">
                                  <w:rPr>
                                    <w:caps/>
                                    <w:color w:val="5B9BD5" w:themeColor="accent1"/>
                                    <w:sz w:val="20"/>
                                    <w:szCs w:val="20"/>
                                  </w:rPr>
                                  <w:t>Peer Reviewed Journal Article Requirement Template</w:t>
                                </w:r>
                              </w:sdtContent>
                            </w:sdt>
                            <w:r w:rsidR="00007C75">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C64481">
                                  <w:rPr>
                                    <w:color w:val="808080" w:themeColor="background1" w:themeShade="80"/>
                                    <w:sz w:val="20"/>
                                    <w:szCs w:val="20"/>
                                  </w:rPr>
                                  <w:t>Revised January</w:t>
                                </w:r>
                                <w:r w:rsidR="00920265">
                                  <w:rPr>
                                    <w:color w:val="808080" w:themeColor="background1" w:themeShade="80"/>
                                    <w:sz w:val="20"/>
                                    <w:szCs w:val="20"/>
                                  </w:rPr>
                                  <w:t xml:space="preserve"> 2019</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06A1C78A" id="Group 164" o:spid="_x0000_s1027"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">
              <v:rect id="Rectangle 165" o:spid="_x0000_s1028"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9"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43ADC1FA" w14:textId="031D4F77" w:rsidR="00007C75" w:rsidRDefault="009E06DF">
                      <w:pPr>
                        <w:pStyle w:val="Footer"/>
                        <w:tabs>
                          <w:tab w:val="clear" w:pos="4680"/>
                          <w:tab w:val="clear" w:pos="9360"/>
                        </w:tabs>
                        <w:jc w:val="right"/>
                      </w:pPr>
                      <w:sdt>
                        <w:sdtPr>
                          <w:rPr>
                            <w:caps/>
                            <w:color w:val="5B9BD5"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C64481">
                            <w:rPr>
                              <w:caps/>
                              <w:color w:val="5B9BD5" w:themeColor="accent1"/>
                              <w:sz w:val="20"/>
                              <w:szCs w:val="20"/>
                            </w:rPr>
                            <w:t>Peer Reviewed Journal Article Requirement Template</w:t>
                          </w:r>
                        </w:sdtContent>
                      </w:sdt>
                      <w:r w:rsidR="00007C75">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C64481">
                            <w:rPr>
                              <w:color w:val="808080" w:themeColor="background1" w:themeShade="80"/>
                              <w:sz w:val="20"/>
                              <w:szCs w:val="20"/>
                            </w:rPr>
                            <w:t>Revised January</w:t>
                          </w:r>
                          <w:r w:rsidR="00920265">
                            <w:rPr>
                              <w:color w:val="808080" w:themeColor="background1" w:themeShade="80"/>
                              <w:sz w:val="20"/>
                              <w:szCs w:val="20"/>
                            </w:rPr>
                            <w:t xml:space="preserve"> 2019</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1630F" w14:textId="77777777" w:rsidR="00AF03C1" w:rsidRDefault="00AF03C1" w:rsidP="00007C75">
      <w:pPr>
        <w:spacing w:after="0" w:line="240" w:lineRule="auto"/>
      </w:pPr>
      <w:r>
        <w:separator/>
      </w:r>
    </w:p>
  </w:footnote>
  <w:footnote w:type="continuationSeparator" w:id="0">
    <w:p w14:paraId="1B91A7F2" w14:textId="77777777" w:rsidR="00AF03C1" w:rsidRDefault="00AF03C1" w:rsidP="00007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06EE8"/>
    <w:multiLevelType w:val="hybridMultilevel"/>
    <w:tmpl w:val="673022A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E41CBA"/>
    <w:multiLevelType w:val="hybridMultilevel"/>
    <w:tmpl w:val="3ABC959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7584DE8"/>
    <w:multiLevelType w:val="hybridMultilevel"/>
    <w:tmpl w:val="DFB6F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C92D80"/>
    <w:multiLevelType w:val="hybridMultilevel"/>
    <w:tmpl w:val="38DA55BC"/>
    <w:lvl w:ilvl="0" w:tplc="8550BE3E">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19185A"/>
    <w:multiLevelType w:val="hybridMultilevel"/>
    <w:tmpl w:val="B58654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4B841FD"/>
    <w:multiLevelType w:val="hybridMultilevel"/>
    <w:tmpl w:val="3BEE7D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5513200"/>
    <w:multiLevelType w:val="hybridMultilevel"/>
    <w:tmpl w:val="59D01D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7E291B"/>
    <w:multiLevelType w:val="hybridMultilevel"/>
    <w:tmpl w:val="32427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A8541F"/>
    <w:multiLevelType w:val="hybridMultilevel"/>
    <w:tmpl w:val="F7448F2E"/>
    <w:lvl w:ilvl="0" w:tplc="04090001">
      <w:start w:val="1"/>
      <w:numFmt w:val="bullet"/>
      <w:lvlText w:val=""/>
      <w:lvlJc w:val="left"/>
      <w:pPr>
        <w:ind w:left="1440" w:hanging="360"/>
      </w:pPr>
      <w:rPr>
        <w:rFonts w:ascii="Symbol" w:hAnsi="Symbol"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8454ED2"/>
    <w:multiLevelType w:val="hybridMultilevel"/>
    <w:tmpl w:val="4C7A4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B775AB"/>
    <w:multiLevelType w:val="hybridMultilevel"/>
    <w:tmpl w:val="E2AC6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F84419D"/>
    <w:multiLevelType w:val="hybridMultilevel"/>
    <w:tmpl w:val="B4687D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8177845"/>
    <w:multiLevelType w:val="hybridMultilevel"/>
    <w:tmpl w:val="C3926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D1D3FB2"/>
    <w:multiLevelType w:val="hybridMultilevel"/>
    <w:tmpl w:val="03A674BE"/>
    <w:lvl w:ilvl="0" w:tplc="42A66BE8">
      <w:start w:val="1"/>
      <w:numFmt w:val="upperLetter"/>
      <w:lvlText w:val="%1."/>
      <w:lvlJc w:val="left"/>
      <w:pPr>
        <w:ind w:left="1080" w:hanging="360"/>
      </w:pPr>
      <w:rPr>
        <w:rFonts w:hint="default"/>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2"/>
  </w:num>
  <w:num w:numId="3">
    <w:abstractNumId w:val="6"/>
  </w:num>
  <w:num w:numId="4">
    <w:abstractNumId w:val="5"/>
  </w:num>
  <w:num w:numId="5">
    <w:abstractNumId w:val="10"/>
  </w:num>
  <w:num w:numId="6">
    <w:abstractNumId w:val="4"/>
  </w:num>
  <w:num w:numId="7">
    <w:abstractNumId w:val="11"/>
  </w:num>
  <w:num w:numId="8">
    <w:abstractNumId w:val="7"/>
  </w:num>
  <w:num w:numId="9">
    <w:abstractNumId w:val="9"/>
  </w:num>
  <w:num w:numId="10">
    <w:abstractNumId w:val="0"/>
  </w:num>
  <w:num w:numId="11">
    <w:abstractNumId w:val="8"/>
  </w:num>
  <w:num w:numId="12">
    <w:abstractNumId w:val="13"/>
  </w:num>
  <w:num w:numId="13">
    <w:abstractNumId w:val="2"/>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120"/>
    <w:rsid w:val="00007C75"/>
    <w:rsid w:val="000156AE"/>
    <w:rsid w:val="000836BC"/>
    <w:rsid w:val="00087B73"/>
    <w:rsid w:val="000B0D5A"/>
    <w:rsid w:val="000D38B8"/>
    <w:rsid w:val="001121DA"/>
    <w:rsid w:val="001278CF"/>
    <w:rsid w:val="001535BF"/>
    <w:rsid w:val="00184279"/>
    <w:rsid w:val="00191E83"/>
    <w:rsid w:val="0022441B"/>
    <w:rsid w:val="002449AA"/>
    <w:rsid w:val="00251254"/>
    <w:rsid w:val="00254084"/>
    <w:rsid w:val="002704D1"/>
    <w:rsid w:val="002C60EB"/>
    <w:rsid w:val="002E5674"/>
    <w:rsid w:val="00300FD4"/>
    <w:rsid w:val="00351E57"/>
    <w:rsid w:val="00355C9E"/>
    <w:rsid w:val="00363D3C"/>
    <w:rsid w:val="0041080A"/>
    <w:rsid w:val="004218DE"/>
    <w:rsid w:val="00466BD1"/>
    <w:rsid w:val="004A7CEC"/>
    <w:rsid w:val="004E4440"/>
    <w:rsid w:val="00534143"/>
    <w:rsid w:val="00545F9F"/>
    <w:rsid w:val="00565DDF"/>
    <w:rsid w:val="005A4EC4"/>
    <w:rsid w:val="005C641D"/>
    <w:rsid w:val="005C731D"/>
    <w:rsid w:val="005D6A32"/>
    <w:rsid w:val="005D7582"/>
    <w:rsid w:val="005E7A4F"/>
    <w:rsid w:val="0061473D"/>
    <w:rsid w:val="006A566B"/>
    <w:rsid w:val="006A588F"/>
    <w:rsid w:val="00771C8D"/>
    <w:rsid w:val="007A0EB0"/>
    <w:rsid w:val="007B0045"/>
    <w:rsid w:val="007C4F9B"/>
    <w:rsid w:val="007E2182"/>
    <w:rsid w:val="007E7FDE"/>
    <w:rsid w:val="008137A5"/>
    <w:rsid w:val="00817C4F"/>
    <w:rsid w:val="00863112"/>
    <w:rsid w:val="008909CD"/>
    <w:rsid w:val="00893400"/>
    <w:rsid w:val="008A355E"/>
    <w:rsid w:val="008D6226"/>
    <w:rsid w:val="00902D7C"/>
    <w:rsid w:val="009033F4"/>
    <w:rsid w:val="00920265"/>
    <w:rsid w:val="00974416"/>
    <w:rsid w:val="00981A2F"/>
    <w:rsid w:val="00996EA0"/>
    <w:rsid w:val="009B2AD1"/>
    <w:rsid w:val="009E02D1"/>
    <w:rsid w:val="009E06DF"/>
    <w:rsid w:val="00A022A1"/>
    <w:rsid w:val="00A43287"/>
    <w:rsid w:val="00A701A6"/>
    <w:rsid w:val="00AA3A80"/>
    <w:rsid w:val="00AB3D59"/>
    <w:rsid w:val="00AD0E94"/>
    <w:rsid w:val="00AF03C1"/>
    <w:rsid w:val="00B543CC"/>
    <w:rsid w:val="00BD2120"/>
    <w:rsid w:val="00BF6DE9"/>
    <w:rsid w:val="00C64481"/>
    <w:rsid w:val="00C75EB1"/>
    <w:rsid w:val="00C80C34"/>
    <w:rsid w:val="00C97B32"/>
    <w:rsid w:val="00CF59D3"/>
    <w:rsid w:val="00D6429F"/>
    <w:rsid w:val="00D87585"/>
    <w:rsid w:val="00DA2669"/>
    <w:rsid w:val="00DD5758"/>
    <w:rsid w:val="00E45B08"/>
    <w:rsid w:val="00E60FCE"/>
    <w:rsid w:val="00EF053E"/>
    <w:rsid w:val="00F441A0"/>
    <w:rsid w:val="00F456F6"/>
    <w:rsid w:val="00F74053"/>
    <w:rsid w:val="00F862BA"/>
    <w:rsid w:val="00FA0FE5"/>
    <w:rsid w:val="00FC5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6402D8"/>
  <w15:chartTrackingRefBased/>
  <w15:docId w15:val="{87694A99-5505-4893-9E6B-9139E1DBF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B08"/>
    <w:pPr>
      <w:ind w:left="720"/>
      <w:contextualSpacing/>
    </w:pPr>
  </w:style>
  <w:style w:type="paragraph" w:styleId="BalloonText">
    <w:name w:val="Balloon Text"/>
    <w:basedOn w:val="Normal"/>
    <w:link w:val="BalloonTextChar"/>
    <w:uiPriority w:val="99"/>
    <w:semiHidden/>
    <w:unhideWhenUsed/>
    <w:rsid w:val="00E45B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B08"/>
    <w:rPr>
      <w:rFonts w:ascii="Segoe UI" w:hAnsi="Segoe UI" w:cs="Segoe UI"/>
      <w:sz w:val="18"/>
      <w:szCs w:val="18"/>
    </w:rPr>
  </w:style>
  <w:style w:type="table" w:styleId="TableGrid">
    <w:name w:val="Table Grid"/>
    <w:basedOn w:val="TableNormal"/>
    <w:uiPriority w:val="59"/>
    <w:rsid w:val="009E0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B2AD1"/>
    <w:rPr>
      <w:sz w:val="16"/>
      <w:szCs w:val="16"/>
    </w:rPr>
  </w:style>
  <w:style w:type="paragraph" w:styleId="CommentText">
    <w:name w:val="annotation text"/>
    <w:basedOn w:val="Normal"/>
    <w:link w:val="CommentTextChar"/>
    <w:uiPriority w:val="99"/>
    <w:semiHidden/>
    <w:unhideWhenUsed/>
    <w:rsid w:val="009B2AD1"/>
    <w:pPr>
      <w:spacing w:line="240" w:lineRule="auto"/>
    </w:pPr>
    <w:rPr>
      <w:sz w:val="20"/>
      <w:szCs w:val="20"/>
    </w:rPr>
  </w:style>
  <w:style w:type="character" w:customStyle="1" w:styleId="CommentTextChar">
    <w:name w:val="Comment Text Char"/>
    <w:basedOn w:val="DefaultParagraphFont"/>
    <w:link w:val="CommentText"/>
    <w:uiPriority w:val="99"/>
    <w:semiHidden/>
    <w:rsid w:val="009B2AD1"/>
    <w:rPr>
      <w:sz w:val="20"/>
      <w:szCs w:val="20"/>
    </w:rPr>
  </w:style>
  <w:style w:type="paragraph" w:styleId="CommentSubject">
    <w:name w:val="annotation subject"/>
    <w:basedOn w:val="CommentText"/>
    <w:next w:val="CommentText"/>
    <w:link w:val="CommentSubjectChar"/>
    <w:uiPriority w:val="99"/>
    <w:semiHidden/>
    <w:unhideWhenUsed/>
    <w:rsid w:val="009B2AD1"/>
    <w:rPr>
      <w:b/>
      <w:bCs/>
    </w:rPr>
  </w:style>
  <w:style w:type="character" w:customStyle="1" w:styleId="CommentSubjectChar">
    <w:name w:val="Comment Subject Char"/>
    <w:basedOn w:val="CommentTextChar"/>
    <w:link w:val="CommentSubject"/>
    <w:uiPriority w:val="99"/>
    <w:semiHidden/>
    <w:rsid w:val="009B2AD1"/>
    <w:rPr>
      <w:b/>
      <w:bCs/>
      <w:sz w:val="20"/>
      <w:szCs w:val="20"/>
    </w:rPr>
  </w:style>
  <w:style w:type="paragraph" w:styleId="Header">
    <w:name w:val="header"/>
    <w:basedOn w:val="Normal"/>
    <w:link w:val="HeaderChar"/>
    <w:uiPriority w:val="99"/>
    <w:unhideWhenUsed/>
    <w:rsid w:val="00007C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C75"/>
  </w:style>
  <w:style w:type="paragraph" w:styleId="Footer">
    <w:name w:val="footer"/>
    <w:basedOn w:val="Normal"/>
    <w:link w:val="FooterChar"/>
    <w:uiPriority w:val="99"/>
    <w:unhideWhenUsed/>
    <w:rsid w:val="00007C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C75"/>
  </w:style>
  <w:style w:type="paragraph" w:styleId="Title">
    <w:name w:val="Title"/>
    <w:basedOn w:val="Normal"/>
    <w:next w:val="Normal"/>
    <w:link w:val="TitleChar"/>
    <w:uiPriority w:val="10"/>
    <w:qFormat/>
    <w:rsid w:val="00DA26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26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2669"/>
    <w:pPr>
      <w:numPr>
        <w:ilvl w:val="1"/>
      </w:numPr>
      <w:jc w:val="center"/>
    </w:pPr>
    <w:rPr>
      <w:rFonts w:ascii="Arial" w:eastAsiaTheme="minorEastAsia" w:hAnsi="Arial"/>
      <w:spacing w:val="15"/>
      <w:sz w:val="24"/>
    </w:rPr>
  </w:style>
  <w:style w:type="character" w:customStyle="1" w:styleId="SubtitleChar">
    <w:name w:val="Subtitle Char"/>
    <w:basedOn w:val="DefaultParagraphFont"/>
    <w:link w:val="Subtitle"/>
    <w:uiPriority w:val="11"/>
    <w:rsid w:val="00DA2669"/>
    <w:rPr>
      <w:rFonts w:ascii="Arial" w:eastAsiaTheme="minorEastAsia" w:hAnsi="Arial"/>
      <w:spacing w:val="15"/>
      <w:sz w:val="24"/>
    </w:rPr>
  </w:style>
  <w:style w:type="paragraph" w:styleId="Revision">
    <w:name w:val="Revision"/>
    <w:hidden/>
    <w:uiPriority w:val="99"/>
    <w:semiHidden/>
    <w:rsid w:val="00C97B32"/>
    <w:pPr>
      <w:spacing w:after="0" w:line="240" w:lineRule="auto"/>
    </w:pPr>
  </w:style>
  <w:style w:type="paragraph" w:customStyle="1" w:styleId="Default">
    <w:name w:val="Default"/>
    <w:rsid w:val="005D6A3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51E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40328">
      <w:bodyDiv w:val="1"/>
      <w:marLeft w:val="0"/>
      <w:marRight w:val="0"/>
      <w:marTop w:val="0"/>
      <w:marBottom w:val="0"/>
      <w:divBdr>
        <w:top w:val="none" w:sz="0" w:space="0" w:color="auto"/>
        <w:left w:val="none" w:sz="0" w:space="0" w:color="auto"/>
        <w:bottom w:val="none" w:sz="0" w:space="0" w:color="auto"/>
        <w:right w:val="none" w:sz="0" w:space="0" w:color="auto"/>
      </w:divBdr>
    </w:div>
    <w:div w:id="87235458">
      <w:bodyDiv w:val="1"/>
      <w:marLeft w:val="0"/>
      <w:marRight w:val="0"/>
      <w:marTop w:val="0"/>
      <w:marBottom w:val="0"/>
      <w:divBdr>
        <w:top w:val="none" w:sz="0" w:space="0" w:color="auto"/>
        <w:left w:val="none" w:sz="0" w:space="0" w:color="auto"/>
        <w:bottom w:val="none" w:sz="0" w:space="0" w:color="auto"/>
        <w:right w:val="none" w:sz="0" w:space="0" w:color="auto"/>
      </w:divBdr>
    </w:div>
    <w:div w:id="166602648">
      <w:bodyDiv w:val="1"/>
      <w:marLeft w:val="0"/>
      <w:marRight w:val="0"/>
      <w:marTop w:val="0"/>
      <w:marBottom w:val="0"/>
      <w:divBdr>
        <w:top w:val="none" w:sz="0" w:space="0" w:color="auto"/>
        <w:left w:val="none" w:sz="0" w:space="0" w:color="auto"/>
        <w:bottom w:val="none" w:sz="0" w:space="0" w:color="auto"/>
        <w:right w:val="none" w:sz="0" w:space="0" w:color="auto"/>
      </w:divBdr>
    </w:div>
    <w:div w:id="449789647">
      <w:bodyDiv w:val="1"/>
      <w:marLeft w:val="0"/>
      <w:marRight w:val="0"/>
      <w:marTop w:val="0"/>
      <w:marBottom w:val="0"/>
      <w:divBdr>
        <w:top w:val="none" w:sz="0" w:space="0" w:color="auto"/>
        <w:left w:val="none" w:sz="0" w:space="0" w:color="auto"/>
        <w:bottom w:val="none" w:sz="0" w:space="0" w:color="auto"/>
        <w:right w:val="none" w:sz="0" w:space="0" w:color="auto"/>
      </w:divBdr>
    </w:div>
    <w:div w:id="496962187">
      <w:bodyDiv w:val="1"/>
      <w:marLeft w:val="0"/>
      <w:marRight w:val="0"/>
      <w:marTop w:val="0"/>
      <w:marBottom w:val="0"/>
      <w:divBdr>
        <w:top w:val="none" w:sz="0" w:space="0" w:color="auto"/>
        <w:left w:val="none" w:sz="0" w:space="0" w:color="auto"/>
        <w:bottom w:val="none" w:sz="0" w:space="0" w:color="auto"/>
        <w:right w:val="none" w:sz="0" w:space="0" w:color="auto"/>
      </w:divBdr>
    </w:div>
    <w:div w:id="573046937">
      <w:bodyDiv w:val="1"/>
      <w:marLeft w:val="0"/>
      <w:marRight w:val="0"/>
      <w:marTop w:val="0"/>
      <w:marBottom w:val="0"/>
      <w:divBdr>
        <w:top w:val="none" w:sz="0" w:space="0" w:color="auto"/>
        <w:left w:val="none" w:sz="0" w:space="0" w:color="auto"/>
        <w:bottom w:val="none" w:sz="0" w:space="0" w:color="auto"/>
        <w:right w:val="none" w:sz="0" w:space="0" w:color="auto"/>
      </w:divBdr>
    </w:div>
    <w:div w:id="873149760">
      <w:bodyDiv w:val="1"/>
      <w:marLeft w:val="0"/>
      <w:marRight w:val="0"/>
      <w:marTop w:val="0"/>
      <w:marBottom w:val="0"/>
      <w:divBdr>
        <w:top w:val="none" w:sz="0" w:space="0" w:color="auto"/>
        <w:left w:val="none" w:sz="0" w:space="0" w:color="auto"/>
        <w:bottom w:val="none" w:sz="0" w:space="0" w:color="auto"/>
        <w:right w:val="none" w:sz="0" w:space="0" w:color="auto"/>
      </w:divBdr>
    </w:div>
    <w:div w:id="941062935">
      <w:bodyDiv w:val="1"/>
      <w:marLeft w:val="0"/>
      <w:marRight w:val="0"/>
      <w:marTop w:val="0"/>
      <w:marBottom w:val="0"/>
      <w:divBdr>
        <w:top w:val="none" w:sz="0" w:space="0" w:color="auto"/>
        <w:left w:val="none" w:sz="0" w:space="0" w:color="auto"/>
        <w:bottom w:val="none" w:sz="0" w:space="0" w:color="auto"/>
        <w:right w:val="none" w:sz="0" w:space="0" w:color="auto"/>
      </w:divBdr>
    </w:div>
    <w:div w:id="1182813552">
      <w:bodyDiv w:val="1"/>
      <w:marLeft w:val="0"/>
      <w:marRight w:val="0"/>
      <w:marTop w:val="0"/>
      <w:marBottom w:val="0"/>
      <w:divBdr>
        <w:top w:val="none" w:sz="0" w:space="0" w:color="auto"/>
        <w:left w:val="none" w:sz="0" w:space="0" w:color="auto"/>
        <w:bottom w:val="none" w:sz="0" w:space="0" w:color="auto"/>
        <w:right w:val="none" w:sz="0" w:space="0" w:color="auto"/>
      </w:divBdr>
    </w:div>
    <w:div w:id="1346832239">
      <w:bodyDiv w:val="1"/>
      <w:marLeft w:val="0"/>
      <w:marRight w:val="0"/>
      <w:marTop w:val="0"/>
      <w:marBottom w:val="0"/>
      <w:divBdr>
        <w:top w:val="none" w:sz="0" w:space="0" w:color="auto"/>
        <w:left w:val="none" w:sz="0" w:space="0" w:color="auto"/>
        <w:bottom w:val="none" w:sz="0" w:space="0" w:color="auto"/>
        <w:right w:val="none" w:sz="0" w:space="0" w:color="auto"/>
      </w:divBdr>
    </w:div>
    <w:div w:id="2051803870">
      <w:bodyDiv w:val="1"/>
      <w:marLeft w:val="0"/>
      <w:marRight w:val="0"/>
      <w:marTop w:val="0"/>
      <w:marBottom w:val="0"/>
      <w:divBdr>
        <w:top w:val="none" w:sz="0" w:space="0" w:color="auto"/>
        <w:left w:val="none" w:sz="0" w:space="0" w:color="auto"/>
        <w:bottom w:val="none" w:sz="0" w:space="0" w:color="auto"/>
        <w:right w:val="none" w:sz="0" w:space="0" w:color="auto"/>
      </w:divBdr>
    </w:div>
    <w:div w:id="2121951391">
      <w:bodyDiv w:val="1"/>
      <w:marLeft w:val="0"/>
      <w:marRight w:val="0"/>
      <w:marTop w:val="0"/>
      <w:marBottom w:val="0"/>
      <w:divBdr>
        <w:top w:val="none" w:sz="0" w:space="0" w:color="auto"/>
        <w:left w:val="none" w:sz="0" w:space="0" w:color="auto"/>
        <w:bottom w:val="none" w:sz="0" w:space="0" w:color="auto"/>
        <w:right w:val="none" w:sz="0" w:space="0" w:color="auto"/>
      </w:divBdr>
    </w:div>
    <w:div w:id="213051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idney.org/professionals/KDOQI/guidelines_commentari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A95B5B5E7B404B849E7658CC89622B" ma:contentTypeVersion="0" ma:contentTypeDescription="Create a new document." ma:contentTypeScope="" ma:versionID="8d7ac8e5185e1d76b61e8fca6526f5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EE3FB-6EE6-4082-A3FB-F0D31E4C06E6}">
  <ds:schemaRefs>
    <ds:schemaRef ds:uri="http://schemas.microsoft.com/sharepoint/v3/contenttype/forms"/>
  </ds:schemaRefs>
</ds:datastoreItem>
</file>

<file path=customXml/itemProps2.xml><?xml version="1.0" encoding="utf-8"?>
<ds:datastoreItem xmlns:ds="http://schemas.openxmlformats.org/officeDocument/2006/customXml" ds:itemID="{83871067-4B12-4DD8-8C94-6913C51281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03857B-4740-4893-920B-6A1697A8F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AC1FE26-5D18-45EC-8AEF-EF25FDD90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1690</Words>
  <Characters>9636</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Peer Reviewed Journal Article Requirement Template</vt:lpstr>
    </vt:vector>
  </TitlesOfParts>
  <Company>CMS</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Peer Reviewed Journal Article Requirement Template</dc:title>
  <dc:subject>Revised January 2019</dc:subject>
  <dc:creator>CMS</dc:creator>
  <cp:keywords>Peer Reviewed Journal Article Requirement</cp:keywords>
  <dc:description/>
  <cp:lastModifiedBy>Mawuse Matias</cp:lastModifiedBy>
  <cp:revision>2</cp:revision>
  <cp:lastPrinted>2016-03-10T16:39:00Z</cp:lastPrinted>
  <dcterms:created xsi:type="dcterms:W3CDTF">2020-03-24T15:42:00Z</dcterms:created>
  <dcterms:modified xsi:type="dcterms:W3CDTF">2020-03-24T15:42:00Z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0x0101008BA95B5B5E7B404B849E7658CC89622B</vt:lpwstr>
  </property>
  <property fmtid="{D5CDD505-2E9C-101B-9397-08002B2CF9AE}" pid="4" name="_AdHocReviewCycleID">
    <vt:i4>-210794206</vt:i4>
  </property>
  <property fmtid="{D5CDD505-2E9C-101B-9397-08002B2CF9AE}" pid="5" name="_EmailSubject">
    <vt:lpwstr>2019 Updated Peer Reviewed Article Template and Examples Attached</vt:lpwstr>
  </property>
  <property fmtid="{D5CDD505-2E9C-101B-9397-08002B2CF9AE}" pid="6" name="_AuthorEmail">
    <vt:lpwstr>Kati.Moore@cms.hhs.gov</vt:lpwstr>
  </property>
  <property fmtid="{D5CDD505-2E9C-101B-9397-08002B2CF9AE}" pid="7" name="_AuthorEmailDisplayName">
    <vt:lpwstr>Moore, Kati M. (CMS/CCSQ)</vt:lpwstr>
  </property>
  <property fmtid="{D5CDD505-2E9C-101B-9397-08002B2CF9AE}" pid="8" name="_ReviewingToolsShownOnce">
    <vt:lpwstr/>
  </property>
</Properties>
</file>