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6CE489F8"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E6079C" w:rsidRPr="003D151F">
            <w:rPr>
              <w:rStyle w:val="Style1"/>
              <w:color w:val="7030A0"/>
            </w:rPr>
            <w:t>0505</w:t>
          </w:r>
        </w:sdtContent>
      </w:sdt>
    </w:p>
    <w:p w14:paraId="55B8DA2F" w14:textId="2BEA6F23"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color w:val="7030A0"/>
          </w:rPr>
          <w:id w:val="-882640736"/>
          <w:placeholder>
            <w:docPart w:val="61E91D4220034A64A72268AE9C6EBC95"/>
          </w:placeholder>
        </w:sdtPr>
        <w:sdtEndPr>
          <w:rPr>
            <w:rStyle w:val="DefaultParagraphFont"/>
            <w:noProof/>
          </w:rPr>
        </w:sdtEndPr>
        <w:sdtContent>
          <w:r w:rsidR="00E6079C" w:rsidRPr="003D151F">
            <w:rPr>
              <w:color w:val="7030A0"/>
            </w:rPr>
            <w:t>Hospital 30-day all-cause risk-standardized readmission rate (RSRR) following acute myocardial infarction (AMI) hospitalization</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2D1F7CEA"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color w:val="C00000"/>
          </w:rPr>
          <w:id w:val="-1689821638"/>
          <w:placeholder>
            <w:docPart w:val="6A100845774148B09AFD987423307E3B"/>
          </w:placeholder>
          <w:date w:fullDate="2020-11-02T00:00:00Z">
            <w:dateFormat w:val="M/d/yyyy"/>
            <w:lid w:val="en-US"/>
            <w:storeMappedDataAs w:val="dateTime"/>
            <w:calendar w:val="gregorian"/>
          </w:date>
        </w:sdtPr>
        <w:sdtEndPr>
          <w:rPr>
            <w:rStyle w:val="DefaultParagraphFont"/>
            <w:noProof/>
            <w:u w:val="none"/>
          </w:rPr>
        </w:sdtEndPr>
        <w:sdtContent>
          <w:r w:rsidR="009F4DCF" w:rsidRPr="003D151F">
            <w:rPr>
              <w:rStyle w:val="Style2"/>
              <w:color w:val="C00000"/>
            </w:rPr>
            <w:t>11/2/2020</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67DF46F9" w:rsidR="00496AF8" w:rsidRPr="003B1CC5" w:rsidRDefault="000B6FAF" w:rsidP="00A9011D">
      <w:pPr>
        <w:ind w:left="432" w:hanging="432"/>
        <w:rPr>
          <w:rStyle w:val="Style2"/>
          <w:rFonts w:cstheme="minorHAnsi"/>
        </w:rPr>
      </w:pPr>
      <w:sdt>
        <w:sdtPr>
          <w:rPr>
            <w:bCs/>
            <w:color w:val="7030A0"/>
            <w:u w:val="single"/>
          </w:rPr>
          <w:id w:val="1077707841"/>
          <w14:checkbox>
            <w14:checked w14:val="1"/>
            <w14:checkedState w14:val="2612" w14:font="MS Gothic"/>
            <w14:uncheckedState w14:val="2610" w14:font="MS Gothic"/>
          </w14:checkbox>
        </w:sdtPr>
        <w:sdtEndPr/>
        <w:sdtContent>
          <w:r w:rsidR="003D151F">
            <w:rPr>
              <w:rFonts w:ascii="MS Gothic" w:eastAsia="MS Gothic" w:hAnsi="MS Gothic" w:hint="eastAsia"/>
              <w:bCs/>
              <w:color w:val="7030A0"/>
              <w:u w:val="single"/>
            </w:rPr>
            <w:t>☒</w:t>
          </w:r>
        </w:sdtContent>
      </w:sdt>
      <w:r w:rsidR="0015535B" w:rsidRPr="003B1CC5">
        <w:rPr>
          <w:bCs/>
          <w:color w:val="0000FF"/>
        </w:rPr>
        <w:t xml:space="preserve"> </w:t>
      </w:r>
      <w:r w:rsidR="00CC0F87" w:rsidRPr="00D65471">
        <w:rPr>
          <w:bCs/>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dtPr>
        <w:sdtEndPr>
          <w:rPr>
            <w:rStyle w:val="DefaultParagraphFont"/>
            <w:rFonts w:cstheme="minorBidi"/>
            <w:color w:val="auto"/>
            <w:u w:val="none"/>
          </w:rPr>
        </w:sdtEndPr>
        <w:sdtContent>
          <w:sdt>
            <w:sdtPr>
              <w:rPr>
                <w:rStyle w:val="Style1"/>
                <w:color w:val="7030A0"/>
              </w:rPr>
              <w:id w:val="-83460653"/>
              <w:placeholder>
                <w:docPart w:val="3A0CF36E869D4806B6A1540D6B9B50F7"/>
              </w:placeholder>
            </w:sdtPr>
            <w:sdtEndPr>
              <w:rPr>
                <w:rStyle w:val="DefaultParagraphFont"/>
                <w:noProof/>
              </w:rPr>
            </w:sdtEndPr>
            <w:sdtContent>
              <w:r w:rsidR="00853B1A" w:rsidRPr="003D151F">
                <w:rPr>
                  <w:color w:val="7030A0"/>
                </w:rPr>
                <w:t>30-day all-cause risk-standardized readmission rate (RSRR) following acute myocardial infarction (AMI) hospitalization</w:t>
              </w:r>
            </w:sdtContent>
          </w:sdt>
        </w:sdtContent>
      </w:sdt>
    </w:p>
    <w:p w14:paraId="55B8DA52" w14:textId="77777777" w:rsidR="00236F87" w:rsidRPr="003B1CC5" w:rsidRDefault="000B6FAF"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0B6FAF"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77777777" w:rsidR="00D73685" w:rsidRDefault="000B6FAF"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0B6FAF"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0B6FAF"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2D743205" w:rsidR="002B06BD" w:rsidRDefault="00676BD4" w:rsidP="002B06BD">
      <w:pPr>
        <w:ind w:left="432" w:hanging="432"/>
        <w:rPr>
          <w:iCs/>
        </w:rPr>
      </w:pPr>
      <w:r w:rsidRPr="0093453B">
        <w:rPr>
          <w:b/>
          <w:bCs/>
          <w:color w:val="0000FF"/>
        </w:rPr>
        <w:t>1a.</w:t>
      </w:r>
      <w:r w:rsidR="00C41794" w:rsidRPr="0093453B">
        <w:rPr>
          <w:b/>
          <w:bCs/>
          <w:color w:val="0000FF"/>
        </w:rPr>
        <w:t>2</w:t>
      </w:r>
      <w:r w:rsidR="002B06BD" w:rsidRPr="0093453B">
        <w:rPr>
          <w:bCs/>
        </w:rPr>
        <w:t xml:space="preserve"> </w:t>
      </w:r>
      <w:r w:rsidRPr="0093453B">
        <w:rPr>
          <w:b/>
          <w:bCs/>
        </w:rPr>
        <w:t>LOGIC MODEL</w:t>
      </w:r>
      <w:r w:rsidRPr="0093453B">
        <w:rPr>
          <w:bCs/>
        </w:rPr>
        <w:t xml:space="preserve"> </w:t>
      </w:r>
      <w:r w:rsidRPr="0093453B">
        <w:rPr>
          <w:iCs/>
        </w:rPr>
        <w:t>Diagram or briefly describe</w:t>
      </w:r>
      <w:r w:rsidR="002B06BD" w:rsidRPr="0093453B">
        <w:rPr>
          <w:iCs/>
        </w:rPr>
        <w:t xml:space="preserve"> the </w:t>
      </w:r>
      <w:r w:rsidRPr="0093453B">
        <w:rPr>
          <w:iCs/>
        </w:rPr>
        <w:t>steps</w:t>
      </w:r>
      <w:r w:rsidR="00236F87" w:rsidRPr="0093453B">
        <w:rPr>
          <w:iCs/>
        </w:rPr>
        <w:t xml:space="preserve"> </w:t>
      </w:r>
      <w:r w:rsidR="002B06BD" w:rsidRPr="0093453B">
        <w:rPr>
          <w:iCs/>
        </w:rPr>
        <w:t xml:space="preserve">between </w:t>
      </w:r>
      <w:r w:rsidR="00CB06C9" w:rsidRPr="0093453B">
        <w:rPr>
          <w:iCs/>
        </w:rPr>
        <w:t>the</w:t>
      </w:r>
      <w:r w:rsidR="002B06BD" w:rsidRPr="0093453B">
        <w:rPr>
          <w:iCs/>
        </w:rPr>
        <w:t xml:space="preserve"> healthcare structure</w:t>
      </w:r>
      <w:r w:rsidR="00CB06C9" w:rsidRPr="0093453B">
        <w:rPr>
          <w:iCs/>
        </w:rPr>
        <w:t>s</w:t>
      </w:r>
      <w:r w:rsidR="00F90F82" w:rsidRPr="0093453B">
        <w:rPr>
          <w:iCs/>
        </w:rPr>
        <w:t xml:space="preserve"> and</w:t>
      </w:r>
      <w:r w:rsidR="002B06BD" w:rsidRPr="0093453B">
        <w:rPr>
          <w:iCs/>
        </w:rPr>
        <w:t xml:space="preserve"> process</w:t>
      </w:r>
      <w:r w:rsidR="00CB06C9" w:rsidRPr="0093453B">
        <w:rPr>
          <w:iCs/>
        </w:rPr>
        <w:t>es</w:t>
      </w:r>
      <w:r w:rsidRPr="0093453B">
        <w:rPr>
          <w:iCs/>
        </w:rPr>
        <w:t xml:space="preserve"> (e.g.,</w:t>
      </w:r>
      <w:r w:rsidR="002B06BD" w:rsidRPr="0093453B">
        <w:rPr>
          <w:iCs/>
        </w:rPr>
        <w:t xml:space="preserve"> intervention</w:t>
      </w:r>
      <w:r w:rsidR="00CB06C9" w:rsidRPr="0093453B">
        <w:rPr>
          <w:iCs/>
        </w:rPr>
        <w:t>s</w:t>
      </w:r>
      <w:r w:rsidR="002B06BD" w:rsidRPr="0093453B">
        <w:rPr>
          <w:iCs/>
        </w:rPr>
        <w:t>, or service</w:t>
      </w:r>
      <w:r w:rsidR="00CB06C9" w:rsidRPr="0093453B">
        <w:rPr>
          <w:iCs/>
        </w:rPr>
        <w:t>s</w:t>
      </w:r>
      <w:r w:rsidRPr="0093453B">
        <w:rPr>
          <w:iCs/>
        </w:rPr>
        <w:t>)</w:t>
      </w:r>
      <w:r w:rsidR="00CB06C9" w:rsidRPr="0093453B">
        <w:rPr>
          <w:iCs/>
        </w:rPr>
        <w:t xml:space="preserve"> </w:t>
      </w:r>
      <w:r w:rsidRPr="0093453B">
        <w:rPr>
          <w:iCs/>
        </w:rPr>
        <w:t>and the patient’s health outcome</w:t>
      </w:r>
      <w:r w:rsidR="00F90F82" w:rsidRPr="0093453B">
        <w:rPr>
          <w:iCs/>
        </w:rPr>
        <w:t>(s)</w:t>
      </w:r>
      <w:r w:rsidRPr="0093453B">
        <w:rPr>
          <w:iCs/>
        </w:rPr>
        <w:t xml:space="preserve">. The relationships in the diagram should be easily understood by general, non-technical audiences. Indicate the </w:t>
      </w:r>
      <w:r w:rsidR="00F90F82" w:rsidRPr="0093453B">
        <w:rPr>
          <w:iCs/>
        </w:rPr>
        <w:t xml:space="preserve">structure, </w:t>
      </w:r>
      <w:r w:rsidRPr="0093453B">
        <w:rPr>
          <w:iCs/>
        </w:rPr>
        <w:t>process or outcome being measured.</w:t>
      </w:r>
    </w:p>
    <w:p w14:paraId="4C1EC2AE" w14:textId="77777777" w:rsidR="005E067A" w:rsidRDefault="005E067A" w:rsidP="005E067A">
      <w:pPr>
        <w:spacing w:before="120" w:after="120"/>
        <w:ind w:left="0" w:firstLine="0"/>
        <w:rPr>
          <w:iCs/>
          <w:color w:val="7030A0"/>
        </w:rPr>
      </w:pPr>
      <w:r>
        <w:rPr>
          <w:iCs/>
          <w:color w:val="7030A0"/>
        </w:rPr>
        <w:t>Figure 1: AMI Logic Model</w:t>
      </w:r>
    </w:p>
    <w:p w14:paraId="79A9FAF9" w14:textId="1DF7C1D5" w:rsidR="005E067A" w:rsidRDefault="00AF732F" w:rsidP="005E067A">
      <w:pPr>
        <w:spacing w:before="120" w:after="120"/>
        <w:ind w:left="0" w:firstLine="0"/>
      </w:pPr>
      <w:r w:rsidRPr="000B6FAF">
        <w:rPr>
          <w:noProof/>
        </w:rPr>
        <w:drawing>
          <wp:inline distT="0" distB="0" distL="0" distR="0" wp14:anchorId="44D3B9C2" wp14:editId="3CF02330">
            <wp:extent cx="5943600" cy="2393950"/>
            <wp:effectExtent l="0" t="0" r="0" b="6350"/>
            <wp:docPr id="1" name="Picture 1" descr="This figure describes the AMI logic model. First is the delivery of timely, high-quality care; reducing the risk of infection and other complications; ensuring the patient is ready for discharge; improving communication among providers involved at care transition; reconciling medications; educating patients about symptoms, whom to contact with questions, and where/when to seek follow-up care; encouraging strategies that promote disease management. Second is improving health status; and improve healthcare and support management. Third is decreased risk of read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2393950"/>
                    </a:xfrm>
                    <a:prstGeom prst="rect">
                      <a:avLst/>
                    </a:prstGeom>
                  </pic:spPr>
                </pic:pic>
              </a:graphicData>
            </a:graphic>
          </wp:inline>
        </w:drawing>
      </w:r>
    </w:p>
    <w:p w14:paraId="43AC44A5" w14:textId="25C0394F" w:rsidR="00D1624B" w:rsidRDefault="00D1624B" w:rsidP="000D243B">
      <w:pPr>
        <w:spacing w:before="120" w:after="120"/>
        <w:ind w:left="0" w:firstLine="0"/>
        <w:rPr>
          <w:color w:val="7030A0"/>
        </w:rPr>
      </w:pPr>
      <w:r w:rsidRPr="008854AC">
        <w:rPr>
          <w:color w:val="7030A0"/>
        </w:rPr>
        <w:t xml:space="preserve">The goal of this measure is to improve patient outcomes by providing patients, physicians, and hospitals with information about hospital-level, risk-standardized readmission rates following hospitalization for </w:t>
      </w:r>
      <w:r w:rsidR="0071176D">
        <w:rPr>
          <w:color w:val="7030A0"/>
        </w:rPr>
        <w:t>AMI</w:t>
      </w:r>
      <w:r w:rsidRPr="008854AC">
        <w:rPr>
          <w:color w:val="7030A0"/>
        </w:rPr>
        <w:t xml:space="preserve">. Measurement of patient outcomes allows for a broad view of quality of care that encompasses more than what can be captured by individual process-of-care measures. Complex and critical aspects of care, such as communication between providers, prevention of, and response to, complications, patient safety and coordinated transitions to the outpatient environment, all contribute to patient outcomes but are difficult to measure by individual process measures. The goal of outcomes measurement is to risk-adjust for patients’ conditions at the time of hospital admission and then evaluate patient </w:t>
      </w:r>
      <w:r w:rsidRPr="008854AC">
        <w:rPr>
          <w:color w:val="7030A0"/>
        </w:rPr>
        <w:lastRenderedPageBreak/>
        <w:t>outcomes. This readmission measure was developed to identify institutions, whose performance is better or worse than would be expected based on their patient case-mix, and therefore promote hospital quality improvement and better inform consumers about care quality.</w:t>
      </w:r>
    </w:p>
    <w:p w14:paraId="6E328C5A" w14:textId="7129D291" w:rsidR="003D151F" w:rsidRDefault="003D151F" w:rsidP="005E067A">
      <w:pPr>
        <w:rPr>
          <w:b/>
        </w:rPr>
      </w:pPr>
    </w:p>
    <w:p w14:paraId="55E804E5" w14:textId="77777777" w:rsidR="003D151F" w:rsidRPr="0093453B" w:rsidRDefault="004922E4" w:rsidP="003D151F">
      <w:pPr>
        <w:ind w:right="140"/>
        <w:rPr>
          <w:b/>
          <w:iCs/>
        </w:rPr>
      </w:pPr>
      <w:r w:rsidRPr="0093453B">
        <w:rPr>
          <w:b/>
          <w:bCs/>
          <w:color w:val="0000FF"/>
        </w:rPr>
        <w:t>1a.3</w:t>
      </w:r>
      <w:r w:rsidRPr="0093453B">
        <w:rPr>
          <w:bCs/>
        </w:rPr>
        <w:t xml:space="preserve"> </w:t>
      </w:r>
      <w:r w:rsidRPr="0093453B">
        <w:rPr>
          <w:b/>
          <w:bCs/>
        </w:rPr>
        <w:t xml:space="preserve">Value and Meaningfulness:  </w:t>
      </w:r>
      <w:r w:rsidRPr="0093453B">
        <w:rPr>
          <w:bCs/>
        </w:rPr>
        <w:t xml:space="preserve"> </w:t>
      </w:r>
      <w:r w:rsidRPr="0093453B">
        <w:rPr>
          <w:b/>
          <w:iCs/>
        </w:rPr>
        <w:t xml:space="preserve">IF </w:t>
      </w:r>
      <w:r w:rsidRPr="0093453B">
        <w:rPr>
          <w:iCs/>
        </w:rPr>
        <w:t xml:space="preserve">this measure is derived from patient report, provide evidence that the target population values the measured </w:t>
      </w:r>
      <w:r w:rsidRPr="0093453B">
        <w:rPr>
          <w:b/>
          <w:i/>
          <w:iCs/>
        </w:rPr>
        <w:t>outcome, process, or structure</w:t>
      </w:r>
      <w:r w:rsidRPr="0093453B">
        <w:rPr>
          <w:iCs/>
        </w:rPr>
        <w:t xml:space="preserve"> and finds it meaningful. (Describe how and from whom their input was obtained.)</w:t>
      </w:r>
    </w:p>
    <w:p w14:paraId="5BCFDB54" w14:textId="4CBEFC75" w:rsidR="004922E4" w:rsidRPr="0093453B" w:rsidRDefault="00E6079C" w:rsidP="003D151F">
      <w:pPr>
        <w:spacing w:before="120" w:after="120"/>
        <w:ind w:right="140"/>
        <w:rPr>
          <w:b/>
          <w:iCs/>
          <w:color w:val="7030A0"/>
        </w:rPr>
      </w:pPr>
      <w:r w:rsidRPr="0093453B">
        <w:rPr>
          <w:color w:val="7030A0"/>
        </w:rPr>
        <w:t>N/A. This measure is not an intermediate outcome, process, or structure performance measure.</w:t>
      </w:r>
    </w:p>
    <w:p w14:paraId="55B8DA61" w14:textId="77777777" w:rsidR="00676BD4" w:rsidRPr="0093453B" w:rsidRDefault="00C41794" w:rsidP="002E2177">
      <w:pPr>
        <w:ind w:left="432" w:hanging="432"/>
        <w:rPr>
          <w:b/>
          <w:color w:val="0000FF"/>
        </w:rPr>
      </w:pPr>
      <w:r w:rsidRPr="0093453B">
        <w:rPr>
          <w:b/>
          <w:color w:val="0000FF"/>
        </w:rPr>
        <w:t xml:space="preserve">**RESPOND TO ONLY ONE SECTION </w:t>
      </w:r>
      <w:r w:rsidR="004E7215" w:rsidRPr="0093453B">
        <w:rPr>
          <w:b/>
          <w:color w:val="0000FF"/>
        </w:rPr>
        <w:t>BELOW -</w:t>
      </w:r>
      <w:r w:rsidRPr="0093453B">
        <w:rPr>
          <w:b/>
          <w:color w:val="0000FF"/>
        </w:rPr>
        <w:t xml:space="preserve">EITHER 1a.2, 1a.3 or 1a.4) </w:t>
      </w:r>
      <w:r w:rsidR="00AB4ECE" w:rsidRPr="0093453B">
        <w:rPr>
          <w:b/>
          <w:color w:val="0000FF"/>
        </w:rPr>
        <w:t>**</w:t>
      </w:r>
    </w:p>
    <w:p w14:paraId="55B8DA64" w14:textId="474D5F7D" w:rsidR="00D14F0B" w:rsidRDefault="00773485" w:rsidP="007362E0">
      <w:pPr>
        <w:ind w:left="432" w:hanging="432"/>
        <w:rPr>
          <w:b/>
          <w:iCs/>
        </w:rPr>
      </w:pPr>
      <w:r w:rsidRPr="0093453B">
        <w:rPr>
          <w:b/>
          <w:color w:val="0000FF"/>
        </w:rPr>
        <w:t>a</w:t>
      </w:r>
      <w:r w:rsidR="00B058A6" w:rsidRPr="0093453B">
        <w:rPr>
          <w:b/>
          <w:color w:val="0000FF"/>
        </w:rPr>
        <w:t>.2</w:t>
      </w:r>
      <w:r w:rsidR="00E41417" w:rsidRPr="0093453B">
        <w:rPr>
          <w:iCs/>
        </w:rPr>
        <w:t xml:space="preserve"> </w:t>
      </w:r>
      <w:r w:rsidR="00C41794" w:rsidRPr="0093453B">
        <w:rPr>
          <w:b/>
        </w:rPr>
        <w:t>FOR OUTCOME MEASURES including PATIENT REPORTED OUTCOMES</w:t>
      </w:r>
      <w:r w:rsidR="003D6721" w:rsidRPr="0093453B">
        <w:rPr>
          <w:b/>
        </w:rPr>
        <w:t xml:space="preserve"> </w:t>
      </w:r>
      <w:r w:rsidR="00C41794" w:rsidRPr="0093453B">
        <w:rPr>
          <w:b/>
        </w:rPr>
        <w:t>-</w:t>
      </w:r>
      <w:r w:rsidR="00C41794" w:rsidRPr="0093453B">
        <w:rPr>
          <w:b/>
          <w:iCs/>
        </w:rPr>
        <w:t xml:space="preserve"> </w:t>
      </w:r>
      <w:r w:rsidR="003D6721" w:rsidRPr="0093453B">
        <w:rPr>
          <w:b/>
          <w:iCs/>
        </w:rPr>
        <w:t xml:space="preserve">Provide empirical data demonstrating </w:t>
      </w:r>
      <w:r w:rsidR="008B51D9" w:rsidRPr="0093453B">
        <w:rPr>
          <w:b/>
          <w:iCs/>
        </w:rPr>
        <w:t xml:space="preserve">the </w:t>
      </w:r>
      <w:r w:rsidR="005D25E9" w:rsidRPr="0093453B">
        <w:rPr>
          <w:b/>
          <w:iCs/>
        </w:rPr>
        <w:t xml:space="preserve">relationship </w:t>
      </w:r>
      <w:r w:rsidR="00AC1E53" w:rsidRPr="0093453B">
        <w:rPr>
          <w:b/>
          <w:iCs/>
        </w:rPr>
        <w:t>between</w:t>
      </w:r>
      <w:r w:rsidR="005D25E9" w:rsidRPr="0093453B">
        <w:rPr>
          <w:b/>
          <w:iCs/>
        </w:rPr>
        <w:t xml:space="preserve"> the </w:t>
      </w:r>
      <w:r w:rsidR="008B51D9" w:rsidRPr="0093453B">
        <w:rPr>
          <w:b/>
          <w:iCs/>
        </w:rPr>
        <w:t>outcome</w:t>
      </w:r>
      <w:r w:rsidR="005857F8" w:rsidRPr="0093453B">
        <w:rPr>
          <w:b/>
          <w:iCs/>
        </w:rPr>
        <w:t xml:space="preserve"> </w:t>
      </w:r>
      <w:r w:rsidR="00AA5587" w:rsidRPr="0093453B">
        <w:rPr>
          <w:b/>
          <w:iCs/>
        </w:rPr>
        <w:t>(</w:t>
      </w:r>
      <w:r w:rsidR="005857F8" w:rsidRPr="0093453B">
        <w:rPr>
          <w:b/>
          <w:iCs/>
        </w:rPr>
        <w:t>or PRO</w:t>
      </w:r>
      <w:r w:rsidR="00AA5587" w:rsidRPr="0093453B">
        <w:rPr>
          <w:b/>
          <w:iCs/>
        </w:rPr>
        <w:t>)</w:t>
      </w:r>
      <w:r w:rsidR="008B51D9" w:rsidRPr="0093453B">
        <w:rPr>
          <w:b/>
          <w:iCs/>
        </w:rPr>
        <w:t xml:space="preserve"> </w:t>
      </w:r>
      <w:r w:rsidR="005D25E9" w:rsidRPr="0093453B">
        <w:rPr>
          <w:b/>
          <w:iCs/>
        </w:rPr>
        <w:t>to</w:t>
      </w:r>
      <w:r w:rsidR="00236F87" w:rsidRPr="0093453B">
        <w:rPr>
          <w:b/>
          <w:iCs/>
        </w:rPr>
        <w:t xml:space="preserve"> </w:t>
      </w:r>
      <w:r w:rsidR="00496AF8" w:rsidRPr="0093453B">
        <w:rPr>
          <w:b/>
          <w:iCs/>
        </w:rPr>
        <w:t>at least one</w:t>
      </w:r>
      <w:r w:rsidR="009B5BEA" w:rsidRPr="0093453B">
        <w:rPr>
          <w:b/>
          <w:iCs/>
        </w:rPr>
        <w:t xml:space="preserve"> </w:t>
      </w:r>
      <w:r w:rsidR="003D6721" w:rsidRPr="0093453B">
        <w:rPr>
          <w:b/>
          <w:iCs/>
        </w:rPr>
        <w:t xml:space="preserve">healthcare structure, process, </w:t>
      </w:r>
      <w:r w:rsidR="00496AF8" w:rsidRPr="0093453B">
        <w:rPr>
          <w:b/>
          <w:iCs/>
        </w:rPr>
        <w:t>intervention, or service</w:t>
      </w:r>
      <w:r w:rsidR="00676BD4" w:rsidRPr="0093453B">
        <w:rPr>
          <w:b/>
          <w:iCs/>
        </w:rPr>
        <w:t>.</w:t>
      </w:r>
      <w:r w:rsidR="00AC1E53">
        <w:rPr>
          <w:b/>
          <w:iCs/>
        </w:rPr>
        <w:t xml:space="preserve"> </w:t>
      </w:r>
    </w:p>
    <w:p w14:paraId="73A5FA7E" w14:textId="77777777" w:rsidR="00D1624B" w:rsidRDefault="00D1624B" w:rsidP="00D1624B">
      <w:pPr>
        <w:spacing w:before="120" w:after="120"/>
        <w:ind w:left="0" w:firstLine="0"/>
        <w:rPr>
          <w:iCs/>
          <w:color w:val="C00000"/>
        </w:rPr>
      </w:pPr>
      <w:bookmarkStart w:id="5" w:name="_Hlk43122577"/>
      <w:r w:rsidRPr="000D243B">
        <w:rPr>
          <w:iCs/>
          <w:color w:val="7030A0"/>
        </w:rPr>
        <w:t>AMI is among the most common principal hospital discharge diagnoses among Medicare beneficiarie</w:t>
      </w:r>
      <w:r>
        <w:rPr>
          <w:iCs/>
          <w:color w:val="7030A0"/>
        </w:rPr>
        <w:t xml:space="preserve">s, and, </w:t>
      </w:r>
      <w:r w:rsidRPr="00BC0318">
        <w:rPr>
          <w:iCs/>
          <w:color w:val="C00000"/>
        </w:rPr>
        <w:t xml:space="preserve">in 2013, it was the fifth most expensive condition treated in US hospitals, accounting for 3.5% of national healthcare costs (Torio et al., 2016). </w:t>
      </w:r>
      <w:r w:rsidRPr="000D243B">
        <w:rPr>
          <w:iCs/>
          <w:color w:val="7030A0"/>
        </w:rPr>
        <w:t xml:space="preserve">Readmission rates following discharge for AMI are high and variable across hospitals in the United States (Krumholz et al., 2009; Bernheim et al., 2010). </w:t>
      </w:r>
      <w:r w:rsidRPr="003F7797">
        <w:rPr>
          <w:iCs/>
          <w:color w:val="C00000"/>
        </w:rPr>
        <w:t>For example, for the time period of July 2015-June 2018, publicly reported 30-day risk-standardized readmission rates ranged from 12.0% to 21.9% for patie</w:t>
      </w:r>
      <w:r>
        <w:rPr>
          <w:iCs/>
          <w:color w:val="C00000"/>
        </w:rPr>
        <w:t>nts admitted with AMI (Wallace et al.</w:t>
      </w:r>
      <w:r w:rsidRPr="003F7797">
        <w:rPr>
          <w:iCs/>
          <w:color w:val="C00000"/>
        </w:rPr>
        <w:t>, 2019).</w:t>
      </w:r>
    </w:p>
    <w:bookmarkEnd w:id="5"/>
    <w:p w14:paraId="4187B420" w14:textId="77777777" w:rsidR="00D1624B" w:rsidRPr="00E3392B" w:rsidRDefault="00D1624B" w:rsidP="00D1624B">
      <w:pPr>
        <w:spacing w:before="120" w:after="120"/>
        <w:ind w:left="0" w:firstLine="0"/>
        <w:rPr>
          <w:iCs/>
          <w:color w:val="C00000"/>
        </w:rPr>
      </w:pPr>
      <w:r w:rsidRPr="003D151F">
        <w:rPr>
          <w:iCs/>
          <w:color w:val="7030A0"/>
        </w:rPr>
        <w:t>The diagram above indicates some of the many care processes that can influence readmission risk. In general, randomized controlled trials have shown that improvement in the following areas can directly reduce readmission rates: quality of care during the initial admission; improvement in communication with patients, their caregivers and their clinicians; patient education; predischarge assessment; and coordination of care after discharge. Evidence that hospitals have been able to reduce readmission rates through these quality-of-care initiatives illustrates the degree to which hospital practices can affect readmission rates. Successful randomized trials have reduced 30-day readm</w:t>
      </w:r>
      <w:r>
        <w:rPr>
          <w:iCs/>
          <w:color w:val="7030A0"/>
        </w:rPr>
        <w:t xml:space="preserve">ission rates by 20-40% (Coleman et al., 2004; Courtney et al., 2009; Garasen et al., 2007; Koehler et al., 2009; </w:t>
      </w:r>
      <w:r w:rsidRPr="003D151F">
        <w:rPr>
          <w:color w:val="7030A0"/>
        </w:rPr>
        <w:t>Mistiaen</w:t>
      </w:r>
      <w:r>
        <w:rPr>
          <w:color w:val="7030A0"/>
        </w:rPr>
        <w:t xml:space="preserve"> et al., 2007; Weiss et al., 2010; Krumholz et al., 2002</w:t>
      </w:r>
      <w:r>
        <w:rPr>
          <w:iCs/>
          <w:color w:val="7030A0"/>
        </w:rPr>
        <w:t xml:space="preserve">), </w:t>
      </w:r>
      <w:r w:rsidRPr="00E3392B">
        <w:rPr>
          <w:iCs/>
          <w:color w:val="C00000"/>
        </w:rPr>
        <w:t>and trends over the last 20 years show ma</w:t>
      </w:r>
      <w:r>
        <w:rPr>
          <w:iCs/>
          <w:color w:val="C00000"/>
        </w:rPr>
        <w:t xml:space="preserve">rked improvement in AMI readmissions among older adults </w:t>
      </w:r>
      <w:r w:rsidRPr="00E3392B">
        <w:rPr>
          <w:iCs/>
          <w:color w:val="C00000"/>
        </w:rPr>
        <w:t xml:space="preserve">(Krumholz et al., 2019). </w:t>
      </w:r>
      <w:r w:rsidRPr="003D151F">
        <w:rPr>
          <w:iCs/>
          <w:color w:val="7030A0"/>
        </w:rPr>
        <w:t>The Project RED (Re-Engineered Discharge) intervention, in which a nurse was assigned to each patient as a discharge advocate, responsible for patient education, follow-up, medication reconciliation, and preparing individualized discharge instructions sent to the patient’s primary care provider and there was a follow-up phone call from a pharmacist within 4 days of discharge demonstrated a 30% red</w:t>
      </w:r>
      <w:r>
        <w:rPr>
          <w:iCs/>
          <w:color w:val="7030A0"/>
        </w:rPr>
        <w:t xml:space="preserve">uction in 30-day readmissions (Jack et al., 2009, </w:t>
      </w:r>
      <w:r w:rsidRPr="007362E0">
        <w:rPr>
          <w:iCs/>
          <w:color w:val="C00000"/>
        </w:rPr>
        <w:t>Patel et al., 2018</w:t>
      </w:r>
      <w:r>
        <w:rPr>
          <w:iCs/>
          <w:color w:val="7030A0"/>
        </w:rPr>
        <w:t>)</w:t>
      </w:r>
      <w:r w:rsidRPr="003D151F">
        <w:rPr>
          <w:iCs/>
          <w:color w:val="7030A0"/>
        </w:rPr>
        <w:t xml:space="preserve">. </w:t>
      </w:r>
      <w:r w:rsidRPr="003D151F">
        <w:rPr>
          <w:iCs/>
          <w:color w:val="C00000"/>
        </w:rPr>
        <w:t>Another study found that transitional care models prioritizing effective collaboration across providers/facilities, through follow-up calls, patient tracking through medical charts, and team communication within and across facilities/providers, may reduce readmissions af</w:t>
      </w:r>
      <w:r>
        <w:rPr>
          <w:iCs/>
          <w:color w:val="C00000"/>
        </w:rPr>
        <w:t>ter AMI and other conditions (</w:t>
      </w:r>
      <w:r w:rsidRPr="005E067A">
        <w:rPr>
          <w:color w:val="C00000"/>
        </w:rPr>
        <w:t>Radhakrishnan</w:t>
      </w:r>
      <w:r>
        <w:rPr>
          <w:color w:val="C00000"/>
        </w:rPr>
        <w:t xml:space="preserve"> et al., 2018)</w:t>
      </w:r>
      <w:r w:rsidRPr="003D151F">
        <w:rPr>
          <w:iCs/>
          <w:color w:val="C00000"/>
        </w:rPr>
        <w:t>.</w:t>
      </w:r>
      <w:r>
        <w:rPr>
          <w:iCs/>
          <w:color w:val="C00000"/>
        </w:rPr>
        <w:t xml:space="preserve"> </w:t>
      </w:r>
      <w:r>
        <w:rPr>
          <w:iCs/>
          <w:color w:val="7030A0"/>
        </w:rPr>
        <w:t>Other s</w:t>
      </w:r>
      <w:r w:rsidRPr="003D151F">
        <w:rPr>
          <w:iCs/>
          <w:color w:val="7030A0"/>
        </w:rPr>
        <w:t>pecific interventions among patients with AMI that have been shown to significantly reduce the rate of readmission include disease management programs that involved home visits by cardiac-trained nurses, standardized checklists, communication with physic</w:t>
      </w:r>
      <w:r>
        <w:rPr>
          <w:iCs/>
          <w:color w:val="7030A0"/>
        </w:rPr>
        <w:t>ians, and patient education</w:t>
      </w:r>
      <w:r w:rsidRPr="003D151F">
        <w:rPr>
          <w:iCs/>
          <w:color w:val="7030A0"/>
        </w:rPr>
        <w:t>. Similarly, in observational studies, enrollment in cardiac rehabilitation programs has been found to be associated with significant reducti</w:t>
      </w:r>
      <w:r>
        <w:rPr>
          <w:iCs/>
          <w:color w:val="7030A0"/>
        </w:rPr>
        <w:t>ons in readmission after AMI (Mudrick et al., 2013)</w:t>
      </w:r>
      <w:r w:rsidRPr="003D151F">
        <w:rPr>
          <w:iCs/>
          <w:color w:val="7030A0"/>
        </w:rPr>
        <w:t>.</w:t>
      </w:r>
    </w:p>
    <w:p w14:paraId="0E160F50" w14:textId="77777777" w:rsidR="00D1624B" w:rsidRPr="003D151F" w:rsidRDefault="00D1624B" w:rsidP="00D1624B">
      <w:pPr>
        <w:spacing w:before="120" w:after="120"/>
        <w:ind w:left="0" w:firstLine="0"/>
        <w:rPr>
          <w:iCs/>
          <w:color w:val="7030A0"/>
        </w:rPr>
      </w:pPr>
      <w:r w:rsidRPr="00C84CC8">
        <w:rPr>
          <w:color w:val="7030A0"/>
          <w:u w:val="single"/>
        </w:rPr>
        <w:t>References</w:t>
      </w:r>
      <w:r w:rsidRPr="003D151F">
        <w:rPr>
          <w:color w:val="7030A0"/>
        </w:rPr>
        <w:t>:</w:t>
      </w:r>
    </w:p>
    <w:p w14:paraId="7F5621D0" w14:textId="77777777" w:rsidR="00D1624B" w:rsidRPr="000D243B" w:rsidRDefault="00D1624B" w:rsidP="00D1624B">
      <w:pPr>
        <w:spacing w:before="120" w:after="120"/>
        <w:ind w:left="0" w:firstLine="0"/>
        <w:rPr>
          <w:iCs/>
          <w:color w:val="7030A0"/>
        </w:rPr>
      </w:pPr>
      <w:r w:rsidRPr="000D243B">
        <w:rPr>
          <w:iCs/>
          <w:color w:val="7030A0"/>
        </w:rPr>
        <w:t>Bernheim SM, Grady JN, Lin Z, Wang Y, Savage SV, Bhat KR, et al. National patterns of risk-standardized mortality and readmission for acute myocardial infarction and heart failure. Update on publicly reported outcomes measures based on the 2010 release. Circ Cardiovasc Qual Outcomes 2010;3:459-67.</w:t>
      </w:r>
    </w:p>
    <w:p w14:paraId="265C19C8" w14:textId="77777777" w:rsidR="00D1624B" w:rsidRPr="003D151F" w:rsidRDefault="00D1624B" w:rsidP="00D1624B">
      <w:pPr>
        <w:spacing w:before="120" w:after="120"/>
        <w:ind w:left="0" w:firstLine="0"/>
        <w:rPr>
          <w:iCs/>
          <w:color w:val="7030A0"/>
        </w:rPr>
      </w:pPr>
      <w:r w:rsidRPr="003D151F">
        <w:rPr>
          <w:color w:val="7030A0"/>
        </w:rPr>
        <w:lastRenderedPageBreak/>
        <w:t>Coleman EA, Smith JD, Frank JC, Min SJ, Parry C, Kramer AM. Preparing patients and caregivers to participate in care delivered across settings: the Care Transitions Intervention. J Am Geriatr Soc 2004;52(11):1817-25.</w:t>
      </w:r>
    </w:p>
    <w:p w14:paraId="3655D2D1" w14:textId="77777777" w:rsidR="00D1624B" w:rsidRPr="003D151F" w:rsidRDefault="00D1624B" w:rsidP="00D1624B">
      <w:pPr>
        <w:spacing w:before="120" w:after="120"/>
        <w:ind w:left="0" w:firstLine="0"/>
        <w:rPr>
          <w:iCs/>
          <w:color w:val="7030A0"/>
        </w:rPr>
      </w:pPr>
      <w:r w:rsidRPr="003D151F">
        <w:rPr>
          <w:color w:val="7030A0"/>
        </w:rPr>
        <w:t>Courtney M, Edwards H, Chang A, Parker A, Finlayson K, Hamilton K. Fewer emergency readmissions and better quality of life for older adults at risk of hospital readmission: a randomized controlled trial to determine the effectiveness of a 24-week exercise and telephone follow-up program. J Am Geriatr Soc 2009;57(3):395-402.</w:t>
      </w:r>
    </w:p>
    <w:p w14:paraId="15856881" w14:textId="77777777" w:rsidR="00D1624B" w:rsidRDefault="00D1624B" w:rsidP="00D1624B">
      <w:pPr>
        <w:spacing w:before="120" w:after="120"/>
        <w:ind w:left="0" w:firstLine="0"/>
        <w:rPr>
          <w:color w:val="7030A0"/>
        </w:rPr>
      </w:pPr>
      <w:r w:rsidRPr="003D151F">
        <w:rPr>
          <w:color w:val="7030A0"/>
        </w:rPr>
        <w:t>Garasen H, Windspoll R, Johnsen R. Intermediate care at a community hospital as an alternative to prolonged general hospital care for elderly patients: a randomised controlled trial. BMC Public Health 2007;7:68.</w:t>
      </w:r>
    </w:p>
    <w:p w14:paraId="3A06E8C4" w14:textId="77777777" w:rsidR="00D1624B" w:rsidRPr="003D151F" w:rsidRDefault="00D1624B" w:rsidP="00D1624B">
      <w:pPr>
        <w:spacing w:before="120" w:after="120"/>
        <w:ind w:left="0" w:firstLine="0"/>
        <w:rPr>
          <w:iCs/>
          <w:color w:val="7030A0"/>
        </w:rPr>
      </w:pPr>
      <w:r w:rsidRPr="003D151F">
        <w:rPr>
          <w:color w:val="7030A0"/>
        </w:rPr>
        <w:t>Jack BW, Chetty VK, Anthony D, Greenwald JL, Sanchez GM, Johnson AE, et al. A reengineered hospital discharge program to decrease rehospitalization: a randomized trial. Ann Intern Med 2009;150(3):178-87.</w:t>
      </w:r>
    </w:p>
    <w:p w14:paraId="361C811E" w14:textId="77777777" w:rsidR="00D1624B" w:rsidRDefault="00D1624B" w:rsidP="00D1624B">
      <w:pPr>
        <w:spacing w:before="120" w:after="120"/>
        <w:ind w:left="0" w:firstLine="0"/>
        <w:rPr>
          <w:color w:val="7030A0"/>
        </w:rPr>
      </w:pPr>
      <w:r w:rsidRPr="003D151F">
        <w:rPr>
          <w:color w:val="7030A0"/>
        </w:rPr>
        <w:t>Koehler BE, Richter KM, Youngblood L, Cohen BA, Prengler ID, Cheng D, et al. Reduction of 30-day postdischarge hospital readmission or emergency department (ED) visit rates in high-risk elderly medical patients through delivery of a targeted care bundle. J Hosp Med 2009;4(4):211-218.</w:t>
      </w:r>
    </w:p>
    <w:p w14:paraId="7E923489" w14:textId="77777777" w:rsidR="00D1624B" w:rsidRDefault="00D1624B" w:rsidP="00D1624B">
      <w:pPr>
        <w:spacing w:before="120" w:after="120"/>
        <w:ind w:left="0" w:firstLine="0"/>
        <w:rPr>
          <w:color w:val="7030A0"/>
        </w:rPr>
      </w:pPr>
      <w:r w:rsidRPr="003D151F">
        <w:rPr>
          <w:color w:val="7030A0"/>
        </w:rPr>
        <w:t>Krumholz HM, Amatruda J, Smith GL, et al. Randomized trial of an education and support intervention to prevent readmission of patients with heart failure. J Am Coll Cardiol. Jan 2 2002;39(1):83-89.</w:t>
      </w:r>
    </w:p>
    <w:p w14:paraId="49F66767" w14:textId="77777777" w:rsidR="00D1624B" w:rsidRDefault="00D1624B" w:rsidP="00D1624B">
      <w:pPr>
        <w:spacing w:before="120" w:after="120"/>
        <w:ind w:left="0" w:firstLine="0"/>
        <w:rPr>
          <w:iCs/>
          <w:color w:val="7030A0"/>
        </w:rPr>
      </w:pPr>
      <w:r w:rsidRPr="000D243B">
        <w:rPr>
          <w:iCs/>
          <w:color w:val="7030A0"/>
        </w:rPr>
        <w:t>Krumholz HM, Merrill AR, Schone EM, Schreiner GC, Chen J, Bradley EH, Wang Y, Wang Y, Lin Z, Straube BM, Rapp MT, Normand SL, Drye EE. 2009. Patterns of hospital performance in acute myocardial infarction and heart failure 30-day mortality and readmission. Circ Cardio</w:t>
      </w:r>
      <w:r>
        <w:rPr>
          <w:iCs/>
          <w:color w:val="7030A0"/>
        </w:rPr>
        <w:t>vasc Qual Outcomes (2):407-413.</w:t>
      </w:r>
    </w:p>
    <w:p w14:paraId="0CE9A92C" w14:textId="77777777" w:rsidR="00D1624B" w:rsidRPr="00E3392B" w:rsidRDefault="00D1624B" w:rsidP="00D1624B">
      <w:pPr>
        <w:spacing w:before="120" w:after="120"/>
        <w:ind w:left="0" w:firstLine="0"/>
        <w:rPr>
          <w:rFonts w:cstheme="minorHAnsi"/>
          <w:iCs/>
          <w:color w:val="C00000"/>
        </w:rPr>
      </w:pPr>
      <w:bookmarkStart w:id="6" w:name="_Hlk43122964"/>
      <w:r w:rsidRPr="00E3392B">
        <w:rPr>
          <w:rFonts w:cstheme="minorHAnsi"/>
          <w:color w:val="C00000"/>
          <w:shd w:val="clear" w:color="auto" w:fill="FFFFFF"/>
        </w:rPr>
        <w:t>Krumholz HM, Normand ST, Wang Y. Twenty-Year Trends in Outcomes for Older Adults With Acute Myocardial Infarction in the United States. </w:t>
      </w:r>
      <w:r w:rsidRPr="00E3392B">
        <w:rPr>
          <w:rFonts w:cstheme="minorHAnsi"/>
          <w:i/>
          <w:iCs/>
          <w:color w:val="C00000"/>
          <w:shd w:val="clear" w:color="auto" w:fill="FFFFFF"/>
        </w:rPr>
        <w:t>JAMA Netw Open</w:t>
      </w:r>
      <w:r w:rsidRPr="00E3392B">
        <w:rPr>
          <w:rFonts w:cstheme="minorHAnsi"/>
          <w:color w:val="C00000"/>
          <w:shd w:val="clear" w:color="auto" w:fill="FFFFFF"/>
        </w:rPr>
        <w:t>. 2019;2(3):e191938. Published 2019 Mar 1. doi:10.1001/jamanetworkopen.2019.1938.</w:t>
      </w:r>
    </w:p>
    <w:bookmarkEnd w:id="6"/>
    <w:p w14:paraId="7B0BACC9" w14:textId="77777777" w:rsidR="00D1624B" w:rsidRDefault="00D1624B" w:rsidP="00D1624B">
      <w:pPr>
        <w:spacing w:before="120" w:after="120"/>
        <w:ind w:left="0" w:firstLine="0"/>
        <w:rPr>
          <w:color w:val="7030A0"/>
        </w:rPr>
      </w:pPr>
      <w:r w:rsidRPr="003D151F">
        <w:rPr>
          <w:color w:val="7030A0"/>
        </w:rPr>
        <w:t>Mistiaen P, Francke AL, Poot E. Interventions aimed at reducing problems in adult patients discharged from hospital to home: a systematic metareview. BMC Health Serv Res 2007;7:47.</w:t>
      </w:r>
    </w:p>
    <w:p w14:paraId="09F096E1" w14:textId="77777777" w:rsidR="00D1624B" w:rsidRPr="003D151F" w:rsidRDefault="00D1624B" w:rsidP="00D1624B">
      <w:pPr>
        <w:spacing w:before="120" w:after="120"/>
        <w:ind w:left="0" w:firstLine="0"/>
        <w:rPr>
          <w:iCs/>
          <w:color w:val="7030A0"/>
        </w:rPr>
      </w:pPr>
      <w:r w:rsidRPr="003D151F">
        <w:rPr>
          <w:color w:val="7030A0"/>
        </w:rPr>
        <w:t xml:space="preserve">Mudrick DW, Shaffer L, Lalonde M, et al. Cardiac Rehabilitation Participation Reduces 90-Day Hospital </w:t>
      </w:r>
      <w:bookmarkStart w:id="7" w:name="_GoBack"/>
      <w:r w:rsidRPr="003D151F">
        <w:rPr>
          <w:color w:val="7030A0"/>
        </w:rPr>
        <w:t>Readmissions After Acute Myocardial Infarction or Per</w:t>
      </w:r>
      <w:r>
        <w:rPr>
          <w:color w:val="7030A0"/>
        </w:rPr>
        <w:t>cutaneous Coronary Intervention</w:t>
      </w:r>
      <w:r w:rsidRPr="003D151F">
        <w:rPr>
          <w:color w:val="7030A0"/>
        </w:rPr>
        <w:t xml:space="preserve">. </w:t>
      </w:r>
      <w:r>
        <w:rPr>
          <w:color w:val="7030A0"/>
        </w:rPr>
        <w:t>J Am Coll Cardiol. 2013;61</w:t>
      </w:r>
      <w:r w:rsidRPr="003D151F">
        <w:rPr>
          <w:color w:val="7030A0"/>
        </w:rPr>
        <w:t>.</w:t>
      </w:r>
    </w:p>
    <w:p w14:paraId="6DD8F2F4" w14:textId="77777777" w:rsidR="00D1624B" w:rsidRDefault="00D1624B" w:rsidP="00D1624B">
      <w:pPr>
        <w:spacing w:before="120" w:after="120"/>
        <w:ind w:left="0" w:firstLine="0"/>
        <w:rPr>
          <w:color w:val="C00000"/>
        </w:rPr>
      </w:pPr>
      <w:r w:rsidRPr="005E067A">
        <w:rPr>
          <w:color w:val="C00000"/>
        </w:rPr>
        <w:t>Nguyen OK, Halm EA, Makam AN. Relationship between hospital financial performance and publicly reported outcomes. J Hosp Med. 2016;11(7):481-488.</w:t>
      </w:r>
    </w:p>
    <w:p w14:paraId="36ED63D7" w14:textId="77777777" w:rsidR="00D1624B" w:rsidRPr="007362E0" w:rsidRDefault="00D1624B" w:rsidP="00D1624B">
      <w:pPr>
        <w:spacing w:before="120" w:after="120"/>
        <w:ind w:left="0" w:firstLine="0"/>
        <w:rPr>
          <w:rFonts w:cstheme="minorHAnsi"/>
          <w:iCs/>
          <w:color w:val="C00000"/>
        </w:rPr>
      </w:pPr>
      <w:r w:rsidRPr="003E5B41">
        <w:rPr>
          <w:rFonts w:cstheme="minorHAnsi"/>
          <w:color w:val="C00000"/>
          <w:shd w:val="clear" w:color="auto" w:fill="FFFFFF"/>
        </w:rPr>
        <w:t>Patel PH, Dickerson KW. Impact of the Implementation of Project Re-Engineered Discharge for Heart Failure patients at a Veterans Affairs Hospital at the Central Arkansas Veterans Healthcare System. </w:t>
      </w:r>
      <w:r w:rsidRPr="003E5B41">
        <w:rPr>
          <w:rFonts w:cstheme="minorHAnsi"/>
          <w:i/>
          <w:iCs/>
          <w:color w:val="C00000"/>
          <w:shd w:val="clear" w:color="auto" w:fill="FFFFFF"/>
        </w:rPr>
        <w:t>Hosp Pharm</w:t>
      </w:r>
      <w:r w:rsidRPr="003E5B41">
        <w:rPr>
          <w:rFonts w:cstheme="minorHAnsi"/>
          <w:color w:val="C00000"/>
          <w:shd w:val="clear" w:color="auto" w:fill="FFFFFF"/>
        </w:rPr>
        <w:t>. 2018;53(4):266‐271. doi:10.1177/0018578717749925.</w:t>
      </w:r>
    </w:p>
    <w:p w14:paraId="4C1C09D8" w14:textId="77777777" w:rsidR="00D1624B" w:rsidRDefault="00D1624B" w:rsidP="00D1624B">
      <w:pPr>
        <w:spacing w:before="120" w:after="120"/>
        <w:ind w:left="0" w:firstLine="0"/>
        <w:rPr>
          <w:color w:val="C00000"/>
        </w:rPr>
      </w:pPr>
      <w:r w:rsidRPr="005E067A">
        <w:rPr>
          <w:color w:val="C00000"/>
        </w:rPr>
        <w:t xml:space="preserve">Radhakrishnan K, Jones TL, Weems D, Knight TW, Rice WH. Seamless Transitions: Achieving Patient Safety Through Communication and Collaboration. </w:t>
      </w:r>
      <w:r w:rsidRPr="005E067A">
        <w:rPr>
          <w:i/>
          <w:iCs/>
          <w:color w:val="C00000"/>
        </w:rPr>
        <w:t xml:space="preserve">J Patient Saf. </w:t>
      </w:r>
      <w:r w:rsidRPr="005E067A">
        <w:rPr>
          <w:color w:val="C00000"/>
        </w:rPr>
        <w:t>2018;14(1):e3-e5.</w:t>
      </w:r>
    </w:p>
    <w:p w14:paraId="6AB27C08" w14:textId="77777777" w:rsidR="00D1624B" w:rsidRDefault="00D1624B" w:rsidP="00D1624B">
      <w:pPr>
        <w:spacing w:before="120" w:after="120"/>
        <w:ind w:left="0" w:firstLine="0"/>
        <w:rPr>
          <w:color w:val="C00000"/>
          <w:shd w:val="clear" w:color="auto" w:fill="FFFFFF"/>
        </w:rPr>
      </w:pPr>
      <w:bookmarkStart w:id="8" w:name="_Hlk43123662"/>
      <w:r w:rsidRPr="00BC0318">
        <w:rPr>
          <w:color w:val="C00000"/>
          <w:shd w:val="clear" w:color="auto" w:fill="FFFFFF"/>
        </w:rPr>
        <w:t>Torio CM, Moore BJ. </w:t>
      </w:r>
      <w:r w:rsidRPr="00BC0318">
        <w:rPr>
          <w:rStyle w:val="ref-title"/>
          <w:color w:val="C00000"/>
          <w:shd w:val="clear" w:color="auto" w:fill="FFFFFF"/>
        </w:rPr>
        <w:t>National Inpatient Hospital Costs: The Most Expensive Conditions by Payer, 2013</w:t>
      </w:r>
      <w:r w:rsidRPr="00BC0318">
        <w:rPr>
          <w:color w:val="C00000"/>
          <w:shd w:val="clear" w:color="auto" w:fill="FFFFFF"/>
        </w:rPr>
        <w:t>. HCUP Statistical Brief # 204. Available at</w:t>
      </w:r>
      <w:r w:rsidRPr="00AF732F">
        <w:rPr>
          <w:color w:val="C00000"/>
          <w:shd w:val="clear" w:color="auto" w:fill="FFFFFF"/>
        </w:rPr>
        <w:t>: </w:t>
      </w:r>
      <w:hyperlink r:id="rId17" w:history="1">
        <w:r w:rsidRPr="000B6FAF">
          <w:rPr>
            <w:rStyle w:val="Hyperlink"/>
            <w:color w:val="C00000"/>
            <w:shd w:val="clear" w:color="auto" w:fill="FFFFFF"/>
          </w:rPr>
          <w:t>http://www.hcup-us.ahrq.gov/reports/statbriefs/sb204-Most-Expensive-Hospital-Conditions.pdf</w:t>
        </w:r>
      </w:hyperlink>
      <w:r w:rsidRPr="00AF732F">
        <w:rPr>
          <w:color w:val="C00000"/>
          <w:shd w:val="clear" w:color="auto" w:fill="FFFFFF"/>
        </w:rPr>
        <w:t xml:space="preserve">. Published </w:t>
      </w:r>
      <w:r w:rsidRPr="00BC0318">
        <w:rPr>
          <w:color w:val="C00000"/>
          <w:shd w:val="clear" w:color="auto" w:fill="FFFFFF"/>
        </w:rPr>
        <w:t>May 2016. Accessed May 23, 2020.</w:t>
      </w:r>
    </w:p>
    <w:p w14:paraId="5C4D3391" w14:textId="77777777" w:rsidR="00D1624B" w:rsidRPr="002F55D8" w:rsidRDefault="00D1624B" w:rsidP="00D1624B">
      <w:pPr>
        <w:ind w:left="0" w:firstLine="0"/>
        <w:rPr>
          <w:rFonts w:cstheme="minorHAnsi"/>
          <w:color w:val="C00000"/>
        </w:rPr>
      </w:pPr>
      <w:bookmarkStart w:id="9" w:name="_Hlk42094040"/>
      <w:bookmarkStart w:id="10" w:name="_Hlk43123487"/>
      <w:bookmarkEnd w:id="8"/>
      <w:r w:rsidRPr="002F55D8">
        <w:rPr>
          <w:rFonts w:cstheme="minorHAnsi"/>
          <w:color w:val="C00000"/>
        </w:rPr>
        <w:t xml:space="preserve">Wallace L., Grady J., Djordjevic, D., et al. 2019 Condition-Specific Measures Updates and Specifications Report Hospital-Level 30-Day Risk-Standardized Readmission Measures: Acute Myocardial Infarction – </w:t>
      </w:r>
      <w:r w:rsidRPr="002F55D8">
        <w:rPr>
          <w:rFonts w:cstheme="minorHAnsi"/>
          <w:color w:val="C00000"/>
        </w:rPr>
        <w:lastRenderedPageBreak/>
        <w:t xml:space="preserve">Version 12.0, Chronic Obstructive </w:t>
      </w:r>
      <w:bookmarkEnd w:id="7"/>
      <w:r w:rsidRPr="002F55D8">
        <w:rPr>
          <w:rFonts w:cstheme="minorHAnsi"/>
          <w:color w:val="C00000"/>
        </w:rPr>
        <w:t xml:space="preserve">Pulmonary Disease – Version 8.0, Heart Failure – Version 12.0, Pneumonia – Version 12.0. </w:t>
      </w:r>
      <w:bookmarkEnd w:id="9"/>
      <w:r w:rsidRPr="002F55D8">
        <w:rPr>
          <w:rFonts w:cstheme="minorHAnsi"/>
          <w:color w:val="C00000"/>
        </w:rPr>
        <w:t xml:space="preserve">2019; </w:t>
      </w:r>
      <w:hyperlink r:id="rId18" w:history="1">
        <w:r w:rsidRPr="002F55D8">
          <w:rPr>
            <w:rStyle w:val="Hyperlink"/>
            <w:rFonts w:cstheme="minorHAnsi"/>
            <w:color w:val="C00000"/>
          </w:rPr>
          <w:t>https://qualitynet.org/inpatient/measures/readmission/methodology</w:t>
        </w:r>
      </w:hyperlink>
      <w:r w:rsidRPr="002F55D8">
        <w:rPr>
          <w:rFonts w:cstheme="minorHAnsi"/>
          <w:color w:val="C00000"/>
        </w:rPr>
        <w:t>. Available as of April 23, 2019.</w:t>
      </w:r>
    </w:p>
    <w:bookmarkEnd w:id="10"/>
    <w:p w14:paraId="18C03AC3" w14:textId="77777777" w:rsidR="00D1624B" w:rsidRPr="003D151F" w:rsidRDefault="00D1624B" w:rsidP="00D1624B">
      <w:pPr>
        <w:spacing w:before="240" w:after="120"/>
        <w:ind w:left="0" w:firstLine="0"/>
        <w:rPr>
          <w:iCs/>
          <w:color w:val="7030A0"/>
        </w:rPr>
      </w:pPr>
      <w:r w:rsidRPr="003D151F">
        <w:rPr>
          <w:color w:val="7030A0"/>
        </w:rPr>
        <w:t>Weiss M, Yakusheva O, Bobay K. Nurse and patient perceptions of discharge readiness in relation to postdischarge utilization. Med Care 2010;48(5):482-6.</w:t>
      </w:r>
    </w:p>
    <w:p w14:paraId="55B8DA66" w14:textId="4C5DD50F" w:rsidR="00C41794" w:rsidRPr="003B1CC5" w:rsidRDefault="002B06BD" w:rsidP="00C41794">
      <w:pPr>
        <w:ind w:left="0" w:firstLine="0"/>
        <w:rPr>
          <w:b/>
          <w:iCs/>
        </w:rPr>
      </w:pPr>
      <w:bookmarkStart w:id="11" w:name="Section1a3"/>
      <w:bookmarkEnd w:id="11"/>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tbl>
      <w:tblPr>
        <w:tblStyle w:val="TableGrid"/>
        <w:tblW w:w="0" w:type="auto"/>
        <w:tblLook w:val="04A0" w:firstRow="1" w:lastRow="0" w:firstColumn="1" w:lastColumn="0" w:noHBand="0" w:noVBand="1"/>
      </w:tblPr>
      <w:tblGrid>
        <w:gridCol w:w="4068"/>
        <w:gridCol w:w="5130"/>
      </w:tblGrid>
      <w:tr w:rsidR="00AB4ECE" w14:paraId="55B8DA76" w14:textId="77777777" w:rsidTr="00F90F82">
        <w:tc>
          <w:tcPr>
            <w:tcW w:w="4068"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130" w:type="dxa"/>
          </w:tcPr>
          <w:p w14:paraId="55B8DA75" w14:textId="77777777" w:rsidR="00AB4ECE" w:rsidRPr="00AB4ECE" w:rsidRDefault="00AB4ECE" w:rsidP="002E2177">
            <w:pPr>
              <w:ind w:left="0" w:firstLine="0"/>
              <w:rPr>
                <w:b/>
              </w:rPr>
            </w:pPr>
          </w:p>
        </w:tc>
      </w:tr>
      <w:tr w:rsidR="00AB4ECE" w14:paraId="55B8DA79" w14:textId="77777777" w:rsidTr="00F90F82">
        <w:tc>
          <w:tcPr>
            <w:tcW w:w="4068"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130" w:type="dxa"/>
          </w:tcPr>
          <w:p w14:paraId="55B8DA78" w14:textId="77777777" w:rsidR="00AB4ECE" w:rsidRDefault="00AB4ECE" w:rsidP="002E2177">
            <w:pPr>
              <w:ind w:left="0" w:firstLine="0"/>
            </w:pPr>
          </w:p>
        </w:tc>
      </w:tr>
      <w:tr w:rsidR="00AB4ECE" w14:paraId="55B8DA7C" w14:textId="77777777" w:rsidTr="00F90F82">
        <w:tc>
          <w:tcPr>
            <w:tcW w:w="4068" w:type="dxa"/>
          </w:tcPr>
          <w:p w14:paraId="55B8DA7A"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5130" w:type="dxa"/>
          </w:tcPr>
          <w:p w14:paraId="55B8DA7B" w14:textId="77777777" w:rsidR="00AB4ECE" w:rsidRDefault="00AB4ECE" w:rsidP="002E2177">
            <w:pPr>
              <w:ind w:left="0" w:firstLine="0"/>
            </w:pPr>
          </w:p>
        </w:tc>
      </w:tr>
      <w:tr w:rsidR="00AB4ECE" w14:paraId="55B8DA7F" w14:textId="77777777" w:rsidTr="00F90F82">
        <w:tc>
          <w:tcPr>
            <w:tcW w:w="4068" w:type="dxa"/>
          </w:tcPr>
          <w:p w14:paraId="55B8DA7D" w14:textId="77777777" w:rsidR="00AB4ECE" w:rsidRDefault="00AB4ECE" w:rsidP="00E42FAA">
            <w:pPr>
              <w:ind w:left="0" w:firstLine="0"/>
            </w:pPr>
            <w:r>
              <w:t>Provide all other grades and definitions from the evidence grading system</w:t>
            </w:r>
          </w:p>
        </w:tc>
        <w:tc>
          <w:tcPr>
            <w:tcW w:w="5130" w:type="dxa"/>
          </w:tcPr>
          <w:p w14:paraId="55B8DA7E" w14:textId="77777777" w:rsidR="00AB4ECE" w:rsidRDefault="00AB4ECE" w:rsidP="002E2177">
            <w:pPr>
              <w:ind w:left="0" w:firstLine="0"/>
            </w:pPr>
          </w:p>
        </w:tc>
      </w:tr>
      <w:tr w:rsidR="00AB4ECE" w14:paraId="55B8DA82" w14:textId="77777777" w:rsidTr="00F90F82">
        <w:tc>
          <w:tcPr>
            <w:tcW w:w="4068"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130" w:type="dxa"/>
          </w:tcPr>
          <w:p w14:paraId="55B8DA81" w14:textId="77777777" w:rsidR="00AB4ECE" w:rsidRDefault="00AB4ECE" w:rsidP="002E2177">
            <w:pPr>
              <w:ind w:left="0" w:firstLine="0"/>
            </w:pPr>
          </w:p>
        </w:tc>
      </w:tr>
      <w:tr w:rsidR="00AB4ECE" w14:paraId="55B8DA85" w14:textId="77777777" w:rsidTr="00F90F82">
        <w:tc>
          <w:tcPr>
            <w:tcW w:w="4068" w:type="dxa"/>
          </w:tcPr>
          <w:p w14:paraId="55B8DA83" w14:textId="77777777" w:rsidR="00AB4ECE" w:rsidRDefault="00AB4ECE" w:rsidP="00E42FAA">
            <w:pPr>
              <w:ind w:left="0" w:firstLine="0"/>
            </w:pPr>
            <w:r>
              <w:t>Provide all other grades and definitions from the recommendation grading system</w:t>
            </w:r>
          </w:p>
        </w:tc>
        <w:tc>
          <w:tcPr>
            <w:tcW w:w="5130" w:type="dxa"/>
          </w:tcPr>
          <w:p w14:paraId="55B8DA84" w14:textId="77777777" w:rsidR="00AB4ECE" w:rsidRDefault="00AB4ECE" w:rsidP="002E2177">
            <w:pPr>
              <w:ind w:left="0" w:firstLine="0"/>
            </w:pPr>
          </w:p>
        </w:tc>
      </w:tr>
      <w:tr w:rsidR="00AB4ECE" w14:paraId="55B8DA8A" w14:textId="77777777" w:rsidTr="00F90F82">
        <w:tc>
          <w:tcPr>
            <w:tcW w:w="4068"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lastRenderedPageBreak/>
              <w:t>Quantity – how many studies?</w:t>
            </w:r>
          </w:p>
          <w:p w14:paraId="55B8DA88" w14:textId="77777777" w:rsidR="000E5C93" w:rsidRDefault="000E5C93" w:rsidP="000E5C93">
            <w:pPr>
              <w:pStyle w:val="ListParagraph"/>
              <w:numPr>
                <w:ilvl w:val="0"/>
                <w:numId w:val="10"/>
              </w:numPr>
            </w:pPr>
            <w:r>
              <w:t>Quality – what type of studies?</w:t>
            </w:r>
          </w:p>
        </w:tc>
        <w:tc>
          <w:tcPr>
            <w:tcW w:w="5130" w:type="dxa"/>
          </w:tcPr>
          <w:p w14:paraId="55B8DA89" w14:textId="77777777" w:rsidR="00AB4ECE" w:rsidRDefault="00AB4ECE" w:rsidP="002E2177">
            <w:pPr>
              <w:ind w:left="0" w:firstLine="0"/>
            </w:pPr>
          </w:p>
        </w:tc>
      </w:tr>
      <w:tr w:rsidR="00AB4ECE" w14:paraId="55B8DA8D" w14:textId="77777777" w:rsidTr="00F90F82">
        <w:tc>
          <w:tcPr>
            <w:tcW w:w="4068" w:type="dxa"/>
          </w:tcPr>
          <w:p w14:paraId="55B8DA8B" w14:textId="77777777" w:rsidR="00AB4ECE" w:rsidRDefault="000E5C93" w:rsidP="002E2177">
            <w:pPr>
              <w:ind w:left="0" w:firstLine="0"/>
            </w:pPr>
            <w:r>
              <w:t xml:space="preserve">Estimates of benefit and consistency across studies </w:t>
            </w:r>
          </w:p>
        </w:tc>
        <w:tc>
          <w:tcPr>
            <w:tcW w:w="5130" w:type="dxa"/>
          </w:tcPr>
          <w:p w14:paraId="55B8DA8C" w14:textId="77777777" w:rsidR="00AB4ECE" w:rsidRDefault="00AB4ECE" w:rsidP="002E2177">
            <w:pPr>
              <w:ind w:left="0" w:firstLine="0"/>
            </w:pPr>
          </w:p>
        </w:tc>
      </w:tr>
      <w:tr w:rsidR="000E5C93" w14:paraId="55B8DA90" w14:textId="77777777" w:rsidTr="00F90F82">
        <w:tc>
          <w:tcPr>
            <w:tcW w:w="4068" w:type="dxa"/>
          </w:tcPr>
          <w:p w14:paraId="55B8DA8E" w14:textId="77777777" w:rsidR="000E5C93" w:rsidRDefault="000E5C93" w:rsidP="002E2177">
            <w:pPr>
              <w:ind w:left="0" w:firstLine="0"/>
            </w:pPr>
            <w:r>
              <w:t>What harms were identified?</w:t>
            </w:r>
          </w:p>
        </w:tc>
        <w:tc>
          <w:tcPr>
            <w:tcW w:w="5130" w:type="dxa"/>
          </w:tcPr>
          <w:p w14:paraId="55B8DA8F" w14:textId="77777777" w:rsidR="000E5C93" w:rsidRDefault="000E5C93" w:rsidP="002E2177">
            <w:pPr>
              <w:ind w:left="0" w:firstLine="0"/>
            </w:pPr>
          </w:p>
        </w:tc>
      </w:tr>
      <w:tr w:rsidR="000E5C93" w14:paraId="55B8DA93" w14:textId="77777777" w:rsidTr="00F90F82">
        <w:tc>
          <w:tcPr>
            <w:tcW w:w="4068" w:type="dxa"/>
          </w:tcPr>
          <w:p w14:paraId="55B8DA91" w14:textId="77777777" w:rsidR="000E5C93" w:rsidRDefault="000E5C93" w:rsidP="000E5C93">
            <w:pPr>
              <w:ind w:left="0" w:firstLine="0"/>
            </w:pPr>
            <w:r>
              <w:t>Identify any new studies conducted since the SR. Do the new studies change the conclusions from the SR?</w:t>
            </w:r>
          </w:p>
        </w:tc>
        <w:tc>
          <w:tcPr>
            <w:tcW w:w="5130" w:type="dxa"/>
          </w:tcPr>
          <w:p w14:paraId="55B8DA92" w14:textId="77777777" w:rsidR="000E5C93" w:rsidRDefault="000E5C93" w:rsidP="002E2177">
            <w:pPr>
              <w:ind w:left="0" w:firstLine="0"/>
            </w:pPr>
          </w:p>
        </w:tc>
      </w:tr>
    </w:tbl>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12" w:name="Section1a8"/>
      <w:bookmarkEnd w:id="12"/>
      <w:r>
        <w:rPr>
          <w:b/>
          <w:color w:val="0000FF"/>
        </w:rPr>
        <w:t>1a.4</w:t>
      </w:r>
      <w:r w:rsidR="00837121" w:rsidRPr="003B1CC5">
        <w:rPr>
          <w:b/>
          <w:color w:val="0000FF"/>
        </w:rPr>
        <w:t xml:space="preserve"> </w:t>
      </w:r>
      <w:r w:rsidR="00837121" w:rsidRPr="003B1CC5">
        <w:rPr>
          <w:b/>
        </w:rPr>
        <w:t>OTHER SOURCE OF EVIDENCE</w:t>
      </w:r>
    </w:p>
    <w:p w14:paraId="55B8DA98" w14:textId="67D8B210" w:rsidR="00837121" w:rsidRDefault="00837121" w:rsidP="003D151F">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7F340E5D" w14:textId="1971C738" w:rsidR="003D151F" w:rsidRPr="003D151F" w:rsidRDefault="003D151F" w:rsidP="003D151F">
      <w:pPr>
        <w:spacing w:before="120" w:after="120"/>
        <w:ind w:left="0" w:firstLine="0"/>
        <w:rPr>
          <w:color w:val="7030A0"/>
        </w:rPr>
      </w:pPr>
      <w:r w:rsidRPr="003D151F">
        <w:rPr>
          <w:color w:val="7030A0"/>
        </w:rPr>
        <w:t>N/A</w:t>
      </w:r>
    </w:p>
    <w:p w14:paraId="55B8DA99" w14:textId="0CCDDD6E" w:rsidR="000E5C93" w:rsidRDefault="000E5C93" w:rsidP="002E2177">
      <w:pPr>
        <w:ind w:left="0" w:firstLine="0"/>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3654F42C" w14:textId="77777777" w:rsidR="003D151F" w:rsidRPr="003D151F" w:rsidRDefault="003D151F" w:rsidP="003D151F">
      <w:pPr>
        <w:spacing w:before="120" w:after="120"/>
        <w:ind w:left="0" w:firstLine="0"/>
        <w:rPr>
          <w:color w:val="7030A0"/>
        </w:rPr>
      </w:pPr>
      <w:r w:rsidRPr="003D151F">
        <w:rPr>
          <w:color w:val="7030A0"/>
        </w:rPr>
        <w:t>N/A</w:t>
      </w:r>
    </w:p>
    <w:p w14:paraId="55B8DA9B" w14:textId="736FCBBE" w:rsidR="00837121" w:rsidRDefault="000E5C93" w:rsidP="002E2177">
      <w:pPr>
        <w:ind w:left="0" w:firstLine="0"/>
        <w:rPr>
          <w:b/>
        </w:rPr>
      </w:pPr>
      <w:r w:rsidRPr="000E5C93">
        <w:rPr>
          <w:b/>
          <w:color w:val="244061" w:themeColor="accent1" w:themeShade="80"/>
        </w:rPr>
        <w:t xml:space="preserve">1a.4.2 </w:t>
      </w:r>
      <w:r w:rsidR="00837121" w:rsidRPr="003B1CC5">
        <w:rPr>
          <w:b/>
        </w:rPr>
        <w:t>What process was used to identify the evidence?</w:t>
      </w:r>
    </w:p>
    <w:p w14:paraId="3DA5CA27" w14:textId="77777777" w:rsidR="003D151F" w:rsidRPr="003D151F" w:rsidRDefault="003D151F" w:rsidP="003D151F">
      <w:pPr>
        <w:spacing w:before="120" w:after="120"/>
        <w:ind w:left="0" w:firstLine="0"/>
        <w:rPr>
          <w:color w:val="7030A0"/>
        </w:rPr>
      </w:pPr>
      <w:r w:rsidRPr="003D151F">
        <w:rPr>
          <w:color w:val="7030A0"/>
        </w:rPr>
        <w:t>N/A</w:t>
      </w:r>
    </w:p>
    <w:p w14:paraId="55B8DA9D" w14:textId="2D7BCA50"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72023676" w14:textId="77777777" w:rsidR="003D151F" w:rsidRPr="003D151F" w:rsidRDefault="003D151F" w:rsidP="003D151F">
      <w:pPr>
        <w:spacing w:before="120" w:after="120"/>
        <w:ind w:left="0" w:firstLine="0"/>
        <w:rPr>
          <w:color w:val="7030A0"/>
        </w:rPr>
      </w:pPr>
      <w:r w:rsidRPr="003D151F">
        <w:rPr>
          <w:color w:val="7030A0"/>
        </w:rPr>
        <w:t>N/A</w:t>
      </w:r>
    </w:p>
    <w:sectPr w:rsidR="003D151F" w:rsidRPr="003D151F">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50276227" w:rsidR="00440687" w:rsidRDefault="00440687">
    <w:pPr>
      <w:pStyle w:val="Footer"/>
    </w:pPr>
    <w:r w:rsidRPr="00395263">
      <w:t xml:space="preserve">Version </w:t>
    </w:r>
    <w:r w:rsidR="00DC7F67">
      <w:t>7.1</w:t>
    </w:r>
    <w:r w:rsidR="00F63E8D">
      <w:t xml:space="preserve"> </w:t>
    </w:r>
    <w:r w:rsidRPr="00395263">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0B6FAF">
      <w:rPr>
        <w:noProof/>
      </w:rPr>
      <w:t>6</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2"/>
  </w:num>
  <w:num w:numId="5">
    <w:abstractNumId w:val="4"/>
  </w:num>
  <w:num w:numId="6">
    <w:abstractNumId w:val="3"/>
  </w:num>
  <w:num w:numId="7">
    <w:abstractNumId w:val="9"/>
  </w:num>
  <w:num w:numId="8">
    <w:abstractNumId w:val="8"/>
  </w:num>
  <w:num w:numId="9">
    <w:abstractNumId w:val="10"/>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F43"/>
    <w:rsid w:val="00037C33"/>
    <w:rsid w:val="00040DCF"/>
    <w:rsid w:val="00052C0B"/>
    <w:rsid w:val="00061CF3"/>
    <w:rsid w:val="00063601"/>
    <w:rsid w:val="00073079"/>
    <w:rsid w:val="0007593F"/>
    <w:rsid w:val="00095EC9"/>
    <w:rsid w:val="00096A37"/>
    <w:rsid w:val="000A0810"/>
    <w:rsid w:val="000B627F"/>
    <w:rsid w:val="000B6FAF"/>
    <w:rsid w:val="000D243B"/>
    <w:rsid w:val="000D649E"/>
    <w:rsid w:val="000D6D06"/>
    <w:rsid w:val="000E5C93"/>
    <w:rsid w:val="000F4A7F"/>
    <w:rsid w:val="00114848"/>
    <w:rsid w:val="00120934"/>
    <w:rsid w:val="00132070"/>
    <w:rsid w:val="00141875"/>
    <w:rsid w:val="0014347E"/>
    <w:rsid w:val="00154438"/>
    <w:rsid w:val="001551F6"/>
    <w:rsid w:val="0015535B"/>
    <w:rsid w:val="00162036"/>
    <w:rsid w:val="001632DD"/>
    <w:rsid w:val="00176E60"/>
    <w:rsid w:val="00194913"/>
    <w:rsid w:val="00194D9A"/>
    <w:rsid w:val="001A196B"/>
    <w:rsid w:val="001A6D05"/>
    <w:rsid w:val="001B38BF"/>
    <w:rsid w:val="001B772D"/>
    <w:rsid w:val="001D5B5D"/>
    <w:rsid w:val="001E6153"/>
    <w:rsid w:val="00201FF9"/>
    <w:rsid w:val="00205857"/>
    <w:rsid w:val="0023164B"/>
    <w:rsid w:val="00235ADC"/>
    <w:rsid w:val="00236F87"/>
    <w:rsid w:val="00264646"/>
    <w:rsid w:val="00265702"/>
    <w:rsid w:val="002662B2"/>
    <w:rsid w:val="002717C7"/>
    <w:rsid w:val="002875E9"/>
    <w:rsid w:val="00287EB3"/>
    <w:rsid w:val="002A47BA"/>
    <w:rsid w:val="002A6777"/>
    <w:rsid w:val="002B06BD"/>
    <w:rsid w:val="002C0E48"/>
    <w:rsid w:val="002C6F04"/>
    <w:rsid w:val="002E2177"/>
    <w:rsid w:val="002E2E41"/>
    <w:rsid w:val="002E78CD"/>
    <w:rsid w:val="002F20A7"/>
    <w:rsid w:val="002F55D8"/>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D151F"/>
    <w:rsid w:val="003D6721"/>
    <w:rsid w:val="003E039E"/>
    <w:rsid w:val="003F7797"/>
    <w:rsid w:val="0040230E"/>
    <w:rsid w:val="0041662F"/>
    <w:rsid w:val="00422917"/>
    <w:rsid w:val="00440687"/>
    <w:rsid w:val="0044131D"/>
    <w:rsid w:val="00441ADA"/>
    <w:rsid w:val="00457E46"/>
    <w:rsid w:val="004922E4"/>
    <w:rsid w:val="00496AF8"/>
    <w:rsid w:val="004A575D"/>
    <w:rsid w:val="004B65C6"/>
    <w:rsid w:val="004D1DC7"/>
    <w:rsid w:val="004E7215"/>
    <w:rsid w:val="004F7D7E"/>
    <w:rsid w:val="00500B0C"/>
    <w:rsid w:val="00515FDB"/>
    <w:rsid w:val="00537150"/>
    <w:rsid w:val="00540984"/>
    <w:rsid w:val="00543851"/>
    <w:rsid w:val="0055559D"/>
    <w:rsid w:val="005569AE"/>
    <w:rsid w:val="00573A3A"/>
    <w:rsid w:val="005857F8"/>
    <w:rsid w:val="005B0D18"/>
    <w:rsid w:val="005B12C3"/>
    <w:rsid w:val="005B409D"/>
    <w:rsid w:val="005D0FDB"/>
    <w:rsid w:val="005D25E9"/>
    <w:rsid w:val="005D6D59"/>
    <w:rsid w:val="005E067A"/>
    <w:rsid w:val="0061327A"/>
    <w:rsid w:val="00617390"/>
    <w:rsid w:val="00623420"/>
    <w:rsid w:val="00634768"/>
    <w:rsid w:val="0063596F"/>
    <w:rsid w:val="006709EB"/>
    <w:rsid w:val="00672824"/>
    <w:rsid w:val="00676BD4"/>
    <w:rsid w:val="0068184A"/>
    <w:rsid w:val="006A0249"/>
    <w:rsid w:val="006B5C51"/>
    <w:rsid w:val="006C7F30"/>
    <w:rsid w:val="006D43FF"/>
    <w:rsid w:val="006E6FDD"/>
    <w:rsid w:val="006F4B7F"/>
    <w:rsid w:val="006F760B"/>
    <w:rsid w:val="00701CC3"/>
    <w:rsid w:val="0071176D"/>
    <w:rsid w:val="00724801"/>
    <w:rsid w:val="00734949"/>
    <w:rsid w:val="007362E0"/>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1599C"/>
    <w:rsid w:val="00837121"/>
    <w:rsid w:val="008471E5"/>
    <w:rsid w:val="00850C35"/>
    <w:rsid w:val="00851466"/>
    <w:rsid w:val="00853B1A"/>
    <w:rsid w:val="00863E43"/>
    <w:rsid w:val="008647C3"/>
    <w:rsid w:val="008659ED"/>
    <w:rsid w:val="008708DC"/>
    <w:rsid w:val="00870987"/>
    <w:rsid w:val="0087564A"/>
    <w:rsid w:val="00881160"/>
    <w:rsid w:val="0088371C"/>
    <w:rsid w:val="008A45F3"/>
    <w:rsid w:val="008B51D9"/>
    <w:rsid w:val="008B652E"/>
    <w:rsid w:val="008D05B7"/>
    <w:rsid w:val="008E51B4"/>
    <w:rsid w:val="008F1DC6"/>
    <w:rsid w:val="008F6F51"/>
    <w:rsid w:val="00905C5B"/>
    <w:rsid w:val="00923295"/>
    <w:rsid w:val="00925F11"/>
    <w:rsid w:val="0093453B"/>
    <w:rsid w:val="00935265"/>
    <w:rsid w:val="0094689F"/>
    <w:rsid w:val="009477D6"/>
    <w:rsid w:val="00953ED3"/>
    <w:rsid w:val="00965FF6"/>
    <w:rsid w:val="009846D6"/>
    <w:rsid w:val="0098657F"/>
    <w:rsid w:val="009A3236"/>
    <w:rsid w:val="009B5A93"/>
    <w:rsid w:val="009B5BEA"/>
    <w:rsid w:val="009C291F"/>
    <w:rsid w:val="009E37BD"/>
    <w:rsid w:val="009E6B86"/>
    <w:rsid w:val="009F4DCF"/>
    <w:rsid w:val="00A03301"/>
    <w:rsid w:val="00A12762"/>
    <w:rsid w:val="00A13867"/>
    <w:rsid w:val="00A26FED"/>
    <w:rsid w:val="00A421D4"/>
    <w:rsid w:val="00A42783"/>
    <w:rsid w:val="00A44FF0"/>
    <w:rsid w:val="00A50E55"/>
    <w:rsid w:val="00A67EB1"/>
    <w:rsid w:val="00A9011D"/>
    <w:rsid w:val="00A91A47"/>
    <w:rsid w:val="00A95D2B"/>
    <w:rsid w:val="00AA5587"/>
    <w:rsid w:val="00AB4ECE"/>
    <w:rsid w:val="00AC1E53"/>
    <w:rsid w:val="00AD79C8"/>
    <w:rsid w:val="00AE6CE0"/>
    <w:rsid w:val="00AF732F"/>
    <w:rsid w:val="00B058A6"/>
    <w:rsid w:val="00B117D0"/>
    <w:rsid w:val="00B13998"/>
    <w:rsid w:val="00B35C5F"/>
    <w:rsid w:val="00B439DD"/>
    <w:rsid w:val="00B52561"/>
    <w:rsid w:val="00B52E0F"/>
    <w:rsid w:val="00B74629"/>
    <w:rsid w:val="00B91F58"/>
    <w:rsid w:val="00BA579E"/>
    <w:rsid w:val="00BC0318"/>
    <w:rsid w:val="00BE2295"/>
    <w:rsid w:val="00BE6373"/>
    <w:rsid w:val="00BF533A"/>
    <w:rsid w:val="00C05685"/>
    <w:rsid w:val="00C41794"/>
    <w:rsid w:val="00C46677"/>
    <w:rsid w:val="00C5180E"/>
    <w:rsid w:val="00C54E40"/>
    <w:rsid w:val="00C55F56"/>
    <w:rsid w:val="00C57BA4"/>
    <w:rsid w:val="00C613EB"/>
    <w:rsid w:val="00C71C1A"/>
    <w:rsid w:val="00C84623"/>
    <w:rsid w:val="00C84CC8"/>
    <w:rsid w:val="00CB06C9"/>
    <w:rsid w:val="00CB1E41"/>
    <w:rsid w:val="00CB271C"/>
    <w:rsid w:val="00CC0F87"/>
    <w:rsid w:val="00CE4F96"/>
    <w:rsid w:val="00CF0AB1"/>
    <w:rsid w:val="00CF4B9B"/>
    <w:rsid w:val="00CF55E6"/>
    <w:rsid w:val="00CF772F"/>
    <w:rsid w:val="00D048DB"/>
    <w:rsid w:val="00D14F0B"/>
    <w:rsid w:val="00D1624B"/>
    <w:rsid w:val="00D178CA"/>
    <w:rsid w:val="00D3311C"/>
    <w:rsid w:val="00D53405"/>
    <w:rsid w:val="00D5457B"/>
    <w:rsid w:val="00D65471"/>
    <w:rsid w:val="00D72995"/>
    <w:rsid w:val="00D73685"/>
    <w:rsid w:val="00DA7FA2"/>
    <w:rsid w:val="00DC2D8D"/>
    <w:rsid w:val="00DC7F67"/>
    <w:rsid w:val="00DE1F5D"/>
    <w:rsid w:val="00DE50D8"/>
    <w:rsid w:val="00DF278A"/>
    <w:rsid w:val="00E12153"/>
    <w:rsid w:val="00E1664B"/>
    <w:rsid w:val="00E30D12"/>
    <w:rsid w:val="00E3392B"/>
    <w:rsid w:val="00E3394E"/>
    <w:rsid w:val="00E35241"/>
    <w:rsid w:val="00E41417"/>
    <w:rsid w:val="00E42FAA"/>
    <w:rsid w:val="00E536D3"/>
    <w:rsid w:val="00E57BE2"/>
    <w:rsid w:val="00E6079C"/>
    <w:rsid w:val="00E62A95"/>
    <w:rsid w:val="00E746A2"/>
    <w:rsid w:val="00E90D06"/>
    <w:rsid w:val="00E97E59"/>
    <w:rsid w:val="00EA79C9"/>
    <w:rsid w:val="00EB5196"/>
    <w:rsid w:val="00EB66AC"/>
    <w:rsid w:val="00EC0DA6"/>
    <w:rsid w:val="00EC1225"/>
    <w:rsid w:val="00EC2247"/>
    <w:rsid w:val="00EE0FFE"/>
    <w:rsid w:val="00EE1F87"/>
    <w:rsid w:val="00EE3931"/>
    <w:rsid w:val="00EE5AF6"/>
    <w:rsid w:val="00EF2CEF"/>
    <w:rsid w:val="00F1092D"/>
    <w:rsid w:val="00F42C20"/>
    <w:rsid w:val="00F431D8"/>
    <w:rsid w:val="00F63E8D"/>
    <w:rsid w:val="00F67706"/>
    <w:rsid w:val="00F81FE3"/>
    <w:rsid w:val="00F90F82"/>
    <w:rsid w:val="00F92D75"/>
    <w:rsid w:val="00F97327"/>
    <w:rsid w:val="00FA296F"/>
    <w:rsid w:val="00FA4E05"/>
    <w:rsid w:val="00FA7323"/>
    <w:rsid w:val="00FB1299"/>
    <w:rsid w:val="00FC32D3"/>
    <w:rsid w:val="00FD4D82"/>
    <w:rsid w:val="00FD66B6"/>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customStyle="1" w:styleId="ref-title">
    <w:name w:val="ref-title"/>
    <w:basedOn w:val="DefaultParagraphFont"/>
    <w:rsid w:val="00BC0318"/>
  </w:style>
  <w:style w:type="character" w:styleId="UnresolvedMention">
    <w:name w:val="Unresolved Mention"/>
    <w:basedOn w:val="DefaultParagraphFont"/>
    <w:uiPriority w:val="99"/>
    <w:semiHidden/>
    <w:unhideWhenUsed/>
    <w:rsid w:val="00BC031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797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hyperlink" Target="https://qualitynet.org/inpatient/measures/readmission/methodology"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www.hcup-us.ahrq.gov/reports/statbriefs/sb204-Most-Expensive-Hospital-Conditions.pdf" TargetMode="Externa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3A0CF36E869D4806B6A1540D6B9B50F7"/>
        <w:category>
          <w:name w:val="General"/>
          <w:gallery w:val="placeholder"/>
        </w:category>
        <w:types>
          <w:type w:val="bbPlcHdr"/>
        </w:types>
        <w:behaviors>
          <w:behavior w:val="content"/>
        </w:behaviors>
        <w:guid w:val="{5EA5B634-5668-458C-A77A-B43D37BBB8F1}"/>
      </w:docPartPr>
      <w:docPartBody>
        <w:p w:rsidR="00CE1A26" w:rsidRDefault="00640784" w:rsidP="00640784">
          <w:pPr>
            <w:pStyle w:val="3A0CF36E869D4806B6A1540D6B9B50F7"/>
          </w:pPr>
          <w:r w:rsidRPr="003B1C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A1E4B"/>
    <w:rsid w:val="00455EB5"/>
    <w:rsid w:val="00461C1C"/>
    <w:rsid w:val="004E2027"/>
    <w:rsid w:val="005F21F3"/>
    <w:rsid w:val="00640784"/>
    <w:rsid w:val="008F6A9B"/>
    <w:rsid w:val="00A77B15"/>
    <w:rsid w:val="00BE0F2D"/>
    <w:rsid w:val="00C03643"/>
    <w:rsid w:val="00C2797F"/>
    <w:rsid w:val="00C80225"/>
    <w:rsid w:val="00CE1A26"/>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40784"/>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3A0CF36E869D4806B6A1540D6B9B50F7">
    <w:name w:val="3A0CF36E869D4806B6A1540D6B9B50F7"/>
    <w:rsid w:val="0064078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2.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3.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2CDBE7-7F08-4F52-B308-EE351D989842}">
  <ds:schemaRefs>
    <ds:schemaRef ds:uri="http://purl.org/dc/elements/1.1/"/>
    <ds:schemaRef ds:uri="836b82f1-340d-495e-85b5-201c5296619a"/>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016FE122-8C63-4328-BAA9-DE3F9BF7E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6</Pages>
  <Words>2550</Words>
  <Characters>14541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Harris, Alexandra</cp:lastModifiedBy>
  <cp:revision>7</cp:revision>
  <dcterms:created xsi:type="dcterms:W3CDTF">2020-06-08T21:23:00Z</dcterms:created>
  <dcterms:modified xsi:type="dcterms:W3CDTF">2020-06-25T19:33:00Z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