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0FB" w:rsidRPr="00DC45B2" w:rsidRDefault="001E3E39" w:rsidP="003F0347">
      <w:pPr>
        <w:pStyle w:val="Title"/>
        <w:rPr>
          <w:rFonts w:asciiTheme="minorHAnsi" w:hAnsiTheme="minorHAnsi"/>
          <w:sz w:val="22"/>
          <w:szCs w:val="22"/>
        </w:rPr>
      </w:pPr>
      <w:r w:rsidRPr="00DC45B2">
        <w:rPr>
          <w:rFonts w:asciiTheme="minorHAnsi" w:hAnsiTheme="minorHAnsi"/>
          <w:sz w:val="22"/>
          <w:szCs w:val="22"/>
        </w:rPr>
        <w:t xml:space="preserve">APPENDIX </w:t>
      </w:r>
    </w:p>
    <w:sdt>
      <w:sdtPr>
        <w:rPr>
          <w:rFonts w:asciiTheme="minorHAnsi" w:eastAsiaTheme="minorHAnsi" w:hAnsiTheme="minorHAnsi" w:cstheme="minorBidi"/>
          <w:b w:val="0"/>
          <w:bCs w:val="0"/>
          <w:color w:val="auto"/>
          <w:sz w:val="22"/>
          <w:szCs w:val="22"/>
          <w:lang w:eastAsia="en-US"/>
        </w:rPr>
        <w:id w:val="-228763046"/>
        <w:docPartObj>
          <w:docPartGallery w:val="Table of Contents"/>
          <w:docPartUnique/>
        </w:docPartObj>
      </w:sdtPr>
      <w:sdtEndPr>
        <w:rPr>
          <w:noProof/>
        </w:rPr>
      </w:sdtEndPr>
      <w:sdtContent>
        <w:p w:rsidR="003F0347" w:rsidRPr="00DC45B2" w:rsidRDefault="003F0347">
          <w:pPr>
            <w:pStyle w:val="TOCHeading"/>
            <w:rPr>
              <w:rFonts w:asciiTheme="minorHAnsi" w:hAnsiTheme="minorHAnsi"/>
              <w:sz w:val="22"/>
              <w:szCs w:val="22"/>
            </w:rPr>
          </w:pPr>
          <w:r w:rsidRPr="00DC45B2">
            <w:rPr>
              <w:rFonts w:asciiTheme="minorHAnsi" w:hAnsiTheme="minorHAnsi"/>
              <w:sz w:val="22"/>
              <w:szCs w:val="22"/>
            </w:rPr>
            <w:t>Table of Contents</w:t>
          </w:r>
        </w:p>
        <w:p w:rsidR="009361D0" w:rsidRDefault="003F0347">
          <w:pPr>
            <w:pStyle w:val="TOC1"/>
            <w:tabs>
              <w:tab w:val="right" w:leader="dot" w:pos="9350"/>
            </w:tabs>
            <w:rPr>
              <w:rFonts w:eastAsiaTheme="minorEastAsia"/>
              <w:noProof/>
            </w:rPr>
          </w:pPr>
          <w:r w:rsidRPr="00DC45B2">
            <w:fldChar w:fldCharType="begin"/>
          </w:r>
          <w:r w:rsidRPr="00DC45B2">
            <w:instrText xml:space="preserve"> TOC \o "1-3" \h \z \u </w:instrText>
          </w:r>
          <w:r w:rsidRPr="00DC45B2">
            <w:fldChar w:fldCharType="separate"/>
          </w:r>
          <w:hyperlink w:anchor="_Toc378337097" w:history="1">
            <w:r w:rsidR="009361D0" w:rsidRPr="00963129">
              <w:rPr>
                <w:rStyle w:val="Hyperlink"/>
                <w:noProof/>
              </w:rPr>
              <w:t>S.25  Data source or collection instrument</w:t>
            </w:r>
            <w:r w:rsidR="009361D0">
              <w:rPr>
                <w:noProof/>
                <w:webHidden/>
              </w:rPr>
              <w:tab/>
            </w:r>
            <w:r w:rsidR="009361D0">
              <w:rPr>
                <w:noProof/>
                <w:webHidden/>
              </w:rPr>
              <w:fldChar w:fldCharType="begin"/>
            </w:r>
            <w:r w:rsidR="009361D0">
              <w:rPr>
                <w:noProof/>
                <w:webHidden/>
              </w:rPr>
              <w:instrText xml:space="preserve"> PAGEREF _Toc378337097 \h </w:instrText>
            </w:r>
            <w:r w:rsidR="009361D0">
              <w:rPr>
                <w:noProof/>
                <w:webHidden/>
              </w:rPr>
            </w:r>
            <w:r w:rsidR="009361D0">
              <w:rPr>
                <w:noProof/>
                <w:webHidden/>
              </w:rPr>
              <w:fldChar w:fldCharType="separate"/>
            </w:r>
            <w:r w:rsidR="00886161">
              <w:rPr>
                <w:noProof/>
                <w:webHidden/>
              </w:rPr>
              <w:t>2</w:t>
            </w:r>
            <w:r w:rsidR="009361D0">
              <w:rPr>
                <w:noProof/>
                <w:webHidden/>
              </w:rPr>
              <w:fldChar w:fldCharType="end"/>
            </w:r>
          </w:hyperlink>
        </w:p>
        <w:p w:rsidR="009361D0" w:rsidRDefault="00AF2B49">
          <w:pPr>
            <w:pStyle w:val="TOC1"/>
            <w:tabs>
              <w:tab w:val="right" w:leader="dot" w:pos="9350"/>
            </w:tabs>
            <w:rPr>
              <w:rFonts w:eastAsiaTheme="minorEastAsia"/>
              <w:noProof/>
            </w:rPr>
          </w:pPr>
          <w:hyperlink w:anchor="_Toc378337098" w:history="1">
            <w:r w:rsidR="009361D0" w:rsidRPr="00963129">
              <w:rPr>
                <w:rStyle w:val="Hyperlink"/>
                <w:noProof/>
              </w:rPr>
              <w:t>1b.2. Provide performance scores</w:t>
            </w:r>
            <w:r w:rsidR="009361D0">
              <w:rPr>
                <w:noProof/>
                <w:webHidden/>
              </w:rPr>
              <w:tab/>
            </w:r>
            <w:r w:rsidR="009361D0">
              <w:rPr>
                <w:noProof/>
                <w:webHidden/>
              </w:rPr>
              <w:fldChar w:fldCharType="begin"/>
            </w:r>
            <w:r w:rsidR="009361D0">
              <w:rPr>
                <w:noProof/>
                <w:webHidden/>
              </w:rPr>
              <w:instrText xml:space="preserve"> PAGEREF _Toc378337098 \h </w:instrText>
            </w:r>
            <w:r w:rsidR="009361D0">
              <w:rPr>
                <w:noProof/>
                <w:webHidden/>
              </w:rPr>
            </w:r>
            <w:r w:rsidR="009361D0">
              <w:rPr>
                <w:noProof/>
                <w:webHidden/>
              </w:rPr>
              <w:fldChar w:fldCharType="separate"/>
            </w:r>
            <w:r w:rsidR="00886161">
              <w:rPr>
                <w:noProof/>
                <w:webHidden/>
              </w:rPr>
              <w:t>2</w:t>
            </w:r>
            <w:r w:rsidR="009361D0">
              <w:rPr>
                <w:noProof/>
                <w:webHidden/>
              </w:rPr>
              <w:fldChar w:fldCharType="end"/>
            </w:r>
          </w:hyperlink>
        </w:p>
        <w:p w:rsidR="009361D0" w:rsidRDefault="00AF2B49">
          <w:pPr>
            <w:pStyle w:val="TOC1"/>
            <w:tabs>
              <w:tab w:val="right" w:leader="dot" w:pos="9350"/>
            </w:tabs>
            <w:rPr>
              <w:rFonts w:eastAsiaTheme="minorEastAsia"/>
              <w:noProof/>
            </w:rPr>
          </w:pPr>
          <w:hyperlink w:anchor="_Toc378337099" w:history="1">
            <w:r w:rsidR="009361D0" w:rsidRPr="00963129">
              <w:rPr>
                <w:rStyle w:val="Hyperlink"/>
                <w:noProof/>
              </w:rPr>
              <w:t>1b.4 Provide disparities data from the measure as specified</w:t>
            </w:r>
            <w:r w:rsidR="009361D0">
              <w:rPr>
                <w:noProof/>
                <w:webHidden/>
              </w:rPr>
              <w:tab/>
            </w:r>
            <w:r w:rsidR="009361D0">
              <w:rPr>
                <w:noProof/>
                <w:webHidden/>
              </w:rPr>
              <w:fldChar w:fldCharType="begin"/>
            </w:r>
            <w:r w:rsidR="009361D0">
              <w:rPr>
                <w:noProof/>
                <w:webHidden/>
              </w:rPr>
              <w:instrText xml:space="preserve"> PAGEREF _Toc378337099 \h </w:instrText>
            </w:r>
            <w:r w:rsidR="009361D0">
              <w:rPr>
                <w:noProof/>
                <w:webHidden/>
              </w:rPr>
            </w:r>
            <w:r w:rsidR="009361D0">
              <w:rPr>
                <w:noProof/>
                <w:webHidden/>
              </w:rPr>
              <w:fldChar w:fldCharType="separate"/>
            </w:r>
            <w:r w:rsidR="00886161">
              <w:rPr>
                <w:noProof/>
                <w:webHidden/>
              </w:rPr>
              <w:t>4</w:t>
            </w:r>
            <w:r w:rsidR="009361D0">
              <w:rPr>
                <w:noProof/>
                <w:webHidden/>
              </w:rPr>
              <w:fldChar w:fldCharType="end"/>
            </w:r>
          </w:hyperlink>
        </w:p>
        <w:p w:rsidR="009361D0" w:rsidRDefault="00AF2B49">
          <w:pPr>
            <w:pStyle w:val="TOC1"/>
            <w:tabs>
              <w:tab w:val="right" w:leader="dot" w:pos="9350"/>
            </w:tabs>
            <w:rPr>
              <w:rFonts w:eastAsiaTheme="minorEastAsia"/>
              <w:noProof/>
            </w:rPr>
          </w:pPr>
          <w:hyperlink w:anchor="_Toc378337100" w:history="1">
            <w:r w:rsidR="009361D0" w:rsidRPr="00963129">
              <w:rPr>
                <w:rStyle w:val="Hyperlink"/>
                <w:noProof/>
              </w:rPr>
              <w:t>1c.3 Provide epidemiologic or resource use data that demonstrates the measure addresses a high priority aspect of healthcare</w:t>
            </w:r>
            <w:r w:rsidR="009361D0">
              <w:rPr>
                <w:noProof/>
                <w:webHidden/>
              </w:rPr>
              <w:tab/>
            </w:r>
            <w:r w:rsidR="009361D0">
              <w:rPr>
                <w:noProof/>
                <w:webHidden/>
              </w:rPr>
              <w:fldChar w:fldCharType="begin"/>
            </w:r>
            <w:r w:rsidR="009361D0">
              <w:rPr>
                <w:noProof/>
                <w:webHidden/>
              </w:rPr>
              <w:instrText xml:space="preserve"> PAGEREF _Toc378337100 \h </w:instrText>
            </w:r>
            <w:r w:rsidR="009361D0">
              <w:rPr>
                <w:noProof/>
                <w:webHidden/>
              </w:rPr>
            </w:r>
            <w:r w:rsidR="009361D0">
              <w:rPr>
                <w:noProof/>
                <w:webHidden/>
              </w:rPr>
              <w:fldChar w:fldCharType="separate"/>
            </w:r>
            <w:r w:rsidR="00886161">
              <w:rPr>
                <w:noProof/>
                <w:webHidden/>
              </w:rPr>
              <w:t>6</w:t>
            </w:r>
            <w:r w:rsidR="009361D0">
              <w:rPr>
                <w:noProof/>
                <w:webHidden/>
              </w:rPr>
              <w:fldChar w:fldCharType="end"/>
            </w:r>
          </w:hyperlink>
        </w:p>
        <w:p w:rsidR="009361D0" w:rsidRDefault="00AF2B49">
          <w:pPr>
            <w:pStyle w:val="TOC1"/>
            <w:tabs>
              <w:tab w:val="right" w:leader="dot" w:pos="9350"/>
            </w:tabs>
            <w:rPr>
              <w:rFonts w:eastAsiaTheme="minorEastAsia"/>
              <w:noProof/>
            </w:rPr>
          </w:pPr>
          <w:hyperlink w:anchor="_Toc378337101" w:history="1">
            <w:r w:rsidR="009361D0" w:rsidRPr="00963129">
              <w:rPr>
                <w:rStyle w:val="Hyperlink"/>
                <w:noProof/>
              </w:rPr>
              <w:t>Comparison of CMS’s skilled nursing facility readmission measure and PointRight OnPoint-30 SNF rehospitalizations</w:t>
            </w:r>
            <w:r w:rsidR="009361D0">
              <w:rPr>
                <w:noProof/>
                <w:webHidden/>
              </w:rPr>
              <w:tab/>
            </w:r>
            <w:r w:rsidR="009361D0">
              <w:rPr>
                <w:noProof/>
                <w:webHidden/>
              </w:rPr>
              <w:fldChar w:fldCharType="begin"/>
            </w:r>
            <w:r w:rsidR="009361D0">
              <w:rPr>
                <w:noProof/>
                <w:webHidden/>
              </w:rPr>
              <w:instrText xml:space="preserve"> PAGEREF _Toc378337101 \h </w:instrText>
            </w:r>
            <w:r w:rsidR="009361D0">
              <w:rPr>
                <w:noProof/>
                <w:webHidden/>
              </w:rPr>
            </w:r>
            <w:r w:rsidR="009361D0">
              <w:rPr>
                <w:noProof/>
                <w:webHidden/>
              </w:rPr>
              <w:fldChar w:fldCharType="separate"/>
            </w:r>
            <w:r w:rsidR="00886161">
              <w:rPr>
                <w:noProof/>
                <w:webHidden/>
              </w:rPr>
              <w:t>7</w:t>
            </w:r>
            <w:r w:rsidR="009361D0">
              <w:rPr>
                <w:noProof/>
                <w:webHidden/>
              </w:rPr>
              <w:fldChar w:fldCharType="end"/>
            </w:r>
          </w:hyperlink>
        </w:p>
        <w:p w:rsidR="003F0347" w:rsidRPr="00DC45B2" w:rsidRDefault="003F0347">
          <w:r w:rsidRPr="00DC45B2">
            <w:rPr>
              <w:b/>
              <w:bCs/>
              <w:noProof/>
            </w:rPr>
            <w:fldChar w:fldCharType="end"/>
          </w:r>
        </w:p>
      </w:sdtContent>
    </w:sdt>
    <w:p w:rsidR="003F0347" w:rsidRPr="00DC45B2" w:rsidRDefault="003F0347">
      <w:pPr>
        <w:rPr>
          <w:b/>
        </w:rPr>
      </w:pPr>
    </w:p>
    <w:p w:rsidR="003F0347" w:rsidRPr="00DC45B2" w:rsidRDefault="003F0347" w:rsidP="003F0347">
      <w:pPr>
        <w:pStyle w:val="Heading1"/>
        <w:rPr>
          <w:rFonts w:asciiTheme="minorHAnsi" w:hAnsiTheme="minorHAnsi"/>
          <w:sz w:val="22"/>
          <w:szCs w:val="22"/>
        </w:rPr>
      </w:pPr>
    </w:p>
    <w:p w:rsidR="003F0347" w:rsidRPr="00DC45B2" w:rsidRDefault="003F0347" w:rsidP="003F0347">
      <w:pPr>
        <w:pStyle w:val="Heading1"/>
        <w:rPr>
          <w:rFonts w:asciiTheme="minorHAnsi" w:hAnsiTheme="minorHAnsi"/>
          <w:sz w:val="22"/>
          <w:szCs w:val="22"/>
        </w:rPr>
      </w:pPr>
    </w:p>
    <w:p w:rsidR="003F0347" w:rsidRPr="00DC45B2" w:rsidRDefault="003F0347" w:rsidP="003F0347">
      <w:pPr>
        <w:pStyle w:val="Heading1"/>
        <w:rPr>
          <w:rFonts w:asciiTheme="minorHAnsi" w:hAnsiTheme="minorHAnsi"/>
          <w:sz w:val="22"/>
          <w:szCs w:val="22"/>
        </w:rPr>
      </w:pPr>
    </w:p>
    <w:p w:rsidR="003F0347" w:rsidRPr="00DC45B2" w:rsidRDefault="003F0347" w:rsidP="003F0347">
      <w:pPr>
        <w:pStyle w:val="Heading1"/>
        <w:rPr>
          <w:rFonts w:asciiTheme="minorHAnsi" w:hAnsiTheme="minorHAnsi"/>
          <w:sz w:val="22"/>
          <w:szCs w:val="22"/>
        </w:rPr>
      </w:pPr>
    </w:p>
    <w:p w:rsidR="003F0347" w:rsidRPr="00DC45B2" w:rsidRDefault="003F0347" w:rsidP="003F0347">
      <w:pPr>
        <w:pStyle w:val="Heading1"/>
        <w:rPr>
          <w:rFonts w:asciiTheme="minorHAnsi" w:hAnsiTheme="minorHAnsi"/>
          <w:sz w:val="22"/>
          <w:szCs w:val="22"/>
        </w:rPr>
      </w:pPr>
    </w:p>
    <w:p w:rsidR="003F0347" w:rsidRPr="00DC45B2" w:rsidRDefault="003F0347" w:rsidP="003F0347">
      <w:pPr>
        <w:pStyle w:val="Heading1"/>
        <w:rPr>
          <w:rFonts w:asciiTheme="minorHAnsi" w:hAnsiTheme="minorHAnsi"/>
          <w:sz w:val="22"/>
          <w:szCs w:val="22"/>
        </w:rPr>
      </w:pPr>
    </w:p>
    <w:p w:rsidR="003F0347" w:rsidRPr="00DC45B2" w:rsidRDefault="003F0347" w:rsidP="003F0347"/>
    <w:p w:rsidR="003F0347" w:rsidRPr="00DC45B2" w:rsidRDefault="003F0347" w:rsidP="003F0347"/>
    <w:p w:rsidR="003F0347" w:rsidRPr="00DC45B2" w:rsidRDefault="003F0347" w:rsidP="003F0347">
      <w:pPr>
        <w:pStyle w:val="Heading1"/>
        <w:rPr>
          <w:rFonts w:asciiTheme="minorHAnsi" w:hAnsiTheme="minorHAnsi"/>
          <w:sz w:val="22"/>
          <w:szCs w:val="22"/>
        </w:rPr>
      </w:pPr>
    </w:p>
    <w:p w:rsidR="003F0347" w:rsidRPr="00DC45B2" w:rsidRDefault="003F0347" w:rsidP="003F0347">
      <w:pPr>
        <w:pStyle w:val="Heading1"/>
        <w:rPr>
          <w:rFonts w:asciiTheme="minorHAnsi" w:hAnsiTheme="minorHAnsi"/>
          <w:sz w:val="22"/>
          <w:szCs w:val="22"/>
        </w:rPr>
      </w:pPr>
    </w:p>
    <w:p w:rsidR="003F0347" w:rsidRPr="00DC45B2" w:rsidRDefault="003F0347" w:rsidP="003F0347"/>
    <w:p w:rsidR="001E3E39" w:rsidRDefault="000714E4" w:rsidP="003F0347">
      <w:pPr>
        <w:pStyle w:val="Heading1"/>
        <w:rPr>
          <w:rFonts w:asciiTheme="minorHAnsi" w:hAnsiTheme="minorHAnsi"/>
          <w:sz w:val="22"/>
          <w:szCs w:val="22"/>
        </w:rPr>
      </w:pPr>
      <w:bookmarkStart w:id="0" w:name="_Toc378337097"/>
      <w:r w:rsidRPr="00DC45B2">
        <w:rPr>
          <w:rFonts w:asciiTheme="minorHAnsi" w:hAnsiTheme="minorHAnsi"/>
          <w:sz w:val="22"/>
          <w:szCs w:val="22"/>
        </w:rPr>
        <w:lastRenderedPageBreak/>
        <w:t xml:space="preserve">S.25  Data </w:t>
      </w:r>
      <w:r w:rsidR="009A1ABE" w:rsidRPr="00DC45B2">
        <w:rPr>
          <w:rFonts w:asciiTheme="minorHAnsi" w:hAnsiTheme="minorHAnsi"/>
          <w:sz w:val="22"/>
          <w:szCs w:val="22"/>
        </w:rPr>
        <w:t>source or collection instrument</w:t>
      </w:r>
      <w:bookmarkEnd w:id="0"/>
      <w:r w:rsidR="009A1ABE" w:rsidRPr="00DC45B2">
        <w:rPr>
          <w:rFonts w:asciiTheme="minorHAnsi" w:hAnsiTheme="minorHAnsi"/>
          <w:sz w:val="22"/>
          <w:szCs w:val="22"/>
        </w:rPr>
        <w:t xml:space="preserve"> </w:t>
      </w:r>
    </w:p>
    <w:p w:rsidR="009A1ABE" w:rsidRPr="009A1ABE" w:rsidRDefault="009A1ABE" w:rsidP="009A1ABE"/>
    <w:p w:rsidR="003F0347" w:rsidRPr="00DC45B2" w:rsidRDefault="003F0347">
      <w:pPr>
        <w:rPr>
          <w:rFonts w:cstheme="minorHAnsi"/>
          <w:color w:val="000000"/>
        </w:rPr>
      </w:pPr>
      <w:r w:rsidRPr="00DC45B2">
        <w:rPr>
          <w:rFonts w:cstheme="minorHAnsi"/>
          <w:color w:val="000000"/>
        </w:rPr>
        <w:t>Minimum Data Set 3.0</w:t>
      </w:r>
    </w:p>
    <w:p w:rsidR="000714E4" w:rsidRDefault="000714E4">
      <w:r w:rsidRPr="00DC45B2">
        <w:t>The data collection instrument for this measure is the Minimum Data Set 3.0 (MDS 3.0). Information on this data collection instrument can be found on the Research Data Assistance Center</w:t>
      </w:r>
      <w:r w:rsidR="003D724E">
        <w:t xml:space="preserve"> website</w:t>
      </w:r>
      <w:r w:rsidRPr="00DC45B2">
        <w:t xml:space="preserve"> </w:t>
      </w:r>
      <w:hyperlink r:id="rId9" w:history="1">
        <w:r w:rsidRPr="00DC45B2">
          <w:rPr>
            <w:rStyle w:val="Hyperlink"/>
          </w:rPr>
          <w:t>http://www.resdac.org/cms-data/files/mds-3.0</w:t>
        </w:r>
      </w:hyperlink>
      <w:r w:rsidRPr="00DC45B2">
        <w:t xml:space="preserve">. The data documentation tab, </w:t>
      </w:r>
      <w:hyperlink r:id="rId10" w:history="1">
        <w:r w:rsidRPr="00DC45B2">
          <w:rPr>
            <w:rStyle w:val="Hyperlink"/>
          </w:rPr>
          <w:t>http://www.resdac.org/cms-data/files/mds-3.0/data-documentation</w:t>
        </w:r>
      </w:hyperlink>
      <w:r w:rsidRPr="00DC45B2">
        <w:t xml:space="preserve">, provides a full list of current and historical MDS data elements. </w:t>
      </w:r>
    </w:p>
    <w:p w:rsidR="00634C88" w:rsidRDefault="00634C88" w:rsidP="00634C88">
      <w:pPr>
        <w:pStyle w:val="Heading1"/>
        <w:rPr>
          <w:rFonts w:asciiTheme="minorHAnsi" w:hAnsiTheme="minorHAnsi"/>
          <w:sz w:val="22"/>
          <w:szCs w:val="22"/>
        </w:rPr>
      </w:pPr>
      <w:bookmarkStart w:id="1" w:name="_Toc378337098"/>
      <w:r w:rsidRPr="00634C88">
        <w:rPr>
          <w:rFonts w:asciiTheme="minorHAnsi" w:hAnsiTheme="minorHAnsi"/>
          <w:sz w:val="22"/>
          <w:szCs w:val="22"/>
        </w:rPr>
        <w:t>1b.2. Provide performance scores</w:t>
      </w:r>
      <w:bookmarkEnd w:id="1"/>
      <w:r w:rsidRPr="00634C88">
        <w:rPr>
          <w:rFonts w:asciiTheme="minorHAnsi" w:hAnsiTheme="minorHAnsi"/>
          <w:sz w:val="22"/>
          <w:szCs w:val="22"/>
        </w:rPr>
        <w:t> </w:t>
      </w:r>
    </w:p>
    <w:p w:rsidR="00634C88" w:rsidRDefault="00634C88" w:rsidP="00634C88">
      <w:r>
        <w:t>STATE AVERAGE IN 2011 COMPARED TO 2013</w:t>
      </w:r>
    </w:p>
    <w:tbl>
      <w:tblPr>
        <w:tblStyle w:val="TableGrid"/>
        <w:tblW w:w="5927" w:type="dxa"/>
        <w:tblLook w:val="04A0" w:firstRow="1" w:lastRow="0" w:firstColumn="1" w:lastColumn="0" w:noHBand="0" w:noVBand="1"/>
      </w:tblPr>
      <w:tblGrid>
        <w:gridCol w:w="960"/>
        <w:gridCol w:w="1140"/>
        <w:gridCol w:w="967"/>
        <w:gridCol w:w="1320"/>
        <w:gridCol w:w="1540"/>
      </w:tblGrid>
      <w:tr w:rsidR="00634C88" w:rsidRPr="00A852CD" w:rsidTr="00634C88">
        <w:trPr>
          <w:trHeight w:val="1200"/>
        </w:trPr>
        <w:tc>
          <w:tcPr>
            <w:tcW w:w="960" w:type="dxa"/>
            <w:shd w:val="clear" w:color="auto" w:fill="EEECE1" w:themeFill="background2"/>
            <w:hideMark/>
          </w:tcPr>
          <w:p w:rsidR="00634C88" w:rsidRPr="00A852CD" w:rsidRDefault="00634C88" w:rsidP="005F3CC3">
            <w:pPr>
              <w:jc w:val="center"/>
              <w:rPr>
                <w:rFonts w:ascii="Calibri" w:eastAsia="Times New Roman" w:hAnsi="Calibri" w:cs="Calibri"/>
                <w:b/>
                <w:bCs/>
                <w:color w:val="000000"/>
              </w:rPr>
            </w:pPr>
            <w:r>
              <w:rPr>
                <w:rFonts w:ascii="Calibri" w:eastAsia="Times New Roman" w:hAnsi="Calibri" w:cs="Calibri"/>
                <w:b/>
                <w:bCs/>
                <w:color w:val="000000"/>
              </w:rPr>
              <w:t xml:space="preserve">STATE </w:t>
            </w:r>
            <w:r w:rsidRPr="00A852CD">
              <w:rPr>
                <w:rFonts w:ascii="Calibri" w:eastAsia="Times New Roman" w:hAnsi="Calibri" w:cs="Calibri"/>
                <w:b/>
                <w:bCs/>
                <w:color w:val="000000"/>
              </w:rPr>
              <w:t>ID</w:t>
            </w:r>
          </w:p>
        </w:tc>
        <w:tc>
          <w:tcPr>
            <w:tcW w:w="1140" w:type="dxa"/>
            <w:shd w:val="clear" w:color="auto" w:fill="EEECE1" w:themeFill="background2"/>
            <w:hideMark/>
          </w:tcPr>
          <w:p w:rsidR="00634C88" w:rsidRPr="00A852CD" w:rsidRDefault="00634C88" w:rsidP="005F3CC3">
            <w:pPr>
              <w:jc w:val="center"/>
              <w:rPr>
                <w:rFonts w:ascii="Calibri" w:eastAsia="Times New Roman" w:hAnsi="Calibri" w:cs="Calibri"/>
                <w:b/>
                <w:bCs/>
                <w:color w:val="000000"/>
              </w:rPr>
            </w:pPr>
            <w:r w:rsidRPr="00A852CD">
              <w:rPr>
                <w:rFonts w:ascii="Calibri" w:eastAsia="Times New Roman" w:hAnsi="Calibri" w:cs="Calibri"/>
                <w:b/>
                <w:bCs/>
                <w:color w:val="000000"/>
              </w:rPr>
              <w:t>Average Rate 2011 Q4</w:t>
            </w:r>
          </w:p>
        </w:tc>
        <w:tc>
          <w:tcPr>
            <w:tcW w:w="967" w:type="dxa"/>
            <w:shd w:val="clear" w:color="auto" w:fill="EEECE1" w:themeFill="background2"/>
            <w:hideMark/>
          </w:tcPr>
          <w:p w:rsidR="00634C88" w:rsidRPr="00A852CD" w:rsidRDefault="00634C88" w:rsidP="005F3CC3">
            <w:pPr>
              <w:jc w:val="center"/>
              <w:rPr>
                <w:rFonts w:ascii="Calibri" w:eastAsia="Times New Roman" w:hAnsi="Calibri" w:cs="Calibri"/>
                <w:b/>
                <w:bCs/>
                <w:color w:val="000000"/>
              </w:rPr>
            </w:pPr>
            <w:r w:rsidRPr="00A852CD">
              <w:rPr>
                <w:rFonts w:ascii="Calibri" w:eastAsia="Times New Roman" w:hAnsi="Calibri" w:cs="Calibri"/>
                <w:b/>
                <w:bCs/>
                <w:color w:val="000000"/>
              </w:rPr>
              <w:t>Average Rate 2013 Q2</w:t>
            </w:r>
          </w:p>
        </w:tc>
        <w:tc>
          <w:tcPr>
            <w:tcW w:w="1320" w:type="dxa"/>
            <w:shd w:val="clear" w:color="auto" w:fill="EEECE1" w:themeFill="background2"/>
            <w:hideMark/>
          </w:tcPr>
          <w:p w:rsidR="00634C88" w:rsidRPr="00A852CD" w:rsidRDefault="00634C88" w:rsidP="005F3CC3">
            <w:pPr>
              <w:jc w:val="center"/>
              <w:rPr>
                <w:rFonts w:ascii="Calibri" w:eastAsia="Times New Roman" w:hAnsi="Calibri" w:cs="Calibri"/>
                <w:b/>
                <w:bCs/>
                <w:color w:val="000000"/>
              </w:rPr>
            </w:pPr>
            <w:r w:rsidRPr="00A852CD">
              <w:rPr>
                <w:rFonts w:ascii="Calibri" w:eastAsia="Times New Roman" w:hAnsi="Calibri" w:cs="Calibri"/>
                <w:b/>
                <w:bCs/>
                <w:color w:val="000000"/>
              </w:rPr>
              <w:t>% Change from 2011 Q4 to 2013 Q2</w:t>
            </w:r>
          </w:p>
        </w:tc>
        <w:tc>
          <w:tcPr>
            <w:tcW w:w="1540" w:type="dxa"/>
            <w:shd w:val="clear" w:color="auto" w:fill="EEECE1" w:themeFill="background2"/>
            <w:hideMark/>
          </w:tcPr>
          <w:p w:rsidR="00634C88" w:rsidRPr="00A852CD" w:rsidRDefault="00634C88" w:rsidP="005F3CC3">
            <w:pPr>
              <w:jc w:val="center"/>
              <w:rPr>
                <w:rFonts w:ascii="Calibri" w:eastAsia="Times New Roman" w:hAnsi="Calibri" w:cs="Calibri"/>
                <w:b/>
                <w:bCs/>
                <w:color w:val="000000"/>
              </w:rPr>
            </w:pPr>
            <w:r w:rsidRPr="00A852CD">
              <w:rPr>
                <w:rFonts w:ascii="Calibri" w:eastAsia="Times New Roman" w:hAnsi="Calibri" w:cs="Calibri"/>
                <w:b/>
                <w:bCs/>
                <w:color w:val="000000"/>
              </w:rPr>
              <w:t>Total # of Facilities with reportable data</w:t>
            </w:r>
          </w:p>
        </w:tc>
      </w:tr>
      <w:tr w:rsidR="00634C88" w:rsidRPr="00A852CD" w:rsidTr="00634C88">
        <w:trPr>
          <w:trHeight w:val="300"/>
        </w:trPr>
        <w:tc>
          <w:tcPr>
            <w:tcW w:w="960" w:type="dxa"/>
            <w:shd w:val="clear" w:color="auto" w:fill="FDE9D9" w:themeFill="accent6" w:themeFillTint="33"/>
            <w:noWrap/>
            <w:hideMark/>
          </w:tcPr>
          <w:p w:rsidR="00634C88" w:rsidRPr="00A852CD" w:rsidRDefault="00634C88" w:rsidP="005F3CC3">
            <w:pPr>
              <w:rPr>
                <w:rFonts w:ascii="Calibri" w:eastAsia="Times New Roman" w:hAnsi="Calibri" w:cs="Calibri"/>
                <w:b/>
                <w:bCs/>
                <w:color w:val="000000"/>
              </w:rPr>
            </w:pPr>
            <w:r w:rsidRPr="00A852CD">
              <w:rPr>
                <w:rFonts w:ascii="Calibri" w:eastAsia="Times New Roman" w:hAnsi="Calibri" w:cs="Calibri"/>
                <w:b/>
                <w:bCs/>
                <w:color w:val="000000"/>
              </w:rPr>
              <w:t>US</w:t>
            </w:r>
          </w:p>
        </w:tc>
        <w:tc>
          <w:tcPr>
            <w:tcW w:w="1140" w:type="dxa"/>
            <w:shd w:val="clear" w:color="auto" w:fill="FDE9D9" w:themeFill="accent6" w:themeFillTint="33"/>
            <w:noWrap/>
            <w:hideMark/>
          </w:tcPr>
          <w:p w:rsidR="00634C88" w:rsidRPr="00A852CD" w:rsidRDefault="00634C88" w:rsidP="005F3CC3">
            <w:pPr>
              <w:jc w:val="right"/>
              <w:rPr>
                <w:rFonts w:ascii="Calibri" w:eastAsia="Times New Roman" w:hAnsi="Calibri" w:cs="Calibri"/>
                <w:b/>
                <w:bCs/>
                <w:color w:val="000000"/>
              </w:rPr>
            </w:pPr>
            <w:r w:rsidRPr="00A852CD">
              <w:rPr>
                <w:rFonts w:ascii="Calibri" w:eastAsia="Times New Roman" w:hAnsi="Calibri" w:cs="Calibri"/>
                <w:b/>
                <w:bCs/>
                <w:color w:val="000000"/>
              </w:rPr>
              <w:t>18.2</w:t>
            </w:r>
          </w:p>
        </w:tc>
        <w:tc>
          <w:tcPr>
            <w:tcW w:w="967" w:type="dxa"/>
            <w:shd w:val="clear" w:color="auto" w:fill="FDE9D9" w:themeFill="accent6" w:themeFillTint="33"/>
            <w:noWrap/>
            <w:hideMark/>
          </w:tcPr>
          <w:p w:rsidR="00634C88" w:rsidRPr="00A852CD" w:rsidRDefault="00634C88" w:rsidP="005F3CC3">
            <w:pPr>
              <w:jc w:val="right"/>
              <w:rPr>
                <w:rFonts w:ascii="Calibri" w:eastAsia="Times New Roman" w:hAnsi="Calibri" w:cs="Calibri"/>
                <w:b/>
                <w:bCs/>
                <w:color w:val="000000"/>
              </w:rPr>
            </w:pPr>
            <w:r w:rsidRPr="00A852CD">
              <w:rPr>
                <w:rFonts w:ascii="Calibri" w:eastAsia="Times New Roman" w:hAnsi="Calibri" w:cs="Calibri"/>
                <w:b/>
                <w:bCs/>
                <w:color w:val="000000"/>
              </w:rPr>
              <w:t>17.6</w:t>
            </w:r>
          </w:p>
        </w:tc>
        <w:tc>
          <w:tcPr>
            <w:tcW w:w="1320" w:type="dxa"/>
            <w:shd w:val="clear" w:color="auto" w:fill="FDE9D9" w:themeFill="accent6" w:themeFillTint="33"/>
            <w:noWrap/>
            <w:hideMark/>
          </w:tcPr>
          <w:p w:rsidR="00634C88" w:rsidRPr="00A852CD" w:rsidRDefault="00634C88" w:rsidP="005F3CC3">
            <w:pPr>
              <w:jc w:val="right"/>
              <w:rPr>
                <w:rFonts w:ascii="Calibri" w:eastAsia="Times New Roman" w:hAnsi="Calibri" w:cs="Calibri"/>
                <w:b/>
                <w:bCs/>
                <w:color w:val="000000"/>
              </w:rPr>
            </w:pPr>
            <w:r w:rsidRPr="00A852CD">
              <w:rPr>
                <w:rFonts w:ascii="Calibri" w:eastAsia="Times New Roman" w:hAnsi="Calibri" w:cs="Calibri"/>
                <w:b/>
                <w:bCs/>
                <w:color w:val="000000"/>
              </w:rPr>
              <w:t>-3.3%</w:t>
            </w:r>
          </w:p>
        </w:tc>
        <w:tc>
          <w:tcPr>
            <w:tcW w:w="1540" w:type="dxa"/>
            <w:shd w:val="clear" w:color="auto" w:fill="FDE9D9" w:themeFill="accent6" w:themeFillTint="33"/>
            <w:noWrap/>
            <w:hideMark/>
          </w:tcPr>
          <w:p w:rsidR="00634C88" w:rsidRPr="00A852CD" w:rsidRDefault="00634C88" w:rsidP="005F3CC3">
            <w:pPr>
              <w:jc w:val="right"/>
              <w:rPr>
                <w:rFonts w:ascii="Calibri" w:eastAsia="Times New Roman" w:hAnsi="Calibri" w:cs="Calibri"/>
                <w:b/>
                <w:bCs/>
                <w:color w:val="000000"/>
              </w:rPr>
            </w:pPr>
            <w:r w:rsidRPr="00A852CD">
              <w:rPr>
                <w:rFonts w:ascii="Calibri" w:eastAsia="Times New Roman" w:hAnsi="Calibri" w:cs="Calibri"/>
                <w:b/>
                <w:bCs/>
                <w:color w:val="000000"/>
              </w:rPr>
              <w:t>10896</w:t>
            </w:r>
          </w:p>
        </w:tc>
      </w:tr>
      <w:tr w:rsidR="00634C88" w:rsidRPr="00A852CD" w:rsidTr="00634C88">
        <w:trPr>
          <w:trHeight w:val="300"/>
        </w:trPr>
        <w:tc>
          <w:tcPr>
            <w:tcW w:w="960" w:type="dxa"/>
            <w:noWrap/>
            <w:hideMark/>
          </w:tcPr>
          <w:p w:rsidR="00634C88" w:rsidRPr="00A852CD" w:rsidRDefault="00634C88" w:rsidP="005F3CC3">
            <w:pPr>
              <w:rPr>
                <w:rFonts w:ascii="Calibri" w:eastAsia="Times New Roman" w:hAnsi="Calibri" w:cs="Calibri"/>
                <w:color w:val="000000"/>
              </w:rPr>
            </w:pPr>
            <w:r w:rsidRPr="00A852CD">
              <w:rPr>
                <w:rFonts w:ascii="Calibri" w:eastAsia="Times New Roman" w:hAnsi="Calibri" w:cs="Calibri"/>
                <w:color w:val="000000"/>
              </w:rPr>
              <w:t>AK</w:t>
            </w:r>
          </w:p>
        </w:tc>
        <w:tc>
          <w:tcPr>
            <w:tcW w:w="11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13.1</w:t>
            </w:r>
          </w:p>
        </w:tc>
        <w:tc>
          <w:tcPr>
            <w:tcW w:w="967"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15.3</w:t>
            </w:r>
          </w:p>
        </w:tc>
        <w:tc>
          <w:tcPr>
            <w:tcW w:w="132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16.8%</w:t>
            </w:r>
          </w:p>
        </w:tc>
        <w:tc>
          <w:tcPr>
            <w:tcW w:w="15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3</w:t>
            </w:r>
          </w:p>
        </w:tc>
      </w:tr>
      <w:tr w:rsidR="00634C88" w:rsidRPr="00A852CD" w:rsidTr="00634C88">
        <w:trPr>
          <w:trHeight w:val="300"/>
        </w:trPr>
        <w:tc>
          <w:tcPr>
            <w:tcW w:w="960" w:type="dxa"/>
            <w:noWrap/>
            <w:hideMark/>
          </w:tcPr>
          <w:p w:rsidR="00634C88" w:rsidRPr="00A852CD" w:rsidRDefault="00634C88" w:rsidP="005F3CC3">
            <w:pPr>
              <w:rPr>
                <w:rFonts w:ascii="Calibri" w:eastAsia="Times New Roman" w:hAnsi="Calibri" w:cs="Calibri"/>
                <w:color w:val="000000"/>
              </w:rPr>
            </w:pPr>
            <w:r w:rsidRPr="00A852CD">
              <w:rPr>
                <w:rFonts w:ascii="Calibri" w:eastAsia="Times New Roman" w:hAnsi="Calibri" w:cs="Calibri"/>
                <w:color w:val="000000"/>
              </w:rPr>
              <w:t>AL</w:t>
            </w:r>
          </w:p>
        </w:tc>
        <w:tc>
          <w:tcPr>
            <w:tcW w:w="11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17.8</w:t>
            </w:r>
          </w:p>
        </w:tc>
        <w:tc>
          <w:tcPr>
            <w:tcW w:w="967"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17.2</w:t>
            </w:r>
          </w:p>
        </w:tc>
        <w:tc>
          <w:tcPr>
            <w:tcW w:w="132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-3.4%</w:t>
            </w:r>
          </w:p>
        </w:tc>
        <w:tc>
          <w:tcPr>
            <w:tcW w:w="15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179</w:t>
            </w:r>
          </w:p>
        </w:tc>
      </w:tr>
      <w:tr w:rsidR="00634C88" w:rsidRPr="00A852CD" w:rsidTr="00634C88">
        <w:trPr>
          <w:trHeight w:val="300"/>
        </w:trPr>
        <w:tc>
          <w:tcPr>
            <w:tcW w:w="960" w:type="dxa"/>
            <w:noWrap/>
            <w:hideMark/>
          </w:tcPr>
          <w:p w:rsidR="00634C88" w:rsidRPr="00A852CD" w:rsidRDefault="00634C88" w:rsidP="005F3CC3">
            <w:pPr>
              <w:rPr>
                <w:rFonts w:ascii="Calibri" w:eastAsia="Times New Roman" w:hAnsi="Calibri" w:cs="Calibri"/>
                <w:color w:val="000000"/>
              </w:rPr>
            </w:pPr>
            <w:r w:rsidRPr="00A852CD">
              <w:rPr>
                <w:rFonts w:ascii="Calibri" w:eastAsia="Times New Roman" w:hAnsi="Calibri" w:cs="Calibri"/>
                <w:color w:val="000000"/>
              </w:rPr>
              <w:t>AR</w:t>
            </w:r>
          </w:p>
        </w:tc>
        <w:tc>
          <w:tcPr>
            <w:tcW w:w="11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20.4</w:t>
            </w:r>
          </w:p>
        </w:tc>
        <w:tc>
          <w:tcPr>
            <w:tcW w:w="967"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19.7</w:t>
            </w:r>
          </w:p>
        </w:tc>
        <w:tc>
          <w:tcPr>
            <w:tcW w:w="132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-3.4%</w:t>
            </w:r>
          </w:p>
        </w:tc>
        <w:tc>
          <w:tcPr>
            <w:tcW w:w="15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134</w:t>
            </w:r>
          </w:p>
        </w:tc>
      </w:tr>
      <w:tr w:rsidR="00634C88" w:rsidRPr="00A852CD" w:rsidTr="00634C88">
        <w:trPr>
          <w:trHeight w:val="300"/>
        </w:trPr>
        <w:tc>
          <w:tcPr>
            <w:tcW w:w="960" w:type="dxa"/>
            <w:noWrap/>
            <w:hideMark/>
          </w:tcPr>
          <w:p w:rsidR="00634C88" w:rsidRPr="00A852CD" w:rsidRDefault="00634C88" w:rsidP="005F3CC3">
            <w:pPr>
              <w:rPr>
                <w:rFonts w:ascii="Calibri" w:eastAsia="Times New Roman" w:hAnsi="Calibri" w:cs="Calibri"/>
                <w:color w:val="000000"/>
              </w:rPr>
            </w:pPr>
            <w:r w:rsidRPr="00A852CD">
              <w:rPr>
                <w:rFonts w:ascii="Calibri" w:eastAsia="Times New Roman" w:hAnsi="Calibri" w:cs="Calibri"/>
                <w:color w:val="000000"/>
              </w:rPr>
              <w:t>AZ</w:t>
            </w:r>
          </w:p>
        </w:tc>
        <w:tc>
          <w:tcPr>
            <w:tcW w:w="11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18.6</w:t>
            </w:r>
          </w:p>
        </w:tc>
        <w:tc>
          <w:tcPr>
            <w:tcW w:w="967"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16.4</w:t>
            </w:r>
          </w:p>
        </w:tc>
        <w:tc>
          <w:tcPr>
            <w:tcW w:w="132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-11.8%</w:t>
            </w:r>
          </w:p>
        </w:tc>
        <w:tc>
          <w:tcPr>
            <w:tcW w:w="15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116</w:t>
            </w:r>
          </w:p>
        </w:tc>
      </w:tr>
      <w:tr w:rsidR="00634C88" w:rsidRPr="00A852CD" w:rsidTr="00634C88">
        <w:trPr>
          <w:trHeight w:val="300"/>
        </w:trPr>
        <w:tc>
          <w:tcPr>
            <w:tcW w:w="960" w:type="dxa"/>
            <w:noWrap/>
            <w:hideMark/>
          </w:tcPr>
          <w:p w:rsidR="00634C88" w:rsidRPr="00A852CD" w:rsidRDefault="00634C88" w:rsidP="005F3CC3">
            <w:pPr>
              <w:rPr>
                <w:rFonts w:ascii="Calibri" w:eastAsia="Times New Roman" w:hAnsi="Calibri" w:cs="Calibri"/>
                <w:color w:val="000000"/>
              </w:rPr>
            </w:pPr>
            <w:r w:rsidRPr="00A852CD">
              <w:rPr>
                <w:rFonts w:ascii="Calibri" w:eastAsia="Times New Roman" w:hAnsi="Calibri" w:cs="Calibri"/>
                <w:color w:val="000000"/>
              </w:rPr>
              <w:t>CA</w:t>
            </w:r>
          </w:p>
        </w:tc>
        <w:tc>
          <w:tcPr>
            <w:tcW w:w="11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17.6</w:t>
            </w:r>
          </w:p>
        </w:tc>
        <w:tc>
          <w:tcPr>
            <w:tcW w:w="967"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16.7</w:t>
            </w:r>
          </w:p>
        </w:tc>
        <w:tc>
          <w:tcPr>
            <w:tcW w:w="132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-5.1%</w:t>
            </w:r>
          </w:p>
        </w:tc>
        <w:tc>
          <w:tcPr>
            <w:tcW w:w="15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735</w:t>
            </w:r>
          </w:p>
        </w:tc>
      </w:tr>
      <w:tr w:rsidR="00634C88" w:rsidRPr="00A852CD" w:rsidTr="00634C88">
        <w:trPr>
          <w:trHeight w:val="300"/>
        </w:trPr>
        <w:tc>
          <w:tcPr>
            <w:tcW w:w="960" w:type="dxa"/>
            <w:noWrap/>
            <w:hideMark/>
          </w:tcPr>
          <w:p w:rsidR="00634C88" w:rsidRPr="00A852CD" w:rsidRDefault="00634C88" w:rsidP="005F3CC3">
            <w:pPr>
              <w:rPr>
                <w:rFonts w:ascii="Calibri" w:eastAsia="Times New Roman" w:hAnsi="Calibri" w:cs="Calibri"/>
                <w:color w:val="000000"/>
              </w:rPr>
            </w:pPr>
            <w:r w:rsidRPr="00A852CD">
              <w:rPr>
                <w:rFonts w:ascii="Calibri" w:eastAsia="Times New Roman" w:hAnsi="Calibri" w:cs="Calibri"/>
                <w:color w:val="000000"/>
              </w:rPr>
              <w:t>CO</w:t>
            </w:r>
          </w:p>
        </w:tc>
        <w:tc>
          <w:tcPr>
            <w:tcW w:w="11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14</w:t>
            </w:r>
          </w:p>
        </w:tc>
        <w:tc>
          <w:tcPr>
            <w:tcW w:w="967"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12.6</w:t>
            </w:r>
          </w:p>
        </w:tc>
        <w:tc>
          <w:tcPr>
            <w:tcW w:w="132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-10.0%</w:t>
            </w:r>
          </w:p>
        </w:tc>
        <w:tc>
          <w:tcPr>
            <w:tcW w:w="15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139</w:t>
            </w:r>
          </w:p>
        </w:tc>
      </w:tr>
      <w:tr w:rsidR="00634C88" w:rsidRPr="00A852CD" w:rsidTr="00634C88">
        <w:trPr>
          <w:trHeight w:val="300"/>
        </w:trPr>
        <w:tc>
          <w:tcPr>
            <w:tcW w:w="960" w:type="dxa"/>
            <w:noWrap/>
            <w:hideMark/>
          </w:tcPr>
          <w:p w:rsidR="00634C88" w:rsidRPr="00A852CD" w:rsidRDefault="00634C88" w:rsidP="005F3CC3">
            <w:pPr>
              <w:rPr>
                <w:rFonts w:ascii="Calibri" w:eastAsia="Times New Roman" w:hAnsi="Calibri" w:cs="Calibri"/>
                <w:color w:val="000000"/>
              </w:rPr>
            </w:pPr>
            <w:r w:rsidRPr="00A852CD">
              <w:rPr>
                <w:rFonts w:ascii="Calibri" w:eastAsia="Times New Roman" w:hAnsi="Calibri" w:cs="Calibri"/>
                <w:color w:val="000000"/>
              </w:rPr>
              <w:t>CT</w:t>
            </w:r>
          </w:p>
        </w:tc>
        <w:tc>
          <w:tcPr>
            <w:tcW w:w="11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17.5</w:t>
            </w:r>
          </w:p>
        </w:tc>
        <w:tc>
          <w:tcPr>
            <w:tcW w:w="967"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16.9</w:t>
            </w:r>
          </w:p>
        </w:tc>
        <w:tc>
          <w:tcPr>
            <w:tcW w:w="132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-3.4%</w:t>
            </w:r>
          </w:p>
        </w:tc>
        <w:tc>
          <w:tcPr>
            <w:tcW w:w="15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184</w:t>
            </w:r>
          </w:p>
        </w:tc>
      </w:tr>
      <w:tr w:rsidR="00634C88" w:rsidRPr="00A852CD" w:rsidTr="00634C88">
        <w:trPr>
          <w:trHeight w:val="300"/>
        </w:trPr>
        <w:tc>
          <w:tcPr>
            <w:tcW w:w="960" w:type="dxa"/>
            <w:noWrap/>
            <w:hideMark/>
          </w:tcPr>
          <w:p w:rsidR="00634C88" w:rsidRPr="00A852CD" w:rsidRDefault="00634C88" w:rsidP="005F3CC3">
            <w:pPr>
              <w:rPr>
                <w:rFonts w:ascii="Calibri" w:eastAsia="Times New Roman" w:hAnsi="Calibri" w:cs="Calibri"/>
                <w:color w:val="000000"/>
              </w:rPr>
            </w:pPr>
            <w:r w:rsidRPr="00A852CD">
              <w:rPr>
                <w:rFonts w:ascii="Calibri" w:eastAsia="Times New Roman" w:hAnsi="Calibri" w:cs="Calibri"/>
                <w:color w:val="000000"/>
              </w:rPr>
              <w:t>DC</w:t>
            </w:r>
          </w:p>
        </w:tc>
        <w:tc>
          <w:tcPr>
            <w:tcW w:w="11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17.3</w:t>
            </w:r>
          </w:p>
        </w:tc>
        <w:tc>
          <w:tcPr>
            <w:tcW w:w="967"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19.6</w:t>
            </w:r>
          </w:p>
        </w:tc>
        <w:tc>
          <w:tcPr>
            <w:tcW w:w="132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13.3%</w:t>
            </w:r>
          </w:p>
        </w:tc>
        <w:tc>
          <w:tcPr>
            <w:tcW w:w="15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10</w:t>
            </w:r>
          </w:p>
        </w:tc>
      </w:tr>
      <w:tr w:rsidR="00634C88" w:rsidRPr="00A852CD" w:rsidTr="00634C88">
        <w:trPr>
          <w:trHeight w:val="300"/>
        </w:trPr>
        <w:tc>
          <w:tcPr>
            <w:tcW w:w="960" w:type="dxa"/>
            <w:noWrap/>
            <w:hideMark/>
          </w:tcPr>
          <w:p w:rsidR="00634C88" w:rsidRPr="00A852CD" w:rsidRDefault="00634C88" w:rsidP="005F3CC3">
            <w:pPr>
              <w:rPr>
                <w:rFonts w:ascii="Calibri" w:eastAsia="Times New Roman" w:hAnsi="Calibri" w:cs="Calibri"/>
                <w:color w:val="000000"/>
              </w:rPr>
            </w:pPr>
            <w:r w:rsidRPr="00A852CD">
              <w:rPr>
                <w:rFonts w:ascii="Calibri" w:eastAsia="Times New Roman" w:hAnsi="Calibri" w:cs="Calibri"/>
                <w:color w:val="000000"/>
              </w:rPr>
              <w:t>DE</w:t>
            </w:r>
          </w:p>
        </w:tc>
        <w:tc>
          <w:tcPr>
            <w:tcW w:w="11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19</w:t>
            </w:r>
          </w:p>
        </w:tc>
        <w:tc>
          <w:tcPr>
            <w:tcW w:w="967"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18.7</w:t>
            </w:r>
          </w:p>
        </w:tc>
        <w:tc>
          <w:tcPr>
            <w:tcW w:w="132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-1.6%</w:t>
            </w:r>
          </w:p>
        </w:tc>
        <w:tc>
          <w:tcPr>
            <w:tcW w:w="15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29</w:t>
            </w:r>
          </w:p>
        </w:tc>
      </w:tr>
      <w:tr w:rsidR="00634C88" w:rsidRPr="00A852CD" w:rsidTr="00634C88">
        <w:trPr>
          <w:trHeight w:val="300"/>
        </w:trPr>
        <w:tc>
          <w:tcPr>
            <w:tcW w:w="960" w:type="dxa"/>
            <w:noWrap/>
            <w:hideMark/>
          </w:tcPr>
          <w:p w:rsidR="00634C88" w:rsidRPr="00A852CD" w:rsidRDefault="00634C88" w:rsidP="005F3CC3">
            <w:pPr>
              <w:rPr>
                <w:rFonts w:ascii="Calibri" w:eastAsia="Times New Roman" w:hAnsi="Calibri" w:cs="Calibri"/>
                <w:color w:val="000000"/>
              </w:rPr>
            </w:pPr>
            <w:r w:rsidRPr="00A852CD">
              <w:rPr>
                <w:rFonts w:ascii="Calibri" w:eastAsia="Times New Roman" w:hAnsi="Calibri" w:cs="Calibri"/>
                <w:color w:val="000000"/>
              </w:rPr>
              <w:t>FL</w:t>
            </w:r>
          </w:p>
        </w:tc>
        <w:tc>
          <w:tcPr>
            <w:tcW w:w="11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20</w:t>
            </w:r>
          </w:p>
        </w:tc>
        <w:tc>
          <w:tcPr>
            <w:tcW w:w="967"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19.4</w:t>
            </w:r>
          </w:p>
        </w:tc>
        <w:tc>
          <w:tcPr>
            <w:tcW w:w="132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-3.0%</w:t>
            </w:r>
          </w:p>
        </w:tc>
        <w:tc>
          <w:tcPr>
            <w:tcW w:w="15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571</w:t>
            </w:r>
          </w:p>
        </w:tc>
      </w:tr>
      <w:tr w:rsidR="00634C88" w:rsidRPr="00A852CD" w:rsidTr="00634C88">
        <w:trPr>
          <w:trHeight w:val="300"/>
        </w:trPr>
        <w:tc>
          <w:tcPr>
            <w:tcW w:w="960" w:type="dxa"/>
            <w:noWrap/>
            <w:hideMark/>
          </w:tcPr>
          <w:p w:rsidR="00634C88" w:rsidRPr="00A852CD" w:rsidRDefault="00634C88" w:rsidP="005F3CC3">
            <w:pPr>
              <w:rPr>
                <w:rFonts w:ascii="Calibri" w:eastAsia="Times New Roman" w:hAnsi="Calibri" w:cs="Calibri"/>
                <w:color w:val="000000"/>
              </w:rPr>
            </w:pPr>
            <w:r w:rsidRPr="00A852CD">
              <w:rPr>
                <w:rFonts w:ascii="Calibri" w:eastAsia="Times New Roman" w:hAnsi="Calibri" w:cs="Calibri"/>
                <w:color w:val="000000"/>
              </w:rPr>
              <w:t>GA</w:t>
            </w:r>
          </w:p>
        </w:tc>
        <w:tc>
          <w:tcPr>
            <w:tcW w:w="11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19</w:t>
            </w:r>
          </w:p>
        </w:tc>
        <w:tc>
          <w:tcPr>
            <w:tcW w:w="967"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18.2</w:t>
            </w:r>
          </w:p>
        </w:tc>
        <w:tc>
          <w:tcPr>
            <w:tcW w:w="132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-4.2%</w:t>
            </w:r>
          </w:p>
        </w:tc>
        <w:tc>
          <w:tcPr>
            <w:tcW w:w="15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294</w:t>
            </w:r>
          </w:p>
        </w:tc>
      </w:tr>
      <w:tr w:rsidR="00634C88" w:rsidRPr="00A852CD" w:rsidTr="00634C88">
        <w:trPr>
          <w:trHeight w:val="300"/>
        </w:trPr>
        <w:tc>
          <w:tcPr>
            <w:tcW w:w="960" w:type="dxa"/>
            <w:noWrap/>
            <w:hideMark/>
          </w:tcPr>
          <w:p w:rsidR="00634C88" w:rsidRPr="00A852CD" w:rsidRDefault="00634C88" w:rsidP="005F3CC3">
            <w:pPr>
              <w:rPr>
                <w:rFonts w:ascii="Calibri" w:eastAsia="Times New Roman" w:hAnsi="Calibri" w:cs="Calibri"/>
                <w:color w:val="000000"/>
              </w:rPr>
            </w:pPr>
            <w:r w:rsidRPr="00A852CD">
              <w:rPr>
                <w:rFonts w:ascii="Calibri" w:eastAsia="Times New Roman" w:hAnsi="Calibri" w:cs="Calibri"/>
                <w:color w:val="000000"/>
              </w:rPr>
              <w:t>HI</w:t>
            </w:r>
          </w:p>
        </w:tc>
        <w:tc>
          <w:tcPr>
            <w:tcW w:w="11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12.8</w:t>
            </w:r>
          </w:p>
        </w:tc>
        <w:tc>
          <w:tcPr>
            <w:tcW w:w="967"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10.7</w:t>
            </w:r>
          </w:p>
        </w:tc>
        <w:tc>
          <w:tcPr>
            <w:tcW w:w="132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-16.4%</w:t>
            </w:r>
          </w:p>
        </w:tc>
        <w:tc>
          <w:tcPr>
            <w:tcW w:w="15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23</w:t>
            </w:r>
          </w:p>
        </w:tc>
      </w:tr>
      <w:tr w:rsidR="00634C88" w:rsidRPr="00A852CD" w:rsidTr="00634C88">
        <w:trPr>
          <w:trHeight w:val="300"/>
        </w:trPr>
        <w:tc>
          <w:tcPr>
            <w:tcW w:w="960" w:type="dxa"/>
            <w:noWrap/>
            <w:hideMark/>
          </w:tcPr>
          <w:p w:rsidR="00634C88" w:rsidRPr="00A852CD" w:rsidRDefault="00634C88" w:rsidP="005F3CC3">
            <w:pPr>
              <w:rPr>
                <w:rFonts w:ascii="Calibri" w:eastAsia="Times New Roman" w:hAnsi="Calibri" w:cs="Calibri"/>
                <w:color w:val="000000"/>
              </w:rPr>
            </w:pPr>
            <w:r w:rsidRPr="00A852CD">
              <w:rPr>
                <w:rFonts w:ascii="Calibri" w:eastAsia="Times New Roman" w:hAnsi="Calibri" w:cs="Calibri"/>
                <w:color w:val="000000"/>
              </w:rPr>
              <w:t>IA</w:t>
            </w:r>
          </w:p>
        </w:tc>
        <w:tc>
          <w:tcPr>
            <w:tcW w:w="11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16.7</w:t>
            </w:r>
          </w:p>
        </w:tc>
        <w:tc>
          <w:tcPr>
            <w:tcW w:w="967"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16.2</w:t>
            </w:r>
          </w:p>
        </w:tc>
        <w:tc>
          <w:tcPr>
            <w:tcW w:w="132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-3.0%</w:t>
            </w:r>
          </w:p>
        </w:tc>
        <w:tc>
          <w:tcPr>
            <w:tcW w:w="15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229</w:t>
            </w:r>
          </w:p>
        </w:tc>
      </w:tr>
      <w:tr w:rsidR="00634C88" w:rsidRPr="00A852CD" w:rsidTr="00634C88">
        <w:trPr>
          <w:trHeight w:val="300"/>
        </w:trPr>
        <w:tc>
          <w:tcPr>
            <w:tcW w:w="960" w:type="dxa"/>
            <w:noWrap/>
            <w:hideMark/>
          </w:tcPr>
          <w:p w:rsidR="00634C88" w:rsidRPr="00A852CD" w:rsidRDefault="00634C88" w:rsidP="005F3CC3">
            <w:pPr>
              <w:rPr>
                <w:rFonts w:ascii="Calibri" w:eastAsia="Times New Roman" w:hAnsi="Calibri" w:cs="Calibri"/>
                <w:color w:val="000000"/>
              </w:rPr>
            </w:pPr>
            <w:r w:rsidRPr="00A852CD">
              <w:rPr>
                <w:rFonts w:ascii="Calibri" w:eastAsia="Times New Roman" w:hAnsi="Calibri" w:cs="Calibri"/>
                <w:color w:val="000000"/>
              </w:rPr>
              <w:t>ID</w:t>
            </w:r>
          </w:p>
        </w:tc>
        <w:tc>
          <w:tcPr>
            <w:tcW w:w="11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11.9</w:t>
            </w:r>
          </w:p>
        </w:tc>
        <w:tc>
          <w:tcPr>
            <w:tcW w:w="967"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11.2</w:t>
            </w:r>
          </w:p>
        </w:tc>
        <w:tc>
          <w:tcPr>
            <w:tcW w:w="132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-5.9%</w:t>
            </w:r>
          </w:p>
        </w:tc>
        <w:tc>
          <w:tcPr>
            <w:tcW w:w="15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56</w:t>
            </w:r>
          </w:p>
        </w:tc>
      </w:tr>
      <w:tr w:rsidR="00634C88" w:rsidRPr="00A852CD" w:rsidTr="00634C88">
        <w:trPr>
          <w:trHeight w:val="300"/>
        </w:trPr>
        <w:tc>
          <w:tcPr>
            <w:tcW w:w="960" w:type="dxa"/>
            <w:noWrap/>
            <w:hideMark/>
          </w:tcPr>
          <w:p w:rsidR="00634C88" w:rsidRPr="00A852CD" w:rsidRDefault="00634C88" w:rsidP="005F3CC3">
            <w:pPr>
              <w:rPr>
                <w:rFonts w:ascii="Calibri" w:eastAsia="Times New Roman" w:hAnsi="Calibri" w:cs="Calibri"/>
                <w:color w:val="000000"/>
              </w:rPr>
            </w:pPr>
            <w:r w:rsidRPr="00A852CD">
              <w:rPr>
                <w:rFonts w:ascii="Calibri" w:eastAsia="Times New Roman" w:hAnsi="Calibri" w:cs="Calibri"/>
                <w:color w:val="000000"/>
              </w:rPr>
              <w:t>IL</w:t>
            </w:r>
          </w:p>
        </w:tc>
        <w:tc>
          <w:tcPr>
            <w:tcW w:w="11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20.8</w:t>
            </w:r>
          </w:p>
        </w:tc>
        <w:tc>
          <w:tcPr>
            <w:tcW w:w="967"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19.3</w:t>
            </w:r>
          </w:p>
        </w:tc>
        <w:tc>
          <w:tcPr>
            <w:tcW w:w="132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-7.2%</w:t>
            </w:r>
          </w:p>
        </w:tc>
        <w:tc>
          <w:tcPr>
            <w:tcW w:w="15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517</w:t>
            </w:r>
          </w:p>
        </w:tc>
      </w:tr>
      <w:tr w:rsidR="00634C88" w:rsidRPr="00A852CD" w:rsidTr="00634C88">
        <w:trPr>
          <w:trHeight w:val="300"/>
        </w:trPr>
        <w:tc>
          <w:tcPr>
            <w:tcW w:w="960" w:type="dxa"/>
            <w:noWrap/>
            <w:hideMark/>
          </w:tcPr>
          <w:p w:rsidR="00634C88" w:rsidRPr="00A852CD" w:rsidRDefault="00634C88" w:rsidP="005F3CC3">
            <w:pPr>
              <w:rPr>
                <w:rFonts w:ascii="Calibri" w:eastAsia="Times New Roman" w:hAnsi="Calibri" w:cs="Calibri"/>
                <w:color w:val="000000"/>
              </w:rPr>
            </w:pPr>
            <w:r w:rsidRPr="00A852CD">
              <w:rPr>
                <w:rFonts w:ascii="Calibri" w:eastAsia="Times New Roman" w:hAnsi="Calibri" w:cs="Calibri"/>
                <w:color w:val="000000"/>
              </w:rPr>
              <w:t>IN</w:t>
            </w:r>
          </w:p>
        </w:tc>
        <w:tc>
          <w:tcPr>
            <w:tcW w:w="11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17.4</w:t>
            </w:r>
          </w:p>
        </w:tc>
        <w:tc>
          <w:tcPr>
            <w:tcW w:w="967"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17.5</w:t>
            </w:r>
          </w:p>
        </w:tc>
        <w:tc>
          <w:tcPr>
            <w:tcW w:w="132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0.6%</w:t>
            </w:r>
          </w:p>
        </w:tc>
        <w:tc>
          <w:tcPr>
            <w:tcW w:w="15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400</w:t>
            </w:r>
          </w:p>
        </w:tc>
      </w:tr>
      <w:tr w:rsidR="00634C88" w:rsidRPr="00A852CD" w:rsidTr="00634C88">
        <w:trPr>
          <w:trHeight w:val="300"/>
        </w:trPr>
        <w:tc>
          <w:tcPr>
            <w:tcW w:w="960" w:type="dxa"/>
            <w:noWrap/>
            <w:hideMark/>
          </w:tcPr>
          <w:p w:rsidR="00634C88" w:rsidRPr="00A852CD" w:rsidRDefault="00634C88" w:rsidP="005F3CC3">
            <w:pPr>
              <w:rPr>
                <w:rFonts w:ascii="Calibri" w:eastAsia="Times New Roman" w:hAnsi="Calibri" w:cs="Calibri"/>
                <w:color w:val="000000"/>
              </w:rPr>
            </w:pPr>
            <w:r w:rsidRPr="00A852CD">
              <w:rPr>
                <w:rFonts w:ascii="Calibri" w:eastAsia="Times New Roman" w:hAnsi="Calibri" w:cs="Calibri"/>
                <w:color w:val="000000"/>
              </w:rPr>
              <w:t>KS</w:t>
            </w:r>
          </w:p>
        </w:tc>
        <w:tc>
          <w:tcPr>
            <w:tcW w:w="11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16.8</w:t>
            </w:r>
          </w:p>
        </w:tc>
        <w:tc>
          <w:tcPr>
            <w:tcW w:w="967"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16.7</w:t>
            </w:r>
          </w:p>
        </w:tc>
        <w:tc>
          <w:tcPr>
            <w:tcW w:w="132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-0.6%</w:t>
            </w:r>
          </w:p>
        </w:tc>
        <w:tc>
          <w:tcPr>
            <w:tcW w:w="15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149</w:t>
            </w:r>
          </w:p>
        </w:tc>
      </w:tr>
      <w:tr w:rsidR="00634C88" w:rsidRPr="00A852CD" w:rsidTr="00634C88">
        <w:trPr>
          <w:trHeight w:val="300"/>
        </w:trPr>
        <w:tc>
          <w:tcPr>
            <w:tcW w:w="960" w:type="dxa"/>
            <w:noWrap/>
            <w:hideMark/>
          </w:tcPr>
          <w:p w:rsidR="00634C88" w:rsidRPr="00A852CD" w:rsidRDefault="00634C88" w:rsidP="005F3CC3">
            <w:pPr>
              <w:rPr>
                <w:rFonts w:ascii="Calibri" w:eastAsia="Times New Roman" w:hAnsi="Calibri" w:cs="Calibri"/>
                <w:color w:val="000000"/>
              </w:rPr>
            </w:pPr>
            <w:r w:rsidRPr="00A852CD">
              <w:rPr>
                <w:rFonts w:ascii="Calibri" w:eastAsia="Times New Roman" w:hAnsi="Calibri" w:cs="Calibri"/>
                <w:color w:val="000000"/>
              </w:rPr>
              <w:t>KY</w:t>
            </w:r>
          </w:p>
        </w:tc>
        <w:tc>
          <w:tcPr>
            <w:tcW w:w="11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18.9</w:t>
            </w:r>
          </w:p>
        </w:tc>
        <w:tc>
          <w:tcPr>
            <w:tcW w:w="967"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18.6</w:t>
            </w:r>
          </w:p>
        </w:tc>
        <w:tc>
          <w:tcPr>
            <w:tcW w:w="132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-1.6%</w:t>
            </w:r>
          </w:p>
        </w:tc>
        <w:tc>
          <w:tcPr>
            <w:tcW w:w="15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236</w:t>
            </w:r>
          </w:p>
        </w:tc>
      </w:tr>
      <w:tr w:rsidR="00634C88" w:rsidRPr="00A852CD" w:rsidTr="00634C88">
        <w:trPr>
          <w:trHeight w:val="300"/>
        </w:trPr>
        <w:tc>
          <w:tcPr>
            <w:tcW w:w="960" w:type="dxa"/>
            <w:noWrap/>
            <w:hideMark/>
          </w:tcPr>
          <w:p w:rsidR="00634C88" w:rsidRPr="00A852CD" w:rsidRDefault="00634C88" w:rsidP="005F3CC3">
            <w:pPr>
              <w:rPr>
                <w:rFonts w:ascii="Calibri" w:eastAsia="Times New Roman" w:hAnsi="Calibri" w:cs="Calibri"/>
                <w:color w:val="000000"/>
              </w:rPr>
            </w:pPr>
            <w:r w:rsidRPr="00A852CD">
              <w:rPr>
                <w:rFonts w:ascii="Calibri" w:eastAsia="Times New Roman" w:hAnsi="Calibri" w:cs="Calibri"/>
                <w:color w:val="000000"/>
              </w:rPr>
              <w:t>LA</w:t>
            </w:r>
          </w:p>
        </w:tc>
        <w:tc>
          <w:tcPr>
            <w:tcW w:w="11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23.3</w:t>
            </w:r>
          </w:p>
        </w:tc>
        <w:tc>
          <w:tcPr>
            <w:tcW w:w="967"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22.8</w:t>
            </w:r>
          </w:p>
        </w:tc>
        <w:tc>
          <w:tcPr>
            <w:tcW w:w="132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-2.1%</w:t>
            </w:r>
          </w:p>
        </w:tc>
        <w:tc>
          <w:tcPr>
            <w:tcW w:w="15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216</w:t>
            </w:r>
          </w:p>
        </w:tc>
      </w:tr>
      <w:tr w:rsidR="00634C88" w:rsidRPr="00A852CD" w:rsidTr="00634C88">
        <w:trPr>
          <w:trHeight w:val="300"/>
        </w:trPr>
        <w:tc>
          <w:tcPr>
            <w:tcW w:w="960" w:type="dxa"/>
            <w:noWrap/>
            <w:hideMark/>
          </w:tcPr>
          <w:p w:rsidR="00634C88" w:rsidRPr="00A852CD" w:rsidRDefault="00634C88" w:rsidP="005F3CC3">
            <w:pPr>
              <w:rPr>
                <w:rFonts w:ascii="Calibri" w:eastAsia="Times New Roman" w:hAnsi="Calibri" w:cs="Calibri"/>
                <w:color w:val="000000"/>
              </w:rPr>
            </w:pPr>
            <w:r w:rsidRPr="00A852CD">
              <w:rPr>
                <w:rFonts w:ascii="Calibri" w:eastAsia="Times New Roman" w:hAnsi="Calibri" w:cs="Calibri"/>
                <w:color w:val="000000"/>
              </w:rPr>
              <w:t>MA</w:t>
            </w:r>
          </w:p>
        </w:tc>
        <w:tc>
          <w:tcPr>
            <w:tcW w:w="11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16.4</w:t>
            </w:r>
          </w:p>
        </w:tc>
        <w:tc>
          <w:tcPr>
            <w:tcW w:w="967"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15.7</w:t>
            </w:r>
          </w:p>
        </w:tc>
        <w:tc>
          <w:tcPr>
            <w:tcW w:w="132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-4.3%</w:t>
            </w:r>
          </w:p>
        </w:tc>
        <w:tc>
          <w:tcPr>
            <w:tcW w:w="15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339</w:t>
            </w:r>
          </w:p>
        </w:tc>
      </w:tr>
      <w:tr w:rsidR="00634C88" w:rsidRPr="00A852CD" w:rsidTr="00634C88">
        <w:trPr>
          <w:trHeight w:val="300"/>
        </w:trPr>
        <w:tc>
          <w:tcPr>
            <w:tcW w:w="960" w:type="dxa"/>
            <w:noWrap/>
            <w:hideMark/>
          </w:tcPr>
          <w:p w:rsidR="00634C88" w:rsidRPr="00A852CD" w:rsidRDefault="00634C88" w:rsidP="005F3CC3">
            <w:pPr>
              <w:rPr>
                <w:rFonts w:ascii="Calibri" w:eastAsia="Times New Roman" w:hAnsi="Calibri" w:cs="Calibri"/>
                <w:color w:val="000000"/>
              </w:rPr>
            </w:pPr>
            <w:r w:rsidRPr="00A852CD">
              <w:rPr>
                <w:rFonts w:ascii="Calibri" w:eastAsia="Times New Roman" w:hAnsi="Calibri" w:cs="Calibri"/>
                <w:color w:val="000000"/>
              </w:rPr>
              <w:t>MD</w:t>
            </w:r>
          </w:p>
        </w:tc>
        <w:tc>
          <w:tcPr>
            <w:tcW w:w="11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19.6</w:t>
            </w:r>
          </w:p>
        </w:tc>
        <w:tc>
          <w:tcPr>
            <w:tcW w:w="967"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18.4</w:t>
            </w:r>
          </w:p>
        </w:tc>
        <w:tc>
          <w:tcPr>
            <w:tcW w:w="132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-6.1%</w:t>
            </w:r>
          </w:p>
        </w:tc>
        <w:tc>
          <w:tcPr>
            <w:tcW w:w="15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172</w:t>
            </w:r>
          </w:p>
        </w:tc>
      </w:tr>
      <w:tr w:rsidR="00634C88" w:rsidRPr="00A852CD" w:rsidTr="00634C88">
        <w:trPr>
          <w:trHeight w:val="300"/>
        </w:trPr>
        <w:tc>
          <w:tcPr>
            <w:tcW w:w="960" w:type="dxa"/>
            <w:noWrap/>
            <w:hideMark/>
          </w:tcPr>
          <w:p w:rsidR="00634C88" w:rsidRPr="00A852CD" w:rsidRDefault="00634C88" w:rsidP="005F3CC3">
            <w:pPr>
              <w:rPr>
                <w:rFonts w:ascii="Calibri" w:eastAsia="Times New Roman" w:hAnsi="Calibri" w:cs="Calibri"/>
                <w:color w:val="000000"/>
              </w:rPr>
            </w:pPr>
            <w:r w:rsidRPr="00A852CD">
              <w:rPr>
                <w:rFonts w:ascii="Calibri" w:eastAsia="Times New Roman" w:hAnsi="Calibri" w:cs="Calibri"/>
                <w:color w:val="000000"/>
              </w:rPr>
              <w:t>ME</w:t>
            </w:r>
          </w:p>
        </w:tc>
        <w:tc>
          <w:tcPr>
            <w:tcW w:w="11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15.2</w:t>
            </w:r>
          </w:p>
        </w:tc>
        <w:tc>
          <w:tcPr>
            <w:tcW w:w="967"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14.9</w:t>
            </w:r>
          </w:p>
        </w:tc>
        <w:tc>
          <w:tcPr>
            <w:tcW w:w="132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-2.0%</w:t>
            </w:r>
          </w:p>
        </w:tc>
        <w:tc>
          <w:tcPr>
            <w:tcW w:w="15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81</w:t>
            </w:r>
          </w:p>
        </w:tc>
      </w:tr>
      <w:tr w:rsidR="00634C88" w:rsidRPr="00A852CD" w:rsidTr="00634C88">
        <w:trPr>
          <w:trHeight w:val="300"/>
        </w:trPr>
        <w:tc>
          <w:tcPr>
            <w:tcW w:w="960" w:type="dxa"/>
            <w:noWrap/>
            <w:hideMark/>
          </w:tcPr>
          <w:p w:rsidR="00634C88" w:rsidRPr="00A852CD" w:rsidRDefault="00634C88" w:rsidP="005F3CC3">
            <w:pPr>
              <w:rPr>
                <w:rFonts w:ascii="Calibri" w:eastAsia="Times New Roman" w:hAnsi="Calibri" w:cs="Calibri"/>
                <w:color w:val="000000"/>
              </w:rPr>
            </w:pPr>
            <w:r w:rsidRPr="00A852CD">
              <w:rPr>
                <w:rFonts w:ascii="Calibri" w:eastAsia="Times New Roman" w:hAnsi="Calibri" w:cs="Calibri"/>
                <w:color w:val="000000"/>
              </w:rPr>
              <w:t>MI</w:t>
            </w:r>
          </w:p>
        </w:tc>
        <w:tc>
          <w:tcPr>
            <w:tcW w:w="11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18.6</w:t>
            </w:r>
          </w:p>
        </w:tc>
        <w:tc>
          <w:tcPr>
            <w:tcW w:w="967"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17.4</w:t>
            </w:r>
          </w:p>
        </w:tc>
        <w:tc>
          <w:tcPr>
            <w:tcW w:w="132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-6.5%</w:t>
            </w:r>
          </w:p>
        </w:tc>
        <w:tc>
          <w:tcPr>
            <w:tcW w:w="15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324</w:t>
            </w:r>
          </w:p>
        </w:tc>
      </w:tr>
      <w:tr w:rsidR="00634C88" w:rsidRPr="00A852CD" w:rsidTr="00634C88">
        <w:trPr>
          <w:trHeight w:val="300"/>
        </w:trPr>
        <w:tc>
          <w:tcPr>
            <w:tcW w:w="960" w:type="dxa"/>
            <w:shd w:val="clear" w:color="auto" w:fill="EEECE1" w:themeFill="background2"/>
            <w:noWrap/>
          </w:tcPr>
          <w:p w:rsidR="00634C88" w:rsidRPr="00A852CD" w:rsidRDefault="00634C88" w:rsidP="005F3CC3">
            <w:pPr>
              <w:jc w:val="center"/>
              <w:rPr>
                <w:rFonts w:ascii="Calibri" w:eastAsia="Times New Roman" w:hAnsi="Calibri" w:cs="Calibri"/>
                <w:b/>
                <w:bCs/>
                <w:color w:val="000000"/>
              </w:rPr>
            </w:pPr>
            <w:r>
              <w:rPr>
                <w:rFonts w:ascii="Calibri" w:eastAsia="Times New Roman" w:hAnsi="Calibri" w:cs="Calibri"/>
                <w:b/>
                <w:bCs/>
                <w:color w:val="000000"/>
              </w:rPr>
              <w:lastRenderedPageBreak/>
              <w:t xml:space="preserve">STATE </w:t>
            </w:r>
            <w:r w:rsidRPr="00A852CD">
              <w:rPr>
                <w:rFonts w:ascii="Calibri" w:eastAsia="Times New Roman" w:hAnsi="Calibri" w:cs="Calibri"/>
                <w:b/>
                <w:bCs/>
                <w:color w:val="000000"/>
              </w:rPr>
              <w:t>ID</w:t>
            </w:r>
          </w:p>
        </w:tc>
        <w:tc>
          <w:tcPr>
            <w:tcW w:w="1140" w:type="dxa"/>
            <w:shd w:val="clear" w:color="auto" w:fill="EEECE1" w:themeFill="background2"/>
            <w:noWrap/>
          </w:tcPr>
          <w:p w:rsidR="00634C88" w:rsidRPr="00A852CD" w:rsidRDefault="00634C88" w:rsidP="005F3CC3">
            <w:pPr>
              <w:jc w:val="center"/>
              <w:rPr>
                <w:rFonts w:ascii="Calibri" w:eastAsia="Times New Roman" w:hAnsi="Calibri" w:cs="Calibri"/>
                <w:b/>
                <w:bCs/>
                <w:color w:val="000000"/>
              </w:rPr>
            </w:pPr>
            <w:r w:rsidRPr="00A852CD">
              <w:rPr>
                <w:rFonts w:ascii="Calibri" w:eastAsia="Times New Roman" w:hAnsi="Calibri" w:cs="Calibri"/>
                <w:b/>
                <w:bCs/>
                <w:color w:val="000000"/>
              </w:rPr>
              <w:t>Average Rate 2011 Q4</w:t>
            </w:r>
          </w:p>
        </w:tc>
        <w:tc>
          <w:tcPr>
            <w:tcW w:w="967" w:type="dxa"/>
            <w:shd w:val="clear" w:color="auto" w:fill="EEECE1" w:themeFill="background2"/>
            <w:noWrap/>
          </w:tcPr>
          <w:p w:rsidR="00634C88" w:rsidRPr="00A852CD" w:rsidRDefault="00634C88" w:rsidP="005F3CC3">
            <w:pPr>
              <w:jc w:val="center"/>
              <w:rPr>
                <w:rFonts w:ascii="Calibri" w:eastAsia="Times New Roman" w:hAnsi="Calibri" w:cs="Calibri"/>
                <w:b/>
                <w:bCs/>
                <w:color w:val="000000"/>
              </w:rPr>
            </w:pPr>
            <w:r w:rsidRPr="00A852CD">
              <w:rPr>
                <w:rFonts w:ascii="Calibri" w:eastAsia="Times New Roman" w:hAnsi="Calibri" w:cs="Calibri"/>
                <w:b/>
                <w:bCs/>
                <w:color w:val="000000"/>
              </w:rPr>
              <w:t>Average Rate 2013 Q2</w:t>
            </w:r>
          </w:p>
        </w:tc>
        <w:tc>
          <w:tcPr>
            <w:tcW w:w="1320" w:type="dxa"/>
            <w:shd w:val="clear" w:color="auto" w:fill="EEECE1" w:themeFill="background2"/>
            <w:noWrap/>
          </w:tcPr>
          <w:p w:rsidR="00634C88" w:rsidRPr="00A852CD" w:rsidRDefault="00634C88" w:rsidP="005F3CC3">
            <w:pPr>
              <w:jc w:val="center"/>
              <w:rPr>
                <w:rFonts w:ascii="Calibri" w:eastAsia="Times New Roman" w:hAnsi="Calibri" w:cs="Calibri"/>
                <w:b/>
                <w:bCs/>
                <w:color w:val="000000"/>
              </w:rPr>
            </w:pPr>
            <w:r w:rsidRPr="00A852CD">
              <w:rPr>
                <w:rFonts w:ascii="Calibri" w:eastAsia="Times New Roman" w:hAnsi="Calibri" w:cs="Calibri"/>
                <w:b/>
                <w:bCs/>
                <w:color w:val="000000"/>
              </w:rPr>
              <w:t>% Change from 2011 Q4 to 2013 Q2</w:t>
            </w:r>
          </w:p>
        </w:tc>
        <w:tc>
          <w:tcPr>
            <w:tcW w:w="1540" w:type="dxa"/>
            <w:shd w:val="clear" w:color="auto" w:fill="EEECE1" w:themeFill="background2"/>
            <w:noWrap/>
          </w:tcPr>
          <w:p w:rsidR="00634C88" w:rsidRPr="00A852CD" w:rsidRDefault="00634C88" w:rsidP="005F3CC3">
            <w:pPr>
              <w:jc w:val="center"/>
              <w:rPr>
                <w:rFonts w:ascii="Calibri" w:eastAsia="Times New Roman" w:hAnsi="Calibri" w:cs="Calibri"/>
                <w:b/>
                <w:bCs/>
                <w:color w:val="000000"/>
              </w:rPr>
            </w:pPr>
            <w:r w:rsidRPr="00A852CD">
              <w:rPr>
                <w:rFonts w:ascii="Calibri" w:eastAsia="Times New Roman" w:hAnsi="Calibri" w:cs="Calibri"/>
                <w:b/>
                <w:bCs/>
                <w:color w:val="000000"/>
              </w:rPr>
              <w:t>Total # of Facilities with reportable data</w:t>
            </w:r>
          </w:p>
        </w:tc>
      </w:tr>
      <w:tr w:rsidR="00634C88" w:rsidRPr="00A852CD" w:rsidTr="00634C88">
        <w:trPr>
          <w:trHeight w:val="300"/>
        </w:trPr>
        <w:tc>
          <w:tcPr>
            <w:tcW w:w="960" w:type="dxa"/>
            <w:noWrap/>
            <w:hideMark/>
          </w:tcPr>
          <w:p w:rsidR="00634C88" w:rsidRPr="00A852CD" w:rsidRDefault="00634C88" w:rsidP="005F3CC3">
            <w:pPr>
              <w:rPr>
                <w:rFonts w:ascii="Calibri" w:eastAsia="Times New Roman" w:hAnsi="Calibri" w:cs="Calibri"/>
                <w:color w:val="000000"/>
              </w:rPr>
            </w:pPr>
            <w:r w:rsidRPr="00A852CD">
              <w:rPr>
                <w:rFonts w:ascii="Calibri" w:eastAsia="Times New Roman" w:hAnsi="Calibri" w:cs="Calibri"/>
                <w:color w:val="000000"/>
              </w:rPr>
              <w:t>MN</w:t>
            </w:r>
          </w:p>
        </w:tc>
        <w:tc>
          <w:tcPr>
            <w:tcW w:w="11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15.9</w:t>
            </w:r>
          </w:p>
        </w:tc>
        <w:tc>
          <w:tcPr>
            <w:tcW w:w="967"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15.1</w:t>
            </w:r>
          </w:p>
        </w:tc>
        <w:tc>
          <w:tcPr>
            <w:tcW w:w="132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-5.0%</w:t>
            </w:r>
          </w:p>
        </w:tc>
        <w:tc>
          <w:tcPr>
            <w:tcW w:w="15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281</w:t>
            </w:r>
          </w:p>
        </w:tc>
      </w:tr>
      <w:tr w:rsidR="00634C88" w:rsidRPr="00A852CD" w:rsidTr="00634C88">
        <w:trPr>
          <w:trHeight w:val="300"/>
        </w:trPr>
        <w:tc>
          <w:tcPr>
            <w:tcW w:w="960" w:type="dxa"/>
            <w:noWrap/>
            <w:hideMark/>
          </w:tcPr>
          <w:p w:rsidR="00634C88" w:rsidRPr="00A852CD" w:rsidRDefault="00634C88" w:rsidP="005F3CC3">
            <w:pPr>
              <w:rPr>
                <w:rFonts w:ascii="Calibri" w:eastAsia="Times New Roman" w:hAnsi="Calibri" w:cs="Calibri"/>
                <w:color w:val="000000"/>
              </w:rPr>
            </w:pPr>
            <w:r w:rsidRPr="00A852CD">
              <w:rPr>
                <w:rFonts w:ascii="Calibri" w:eastAsia="Times New Roman" w:hAnsi="Calibri" w:cs="Calibri"/>
                <w:color w:val="000000"/>
              </w:rPr>
              <w:t>MO</w:t>
            </w:r>
          </w:p>
        </w:tc>
        <w:tc>
          <w:tcPr>
            <w:tcW w:w="11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19.3</w:t>
            </w:r>
          </w:p>
        </w:tc>
        <w:tc>
          <w:tcPr>
            <w:tcW w:w="967"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19.3</w:t>
            </w:r>
          </w:p>
        </w:tc>
        <w:tc>
          <w:tcPr>
            <w:tcW w:w="132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0.0%</w:t>
            </w:r>
          </w:p>
        </w:tc>
        <w:tc>
          <w:tcPr>
            <w:tcW w:w="15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324</w:t>
            </w:r>
          </w:p>
        </w:tc>
      </w:tr>
      <w:tr w:rsidR="00634C88" w:rsidRPr="00A852CD" w:rsidTr="00634C88">
        <w:trPr>
          <w:trHeight w:val="300"/>
        </w:trPr>
        <w:tc>
          <w:tcPr>
            <w:tcW w:w="960" w:type="dxa"/>
            <w:noWrap/>
            <w:hideMark/>
          </w:tcPr>
          <w:p w:rsidR="00634C88" w:rsidRPr="00A852CD" w:rsidRDefault="00634C88" w:rsidP="005F3CC3">
            <w:pPr>
              <w:rPr>
                <w:rFonts w:ascii="Calibri" w:eastAsia="Times New Roman" w:hAnsi="Calibri" w:cs="Calibri"/>
                <w:color w:val="000000"/>
              </w:rPr>
            </w:pPr>
            <w:r w:rsidRPr="00A852CD">
              <w:rPr>
                <w:rFonts w:ascii="Calibri" w:eastAsia="Times New Roman" w:hAnsi="Calibri" w:cs="Calibri"/>
                <w:color w:val="000000"/>
              </w:rPr>
              <w:t>MS</w:t>
            </w:r>
          </w:p>
        </w:tc>
        <w:tc>
          <w:tcPr>
            <w:tcW w:w="11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21.6</w:t>
            </w:r>
          </w:p>
        </w:tc>
        <w:tc>
          <w:tcPr>
            <w:tcW w:w="967"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21</w:t>
            </w:r>
          </w:p>
        </w:tc>
        <w:tc>
          <w:tcPr>
            <w:tcW w:w="132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-2.8%</w:t>
            </w:r>
          </w:p>
        </w:tc>
        <w:tc>
          <w:tcPr>
            <w:tcW w:w="15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153</w:t>
            </w:r>
          </w:p>
        </w:tc>
      </w:tr>
      <w:tr w:rsidR="00634C88" w:rsidRPr="00A852CD" w:rsidTr="00634C88">
        <w:trPr>
          <w:trHeight w:val="300"/>
        </w:trPr>
        <w:tc>
          <w:tcPr>
            <w:tcW w:w="960" w:type="dxa"/>
            <w:noWrap/>
            <w:hideMark/>
          </w:tcPr>
          <w:p w:rsidR="00634C88" w:rsidRPr="00A852CD" w:rsidRDefault="00634C88" w:rsidP="005F3CC3">
            <w:pPr>
              <w:rPr>
                <w:rFonts w:ascii="Calibri" w:eastAsia="Times New Roman" w:hAnsi="Calibri" w:cs="Calibri"/>
                <w:color w:val="000000"/>
              </w:rPr>
            </w:pPr>
            <w:r w:rsidRPr="00A852CD">
              <w:rPr>
                <w:rFonts w:ascii="Calibri" w:eastAsia="Times New Roman" w:hAnsi="Calibri" w:cs="Calibri"/>
                <w:color w:val="000000"/>
              </w:rPr>
              <w:t>MT</w:t>
            </w:r>
          </w:p>
        </w:tc>
        <w:tc>
          <w:tcPr>
            <w:tcW w:w="11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12.9</w:t>
            </w:r>
          </w:p>
        </w:tc>
        <w:tc>
          <w:tcPr>
            <w:tcW w:w="967"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12.7</w:t>
            </w:r>
          </w:p>
        </w:tc>
        <w:tc>
          <w:tcPr>
            <w:tcW w:w="132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-1.6%</w:t>
            </w:r>
          </w:p>
        </w:tc>
        <w:tc>
          <w:tcPr>
            <w:tcW w:w="15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31</w:t>
            </w:r>
          </w:p>
        </w:tc>
      </w:tr>
      <w:tr w:rsidR="00634C88" w:rsidRPr="00A852CD" w:rsidTr="00634C88">
        <w:trPr>
          <w:trHeight w:val="300"/>
        </w:trPr>
        <w:tc>
          <w:tcPr>
            <w:tcW w:w="960" w:type="dxa"/>
            <w:noWrap/>
            <w:hideMark/>
          </w:tcPr>
          <w:p w:rsidR="00634C88" w:rsidRPr="00A852CD" w:rsidRDefault="00634C88" w:rsidP="005F3CC3">
            <w:pPr>
              <w:rPr>
                <w:rFonts w:ascii="Calibri" w:eastAsia="Times New Roman" w:hAnsi="Calibri" w:cs="Calibri"/>
                <w:color w:val="000000"/>
              </w:rPr>
            </w:pPr>
            <w:r w:rsidRPr="00A852CD">
              <w:rPr>
                <w:rFonts w:ascii="Calibri" w:eastAsia="Times New Roman" w:hAnsi="Calibri" w:cs="Calibri"/>
                <w:color w:val="000000"/>
              </w:rPr>
              <w:t>NC</w:t>
            </w:r>
          </w:p>
        </w:tc>
        <w:tc>
          <w:tcPr>
            <w:tcW w:w="11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18.6</w:t>
            </w:r>
          </w:p>
        </w:tc>
        <w:tc>
          <w:tcPr>
            <w:tcW w:w="967"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17.9</w:t>
            </w:r>
          </w:p>
        </w:tc>
        <w:tc>
          <w:tcPr>
            <w:tcW w:w="132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-3.8%</w:t>
            </w:r>
          </w:p>
        </w:tc>
        <w:tc>
          <w:tcPr>
            <w:tcW w:w="15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348</w:t>
            </w:r>
          </w:p>
        </w:tc>
      </w:tr>
      <w:tr w:rsidR="00634C88" w:rsidRPr="00A852CD" w:rsidTr="00634C88">
        <w:trPr>
          <w:trHeight w:val="300"/>
        </w:trPr>
        <w:tc>
          <w:tcPr>
            <w:tcW w:w="960" w:type="dxa"/>
            <w:noWrap/>
            <w:hideMark/>
          </w:tcPr>
          <w:p w:rsidR="00634C88" w:rsidRPr="00A852CD" w:rsidRDefault="00634C88" w:rsidP="005F3CC3">
            <w:pPr>
              <w:rPr>
                <w:rFonts w:ascii="Calibri" w:eastAsia="Times New Roman" w:hAnsi="Calibri" w:cs="Calibri"/>
                <w:color w:val="000000"/>
              </w:rPr>
            </w:pPr>
            <w:r w:rsidRPr="00A852CD">
              <w:rPr>
                <w:rFonts w:ascii="Calibri" w:eastAsia="Times New Roman" w:hAnsi="Calibri" w:cs="Calibri"/>
                <w:color w:val="000000"/>
              </w:rPr>
              <w:t>ND</w:t>
            </w:r>
          </w:p>
        </w:tc>
        <w:tc>
          <w:tcPr>
            <w:tcW w:w="11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14.3</w:t>
            </w:r>
          </w:p>
        </w:tc>
        <w:tc>
          <w:tcPr>
            <w:tcW w:w="967"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13.8</w:t>
            </w:r>
          </w:p>
        </w:tc>
        <w:tc>
          <w:tcPr>
            <w:tcW w:w="132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-3.5%</w:t>
            </w:r>
          </w:p>
        </w:tc>
        <w:tc>
          <w:tcPr>
            <w:tcW w:w="15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30</w:t>
            </w:r>
          </w:p>
        </w:tc>
      </w:tr>
      <w:tr w:rsidR="00634C88" w:rsidRPr="00A852CD" w:rsidTr="00634C88">
        <w:trPr>
          <w:trHeight w:val="300"/>
        </w:trPr>
        <w:tc>
          <w:tcPr>
            <w:tcW w:w="960" w:type="dxa"/>
            <w:noWrap/>
            <w:hideMark/>
          </w:tcPr>
          <w:p w:rsidR="00634C88" w:rsidRPr="00A852CD" w:rsidRDefault="00634C88" w:rsidP="005F3CC3">
            <w:pPr>
              <w:rPr>
                <w:rFonts w:ascii="Calibri" w:eastAsia="Times New Roman" w:hAnsi="Calibri" w:cs="Calibri"/>
                <w:color w:val="000000"/>
              </w:rPr>
            </w:pPr>
            <w:r w:rsidRPr="00A852CD">
              <w:rPr>
                <w:rFonts w:ascii="Calibri" w:eastAsia="Times New Roman" w:hAnsi="Calibri" w:cs="Calibri"/>
                <w:color w:val="000000"/>
              </w:rPr>
              <w:t>NE</w:t>
            </w:r>
          </w:p>
        </w:tc>
        <w:tc>
          <w:tcPr>
            <w:tcW w:w="11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15.9</w:t>
            </w:r>
          </w:p>
        </w:tc>
        <w:tc>
          <w:tcPr>
            <w:tcW w:w="967"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15.8</w:t>
            </w:r>
          </w:p>
        </w:tc>
        <w:tc>
          <w:tcPr>
            <w:tcW w:w="132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-0.6%</w:t>
            </w:r>
          </w:p>
        </w:tc>
        <w:tc>
          <w:tcPr>
            <w:tcW w:w="15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114</w:t>
            </w:r>
          </w:p>
        </w:tc>
      </w:tr>
      <w:tr w:rsidR="00634C88" w:rsidRPr="00A852CD" w:rsidTr="00634C88">
        <w:trPr>
          <w:trHeight w:val="300"/>
        </w:trPr>
        <w:tc>
          <w:tcPr>
            <w:tcW w:w="960" w:type="dxa"/>
            <w:noWrap/>
            <w:hideMark/>
          </w:tcPr>
          <w:p w:rsidR="00634C88" w:rsidRPr="00A852CD" w:rsidRDefault="00634C88" w:rsidP="005F3CC3">
            <w:pPr>
              <w:rPr>
                <w:rFonts w:ascii="Calibri" w:eastAsia="Times New Roman" w:hAnsi="Calibri" w:cs="Calibri"/>
                <w:color w:val="000000"/>
              </w:rPr>
            </w:pPr>
            <w:r w:rsidRPr="00A852CD">
              <w:rPr>
                <w:rFonts w:ascii="Calibri" w:eastAsia="Times New Roman" w:hAnsi="Calibri" w:cs="Calibri"/>
                <w:color w:val="000000"/>
              </w:rPr>
              <w:t>NH</w:t>
            </w:r>
          </w:p>
        </w:tc>
        <w:tc>
          <w:tcPr>
            <w:tcW w:w="11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15.5</w:t>
            </w:r>
          </w:p>
        </w:tc>
        <w:tc>
          <w:tcPr>
            <w:tcW w:w="967"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14.3</w:t>
            </w:r>
          </w:p>
        </w:tc>
        <w:tc>
          <w:tcPr>
            <w:tcW w:w="132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-7.7%</w:t>
            </w:r>
          </w:p>
        </w:tc>
        <w:tc>
          <w:tcPr>
            <w:tcW w:w="15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60</w:t>
            </w:r>
          </w:p>
        </w:tc>
      </w:tr>
      <w:tr w:rsidR="00634C88" w:rsidRPr="00A852CD" w:rsidTr="00634C88">
        <w:trPr>
          <w:trHeight w:val="300"/>
        </w:trPr>
        <w:tc>
          <w:tcPr>
            <w:tcW w:w="960" w:type="dxa"/>
            <w:noWrap/>
            <w:hideMark/>
          </w:tcPr>
          <w:p w:rsidR="00634C88" w:rsidRPr="00A852CD" w:rsidRDefault="00634C88" w:rsidP="005F3CC3">
            <w:pPr>
              <w:rPr>
                <w:rFonts w:ascii="Calibri" w:eastAsia="Times New Roman" w:hAnsi="Calibri" w:cs="Calibri"/>
                <w:color w:val="000000"/>
              </w:rPr>
            </w:pPr>
            <w:r w:rsidRPr="00A852CD">
              <w:rPr>
                <w:rFonts w:ascii="Calibri" w:eastAsia="Times New Roman" w:hAnsi="Calibri" w:cs="Calibri"/>
                <w:color w:val="000000"/>
              </w:rPr>
              <w:t>NJ</w:t>
            </w:r>
          </w:p>
        </w:tc>
        <w:tc>
          <w:tcPr>
            <w:tcW w:w="11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20.6</w:t>
            </w:r>
          </w:p>
        </w:tc>
        <w:tc>
          <w:tcPr>
            <w:tcW w:w="967"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19.5</w:t>
            </w:r>
          </w:p>
        </w:tc>
        <w:tc>
          <w:tcPr>
            <w:tcW w:w="132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-5.3%</w:t>
            </w:r>
          </w:p>
        </w:tc>
        <w:tc>
          <w:tcPr>
            <w:tcW w:w="15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314</w:t>
            </w:r>
          </w:p>
        </w:tc>
      </w:tr>
      <w:tr w:rsidR="00634C88" w:rsidRPr="00A852CD" w:rsidTr="00634C88">
        <w:trPr>
          <w:trHeight w:val="300"/>
        </w:trPr>
        <w:tc>
          <w:tcPr>
            <w:tcW w:w="960" w:type="dxa"/>
            <w:noWrap/>
            <w:hideMark/>
          </w:tcPr>
          <w:p w:rsidR="00634C88" w:rsidRPr="00A852CD" w:rsidRDefault="00634C88" w:rsidP="005F3CC3">
            <w:pPr>
              <w:rPr>
                <w:rFonts w:ascii="Calibri" w:eastAsia="Times New Roman" w:hAnsi="Calibri" w:cs="Calibri"/>
                <w:color w:val="000000"/>
              </w:rPr>
            </w:pPr>
            <w:r w:rsidRPr="00A852CD">
              <w:rPr>
                <w:rFonts w:ascii="Calibri" w:eastAsia="Times New Roman" w:hAnsi="Calibri" w:cs="Calibri"/>
                <w:color w:val="000000"/>
              </w:rPr>
              <w:t>NM</w:t>
            </w:r>
          </w:p>
        </w:tc>
        <w:tc>
          <w:tcPr>
            <w:tcW w:w="11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15.8</w:t>
            </w:r>
          </w:p>
        </w:tc>
        <w:tc>
          <w:tcPr>
            <w:tcW w:w="967"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15.5</w:t>
            </w:r>
          </w:p>
        </w:tc>
        <w:tc>
          <w:tcPr>
            <w:tcW w:w="132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-1.9%</w:t>
            </w:r>
          </w:p>
        </w:tc>
        <w:tc>
          <w:tcPr>
            <w:tcW w:w="15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36</w:t>
            </w:r>
          </w:p>
        </w:tc>
      </w:tr>
      <w:tr w:rsidR="00634C88" w:rsidRPr="00A852CD" w:rsidTr="00634C88">
        <w:trPr>
          <w:trHeight w:val="300"/>
        </w:trPr>
        <w:tc>
          <w:tcPr>
            <w:tcW w:w="960" w:type="dxa"/>
            <w:noWrap/>
            <w:hideMark/>
          </w:tcPr>
          <w:p w:rsidR="00634C88" w:rsidRPr="00A852CD" w:rsidRDefault="00634C88" w:rsidP="005F3CC3">
            <w:pPr>
              <w:rPr>
                <w:rFonts w:ascii="Calibri" w:eastAsia="Times New Roman" w:hAnsi="Calibri" w:cs="Calibri"/>
                <w:color w:val="000000"/>
              </w:rPr>
            </w:pPr>
            <w:r w:rsidRPr="00A852CD">
              <w:rPr>
                <w:rFonts w:ascii="Calibri" w:eastAsia="Times New Roman" w:hAnsi="Calibri" w:cs="Calibri"/>
                <w:color w:val="000000"/>
              </w:rPr>
              <w:t>NV</w:t>
            </w:r>
          </w:p>
        </w:tc>
        <w:tc>
          <w:tcPr>
            <w:tcW w:w="11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17.9</w:t>
            </w:r>
          </w:p>
        </w:tc>
        <w:tc>
          <w:tcPr>
            <w:tcW w:w="967"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16.6</w:t>
            </w:r>
          </w:p>
        </w:tc>
        <w:tc>
          <w:tcPr>
            <w:tcW w:w="132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-7.3%</w:t>
            </w:r>
          </w:p>
        </w:tc>
        <w:tc>
          <w:tcPr>
            <w:tcW w:w="15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35</w:t>
            </w:r>
          </w:p>
        </w:tc>
      </w:tr>
      <w:tr w:rsidR="00634C88" w:rsidRPr="00A852CD" w:rsidTr="00634C88">
        <w:trPr>
          <w:trHeight w:val="300"/>
        </w:trPr>
        <w:tc>
          <w:tcPr>
            <w:tcW w:w="960" w:type="dxa"/>
            <w:noWrap/>
            <w:hideMark/>
          </w:tcPr>
          <w:p w:rsidR="00634C88" w:rsidRPr="00A852CD" w:rsidRDefault="00634C88" w:rsidP="005F3CC3">
            <w:pPr>
              <w:rPr>
                <w:rFonts w:ascii="Calibri" w:eastAsia="Times New Roman" w:hAnsi="Calibri" w:cs="Calibri"/>
                <w:color w:val="000000"/>
              </w:rPr>
            </w:pPr>
            <w:r w:rsidRPr="00A852CD">
              <w:rPr>
                <w:rFonts w:ascii="Calibri" w:eastAsia="Times New Roman" w:hAnsi="Calibri" w:cs="Calibri"/>
                <w:color w:val="000000"/>
              </w:rPr>
              <w:t>NY</w:t>
            </w:r>
          </w:p>
        </w:tc>
        <w:tc>
          <w:tcPr>
            <w:tcW w:w="11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18.4</w:t>
            </w:r>
          </w:p>
        </w:tc>
        <w:tc>
          <w:tcPr>
            <w:tcW w:w="967"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18</w:t>
            </w:r>
          </w:p>
        </w:tc>
        <w:tc>
          <w:tcPr>
            <w:tcW w:w="132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-2.2%</w:t>
            </w:r>
          </w:p>
        </w:tc>
        <w:tc>
          <w:tcPr>
            <w:tcW w:w="15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444</w:t>
            </w:r>
          </w:p>
        </w:tc>
      </w:tr>
      <w:tr w:rsidR="00634C88" w:rsidRPr="00A852CD" w:rsidTr="00634C88">
        <w:trPr>
          <w:trHeight w:val="300"/>
        </w:trPr>
        <w:tc>
          <w:tcPr>
            <w:tcW w:w="960" w:type="dxa"/>
            <w:noWrap/>
            <w:hideMark/>
          </w:tcPr>
          <w:p w:rsidR="00634C88" w:rsidRPr="00A852CD" w:rsidRDefault="00634C88" w:rsidP="005F3CC3">
            <w:pPr>
              <w:rPr>
                <w:rFonts w:ascii="Calibri" w:eastAsia="Times New Roman" w:hAnsi="Calibri" w:cs="Calibri"/>
                <w:color w:val="000000"/>
              </w:rPr>
            </w:pPr>
            <w:r w:rsidRPr="00A852CD">
              <w:rPr>
                <w:rFonts w:ascii="Calibri" w:eastAsia="Times New Roman" w:hAnsi="Calibri" w:cs="Calibri"/>
                <w:color w:val="000000"/>
              </w:rPr>
              <w:t>OH</w:t>
            </w:r>
          </w:p>
        </w:tc>
        <w:tc>
          <w:tcPr>
            <w:tcW w:w="11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18.1</w:t>
            </w:r>
          </w:p>
        </w:tc>
        <w:tc>
          <w:tcPr>
            <w:tcW w:w="967"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17.5</w:t>
            </w:r>
          </w:p>
        </w:tc>
        <w:tc>
          <w:tcPr>
            <w:tcW w:w="132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-3.3%</w:t>
            </w:r>
          </w:p>
        </w:tc>
        <w:tc>
          <w:tcPr>
            <w:tcW w:w="15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792</w:t>
            </w:r>
          </w:p>
        </w:tc>
      </w:tr>
      <w:tr w:rsidR="00634C88" w:rsidRPr="00A852CD" w:rsidTr="00634C88">
        <w:trPr>
          <w:trHeight w:val="300"/>
        </w:trPr>
        <w:tc>
          <w:tcPr>
            <w:tcW w:w="960" w:type="dxa"/>
            <w:noWrap/>
            <w:hideMark/>
          </w:tcPr>
          <w:p w:rsidR="00634C88" w:rsidRPr="00A852CD" w:rsidRDefault="00634C88" w:rsidP="005F3CC3">
            <w:pPr>
              <w:rPr>
                <w:rFonts w:ascii="Calibri" w:eastAsia="Times New Roman" w:hAnsi="Calibri" w:cs="Calibri"/>
                <w:color w:val="000000"/>
              </w:rPr>
            </w:pPr>
            <w:r w:rsidRPr="00A852CD">
              <w:rPr>
                <w:rFonts w:ascii="Calibri" w:eastAsia="Times New Roman" w:hAnsi="Calibri" w:cs="Calibri"/>
                <w:color w:val="000000"/>
              </w:rPr>
              <w:t>OK</w:t>
            </w:r>
          </w:p>
        </w:tc>
        <w:tc>
          <w:tcPr>
            <w:tcW w:w="11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20.3</w:t>
            </w:r>
          </w:p>
        </w:tc>
        <w:tc>
          <w:tcPr>
            <w:tcW w:w="967"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20.6</w:t>
            </w:r>
          </w:p>
        </w:tc>
        <w:tc>
          <w:tcPr>
            <w:tcW w:w="132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1.5%</w:t>
            </w:r>
          </w:p>
        </w:tc>
        <w:tc>
          <w:tcPr>
            <w:tcW w:w="15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129</w:t>
            </w:r>
          </w:p>
        </w:tc>
      </w:tr>
      <w:tr w:rsidR="00634C88" w:rsidRPr="00A852CD" w:rsidTr="00634C88">
        <w:trPr>
          <w:trHeight w:val="300"/>
        </w:trPr>
        <w:tc>
          <w:tcPr>
            <w:tcW w:w="960" w:type="dxa"/>
            <w:noWrap/>
            <w:hideMark/>
          </w:tcPr>
          <w:p w:rsidR="00634C88" w:rsidRPr="00A852CD" w:rsidRDefault="00634C88" w:rsidP="005F3CC3">
            <w:pPr>
              <w:rPr>
                <w:rFonts w:ascii="Calibri" w:eastAsia="Times New Roman" w:hAnsi="Calibri" w:cs="Calibri"/>
                <w:color w:val="000000"/>
              </w:rPr>
            </w:pPr>
            <w:r w:rsidRPr="00A852CD">
              <w:rPr>
                <w:rFonts w:ascii="Calibri" w:eastAsia="Times New Roman" w:hAnsi="Calibri" w:cs="Calibri"/>
                <w:color w:val="000000"/>
              </w:rPr>
              <w:t>OR</w:t>
            </w:r>
          </w:p>
        </w:tc>
        <w:tc>
          <w:tcPr>
            <w:tcW w:w="11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16.9</w:t>
            </w:r>
          </w:p>
        </w:tc>
        <w:tc>
          <w:tcPr>
            <w:tcW w:w="967"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15.6</w:t>
            </w:r>
          </w:p>
        </w:tc>
        <w:tc>
          <w:tcPr>
            <w:tcW w:w="132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-7.7%</w:t>
            </w:r>
          </w:p>
        </w:tc>
        <w:tc>
          <w:tcPr>
            <w:tcW w:w="15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104</w:t>
            </w:r>
          </w:p>
        </w:tc>
      </w:tr>
      <w:tr w:rsidR="00634C88" w:rsidRPr="00A852CD" w:rsidTr="00634C88">
        <w:trPr>
          <w:trHeight w:val="300"/>
        </w:trPr>
        <w:tc>
          <w:tcPr>
            <w:tcW w:w="960" w:type="dxa"/>
            <w:noWrap/>
            <w:hideMark/>
          </w:tcPr>
          <w:p w:rsidR="00634C88" w:rsidRPr="00A852CD" w:rsidRDefault="00634C88" w:rsidP="005F3CC3">
            <w:pPr>
              <w:rPr>
                <w:rFonts w:ascii="Calibri" w:eastAsia="Times New Roman" w:hAnsi="Calibri" w:cs="Calibri"/>
                <w:color w:val="000000"/>
              </w:rPr>
            </w:pPr>
            <w:r w:rsidRPr="00A852CD">
              <w:rPr>
                <w:rFonts w:ascii="Calibri" w:eastAsia="Times New Roman" w:hAnsi="Calibri" w:cs="Calibri"/>
                <w:color w:val="000000"/>
              </w:rPr>
              <w:t>PA</w:t>
            </w:r>
          </w:p>
        </w:tc>
        <w:tc>
          <w:tcPr>
            <w:tcW w:w="11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17.7</w:t>
            </w:r>
          </w:p>
        </w:tc>
        <w:tc>
          <w:tcPr>
            <w:tcW w:w="967"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17.4</w:t>
            </w:r>
          </w:p>
        </w:tc>
        <w:tc>
          <w:tcPr>
            <w:tcW w:w="132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-1.7%</w:t>
            </w:r>
          </w:p>
        </w:tc>
        <w:tc>
          <w:tcPr>
            <w:tcW w:w="15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594</w:t>
            </w:r>
          </w:p>
        </w:tc>
      </w:tr>
      <w:tr w:rsidR="00634C88" w:rsidRPr="00A852CD" w:rsidTr="00634C88">
        <w:trPr>
          <w:trHeight w:val="300"/>
        </w:trPr>
        <w:tc>
          <w:tcPr>
            <w:tcW w:w="960" w:type="dxa"/>
            <w:noWrap/>
            <w:hideMark/>
          </w:tcPr>
          <w:p w:rsidR="00634C88" w:rsidRPr="00A852CD" w:rsidRDefault="00634C88" w:rsidP="005F3CC3">
            <w:pPr>
              <w:rPr>
                <w:rFonts w:ascii="Calibri" w:eastAsia="Times New Roman" w:hAnsi="Calibri" w:cs="Calibri"/>
                <w:color w:val="000000"/>
              </w:rPr>
            </w:pPr>
            <w:r w:rsidRPr="00A852CD">
              <w:rPr>
                <w:rFonts w:ascii="Calibri" w:eastAsia="Times New Roman" w:hAnsi="Calibri" w:cs="Calibri"/>
                <w:color w:val="000000"/>
              </w:rPr>
              <w:t>RI</w:t>
            </w:r>
          </w:p>
        </w:tc>
        <w:tc>
          <w:tcPr>
            <w:tcW w:w="11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20</w:t>
            </w:r>
          </w:p>
        </w:tc>
        <w:tc>
          <w:tcPr>
            <w:tcW w:w="967"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17.7</w:t>
            </w:r>
          </w:p>
        </w:tc>
        <w:tc>
          <w:tcPr>
            <w:tcW w:w="132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-11.5%</w:t>
            </w:r>
          </w:p>
        </w:tc>
        <w:tc>
          <w:tcPr>
            <w:tcW w:w="15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61</w:t>
            </w:r>
          </w:p>
        </w:tc>
      </w:tr>
      <w:tr w:rsidR="00634C88" w:rsidRPr="00A852CD" w:rsidTr="00634C88">
        <w:trPr>
          <w:trHeight w:val="300"/>
        </w:trPr>
        <w:tc>
          <w:tcPr>
            <w:tcW w:w="960" w:type="dxa"/>
            <w:noWrap/>
            <w:hideMark/>
          </w:tcPr>
          <w:p w:rsidR="00634C88" w:rsidRPr="00A852CD" w:rsidRDefault="00634C88" w:rsidP="005F3CC3">
            <w:pPr>
              <w:rPr>
                <w:rFonts w:ascii="Calibri" w:eastAsia="Times New Roman" w:hAnsi="Calibri" w:cs="Calibri"/>
                <w:color w:val="000000"/>
              </w:rPr>
            </w:pPr>
            <w:r w:rsidRPr="00A852CD">
              <w:rPr>
                <w:rFonts w:ascii="Calibri" w:eastAsia="Times New Roman" w:hAnsi="Calibri" w:cs="Calibri"/>
                <w:color w:val="000000"/>
              </w:rPr>
              <w:t>SC</w:t>
            </w:r>
          </w:p>
        </w:tc>
        <w:tc>
          <w:tcPr>
            <w:tcW w:w="11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18</w:t>
            </w:r>
          </w:p>
        </w:tc>
        <w:tc>
          <w:tcPr>
            <w:tcW w:w="967"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17.7</w:t>
            </w:r>
          </w:p>
        </w:tc>
        <w:tc>
          <w:tcPr>
            <w:tcW w:w="132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-1.7%</w:t>
            </w:r>
          </w:p>
        </w:tc>
        <w:tc>
          <w:tcPr>
            <w:tcW w:w="15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151</w:t>
            </w:r>
          </w:p>
        </w:tc>
      </w:tr>
      <w:tr w:rsidR="00634C88" w:rsidRPr="00A852CD" w:rsidTr="00634C88">
        <w:trPr>
          <w:trHeight w:val="300"/>
        </w:trPr>
        <w:tc>
          <w:tcPr>
            <w:tcW w:w="960" w:type="dxa"/>
            <w:noWrap/>
            <w:hideMark/>
          </w:tcPr>
          <w:p w:rsidR="00634C88" w:rsidRPr="00A852CD" w:rsidRDefault="00634C88" w:rsidP="005F3CC3">
            <w:pPr>
              <w:rPr>
                <w:rFonts w:ascii="Calibri" w:eastAsia="Times New Roman" w:hAnsi="Calibri" w:cs="Calibri"/>
                <w:color w:val="000000"/>
              </w:rPr>
            </w:pPr>
            <w:r w:rsidRPr="00A852CD">
              <w:rPr>
                <w:rFonts w:ascii="Calibri" w:eastAsia="Times New Roman" w:hAnsi="Calibri" w:cs="Calibri"/>
                <w:color w:val="000000"/>
              </w:rPr>
              <w:t>SD</w:t>
            </w:r>
          </w:p>
        </w:tc>
        <w:tc>
          <w:tcPr>
            <w:tcW w:w="11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12.5</w:t>
            </w:r>
          </w:p>
        </w:tc>
        <w:tc>
          <w:tcPr>
            <w:tcW w:w="967"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13.6</w:t>
            </w:r>
          </w:p>
        </w:tc>
        <w:tc>
          <w:tcPr>
            <w:tcW w:w="132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8.8%</w:t>
            </w:r>
          </w:p>
        </w:tc>
        <w:tc>
          <w:tcPr>
            <w:tcW w:w="15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48</w:t>
            </w:r>
          </w:p>
        </w:tc>
      </w:tr>
      <w:tr w:rsidR="00634C88" w:rsidRPr="00A852CD" w:rsidTr="00634C88">
        <w:trPr>
          <w:trHeight w:val="300"/>
        </w:trPr>
        <w:tc>
          <w:tcPr>
            <w:tcW w:w="960" w:type="dxa"/>
            <w:noWrap/>
            <w:hideMark/>
          </w:tcPr>
          <w:p w:rsidR="00634C88" w:rsidRPr="00A852CD" w:rsidRDefault="00634C88" w:rsidP="005F3CC3">
            <w:pPr>
              <w:rPr>
                <w:rFonts w:ascii="Calibri" w:eastAsia="Times New Roman" w:hAnsi="Calibri" w:cs="Calibri"/>
                <w:color w:val="000000"/>
              </w:rPr>
            </w:pPr>
            <w:r w:rsidRPr="00A852CD">
              <w:rPr>
                <w:rFonts w:ascii="Calibri" w:eastAsia="Times New Roman" w:hAnsi="Calibri" w:cs="Calibri"/>
                <w:color w:val="000000"/>
              </w:rPr>
              <w:t>TN</w:t>
            </w:r>
          </w:p>
        </w:tc>
        <w:tc>
          <w:tcPr>
            <w:tcW w:w="11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18</w:t>
            </w:r>
          </w:p>
        </w:tc>
        <w:tc>
          <w:tcPr>
            <w:tcW w:w="967"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17.6</w:t>
            </w:r>
          </w:p>
        </w:tc>
        <w:tc>
          <w:tcPr>
            <w:tcW w:w="132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-2.2%</w:t>
            </w:r>
          </w:p>
        </w:tc>
        <w:tc>
          <w:tcPr>
            <w:tcW w:w="15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247</w:t>
            </w:r>
          </w:p>
        </w:tc>
      </w:tr>
      <w:tr w:rsidR="00634C88" w:rsidRPr="00A852CD" w:rsidTr="00634C88">
        <w:trPr>
          <w:trHeight w:val="300"/>
        </w:trPr>
        <w:tc>
          <w:tcPr>
            <w:tcW w:w="960" w:type="dxa"/>
            <w:noWrap/>
            <w:hideMark/>
          </w:tcPr>
          <w:p w:rsidR="00634C88" w:rsidRPr="00A852CD" w:rsidRDefault="00634C88" w:rsidP="005F3CC3">
            <w:pPr>
              <w:rPr>
                <w:rFonts w:ascii="Calibri" w:eastAsia="Times New Roman" w:hAnsi="Calibri" w:cs="Calibri"/>
                <w:color w:val="000000"/>
              </w:rPr>
            </w:pPr>
            <w:r w:rsidRPr="00A852CD">
              <w:rPr>
                <w:rFonts w:ascii="Calibri" w:eastAsia="Times New Roman" w:hAnsi="Calibri" w:cs="Calibri"/>
                <w:color w:val="000000"/>
              </w:rPr>
              <w:t>TX</w:t>
            </w:r>
          </w:p>
        </w:tc>
        <w:tc>
          <w:tcPr>
            <w:tcW w:w="11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19.3</w:t>
            </w:r>
          </w:p>
        </w:tc>
        <w:tc>
          <w:tcPr>
            <w:tcW w:w="967"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18.5</w:t>
            </w:r>
          </w:p>
        </w:tc>
        <w:tc>
          <w:tcPr>
            <w:tcW w:w="132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-4.1%</w:t>
            </w:r>
          </w:p>
        </w:tc>
        <w:tc>
          <w:tcPr>
            <w:tcW w:w="15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568</w:t>
            </w:r>
          </w:p>
        </w:tc>
      </w:tr>
      <w:tr w:rsidR="00634C88" w:rsidRPr="00A852CD" w:rsidTr="00634C88">
        <w:trPr>
          <w:trHeight w:val="300"/>
        </w:trPr>
        <w:tc>
          <w:tcPr>
            <w:tcW w:w="960" w:type="dxa"/>
            <w:noWrap/>
            <w:hideMark/>
          </w:tcPr>
          <w:p w:rsidR="00634C88" w:rsidRPr="00A852CD" w:rsidRDefault="00634C88" w:rsidP="005F3CC3">
            <w:pPr>
              <w:rPr>
                <w:rFonts w:ascii="Calibri" w:eastAsia="Times New Roman" w:hAnsi="Calibri" w:cs="Calibri"/>
                <w:color w:val="000000"/>
              </w:rPr>
            </w:pPr>
            <w:r w:rsidRPr="00A852CD">
              <w:rPr>
                <w:rFonts w:ascii="Calibri" w:eastAsia="Times New Roman" w:hAnsi="Calibri" w:cs="Calibri"/>
                <w:color w:val="000000"/>
              </w:rPr>
              <w:t>UT</w:t>
            </w:r>
          </w:p>
        </w:tc>
        <w:tc>
          <w:tcPr>
            <w:tcW w:w="11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11.9</w:t>
            </w:r>
          </w:p>
        </w:tc>
        <w:tc>
          <w:tcPr>
            <w:tcW w:w="967"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11.9</w:t>
            </w:r>
          </w:p>
        </w:tc>
        <w:tc>
          <w:tcPr>
            <w:tcW w:w="132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0.0%</w:t>
            </w:r>
          </w:p>
        </w:tc>
        <w:tc>
          <w:tcPr>
            <w:tcW w:w="15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61</w:t>
            </w:r>
          </w:p>
        </w:tc>
      </w:tr>
      <w:tr w:rsidR="00634C88" w:rsidRPr="00A852CD" w:rsidTr="00634C88">
        <w:trPr>
          <w:trHeight w:val="300"/>
        </w:trPr>
        <w:tc>
          <w:tcPr>
            <w:tcW w:w="960" w:type="dxa"/>
            <w:noWrap/>
            <w:hideMark/>
          </w:tcPr>
          <w:p w:rsidR="00634C88" w:rsidRPr="00A852CD" w:rsidRDefault="00634C88" w:rsidP="005F3CC3">
            <w:pPr>
              <w:rPr>
                <w:rFonts w:ascii="Calibri" w:eastAsia="Times New Roman" w:hAnsi="Calibri" w:cs="Calibri"/>
                <w:color w:val="000000"/>
              </w:rPr>
            </w:pPr>
            <w:r w:rsidRPr="00A852CD">
              <w:rPr>
                <w:rFonts w:ascii="Calibri" w:eastAsia="Times New Roman" w:hAnsi="Calibri" w:cs="Calibri"/>
                <w:color w:val="000000"/>
              </w:rPr>
              <w:t>VA</w:t>
            </w:r>
          </w:p>
        </w:tc>
        <w:tc>
          <w:tcPr>
            <w:tcW w:w="11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18</w:t>
            </w:r>
          </w:p>
        </w:tc>
        <w:tc>
          <w:tcPr>
            <w:tcW w:w="967"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17.7</w:t>
            </w:r>
          </w:p>
        </w:tc>
        <w:tc>
          <w:tcPr>
            <w:tcW w:w="132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-1.7%</w:t>
            </w:r>
          </w:p>
        </w:tc>
        <w:tc>
          <w:tcPr>
            <w:tcW w:w="15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229</w:t>
            </w:r>
          </w:p>
        </w:tc>
      </w:tr>
      <w:tr w:rsidR="00634C88" w:rsidRPr="00A852CD" w:rsidTr="00634C88">
        <w:trPr>
          <w:trHeight w:val="300"/>
        </w:trPr>
        <w:tc>
          <w:tcPr>
            <w:tcW w:w="960" w:type="dxa"/>
            <w:noWrap/>
            <w:hideMark/>
          </w:tcPr>
          <w:p w:rsidR="00634C88" w:rsidRPr="00A852CD" w:rsidRDefault="00634C88" w:rsidP="005F3CC3">
            <w:pPr>
              <w:rPr>
                <w:rFonts w:ascii="Calibri" w:eastAsia="Times New Roman" w:hAnsi="Calibri" w:cs="Calibri"/>
                <w:color w:val="000000"/>
              </w:rPr>
            </w:pPr>
            <w:r w:rsidRPr="00A852CD">
              <w:rPr>
                <w:rFonts w:ascii="Calibri" w:eastAsia="Times New Roman" w:hAnsi="Calibri" w:cs="Calibri"/>
                <w:color w:val="000000"/>
              </w:rPr>
              <w:t>VT</w:t>
            </w:r>
          </w:p>
        </w:tc>
        <w:tc>
          <w:tcPr>
            <w:tcW w:w="11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13.3</w:t>
            </w:r>
          </w:p>
        </w:tc>
        <w:tc>
          <w:tcPr>
            <w:tcW w:w="967"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13.6</w:t>
            </w:r>
          </w:p>
        </w:tc>
        <w:tc>
          <w:tcPr>
            <w:tcW w:w="132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2.3%</w:t>
            </w:r>
          </w:p>
        </w:tc>
        <w:tc>
          <w:tcPr>
            <w:tcW w:w="15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29</w:t>
            </w:r>
          </w:p>
        </w:tc>
      </w:tr>
      <w:tr w:rsidR="00634C88" w:rsidRPr="00A852CD" w:rsidTr="00634C88">
        <w:trPr>
          <w:trHeight w:val="300"/>
        </w:trPr>
        <w:tc>
          <w:tcPr>
            <w:tcW w:w="960" w:type="dxa"/>
            <w:noWrap/>
            <w:hideMark/>
          </w:tcPr>
          <w:p w:rsidR="00634C88" w:rsidRPr="00A852CD" w:rsidRDefault="00634C88" w:rsidP="005F3CC3">
            <w:pPr>
              <w:rPr>
                <w:rFonts w:ascii="Calibri" w:eastAsia="Times New Roman" w:hAnsi="Calibri" w:cs="Calibri"/>
                <w:color w:val="000000"/>
              </w:rPr>
            </w:pPr>
            <w:r w:rsidRPr="00A852CD">
              <w:rPr>
                <w:rFonts w:ascii="Calibri" w:eastAsia="Times New Roman" w:hAnsi="Calibri" w:cs="Calibri"/>
                <w:color w:val="000000"/>
              </w:rPr>
              <w:t>WA</w:t>
            </w:r>
          </w:p>
        </w:tc>
        <w:tc>
          <w:tcPr>
            <w:tcW w:w="11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16.3</w:t>
            </w:r>
          </w:p>
        </w:tc>
        <w:tc>
          <w:tcPr>
            <w:tcW w:w="967"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15.5</w:t>
            </w:r>
          </w:p>
        </w:tc>
        <w:tc>
          <w:tcPr>
            <w:tcW w:w="132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-4.9%</w:t>
            </w:r>
          </w:p>
        </w:tc>
        <w:tc>
          <w:tcPr>
            <w:tcW w:w="15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194</w:t>
            </w:r>
          </w:p>
        </w:tc>
      </w:tr>
      <w:tr w:rsidR="00634C88" w:rsidRPr="00A852CD" w:rsidTr="00634C88">
        <w:trPr>
          <w:trHeight w:val="300"/>
        </w:trPr>
        <w:tc>
          <w:tcPr>
            <w:tcW w:w="960" w:type="dxa"/>
            <w:noWrap/>
            <w:hideMark/>
          </w:tcPr>
          <w:p w:rsidR="00634C88" w:rsidRPr="00A852CD" w:rsidRDefault="00634C88" w:rsidP="005F3CC3">
            <w:pPr>
              <w:rPr>
                <w:rFonts w:ascii="Calibri" w:eastAsia="Times New Roman" w:hAnsi="Calibri" w:cs="Calibri"/>
                <w:color w:val="000000"/>
              </w:rPr>
            </w:pPr>
            <w:r w:rsidRPr="00A852CD">
              <w:rPr>
                <w:rFonts w:ascii="Calibri" w:eastAsia="Times New Roman" w:hAnsi="Calibri" w:cs="Calibri"/>
                <w:color w:val="000000"/>
              </w:rPr>
              <w:t>WI</w:t>
            </w:r>
          </w:p>
        </w:tc>
        <w:tc>
          <w:tcPr>
            <w:tcW w:w="11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15.4</w:t>
            </w:r>
          </w:p>
        </w:tc>
        <w:tc>
          <w:tcPr>
            <w:tcW w:w="967"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16</w:t>
            </w:r>
          </w:p>
        </w:tc>
        <w:tc>
          <w:tcPr>
            <w:tcW w:w="132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3.9%</w:t>
            </w:r>
          </w:p>
        </w:tc>
        <w:tc>
          <w:tcPr>
            <w:tcW w:w="15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274</w:t>
            </w:r>
          </w:p>
        </w:tc>
      </w:tr>
      <w:tr w:rsidR="00634C88" w:rsidRPr="00A852CD" w:rsidTr="00634C88">
        <w:trPr>
          <w:trHeight w:val="300"/>
        </w:trPr>
        <w:tc>
          <w:tcPr>
            <w:tcW w:w="960" w:type="dxa"/>
            <w:noWrap/>
            <w:hideMark/>
          </w:tcPr>
          <w:p w:rsidR="00634C88" w:rsidRPr="00A852CD" w:rsidRDefault="00634C88" w:rsidP="005F3CC3">
            <w:pPr>
              <w:rPr>
                <w:rFonts w:ascii="Calibri" w:eastAsia="Times New Roman" w:hAnsi="Calibri" w:cs="Calibri"/>
                <w:color w:val="000000"/>
              </w:rPr>
            </w:pPr>
            <w:r w:rsidRPr="00A852CD">
              <w:rPr>
                <w:rFonts w:ascii="Calibri" w:eastAsia="Times New Roman" w:hAnsi="Calibri" w:cs="Calibri"/>
                <w:color w:val="000000"/>
              </w:rPr>
              <w:t>WV</w:t>
            </w:r>
          </w:p>
        </w:tc>
        <w:tc>
          <w:tcPr>
            <w:tcW w:w="11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18.1</w:t>
            </w:r>
          </w:p>
        </w:tc>
        <w:tc>
          <w:tcPr>
            <w:tcW w:w="967"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17.9</w:t>
            </w:r>
          </w:p>
        </w:tc>
        <w:tc>
          <w:tcPr>
            <w:tcW w:w="132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-1.1%</w:t>
            </w:r>
          </w:p>
        </w:tc>
        <w:tc>
          <w:tcPr>
            <w:tcW w:w="15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91</w:t>
            </w:r>
          </w:p>
        </w:tc>
      </w:tr>
      <w:tr w:rsidR="00634C88" w:rsidRPr="00A852CD" w:rsidTr="00634C88">
        <w:trPr>
          <w:trHeight w:val="300"/>
        </w:trPr>
        <w:tc>
          <w:tcPr>
            <w:tcW w:w="960" w:type="dxa"/>
            <w:noWrap/>
            <w:hideMark/>
          </w:tcPr>
          <w:p w:rsidR="00634C88" w:rsidRPr="00A852CD" w:rsidRDefault="00634C88" w:rsidP="005F3CC3">
            <w:pPr>
              <w:rPr>
                <w:rFonts w:ascii="Calibri" w:eastAsia="Times New Roman" w:hAnsi="Calibri" w:cs="Calibri"/>
                <w:color w:val="000000"/>
              </w:rPr>
            </w:pPr>
            <w:r w:rsidRPr="00A852CD">
              <w:rPr>
                <w:rFonts w:ascii="Calibri" w:eastAsia="Times New Roman" w:hAnsi="Calibri" w:cs="Calibri"/>
                <w:color w:val="000000"/>
              </w:rPr>
              <w:t>WY</w:t>
            </w:r>
          </w:p>
        </w:tc>
        <w:tc>
          <w:tcPr>
            <w:tcW w:w="11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13</w:t>
            </w:r>
          </w:p>
        </w:tc>
        <w:tc>
          <w:tcPr>
            <w:tcW w:w="967"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14.2</w:t>
            </w:r>
          </w:p>
        </w:tc>
        <w:tc>
          <w:tcPr>
            <w:tcW w:w="132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9.2%</w:t>
            </w:r>
          </w:p>
        </w:tc>
        <w:tc>
          <w:tcPr>
            <w:tcW w:w="1540" w:type="dxa"/>
            <w:noWrap/>
            <w:hideMark/>
          </w:tcPr>
          <w:p w:rsidR="00634C88" w:rsidRPr="00A852CD" w:rsidRDefault="00634C88" w:rsidP="005F3CC3">
            <w:pPr>
              <w:jc w:val="right"/>
              <w:rPr>
                <w:rFonts w:ascii="Calibri" w:eastAsia="Times New Roman" w:hAnsi="Calibri" w:cs="Calibri"/>
                <w:color w:val="000000"/>
              </w:rPr>
            </w:pPr>
            <w:r w:rsidRPr="00A852CD">
              <w:rPr>
                <w:rFonts w:ascii="Calibri" w:eastAsia="Times New Roman" w:hAnsi="Calibri" w:cs="Calibri"/>
                <w:color w:val="000000"/>
              </w:rPr>
              <w:t>18</w:t>
            </w:r>
          </w:p>
        </w:tc>
      </w:tr>
    </w:tbl>
    <w:p w:rsidR="00634C88" w:rsidRDefault="00634C88" w:rsidP="00634C88"/>
    <w:p w:rsidR="00634C88" w:rsidRDefault="00634C88" w:rsidP="00634C88"/>
    <w:p w:rsidR="00634C88" w:rsidRDefault="00634C88" w:rsidP="00634C88"/>
    <w:p w:rsidR="00634C88" w:rsidRDefault="00634C88" w:rsidP="00634C88"/>
    <w:p w:rsidR="00634C88" w:rsidRPr="00634C88" w:rsidRDefault="00634C88" w:rsidP="00634C88"/>
    <w:p w:rsidR="000714E4" w:rsidRDefault="000714E4" w:rsidP="003F0347">
      <w:pPr>
        <w:pStyle w:val="Heading1"/>
        <w:rPr>
          <w:rFonts w:asciiTheme="minorHAnsi" w:hAnsiTheme="minorHAnsi"/>
          <w:sz w:val="22"/>
          <w:szCs w:val="22"/>
        </w:rPr>
      </w:pPr>
      <w:bookmarkStart w:id="2" w:name="_Toc378337099"/>
      <w:r w:rsidRPr="00DC45B2">
        <w:rPr>
          <w:rFonts w:asciiTheme="minorHAnsi" w:hAnsiTheme="minorHAnsi"/>
          <w:sz w:val="22"/>
          <w:szCs w:val="22"/>
        </w:rPr>
        <w:lastRenderedPageBreak/>
        <w:t xml:space="preserve">1b.4 Provide </w:t>
      </w:r>
      <w:r w:rsidR="009A1ABE">
        <w:rPr>
          <w:rFonts w:asciiTheme="minorHAnsi" w:hAnsiTheme="minorHAnsi"/>
          <w:sz w:val="22"/>
          <w:szCs w:val="22"/>
        </w:rPr>
        <w:t>disparities data from the measure a</w:t>
      </w:r>
      <w:r w:rsidR="009A1ABE" w:rsidRPr="00DC45B2">
        <w:rPr>
          <w:rFonts w:asciiTheme="minorHAnsi" w:hAnsiTheme="minorHAnsi"/>
          <w:sz w:val="22"/>
          <w:szCs w:val="22"/>
        </w:rPr>
        <w:t>s specified</w:t>
      </w:r>
      <w:bookmarkEnd w:id="2"/>
    </w:p>
    <w:p w:rsidR="00660AB8" w:rsidRPr="00DC45B2" w:rsidRDefault="003F0347">
      <w:pPr>
        <w:rPr>
          <w:b/>
        </w:rPr>
      </w:pPr>
      <w:r w:rsidRPr="00DC45B2">
        <w:rPr>
          <w:rFonts w:cstheme="minorHAnsi"/>
          <w:color w:val="000000"/>
        </w:rPr>
        <w:t>2013 3</w:t>
      </w:r>
      <w:r w:rsidRPr="00DC45B2">
        <w:rPr>
          <w:rFonts w:cstheme="minorHAnsi"/>
          <w:color w:val="000000"/>
          <w:vertAlign w:val="superscript"/>
        </w:rPr>
        <w:t>RD</w:t>
      </w:r>
      <w:r w:rsidRPr="00DC45B2">
        <w:rPr>
          <w:rFonts w:cstheme="minorHAnsi"/>
          <w:color w:val="000000"/>
        </w:rPr>
        <w:t xml:space="preserve"> QUARTER ETHNICITY DATA FROM CMS MDS 3.0 </w:t>
      </w:r>
    </w:p>
    <w:tbl>
      <w:tblPr>
        <w:tblW w:w="7880" w:type="dxa"/>
        <w:tblInd w:w="93" w:type="dxa"/>
        <w:tblLook w:val="04A0" w:firstRow="1" w:lastRow="0" w:firstColumn="1" w:lastColumn="0" w:noHBand="0" w:noVBand="1"/>
      </w:tblPr>
      <w:tblGrid>
        <w:gridCol w:w="1842"/>
        <w:gridCol w:w="1129"/>
        <w:gridCol w:w="1090"/>
        <w:gridCol w:w="988"/>
        <w:gridCol w:w="874"/>
        <w:gridCol w:w="960"/>
        <w:gridCol w:w="997"/>
      </w:tblGrid>
      <w:tr w:rsidR="00660AB8" w:rsidRPr="00DC45B2" w:rsidTr="00634C88">
        <w:trPr>
          <w:trHeight w:val="900"/>
        </w:trPr>
        <w:tc>
          <w:tcPr>
            <w:tcW w:w="1842"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rsidR="00660AB8" w:rsidRPr="00DC45B2" w:rsidRDefault="00660AB8" w:rsidP="003F0347">
            <w:pPr>
              <w:spacing w:after="0" w:line="240" w:lineRule="auto"/>
              <w:jc w:val="center"/>
              <w:rPr>
                <w:rFonts w:eastAsia="Times New Roman" w:cs="Calibri"/>
                <w:b/>
                <w:bCs/>
                <w:color w:val="000000"/>
              </w:rPr>
            </w:pPr>
            <w:r w:rsidRPr="00DC45B2">
              <w:rPr>
                <w:rFonts w:eastAsia="Times New Roman" w:cs="Calibri"/>
                <w:b/>
                <w:bCs/>
                <w:color w:val="000000"/>
              </w:rPr>
              <w:t>State</w:t>
            </w:r>
          </w:p>
        </w:tc>
        <w:tc>
          <w:tcPr>
            <w:tcW w:w="1129" w:type="dxa"/>
            <w:tcBorders>
              <w:top w:val="single" w:sz="4" w:space="0" w:color="auto"/>
              <w:left w:val="nil"/>
              <w:bottom w:val="single" w:sz="4" w:space="0" w:color="auto"/>
              <w:right w:val="single" w:sz="4" w:space="0" w:color="auto"/>
            </w:tcBorders>
            <w:shd w:val="clear" w:color="auto" w:fill="EEECE1" w:themeFill="background2"/>
            <w:vAlign w:val="center"/>
            <w:hideMark/>
          </w:tcPr>
          <w:p w:rsidR="00660AB8" w:rsidRPr="00DC45B2" w:rsidRDefault="00660AB8" w:rsidP="003F0347">
            <w:pPr>
              <w:spacing w:after="0" w:line="240" w:lineRule="auto"/>
              <w:jc w:val="center"/>
              <w:rPr>
                <w:rFonts w:eastAsia="Times New Roman" w:cs="Calibri"/>
                <w:b/>
                <w:bCs/>
                <w:color w:val="000000"/>
              </w:rPr>
            </w:pPr>
            <w:r w:rsidRPr="00DC45B2">
              <w:rPr>
                <w:rFonts w:eastAsia="Times New Roman" w:cs="Calibri"/>
                <w:b/>
                <w:bCs/>
                <w:color w:val="000000"/>
              </w:rPr>
              <w:t>Caucasian</w:t>
            </w:r>
          </w:p>
        </w:tc>
        <w:tc>
          <w:tcPr>
            <w:tcW w:w="1090" w:type="dxa"/>
            <w:tcBorders>
              <w:top w:val="single" w:sz="4" w:space="0" w:color="auto"/>
              <w:left w:val="nil"/>
              <w:bottom w:val="single" w:sz="4" w:space="0" w:color="auto"/>
              <w:right w:val="single" w:sz="4" w:space="0" w:color="auto"/>
            </w:tcBorders>
            <w:shd w:val="clear" w:color="auto" w:fill="EEECE1" w:themeFill="background2"/>
            <w:vAlign w:val="bottom"/>
            <w:hideMark/>
          </w:tcPr>
          <w:p w:rsidR="00660AB8" w:rsidRPr="00DC45B2" w:rsidRDefault="00660AB8" w:rsidP="003F0347">
            <w:pPr>
              <w:spacing w:after="0" w:line="240" w:lineRule="auto"/>
              <w:jc w:val="center"/>
              <w:rPr>
                <w:rFonts w:eastAsia="Times New Roman" w:cs="Calibri"/>
                <w:b/>
                <w:bCs/>
                <w:color w:val="000000"/>
              </w:rPr>
            </w:pPr>
            <w:r w:rsidRPr="00DC45B2">
              <w:rPr>
                <w:rFonts w:eastAsia="Times New Roman" w:cs="Calibri"/>
                <w:b/>
                <w:bCs/>
                <w:color w:val="000000"/>
              </w:rPr>
              <w:t>African American</w:t>
            </w:r>
          </w:p>
        </w:tc>
        <w:tc>
          <w:tcPr>
            <w:tcW w:w="988" w:type="dxa"/>
            <w:tcBorders>
              <w:top w:val="single" w:sz="4" w:space="0" w:color="auto"/>
              <w:left w:val="nil"/>
              <w:bottom w:val="single" w:sz="4" w:space="0" w:color="auto"/>
              <w:right w:val="single" w:sz="4" w:space="0" w:color="auto"/>
            </w:tcBorders>
            <w:shd w:val="clear" w:color="auto" w:fill="EEECE1" w:themeFill="background2"/>
            <w:vAlign w:val="center"/>
            <w:hideMark/>
          </w:tcPr>
          <w:p w:rsidR="00660AB8" w:rsidRPr="00DC45B2" w:rsidRDefault="00660AB8" w:rsidP="003F0347">
            <w:pPr>
              <w:spacing w:after="0" w:line="240" w:lineRule="auto"/>
              <w:jc w:val="center"/>
              <w:rPr>
                <w:rFonts w:eastAsia="Times New Roman" w:cs="Calibri"/>
                <w:b/>
                <w:bCs/>
                <w:color w:val="000000"/>
              </w:rPr>
            </w:pPr>
            <w:r w:rsidRPr="00DC45B2">
              <w:rPr>
                <w:rFonts w:eastAsia="Times New Roman" w:cs="Calibri"/>
                <w:b/>
                <w:bCs/>
                <w:color w:val="000000"/>
              </w:rPr>
              <w:t>Hispanic</w:t>
            </w:r>
          </w:p>
        </w:tc>
        <w:tc>
          <w:tcPr>
            <w:tcW w:w="874" w:type="dxa"/>
            <w:tcBorders>
              <w:top w:val="single" w:sz="4" w:space="0" w:color="auto"/>
              <w:left w:val="nil"/>
              <w:bottom w:val="single" w:sz="4" w:space="0" w:color="auto"/>
              <w:right w:val="single" w:sz="4" w:space="0" w:color="auto"/>
            </w:tcBorders>
            <w:shd w:val="clear" w:color="auto" w:fill="EEECE1" w:themeFill="background2"/>
            <w:vAlign w:val="center"/>
            <w:hideMark/>
          </w:tcPr>
          <w:p w:rsidR="00660AB8" w:rsidRPr="00DC45B2" w:rsidRDefault="00660AB8" w:rsidP="003F0347">
            <w:pPr>
              <w:spacing w:after="0" w:line="240" w:lineRule="auto"/>
              <w:jc w:val="center"/>
              <w:rPr>
                <w:rFonts w:eastAsia="Times New Roman" w:cs="Calibri"/>
                <w:b/>
                <w:bCs/>
                <w:color w:val="000000"/>
              </w:rPr>
            </w:pPr>
            <w:r w:rsidRPr="00DC45B2">
              <w:rPr>
                <w:rFonts w:eastAsia="Times New Roman" w:cs="Calibri"/>
                <w:b/>
                <w:bCs/>
                <w:color w:val="000000"/>
              </w:rPr>
              <w:t>Asian</w:t>
            </w:r>
          </w:p>
        </w:tc>
        <w:tc>
          <w:tcPr>
            <w:tcW w:w="960" w:type="dxa"/>
            <w:tcBorders>
              <w:top w:val="single" w:sz="4" w:space="0" w:color="auto"/>
              <w:left w:val="nil"/>
              <w:bottom w:val="single" w:sz="4" w:space="0" w:color="auto"/>
              <w:right w:val="single" w:sz="4" w:space="0" w:color="auto"/>
            </w:tcBorders>
            <w:shd w:val="clear" w:color="auto" w:fill="EEECE1" w:themeFill="background2"/>
            <w:vAlign w:val="center"/>
            <w:hideMark/>
          </w:tcPr>
          <w:p w:rsidR="00660AB8" w:rsidRPr="00DC45B2" w:rsidRDefault="00660AB8" w:rsidP="003F0347">
            <w:pPr>
              <w:spacing w:after="0" w:line="240" w:lineRule="auto"/>
              <w:jc w:val="center"/>
              <w:rPr>
                <w:rFonts w:eastAsia="Times New Roman" w:cs="Calibri"/>
                <w:b/>
                <w:bCs/>
                <w:color w:val="000000"/>
              </w:rPr>
            </w:pPr>
            <w:r w:rsidRPr="00DC45B2">
              <w:rPr>
                <w:rFonts w:eastAsia="Times New Roman" w:cs="Calibri"/>
                <w:b/>
                <w:bCs/>
                <w:color w:val="000000"/>
              </w:rPr>
              <w:t>All Others</w:t>
            </w:r>
          </w:p>
        </w:tc>
        <w:tc>
          <w:tcPr>
            <w:tcW w:w="997" w:type="dxa"/>
            <w:tcBorders>
              <w:top w:val="single" w:sz="4" w:space="0" w:color="auto"/>
              <w:left w:val="nil"/>
              <w:bottom w:val="single" w:sz="4" w:space="0" w:color="auto"/>
              <w:right w:val="single" w:sz="4" w:space="0" w:color="auto"/>
            </w:tcBorders>
            <w:shd w:val="clear" w:color="auto" w:fill="EEECE1" w:themeFill="background2"/>
            <w:vAlign w:val="center"/>
            <w:hideMark/>
          </w:tcPr>
          <w:p w:rsidR="00660AB8" w:rsidRPr="00DC45B2" w:rsidRDefault="00660AB8" w:rsidP="003F0347">
            <w:pPr>
              <w:spacing w:after="0" w:line="240" w:lineRule="auto"/>
              <w:jc w:val="center"/>
              <w:rPr>
                <w:rFonts w:eastAsia="Times New Roman" w:cs="Calibri"/>
                <w:b/>
                <w:bCs/>
                <w:color w:val="000000"/>
              </w:rPr>
            </w:pPr>
            <w:r w:rsidRPr="00DC45B2">
              <w:rPr>
                <w:rFonts w:eastAsia="Times New Roman" w:cs="Calibri"/>
                <w:b/>
                <w:bCs/>
                <w:color w:val="000000"/>
              </w:rPr>
              <w:t>State Total</w:t>
            </w:r>
          </w:p>
        </w:tc>
      </w:tr>
      <w:tr w:rsidR="00660AB8" w:rsidRPr="00DC45B2" w:rsidTr="00634C88">
        <w:trPr>
          <w:trHeight w:val="300"/>
        </w:trPr>
        <w:tc>
          <w:tcPr>
            <w:tcW w:w="1842" w:type="dxa"/>
            <w:tcBorders>
              <w:top w:val="nil"/>
              <w:left w:val="single" w:sz="4" w:space="0" w:color="auto"/>
              <w:bottom w:val="single" w:sz="4" w:space="0" w:color="auto"/>
              <w:right w:val="single" w:sz="4" w:space="0" w:color="auto"/>
            </w:tcBorders>
            <w:shd w:val="clear" w:color="auto" w:fill="FDE9D9" w:themeFill="accent6" w:themeFillTint="33"/>
            <w:vAlign w:val="center"/>
            <w:hideMark/>
          </w:tcPr>
          <w:p w:rsidR="00660AB8" w:rsidRPr="00DC45B2" w:rsidRDefault="00660AB8" w:rsidP="003F0347">
            <w:pPr>
              <w:spacing w:after="0" w:line="240" w:lineRule="auto"/>
              <w:rPr>
                <w:rFonts w:eastAsia="Times New Roman" w:cs="Calibri"/>
                <w:b/>
                <w:bCs/>
                <w:color w:val="000000"/>
              </w:rPr>
            </w:pPr>
            <w:r w:rsidRPr="00DC45B2">
              <w:rPr>
                <w:rFonts w:eastAsia="Times New Roman" w:cs="Calibri"/>
                <w:b/>
                <w:bCs/>
                <w:color w:val="000000"/>
              </w:rPr>
              <w:t xml:space="preserve">NATIONAL </w:t>
            </w:r>
          </w:p>
        </w:tc>
        <w:tc>
          <w:tcPr>
            <w:tcW w:w="1129" w:type="dxa"/>
            <w:tcBorders>
              <w:top w:val="nil"/>
              <w:left w:val="nil"/>
              <w:bottom w:val="single" w:sz="4" w:space="0" w:color="auto"/>
              <w:right w:val="single" w:sz="4" w:space="0" w:color="auto"/>
            </w:tcBorders>
            <w:shd w:val="clear" w:color="auto" w:fill="FDE9D9" w:themeFill="accent6" w:themeFillTint="33"/>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76.8%</w:t>
            </w:r>
          </w:p>
        </w:tc>
        <w:tc>
          <w:tcPr>
            <w:tcW w:w="1090" w:type="dxa"/>
            <w:tcBorders>
              <w:top w:val="nil"/>
              <w:left w:val="nil"/>
              <w:bottom w:val="single" w:sz="4" w:space="0" w:color="auto"/>
              <w:right w:val="single" w:sz="4" w:space="0" w:color="auto"/>
            </w:tcBorders>
            <w:shd w:val="clear" w:color="auto" w:fill="FDE9D9" w:themeFill="accent6" w:themeFillTint="33"/>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13.8%</w:t>
            </w:r>
          </w:p>
        </w:tc>
        <w:tc>
          <w:tcPr>
            <w:tcW w:w="988" w:type="dxa"/>
            <w:tcBorders>
              <w:top w:val="nil"/>
              <w:left w:val="nil"/>
              <w:bottom w:val="single" w:sz="4" w:space="0" w:color="auto"/>
              <w:right w:val="single" w:sz="4" w:space="0" w:color="auto"/>
            </w:tcBorders>
            <w:shd w:val="clear" w:color="auto" w:fill="FDE9D9" w:themeFill="accent6" w:themeFillTint="33"/>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5.1%</w:t>
            </w:r>
          </w:p>
        </w:tc>
        <w:tc>
          <w:tcPr>
            <w:tcW w:w="874" w:type="dxa"/>
            <w:tcBorders>
              <w:top w:val="nil"/>
              <w:left w:val="nil"/>
              <w:bottom w:val="single" w:sz="4" w:space="0" w:color="auto"/>
              <w:right w:val="single" w:sz="4" w:space="0" w:color="auto"/>
            </w:tcBorders>
            <w:shd w:val="clear" w:color="auto" w:fill="FDE9D9" w:themeFill="accent6" w:themeFillTint="33"/>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1.8%</w:t>
            </w:r>
          </w:p>
        </w:tc>
        <w:tc>
          <w:tcPr>
            <w:tcW w:w="960" w:type="dxa"/>
            <w:tcBorders>
              <w:top w:val="nil"/>
              <w:left w:val="nil"/>
              <w:bottom w:val="single" w:sz="4" w:space="0" w:color="auto"/>
              <w:right w:val="single" w:sz="4" w:space="0" w:color="auto"/>
            </w:tcBorders>
            <w:shd w:val="clear" w:color="auto" w:fill="FDE9D9" w:themeFill="accent6" w:themeFillTint="33"/>
            <w:noWrap/>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2.5%</w:t>
            </w:r>
          </w:p>
        </w:tc>
        <w:tc>
          <w:tcPr>
            <w:tcW w:w="997" w:type="dxa"/>
            <w:tcBorders>
              <w:top w:val="nil"/>
              <w:left w:val="nil"/>
              <w:bottom w:val="single" w:sz="4" w:space="0" w:color="auto"/>
              <w:right w:val="single" w:sz="4" w:space="0" w:color="auto"/>
            </w:tcBorders>
            <w:shd w:val="clear" w:color="auto" w:fill="FDE9D9" w:themeFill="accent6" w:themeFillTint="33"/>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1413862</w:t>
            </w:r>
          </w:p>
        </w:tc>
      </w:tr>
      <w:tr w:rsidR="00660AB8" w:rsidRPr="00DC45B2" w:rsidTr="009A1ABE">
        <w:trPr>
          <w:trHeight w:val="300"/>
        </w:trPr>
        <w:tc>
          <w:tcPr>
            <w:tcW w:w="1842" w:type="dxa"/>
            <w:tcBorders>
              <w:top w:val="nil"/>
              <w:left w:val="single" w:sz="4" w:space="0" w:color="auto"/>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rPr>
                <w:rFonts w:eastAsia="Times New Roman" w:cs="Calibri"/>
                <w:color w:val="000000"/>
              </w:rPr>
            </w:pPr>
            <w:r w:rsidRPr="00DC45B2">
              <w:rPr>
                <w:rFonts w:eastAsia="Times New Roman" w:cs="Calibri"/>
                <w:color w:val="000000"/>
              </w:rPr>
              <w:t>Alabama</w:t>
            </w:r>
          </w:p>
        </w:tc>
        <w:tc>
          <w:tcPr>
            <w:tcW w:w="1129"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73.1%</w:t>
            </w:r>
          </w:p>
        </w:tc>
        <w:tc>
          <w:tcPr>
            <w:tcW w:w="1090"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25.3%</w:t>
            </w:r>
          </w:p>
        </w:tc>
        <w:tc>
          <w:tcPr>
            <w:tcW w:w="988"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0.3%</w:t>
            </w:r>
          </w:p>
        </w:tc>
        <w:tc>
          <w:tcPr>
            <w:tcW w:w="874"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0.2%</w:t>
            </w:r>
          </w:p>
        </w:tc>
        <w:tc>
          <w:tcPr>
            <w:tcW w:w="960" w:type="dxa"/>
            <w:tcBorders>
              <w:top w:val="nil"/>
              <w:left w:val="nil"/>
              <w:bottom w:val="single" w:sz="4" w:space="0" w:color="auto"/>
              <w:right w:val="single" w:sz="4" w:space="0" w:color="auto"/>
            </w:tcBorders>
            <w:shd w:val="clear" w:color="auto" w:fill="auto"/>
            <w:noWrap/>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1.2%</w:t>
            </w:r>
          </w:p>
        </w:tc>
        <w:tc>
          <w:tcPr>
            <w:tcW w:w="997"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23166</w:t>
            </w:r>
          </w:p>
        </w:tc>
      </w:tr>
      <w:tr w:rsidR="00660AB8" w:rsidRPr="00DC45B2" w:rsidTr="009A1ABE">
        <w:trPr>
          <w:trHeight w:val="300"/>
        </w:trPr>
        <w:tc>
          <w:tcPr>
            <w:tcW w:w="1842" w:type="dxa"/>
            <w:tcBorders>
              <w:top w:val="nil"/>
              <w:left w:val="single" w:sz="4" w:space="0" w:color="auto"/>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rPr>
                <w:rFonts w:eastAsia="Times New Roman" w:cs="Calibri"/>
                <w:color w:val="000000"/>
              </w:rPr>
            </w:pPr>
            <w:r w:rsidRPr="00DC45B2">
              <w:rPr>
                <w:rFonts w:eastAsia="Times New Roman" w:cs="Calibri"/>
                <w:color w:val="000000"/>
              </w:rPr>
              <w:t>Alaska</w:t>
            </w:r>
          </w:p>
        </w:tc>
        <w:tc>
          <w:tcPr>
            <w:tcW w:w="1129"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68.2%</w:t>
            </w:r>
          </w:p>
        </w:tc>
        <w:tc>
          <w:tcPr>
            <w:tcW w:w="1090"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3.0%</w:t>
            </w:r>
          </w:p>
        </w:tc>
        <w:tc>
          <w:tcPr>
            <w:tcW w:w="988"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1.2%</w:t>
            </w:r>
          </w:p>
        </w:tc>
        <w:tc>
          <w:tcPr>
            <w:tcW w:w="874"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2.4%</w:t>
            </w:r>
          </w:p>
        </w:tc>
        <w:tc>
          <w:tcPr>
            <w:tcW w:w="960" w:type="dxa"/>
            <w:tcBorders>
              <w:top w:val="nil"/>
              <w:left w:val="nil"/>
              <w:bottom w:val="single" w:sz="4" w:space="0" w:color="auto"/>
              <w:right w:val="single" w:sz="4" w:space="0" w:color="auto"/>
            </w:tcBorders>
            <w:shd w:val="clear" w:color="auto" w:fill="auto"/>
            <w:noWrap/>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25.3%</w:t>
            </w:r>
          </w:p>
        </w:tc>
        <w:tc>
          <w:tcPr>
            <w:tcW w:w="997"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509</w:t>
            </w:r>
          </w:p>
        </w:tc>
      </w:tr>
      <w:tr w:rsidR="00660AB8" w:rsidRPr="00DC45B2" w:rsidTr="009A1ABE">
        <w:trPr>
          <w:trHeight w:val="300"/>
        </w:trPr>
        <w:tc>
          <w:tcPr>
            <w:tcW w:w="1842" w:type="dxa"/>
            <w:tcBorders>
              <w:top w:val="nil"/>
              <w:left w:val="single" w:sz="4" w:space="0" w:color="auto"/>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rPr>
                <w:rFonts w:eastAsia="Times New Roman" w:cs="Calibri"/>
                <w:color w:val="000000"/>
              </w:rPr>
            </w:pPr>
            <w:r w:rsidRPr="00DC45B2">
              <w:rPr>
                <w:rFonts w:eastAsia="Times New Roman" w:cs="Calibri"/>
                <w:color w:val="000000"/>
              </w:rPr>
              <w:t>Arizona</w:t>
            </w:r>
          </w:p>
        </w:tc>
        <w:tc>
          <w:tcPr>
            <w:tcW w:w="1129"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73.0%</w:t>
            </w:r>
          </w:p>
        </w:tc>
        <w:tc>
          <w:tcPr>
            <w:tcW w:w="1090"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4.7%</w:t>
            </w:r>
          </w:p>
        </w:tc>
        <w:tc>
          <w:tcPr>
            <w:tcW w:w="988"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13.7%</w:t>
            </w:r>
          </w:p>
        </w:tc>
        <w:tc>
          <w:tcPr>
            <w:tcW w:w="874"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0.9%</w:t>
            </w:r>
          </w:p>
        </w:tc>
        <w:tc>
          <w:tcPr>
            <w:tcW w:w="960" w:type="dxa"/>
            <w:tcBorders>
              <w:top w:val="nil"/>
              <w:left w:val="nil"/>
              <w:bottom w:val="single" w:sz="4" w:space="0" w:color="auto"/>
              <w:right w:val="single" w:sz="4" w:space="0" w:color="auto"/>
            </w:tcBorders>
            <w:shd w:val="clear" w:color="auto" w:fill="auto"/>
            <w:noWrap/>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7.7%</w:t>
            </w:r>
          </w:p>
        </w:tc>
        <w:tc>
          <w:tcPr>
            <w:tcW w:w="997"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12520</w:t>
            </w:r>
          </w:p>
        </w:tc>
      </w:tr>
      <w:tr w:rsidR="00660AB8" w:rsidRPr="00DC45B2" w:rsidTr="009A1ABE">
        <w:trPr>
          <w:trHeight w:val="300"/>
        </w:trPr>
        <w:tc>
          <w:tcPr>
            <w:tcW w:w="1842" w:type="dxa"/>
            <w:tcBorders>
              <w:top w:val="nil"/>
              <w:left w:val="single" w:sz="4" w:space="0" w:color="auto"/>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rPr>
                <w:rFonts w:eastAsia="Times New Roman" w:cs="Calibri"/>
                <w:color w:val="000000"/>
              </w:rPr>
            </w:pPr>
            <w:r w:rsidRPr="00DC45B2">
              <w:rPr>
                <w:rFonts w:eastAsia="Times New Roman" w:cs="Calibri"/>
                <w:color w:val="000000"/>
              </w:rPr>
              <w:t>Arkansas</w:t>
            </w:r>
          </w:p>
        </w:tc>
        <w:tc>
          <w:tcPr>
            <w:tcW w:w="1129"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77.9%</w:t>
            </w:r>
          </w:p>
        </w:tc>
        <w:tc>
          <w:tcPr>
            <w:tcW w:w="1090"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12.5%</w:t>
            </w:r>
          </w:p>
        </w:tc>
        <w:tc>
          <w:tcPr>
            <w:tcW w:w="988"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0.4%</w:t>
            </w:r>
          </w:p>
        </w:tc>
        <w:tc>
          <w:tcPr>
            <w:tcW w:w="874"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0.1%</w:t>
            </w:r>
          </w:p>
        </w:tc>
        <w:tc>
          <w:tcPr>
            <w:tcW w:w="960" w:type="dxa"/>
            <w:tcBorders>
              <w:top w:val="nil"/>
              <w:left w:val="nil"/>
              <w:bottom w:val="single" w:sz="4" w:space="0" w:color="auto"/>
              <w:right w:val="single" w:sz="4" w:space="0" w:color="auto"/>
            </w:tcBorders>
            <w:shd w:val="clear" w:color="auto" w:fill="auto"/>
            <w:noWrap/>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9.1%</w:t>
            </w:r>
          </w:p>
        </w:tc>
        <w:tc>
          <w:tcPr>
            <w:tcW w:w="997"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17992</w:t>
            </w:r>
          </w:p>
        </w:tc>
      </w:tr>
      <w:tr w:rsidR="00660AB8" w:rsidRPr="00DC45B2" w:rsidTr="009A1ABE">
        <w:trPr>
          <w:trHeight w:val="300"/>
        </w:trPr>
        <w:tc>
          <w:tcPr>
            <w:tcW w:w="1842" w:type="dxa"/>
            <w:tcBorders>
              <w:top w:val="nil"/>
              <w:left w:val="single" w:sz="4" w:space="0" w:color="auto"/>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rPr>
                <w:rFonts w:eastAsia="Times New Roman" w:cs="Calibri"/>
                <w:color w:val="000000"/>
              </w:rPr>
            </w:pPr>
            <w:r w:rsidRPr="00DC45B2">
              <w:rPr>
                <w:rFonts w:eastAsia="Times New Roman" w:cs="Calibri"/>
                <w:color w:val="000000"/>
              </w:rPr>
              <w:t>California</w:t>
            </w:r>
          </w:p>
        </w:tc>
        <w:tc>
          <w:tcPr>
            <w:tcW w:w="1129"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58.4%</w:t>
            </w:r>
          </w:p>
        </w:tc>
        <w:tc>
          <w:tcPr>
            <w:tcW w:w="1090"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10.9%</w:t>
            </w:r>
          </w:p>
        </w:tc>
        <w:tc>
          <w:tcPr>
            <w:tcW w:w="988"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17.4%</w:t>
            </w:r>
          </w:p>
        </w:tc>
        <w:tc>
          <w:tcPr>
            <w:tcW w:w="874"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10.8%</w:t>
            </w:r>
          </w:p>
        </w:tc>
        <w:tc>
          <w:tcPr>
            <w:tcW w:w="960" w:type="dxa"/>
            <w:tcBorders>
              <w:top w:val="nil"/>
              <w:left w:val="nil"/>
              <w:bottom w:val="single" w:sz="4" w:space="0" w:color="auto"/>
              <w:right w:val="single" w:sz="4" w:space="0" w:color="auto"/>
            </w:tcBorders>
            <w:shd w:val="clear" w:color="auto" w:fill="auto"/>
            <w:noWrap/>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2.5%</w:t>
            </w:r>
          </w:p>
        </w:tc>
        <w:tc>
          <w:tcPr>
            <w:tcW w:w="997"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106403</w:t>
            </w:r>
          </w:p>
        </w:tc>
      </w:tr>
      <w:tr w:rsidR="00660AB8" w:rsidRPr="00DC45B2" w:rsidTr="009A1ABE">
        <w:trPr>
          <w:trHeight w:val="300"/>
        </w:trPr>
        <w:tc>
          <w:tcPr>
            <w:tcW w:w="1842" w:type="dxa"/>
            <w:tcBorders>
              <w:top w:val="nil"/>
              <w:left w:val="single" w:sz="4" w:space="0" w:color="auto"/>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rPr>
                <w:rFonts w:eastAsia="Times New Roman" w:cs="Calibri"/>
                <w:color w:val="000000"/>
              </w:rPr>
            </w:pPr>
            <w:r w:rsidRPr="00DC45B2">
              <w:rPr>
                <w:rFonts w:eastAsia="Times New Roman" w:cs="Calibri"/>
                <w:color w:val="000000"/>
              </w:rPr>
              <w:t>Colorado</w:t>
            </w:r>
          </w:p>
        </w:tc>
        <w:tc>
          <w:tcPr>
            <w:tcW w:w="1129"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81.5%</w:t>
            </w:r>
          </w:p>
        </w:tc>
        <w:tc>
          <w:tcPr>
            <w:tcW w:w="1090"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4.5%</w:t>
            </w:r>
          </w:p>
        </w:tc>
        <w:tc>
          <w:tcPr>
            <w:tcW w:w="988"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9.8%</w:t>
            </w:r>
          </w:p>
        </w:tc>
        <w:tc>
          <w:tcPr>
            <w:tcW w:w="874"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1.2%</w:t>
            </w:r>
          </w:p>
        </w:tc>
        <w:tc>
          <w:tcPr>
            <w:tcW w:w="960" w:type="dxa"/>
            <w:tcBorders>
              <w:top w:val="nil"/>
              <w:left w:val="nil"/>
              <w:bottom w:val="single" w:sz="4" w:space="0" w:color="auto"/>
              <w:right w:val="single" w:sz="4" w:space="0" w:color="auto"/>
            </w:tcBorders>
            <w:shd w:val="clear" w:color="auto" w:fill="auto"/>
            <w:noWrap/>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3.0%</w:t>
            </w:r>
          </w:p>
        </w:tc>
        <w:tc>
          <w:tcPr>
            <w:tcW w:w="997"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16693</w:t>
            </w:r>
          </w:p>
        </w:tc>
      </w:tr>
      <w:tr w:rsidR="00660AB8" w:rsidRPr="00DC45B2" w:rsidTr="009A1ABE">
        <w:trPr>
          <w:trHeight w:val="300"/>
        </w:trPr>
        <w:tc>
          <w:tcPr>
            <w:tcW w:w="1842" w:type="dxa"/>
            <w:tcBorders>
              <w:top w:val="nil"/>
              <w:left w:val="single" w:sz="4" w:space="0" w:color="auto"/>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rPr>
                <w:rFonts w:eastAsia="Times New Roman" w:cs="Calibri"/>
                <w:color w:val="000000"/>
              </w:rPr>
            </w:pPr>
            <w:r w:rsidRPr="00DC45B2">
              <w:rPr>
                <w:rFonts w:eastAsia="Times New Roman" w:cs="Calibri"/>
                <w:color w:val="000000"/>
              </w:rPr>
              <w:t>Connecticut</w:t>
            </w:r>
          </w:p>
        </w:tc>
        <w:tc>
          <w:tcPr>
            <w:tcW w:w="1129"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82.9%</w:t>
            </w:r>
          </w:p>
        </w:tc>
        <w:tc>
          <w:tcPr>
            <w:tcW w:w="1090"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9.1%</w:t>
            </w:r>
          </w:p>
        </w:tc>
        <w:tc>
          <w:tcPr>
            <w:tcW w:w="988"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4.7%</w:t>
            </w:r>
          </w:p>
        </w:tc>
        <w:tc>
          <w:tcPr>
            <w:tcW w:w="874"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0.5%</w:t>
            </w:r>
          </w:p>
        </w:tc>
        <w:tc>
          <w:tcPr>
            <w:tcW w:w="960" w:type="dxa"/>
            <w:tcBorders>
              <w:top w:val="nil"/>
              <w:left w:val="nil"/>
              <w:bottom w:val="single" w:sz="4" w:space="0" w:color="auto"/>
              <w:right w:val="single" w:sz="4" w:space="0" w:color="auto"/>
            </w:tcBorders>
            <w:shd w:val="clear" w:color="auto" w:fill="auto"/>
            <w:noWrap/>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2.9%</w:t>
            </w:r>
          </w:p>
        </w:tc>
        <w:tc>
          <w:tcPr>
            <w:tcW w:w="997"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25328</w:t>
            </w:r>
          </w:p>
        </w:tc>
      </w:tr>
      <w:tr w:rsidR="00660AB8" w:rsidRPr="00DC45B2" w:rsidTr="009A1ABE">
        <w:trPr>
          <w:trHeight w:val="300"/>
        </w:trPr>
        <w:tc>
          <w:tcPr>
            <w:tcW w:w="1842" w:type="dxa"/>
            <w:tcBorders>
              <w:top w:val="nil"/>
              <w:left w:val="single" w:sz="4" w:space="0" w:color="auto"/>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rPr>
                <w:rFonts w:eastAsia="Times New Roman" w:cs="Calibri"/>
                <w:color w:val="000000"/>
              </w:rPr>
            </w:pPr>
            <w:r w:rsidRPr="00DC45B2">
              <w:rPr>
                <w:rFonts w:eastAsia="Times New Roman" w:cs="Calibri"/>
                <w:color w:val="000000"/>
              </w:rPr>
              <w:t>Delaware</w:t>
            </w:r>
          </w:p>
        </w:tc>
        <w:tc>
          <w:tcPr>
            <w:tcW w:w="1129"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74.5%</w:t>
            </w:r>
          </w:p>
        </w:tc>
        <w:tc>
          <w:tcPr>
            <w:tcW w:w="1090"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21.0%</w:t>
            </w:r>
          </w:p>
        </w:tc>
        <w:tc>
          <w:tcPr>
            <w:tcW w:w="988"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1.9%</w:t>
            </w:r>
          </w:p>
        </w:tc>
        <w:tc>
          <w:tcPr>
            <w:tcW w:w="874"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0.4%</w:t>
            </w:r>
          </w:p>
        </w:tc>
        <w:tc>
          <w:tcPr>
            <w:tcW w:w="960" w:type="dxa"/>
            <w:tcBorders>
              <w:top w:val="nil"/>
              <w:left w:val="nil"/>
              <w:bottom w:val="single" w:sz="4" w:space="0" w:color="auto"/>
              <w:right w:val="single" w:sz="4" w:space="0" w:color="auto"/>
            </w:tcBorders>
            <w:shd w:val="clear" w:color="auto" w:fill="auto"/>
            <w:noWrap/>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2.3%</w:t>
            </w:r>
          </w:p>
        </w:tc>
        <w:tc>
          <w:tcPr>
            <w:tcW w:w="997"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4381</w:t>
            </w:r>
          </w:p>
        </w:tc>
      </w:tr>
      <w:tr w:rsidR="00660AB8" w:rsidRPr="00DC45B2" w:rsidTr="009A1ABE">
        <w:trPr>
          <w:trHeight w:val="300"/>
        </w:trPr>
        <w:tc>
          <w:tcPr>
            <w:tcW w:w="1842" w:type="dxa"/>
            <w:tcBorders>
              <w:top w:val="nil"/>
              <w:left w:val="single" w:sz="4" w:space="0" w:color="auto"/>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rPr>
                <w:rFonts w:eastAsia="Times New Roman" w:cs="Calibri"/>
                <w:color w:val="000000"/>
              </w:rPr>
            </w:pPr>
            <w:r w:rsidRPr="00DC45B2">
              <w:rPr>
                <w:rFonts w:eastAsia="Times New Roman" w:cs="Calibri"/>
                <w:color w:val="000000"/>
              </w:rPr>
              <w:t>District of Columbia</w:t>
            </w:r>
          </w:p>
        </w:tc>
        <w:tc>
          <w:tcPr>
            <w:tcW w:w="1129"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13.1%</w:t>
            </w:r>
          </w:p>
        </w:tc>
        <w:tc>
          <w:tcPr>
            <w:tcW w:w="1090"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83.0%</w:t>
            </w:r>
          </w:p>
        </w:tc>
        <w:tc>
          <w:tcPr>
            <w:tcW w:w="988"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1.2%</w:t>
            </w:r>
          </w:p>
        </w:tc>
        <w:tc>
          <w:tcPr>
            <w:tcW w:w="874"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1.2%</w:t>
            </w:r>
          </w:p>
        </w:tc>
        <w:tc>
          <w:tcPr>
            <w:tcW w:w="960" w:type="dxa"/>
            <w:tcBorders>
              <w:top w:val="nil"/>
              <w:left w:val="nil"/>
              <w:bottom w:val="single" w:sz="4" w:space="0" w:color="auto"/>
              <w:right w:val="single" w:sz="4" w:space="0" w:color="auto"/>
            </w:tcBorders>
            <w:shd w:val="clear" w:color="auto" w:fill="auto"/>
            <w:noWrap/>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1.5%</w:t>
            </w:r>
          </w:p>
        </w:tc>
        <w:tc>
          <w:tcPr>
            <w:tcW w:w="997"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2636</w:t>
            </w:r>
          </w:p>
        </w:tc>
      </w:tr>
      <w:tr w:rsidR="00660AB8" w:rsidRPr="00DC45B2" w:rsidTr="009A1ABE">
        <w:trPr>
          <w:trHeight w:val="300"/>
        </w:trPr>
        <w:tc>
          <w:tcPr>
            <w:tcW w:w="1842" w:type="dxa"/>
            <w:tcBorders>
              <w:top w:val="nil"/>
              <w:left w:val="single" w:sz="4" w:space="0" w:color="auto"/>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rPr>
                <w:rFonts w:eastAsia="Times New Roman" w:cs="Calibri"/>
                <w:color w:val="000000"/>
              </w:rPr>
            </w:pPr>
            <w:r w:rsidRPr="00DC45B2">
              <w:rPr>
                <w:rFonts w:eastAsia="Times New Roman" w:cs="Calibri"/>
                <w:color w:val="000000"/>
              </w:rPr>
              <w:t>Florida</w:t>
            </w:r>
          </w:p>
        </w:tc>
        <w:tc>
          <w:tcPr>
            <w:tcW w:w="1129"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71.1%</w:t>
            </w:r>
          </w:p>
        </w:tc>
        <w:tc>
          <w:tcPr>
            <w:tcW w:w="1090"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15.6%</w:t>
            </w:r>
          </w:p>
        </w:tc>
        <w:tc>
          <w:tcPr>
            <w:tcW w:w="988"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10.7%</w:t>
            </w:r>
          </w:p>
        </w:tc>
        <w:tc>
          <w:tcPr>
            <w:tcW w:w="874"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0.5%</w:t>
            </w:r>
          </w:p>
        </w:tc>
        <w:tc>
          <w:tcPr>
            <w:tcW w:w="960" w:type="dxa"/>
            <w:tcBorders>
              <w:top w:val="nil"/>
              <w:left w:val="nil"/>
              <w:bottom w:val="single" w:sz="4" w:space="0" w:color="auto"/>
              <w:right w:val="single" w:sz="4" w:space="0" w:color="auto"/>
            </w:tcBorders>
            <w:shd w:val="clear" w:color="auto" w:fill="auto"/>
            <w:noWrap/>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2.2%</w:t>
            </w:r>
          </w:p>
        </w:tc>
        <w:tc>
          <w:tcPr>
            <w:tcW w:w="997"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76472</w:t>
            </w:r>
          </w:p>
        </w:tc>
      </w:tr>
      <w:tr w:rsidR="00660AB8" w:rsidRPr="00DC45B2" w:rsidTr="009A1ABE">
        <w:trPr>
          <w:trHeight w:val="300"/>
        </w:trPr>
        <w:tc>
          <w:tcPr>
            <w:tcW w:w="1842" w:type="dxa"/>
            <w:tcBorders>
              <w:top w:val="nil"/>
              <w:left w:val="single" w:sz="4" w:space="0" w:color="auto"/>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rPr>
                <w:rFonts w:eastAsia="Times New Roman" w:cs="Calibri"/>
                <w:color w:val="000000"/>
              </w:rPr>
            </w:pPr>
            <w:r w:rsidRPr="00DC45B2">
              <w:rPr>
                <w:rFonts w:eastAsia="Times New Roman" w:cs="Calibri"/>
                <w:color w:val="000000"/>
              </w:rPr>
              <w:t>Georgia</w:t>
            </w:r>
          </w:p>
        </w:tc>
        <w:tc>
          <w:tcPr>
            <w:tcW w:w="1129"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64.7%</w:t>
            </w:r>
          </w:p>
        </w:tc>
        <w:tc>
          <w:tcPr>
            <w:tcW w:w="1090"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33.2%</w:t>
            </w:r>
          </w:p>
        </w:tc>
        <w:tc>
          <w:tcPr>
            <w:tcW w:w="988"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0.7%</w:t>
            </w:r>
          </w:p>
        </w:tc>
        <w:tc>
          <w:tcPr>
            <w:tcW w:w="874"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0.5%</w:t>
            </w:r>
          </w:p>
        </w:tc>
        <w:tc>
          <w:tcPr>
            <w:tcW w:w="960" w:type="dxa"/>
            <w:tcBorders>
              <w:top w:val="nil"/>
              <w:left w:val="nil"/>
              <w:bottom w:val="single" w:sz="4" w:space="0" w:color="auto"/>
              <w:right w:val="single" w:sz="4" w:space="0" w:color="auto"/>
            </w:tcBorders>
            <w:shd w:val="clear" w:color="auto" w:fill="auto"/>
            <w:noWrap/>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1.0%</w:t>
            </w:r>
          </w:p>
        </w:tc>
        <w:tc>
          <w:tcPr>
            <w:tcW w:w="997"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34400</w:t>
            </w:r>
          </w:p>
        </w:tc>
      </w:tr>
      <w:tr w:rsidR="00660AB8" w:rsidRPr="00DC45B2" w:rsidTr="009A1ABE">
        <w:trPr>
          <w:trHeight w:val="300"/>
        </w:trPr>
        <w:tc>
          <w:tcPr>
            <w:tcW w:w="1842" w:type="dxa"/>
            <w:tcBorders>
              <w:top w:val="nil"/>
              <w:left w:val="single" w:sz="4" w:space="0" w:color="auto"/>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rPr>
                <w:rFonts w:eastAsia="Times New Roman" w:cs="Calibri"/>
                <w:color w:val="000000"/>
              </w:rPr>
            </w:pPr>
            <w:r w:rsidRPr="00DC45B2">
              <w:rPr>
                <w:rFonts w:eastAsia="Times New Roman" w:cs="Calibri"/>
                <w:color w:val="000000"/>
              </w:rPr>
              <w:t>Hawaii</w:t>
            </w:r>
          </w:p>
        </w:tc>
        <w:tc>
          <w:tcPr>
            <w:tcW w:w="1129"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22.3%</w:t>
            </w:r>
          </w:p>
        </w:tc>
        <w:tc>
          <w:tcPr>
            <w:tcW w:w="1090"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0.6%</w:t>
            </w:r>
          </w:p>
        </w:tc>
        <w:tc>
          <w:tcPr>
            <w:tcW w:w="988"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2.4%</w:t>
            </w:r>
          </w:p>
        </w:tc>
        <w:tc>
          <w:tcPr>
            <w:tcW w:w="874"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65.2%</w:t>
            </w:r>
          </w:p>
        </w:tc>
        <w:tc>
          <w:tcPr>
            <w:tcW w:w="960" w:type="dxa"/>
            <w:tcBorders>
              <w:top w:val="nil"/>
              <w:left w:val="nil"/>
              <w:bottom w:val="single" w:sz="4" w:space="0" w:color="auto"/>
              <w:right w:val="single" w:sz="4" w:space="0" w:color="auto"/>
            </w:tcBorders>
            <w:shd w:val="clear" w:color="auto" w:fill="auto"/>
            <w:noWrap/>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9.6%</w:t>
            </w:r>
          </w:p>
        </w:tc>
        <w:tc>
          <w:tcPr>
            <w:tcW w:w="997"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3789</w:t>
            </w:r>
          </w:p>
        </w:tc>
      </w:tr>
      <w:tr w:rsidR="00660AB8" w:rsidRPr="00DC45B2" w:rsidTr="009A1ABE">
        <w:trPr>
          <w:trHeight w:val="300"/>
        </w:trPr>
        <w:tc>
          <w:tcPr>
            <w:tcW w:w="1842" w:type="dxa"/>
            <w:tcBorders>
              <w:top w:val="nil"/>
              <w:left w:val="single" w:sz="4" w:space="0" w:color="auto"/>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rPr>
                <w:rFonts w:eastAsia="Times New Roman" w:cs="Calibri"/>
                <w:color w:val="000000"/>
              </w:rPr>
            </w:pPr>
            <w:r w:rsidRPr="00DC45B2">
              <w:rPr>
                <w:rFonts w:eastAsia="Times New Roman" w:cs="Calibri"/>
                <w:color w:val="000000"/>
              </w:rPr>
              <w:t>Idaho</w:t>
            </w:r>
          </w:p>
        </w:tc>
        <w:tc>
          <w:tcPr>
            <w:tcW w:w="1129"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94.2%</w:t>
            </w:r>
          </w:p>
        </w:tc>
        <w:tc>
          <w:tcPr>
            <w:tcW w:w="1090"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0.2%</w:t>
            </w:r>
          </w:p>
        </w:tc>
        <w:tc>
          <w:tcPr>
            <w:tcW w:w="988"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2.1%</w:t>
            </w:r>
          </w:p>
        </w:tc>
        <w:tc>
          <w:tcPr>
            <w:tcW w:w="874"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0.5%</w:t>
            </w:r>
          </w:p>
        </w:tc>
        <w:tc>
          <w:tcPr>
            <w:tcW w:w="960" w:type="dxa"/>
            <w:tcBorders>
              <w:top w:val="nil"/>
              <w:left w:val="nil"/>
              <w:bottom w:val="single" w:sz="4" w:space="0" w:color="auto"/>
              <w:right w:val="single" w:sz="4" w:space="0" w:color="auto"/>
            </w:tcBorders>
            <w:shd w:val="clear" w:color="auto" w:fill="auto"/>
            <w:noWrap/>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3.0%</w:t>
            </w:r>
          </w:p>
        </w:tc>
        <w:tc>
          <w:tcPr>
            <w:tcW w:w="997"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4001</w:t>
            </w:r>
          </w:p>
        </w:tc>
      </w:tr>
      <w:tr w:rsidR="00660AB8" w:rsidRPr="00DC45B2" w:rsidTr="009A1ABE">
        <w:trPr>
          <w:trHeight w:val="300"/>
        </w:trPr>
        <w:tc>
          <w:tcPr>
            <w:tcW w:w="1842" w:type="dxa"/>
            <w:tcBorders>
              <w:top w:val="nil"/>
              <w:left w:val="single" w:sz="4" w:space="0" w:color="auto"/>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rPr>
                <w:rFonts w:eastAsia="Times New Roman" w:cs="Calibri"/>
                <w:color w:val="000000"/>
              </w:rPr>
            </w:pPr>
            <w:r w:rsidRPr="00DC45B2">
              <w:rPr>
                <w:rFonts w:eastAsia="Times New Roman" w:cs="Calibri"/>
                <w:color w:val="000000"/>
              </w:rPr>
              <w:t>Illinois</w:t>
            </w:r>
          </w:p>
        </w:tc>
        <w:tc>
          <w:tcPr>
            <w:tcW w:w="1129"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75.7%</w:t>
            </w:r>
          </w:p>
        </w:tc>
        <w:tc>
          <w:tcPr>
            <w:tcW w:w="1090"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17.4%</w:t>
            </w:r>
          </w:p>
        </w:tc>
        <w:tc>
          <w:tcPr>
            <w:tcW w:w="988"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3.6%</w:t>
            </w:r>
          </w:p>
        </w:tc>
        <w:tc>
          <w:tcPr>
            <w:tcW w:w="874"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1.8%</w:t>
            </w:r>
          </w:p>
        </w:tc>
        <w:tc>
          <w:tcPr>
            <w:tcW w:w="960" w:type="dxa"/>
            <w:tcBorders>
              <w:top w:val="nil"/>
              <w:left w:val="nil"/>
              <w:bottom w:val="single" w:sz="4" w:space="0" w:color="auto"/>
              <w:right w:val="single" w:sz="4" w:space="0" w:color="auto"/>
            </w:tcBorders>
            <w:shd w:val="clear" w:color="auto" w:fill="auto"/>
            <w:noWrap/>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1.5%</w:t>
            </w:r>
          </w:p>
        </w:tc>
        <w:tc>
          <w:tcPr>
            <w:tcW w:w="997"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74961</w:t>
            </w:r>
          </w:p>
        </w:tc>
      </w:tr>
      <w:tr w:rsidR="00660AB8" w:rsidRPr="00DC45B2" w:rsidTr="009A1ABE">
        <w:trPr>
          <w:trHeight w:val="300"/>
        </w:trPr>
        <w:tc>
          <w:tcPr>
            <w:tcW w:w="1842" w:type="dxa"/>
            <w:tcBorders>
              <w:top w:val="nil"/>
              <w:left w:val="single" w:sz="4" w:space="0" w:color="auto"/>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rPr>
                <w:rFonts w:eastAsia="Times New Roman" w:cs="Calibri"/>
                <w:color w:val="000000"/>
              </w:rPr>
            </w:pPr>
            <w:r w:rsidRPr="00DC45B2">
              <w:rPr>
                <w:rFonts w:eastAsia="Times New Roman" w:cs="Calibri"/>
                <w:color w:val="000000"/>
              </w:rPr>
              <w:t>Indiana</w:t>
            </w:r>
          </w:p>
        </w:tc>
        <w:tc>
          <w:tcPr>
            <w:tcW w:w="1129"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89.6%</w:t>
            </w:r>
          </w:p>
        </w:tc>
        <w:tc>
          <w:tcPr>
            <w:tcW w:w="1090"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7.9%</w:t>
            </w:r>
          </w:p>
        </w:tc>
        <w:tc>
          <w:tcPr>
            <w:tcW w:w="988"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0.8%</w:t>
            </w:r>
          </w:p>
        </w:tc>
        <w:tc>
          <w:tcPr>
            <w:tcW w:w="874"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0.2%</w:t>
            </w:r>
          </w:p>
        </w:tc>
        <w:tc>
          <w:tcPr>
            <w:tcW w:w="960" w:type="dxa"/>
            <w:tcBorders>
              <w:top w:val="nil"/>
              <w:left w:val="nil"/>
              <w:bottom w:val="single" w:sz="4" w:space="0" w:color="auto"/>
              <w:right w:val="single" w:sz="4" w:space="0" w:color="auto"/>
            </w:tcBorders>
            <w:shd w:val="clear" w:color="auto" w:fill="auto"/>
            <w:noWrap/>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1.5%</w:t>
            </w:r>
          </w:p>
        </w:tc>
        <w:tc>
          <w:tcPr>
            <w:tcW w:w="997"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40014</w:t>
            </w:r>
          </w:p>
        </w:tc>
      </w:tr>
      <w:tr w:rsidR="00660AB8" w:rsidRPr="00DC45B2" w:rsidTr="009A1ABE">
        <w:trPr>
          <w:trHeight w:val="300"/>
        </w:trPr>
        <w:tc>
          <w:tcPr>
            <w:tcW w:w="1842" w:type="dxa"/>
            <w:tcBorders>
              <w:top w:val="nil"/>
              <w:left w:val="single" w:sz="4" w:space="0" w:color="auto"/>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rPr>
                <w:rFonts w:eastAsia="Times New Roman" w:cs="Calibri"/>
                <w:color w:val="000000"/>
              </w:rPr>
            </w:pPr>
            <w:r w:rsidRPr="00DC45B2">
              <w:rPr>
                <w:rFonts w:eastAsia="Times New Roman" w:cs="Calibri"/>
                <w:color w:val="000000"/>
              </w:rPr>
              <w:t>Iowa</w:t>
            </w:r>
          </w:p>
        </w:tc>
        <w:tc>
          <w:tcPr>
            <w:tcW w:w="1129"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96.9%</w:t>
            </w:r>
          </w:p>
        </w:tc>
        <w:tc>
          <w:tcPr>
            <w:tcW w:w="1090"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1.3%</w:t>
            </w:r>
          </w:p>
        </w:tc>
        <w:tc>
          <w:tcPr>
            <w:tcW w:w="988"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0.4%</w:t>
            </w:r>
          </w:p>
        </w:tc>
        <w:tc>
          <w:tcPr>
            <w:tcW w:w="874"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0.2%</w:t>
            </w:r>
          </w:p>
        </w:tc>
        <w:tc>
          <w:tcPr>
            <w:tcW w:w="960" w:type="dxa"/>
            <w:tcBorders>
              <w:top w:val="nil"/>
              <w:left w:val="nil"/>
              <w:bottom w:val="single" w:sz="4" w:space="0" w:color="auto"/>
              <w:right w:val="single" w:sz="4" w:space="0" w:color="auto"/>
            </w:tcBorders>
            <w:shd w:val="clear" w:color="auto" w:fill="auto"/>
            <w:noWrap/>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1.2%</w:t>
            </w:r>
          </w:p>
        </w:tc>
        <w:tc>
          <w:tcPr>
            <w:tcW w:w="997"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25224</w:t>
            </w:r>
          </w:p>
        </w:tc>
      </w:tr>
      <w:tr w:rsidR="00660AB8" w:rsidRPr="00DC45B2" w:rsidTr="009A1ABE">
        <w:trPr>
          <w:trHeight w:val="300"/>
        </w:trPr>
        <w:tc>
          <w:tcPr>
            <w:tcW w:w="1842" w:type="dxa"/>
            <w:tcBorders>
              <w:top w:val="nil"/>
              <w:left w:val="single" w:sz="4" w:space="0" w:color="auto"/>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rPr>
                <w:rFonts w:eastAsia="Times New Roman" w:cs="Calibri"/>
                <w:color w:val="000000"/>
              </w:rPr>
            </w:pPr>
            <w:r w:rsidRPr="00DC45B2">
              <w:rPr>
                <w:rFonts w:eastAsia="Times New Roman" w:cs="Calibri"/>
                <w:color w:val="000000"/>
              </w:rPr>
              <w:t>Kansas</w:t>
            </w:r>
          </w:p>
        </w:tc>
        <w:tc>
          <w:tcPr>
            <w:tcW w:w="1129"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91.3%</w:t>
            </w:r>
          </w:p>
        </w:tc>
        <w:tc>
          <w:tcPr>
            <w:tcW w:w="1090"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4.8%</w:t>
            </w:r>
          </w:p>
        </w:tc>
        <w:tc>
          <w:tcPr>
            <w:tcW w:w="988"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1.7%</w:t>
            </w:r>
          </w:p>
        </w:tc>
        <w:tc>
          <w:tcPr>
            <w:tcW w:w="874"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0.4%</w:t>
            </w:r>
          </w:p>
        </w:tc>
        <w:tc>
          <w:tcPr>
            <w:tcW w:w="960" w:type="dxa"/>
            <w:tcBorders>
              <w:top w:val="nil"/>
              <w:left w:val="nil"/>
              <w:bottom w:val="single" w:sz="4" w:space="0" w:color="auto"/>
              <w:right w:val="single" w:sz="4" w:space="0" w:color="auto"/>
            </w:tcBorders>
            <w:shd w:val="clear" w:color="auto" w:fill="auto"/>
            <w:noWrap/>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1.8%</w:t>
            </w:r>
          </w:p>
        </w:tc>
        <w:tc>
          <w:tcPr>
            <w:tcW w:w="997"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18734</w:t>
            </w:r>
          </w:p>
        </w:tc>
      </w:tr>
      <w:tr w:rsidR="00660AB8" w:rsidRPr="00DC45B2" w:rsidTr="009A1ABE">
        <w:trPr>
          <w:trHeight w:val="300"/>
        </w:trPr>
        <w:tc>
          <w:tcPr>
            <w:tcW w:w="1842" w:type="dxa"/>
            <w:tcBorders>
              <w:top w:val="nil"/>
              <w:left w:val="single" w:sz="4" w:space="0" w:color="auto"/>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rPr>
                <w:rFonts w:eastAsia="Times New Roman" w:cs="Calibri"/>
                <w:color w:val="000000"/>
              </w:rPr>
            </w:pPr>
            <w:r w:rsidRPr="00DC45B2">
              <w:rPr>
                <w:rFonts w:eastAsia="Times New Roman" w:cs="Calibri"/>
                <w:color w:val="000000"/>
              </w:rPr>
              <w:t>Kentucky</w:t>
            </w:r>
          </w:p>
        </w:tc>
        <w:tc>
          <w:tcPr>
            <w:tcW w:w="1129"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90.4%</w:t>
            </w:r>
          </w:p>
        </w:tc>
        <w:tc>
          <w:tcPr>
            <w:tcW w:w="1090"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8.0%</w:t>
            </w:r>
          </w:p>
        </w:tc>
        <w:tc>
          <w:tcPr>
            <w:tcW w:w="988"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0.2%</w:t>
            </w:r>
          </w:p>
        </w:tc>
        <w:tc>
          <w:tcPr>
            <w:tcW w:w="874"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0.2%</w:t>
            </w:r>
          </w:p>
        </w:tc>
        <w:tc>
          <w:tcPr>
            <w:tcW w:w="960" w:type="dxa"/>
            <w:tcBorders>
              <w:top w:val="nil"/>
              <w:left w:val="nil"/>
              <w:bottom w:val="single" w:sz="4" w:space="0" w:color="auto"/>
              <w:right w:val="single" w:sz="4" w:space="0" w:color="auto"/>
            </w:tcBorders>
            <w:shd w:val="clear" w:color="auto" w:fill="auto"/>
            <w:noWrap/>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1.2%</w:t>
            </w:r>
          </w:p>
        </w:tc>
        <w:tc>
          <w:tcPr>
            <w:tcW w:w="997"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23440</w:t>
            </w:r>
          </w:p>
        </w:tc>
      </w:tr>
      <w:tr w:rsidR="00660AB8" w:rsidRPr="00DC45B2" w:rsidTr="009A1ABE">
        <w:trPr>
          <w:trHeight w:val="300"/>
        </w:trPr>
        <w:tc>
          <w:tcPr>
            <w:tcW w:w="1842" w:type="dxa"/>
            <w:tcBorders>
              <w:top w:val="nil"/>
              <w:left w:val="single" w:sz="4" w:space="0" w:color="auto"/>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rPr>
                <w:rFonts w:eastAsia="Times New Roman" w:cs="Calibri"/>
                <w:color w:val="000000"/>
              </w:rPr>
            </w:pPr>
            <w:r w:rsidRPr="00DC45B2">
              <w:rPr>
                <w:rFonts w:eastAsia="Times New Roman" w:cs="Calibri"/>
                <w:color w:val="000000"/>
              </w:rPr>
              <w:t>Louisiana</w:t>
            </w:r>
          </w:p>
        </w:tc>
        <w:tc>
          <w:tcPr>
            <w:tcW w:w="1129"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68.0%</w:t>
            </w:r>
          </w:p>
        </w:tc>
        <w:tc>
          <w:tcPr>
            <w:tcW w:w="1090"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28.7%</w:t>
            </w:r>
          </w:p>
        </w:tc>
        <w:tc>
          <w:tcPr>
            <w:tcW w:w="988"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0.7%</w:t>
            </w:r>
          </w:p>
        </w:tc>
        <w:tc>
          <w:tcPr>
            <w:tcW w:w="874"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0.3%</w:t>
            </w:r>
          </w:p>
        </w:tc>
        <w:tc>
          <w:tcPr>
            <w:tcW w:w="960" w:type="dxa"/>
            <w:tcBorders>
              <w:top w:val="nil"/>
              <w:left w:val="nil"/>
              <w:bottom w:val="single" w:sz="4" w:space="0" w:color="auto"/>
              <w:right w:val="single" w:sz="4" w:space="0" w:color="auto"/>
            </w:tcBorders>
            <w:shd w:val="clear" w:color="auto" w:fill="auto"/>
            <w:noWrap/>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2.3%</w:t>
            </w:r>
          </w:p>
        </w:tc>
        <w:tc>
          <w:tcPr>
            <w:tcW w:w="997"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25967</w:t>
            </w:r>
          </w:p>
        </w:tc>
      </w:tr>
      <w:tr w:rsidR="00660AB8" w:rsidRPr="00DC45B2" w:rsidTr="009A1ABE">
        <w:trPr>
          <w:trHeight w:val="300"/>
        </w:trPr>
        <w:tc>
          <w:tcPr>
            <w:tcW w:w="1842" w:type="dxa"/>
            <w:tcBorders>
              <w:top w:val="nil"/>
              <w:left w:val="single" w:sz="4" w:space="0" w:color="auto"/>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rPr>
                <w:rFonts w:eastAsia="Times New Roman" w:cs="Calibri"/>
                <w:color w:val="000000"/>
              </w:rPr>
            </w:pPr>
            <w:r w:rsidRPr="00DC45B2">
              <w:rPr>
                <w:rFonts w:eastAsia="Times New Roman" w:cs="Calibri"/>
                <w:color w:val="000000"/>
              </w:rPr>
              <w:t>Maine</w:t>
            </w:r>
          </w:p>
        </w:tc>
        <w:tc>
          <w:tcPr>
            <w:tcW w:w="1129"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97.0%</w:t>
            </w:r>
          </w:p>
        </w:tc>
        <w:tc>
          <w:tcPr>
            <w:tcW w:w="1090"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0.3%</w:t>
            </w:r>
          </w:p>
        </w:tc>
        <w:tc>
          <w:tcPr>
            <w:tcW w:w="988"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0.2%</w:t>
            </w:r>
          </w:p>
        </w:tc>
        <w:tc>
          <w:tcPr>
            <w:tcW w:w="874"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0.1%</w:t>
            </w:r>
          </w:p>
        </w:tc>
        <w:tc>
          <w:tcPr>
            <w:tcW w:w="960" w:type="dxa"/>
            <w:tcBorders>
              <w:top w:val="nil"/>
              <w:left w:val="nil"/>
              <w:bottom w:val="single" w:sz="4" w:space="0" w:color="auto"/>
              <w:right w:val="single" w:sz="4" w:space="0" w:color="auto"/>
            </w:tcBorders>
            <w:shd w:val="clear" w:color="auto" w:fill="auto"/>
            <w:noWrap/>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2.4%</w:t>
            </w:r>
          </w:p>
        </w:tc>
        <w:tc>
          <w:tcPr>
            <w:tcW w:w="997"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6414</w:t>
            </w:r>
          </w:p>
        </w:tc>
      </w:tr>
      <w:tr w:rsidR="00660AB8" w:rsidRPr="00DC45B2" w:rsidTr="009A1ABE">
        <w:trPr>
          <w:trHeight w:val="300"/>
        </w:trPr>
        <w:tc>
          <w:tcPr>
            <w:tcW w:w="1842" w:type="dxa"/>
            <w:tcBorders>
              <w:top w:val="nil"/>
              <w:left w:val="single" w:sz="4" w:space="0" w:color="auto"/>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rPr>
                <w:rFonts w:eastAsia="Times New Roman" w:cs="Calibri"/>
                <w:color w:val="000000"/>
              </w:rPr>
            </w:pPr>
            <w:r w:rsidRPr="00DC45B2">
              <w:rPr>
                <w:rFonts w:eastAsia="Times New Roman" w:cs="Calibri"/>
                <w:color w:val="000000"/>
              </w:rPr>
              <w:t>Maryland</w:t>
            </w:r>
          </w:p>
        </w:tc>
        <w:tc>
          <w:tcPr>
            <w:tcW w:w="1129"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60.5%</w:t>
            </w:r>
          </w:p>
        </w:tc>
        <w:tc>
          <w:tcPr>
            <w:tcW w:w="1090"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31.9%</w:t>
            </w:r>
          </w:p>
        </w:tc>
        <w:tc>
          <w:tcPr>
            <w:tcW w:w="988"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1.1%</w:t>
            </w:r>
          </w:p>
        </w:tc>
        <w:tc>
          <w:tcPr>
            <w:tcW w:w="874"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1.7%</w:t>
            </w:r>
          </w:p>
        </w:tc>
        <w:tc>
          <w:tcPr>
            <w:tcW w:w="960" w:type="dxa"/>
            <w:tcBorders>
              <w:top w:val="nil"/>
              <w:left w:val="nil"/>
              <w:bottom w:val="single" w:sz="4" w:space="0" w:color="auto"/>
              <w:right w:val="single" w:sz="4" w:space="0" w:color="auto"/>
            </w:tcBorders>
            <w:shd w:val="clear" w:color="auto" w:fill="auto"/>
            <w:noWrap/>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4.9%</w:t>
            </w:r>
          </w:p>
        </w:tc>
        <w:tc>
          <w:tcPr>
            <w:tcW w:w="997" w:type="dxa"/>
            <w:tcBorders>
              <w:top w:val="nil"/>
              <w:left w:val="nil"/>
              <w:bottom w:val="single" w:sz="4" w:space="0" w:color="auto"/>
              <w:right w:val="single" w:sz="4" w:space="0" w:color="auto"/>
            </w:tcBorders>
            <w:shd w:val="clear" w:color="auto" w:fill="auto"/>
            <w:vAlign w:val="center"/>
            <w:hideMark/>
          </w:tcPr>
          <w:p w:rsidR="00660AB8" w:rsidRPr="00DC45B2" w:rsidRDefault="00660AB8" w:rsidP="003F0347">
            <w:pPr>
              <w:spacing w:after="0" w:line="240" w:lineRule="auto"/>
              <w:jc w:val="right"/>
              <w:rPr>
                <w:rFonts w:eastAsia="Times New Roman" w:cs="Calibri"/>
                <w:color w:val="000000"/>
              </w:rPr>
            </w:pPr>
            <w:r w:rsidRPr="00DC45B2">
              <w:rPr>
                <w:rFonts w:eastAsia="Times New Roman" w:cs="Calibri"/>
                <w:color w:val="000000"/>
              </w:rPr>
              <w:t>25355</w:t>
            </w:r>
          </w:p>
        </w:tc>
      </w:tr>
      <w:tr w:rsidR="009A1ABE" w:rsidRPr="00DC45B2" w:rsidTr="009A1ABE">
        <w:trPr>
          <w:trHeight w:val="300"/>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rPr>
                <w:rFonts w:eastAsia="Times New Roman" w:cs="Calibri"/>
                <w:color w:val="000000"/>
              </w:rPr>
            </w:pPr>
            <w:r w:rsidRPr="00DC45B2">
              <w:rPr>
                <w:rFonts w:eastAsia="Times New Roman" w:cs="Calibri"/>
                <w:color w:val="000000"/>
              </w:rPr>
              <w:t>Massachusetts</w:t>
            </w:r>
          </w:p>
        </w:tc>
        <w:tc>
          <w:tcPr>
            <w:tcW w:w="1129" w:type="dxa"/>
            <w:tcBorders>
              <w:top w:val="single" w:sz="4" w:space="0" w:color="auto"/>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87.9%</w:t>
            </w:r>
          </w:p>
        </w:tc>
        <w:tc>
          <w:tcPr>
            <w:tcW w:w="1090" w:type="dxa"/>
            <w:tcBorders>
              <w:top w:val="single" w:sz="4" w:space="0" w:color="auto"/>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5.0%</w:t>
            </w:r>
          </w:p>
        </w:tc>
        <w:tc>
          <w:tcPr>
            <w:tcW w:w="988" w:type="dxa"/>
            <w:tcBorders>
              <w:top w:val="single" w:sz="4" w:space="0" w:color="auto"/>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2.7%</w:t>
            </w:r>
          </w:p>
        </w:tc>
        <w:tc>
          <w:tcPr>
            <w:tcW w:w="874" w:type="dxa"/>
            <w:tcBorders>
              <w:top w:val="single" w:sz="4" w:space="0" w:color="auto"/>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1.3%</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3.2%</w:t>
            </w:r>
          </w:p>
        </w:tc>
        <w:tc>
          <w:tcPr>
            <w:tcW w:w="997" w:type="dxa"/>
            <w:tcBorders>
              <w:top w:val="single" w:sz="4" w:space="0" w:color="auto"/>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43027</w:t>
            </w:r>
          </w:p>
        </w:tc>
      </w:tr>
      <w:tr w:rsidR="009A1ABE" w:rsidRPr="00DC45B2" w:rsidTr="009A1ABE">
        <w:trPr>
          <w:trHeight w:val="300"/>
        </w:trPr>
        <w:tc>
          <w:tcPr>
            <w:tcW w:w="1842" w:type="dxa"/>
            <w:tcBorders>
              <w:top w:val="nil"/>
              <w:left w:val="single" w:sz="4" w:space="0" w:color="auto"/>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rPr>
                <w:rFonts w:eastAsia="Times New Roman" w:cs="Calibri"/>
                <w:color w:val="000000"/>
              </w:rPr>
            </w:pPr>
            <w:r w:rsidRPr="00DC45B2">
              <w:rPr>
                <w:rFonts w:eastAsia="Times New Roman" w:cs="Calibri"/>
                <w:color w:val="000000"/>
              </w:rPr>
              <w:t>Michigan</w:t>
            </w:r>
          </w:p>
        </w:tc>
        <w:tc>
          <w:tcPr>
            <w:tcW w:w="1129" w:type="dxa"/>
            <w:tcBorders>
              <w:top w:val="nil"/>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79.7%</w:t>
            </w:r>
          </w:p>
        </w:tc>
        <w:tc>
          <w:tcPr>
            <w:tcW w:w="1090" w:type="dxa"/>
            <w:tcBorders>
              <w:top w:val="nil"/>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16.2%</w:t>
            </w:r>
          </w:p>
        </w:tc>
        <w:tc>
          <w:tcPr>
            <w:tcW w:w="988" w:type="dxa"/>
            <w:tcBorders>
              <w:top w:val="nil"/>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0.9%</w:t>
            </w:r>
          </w:p>
        </w:tc>
        <w:tc>
          <w:tcPr>
            <w:tcW w:w="874" w:type="dxa"/>
            <w:tcBorders>
              <w:top w:val="nil"/>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0.4%</w:t>
            </w:r>
          </w:p>
        </w:tc>
        <w:tc>
          <w:tcPr>
            <w:tcW w:w="960" w:type="dxa"/>
            <w:tcBorders>
              <w:top w:val="nil"/>
              <w:left w:val="nil"/>
              <w:bottom w:val="single" w:sz="4" w:space="0" w:color="auto"/>
              <w:right w:val="single" w:sz="4" w:space="0" w:color="auto"/>
            </w:tcBorders>
            <w:shd w:val="clear" w:color="auto" w:fill="auto"/>
            <w:noWrap/>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2.9%</w:t>
            </w:r>
          </w:p>
        </w:tc>
        <w:tc>
          <w:tcPr>
            <w:tcW w:w="997" w:type="dxa"/>
            <w:tcBorders>
              <w:top w:val="nil"/>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41261</w:t>
            </w:r>
          </w:p>
        </w:tc>
      </w:tr>
      <w:tr w:rsidR="009A1ABE" w:rsidRPr="00DC45B2" w:rsidTr="009A1ABE">
        <w:trPr>
          <w:trHeight w:val="300"/>
        </w:trPr>
        <w:tc>
          <w:tcPr>
            <w:tcW w:w="1842" w:type="dxa"/>
            <w:tcBorders>
              <w:top w:val="nil"/>
              <w:left w:val="single" w:sz="4" w:space="0" w:color="auto"/>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rPr>
                <w:rFonts w:eastAsia="Times New Roman" w:cs="Calibri"/>
                <w:color w:val="000000"/>
              </w:rPr>
            </w:pPr>
            <w:r w:rsidRPr="00DC45B2">
              <w:rPr>
                <w:rFonts w:eastAsia="Times New Roman" w:cs="Calibri"/>
                <w:color w:val="000000"/>
              </w:rPr>
              <w:t>Minnesota</w:t>
            </w:r>
          </w:p>
        </w:tc>
        <w:tc>
          <w:tcPr>
            <w:tcW w:w="1129" w:type="dxa"/>
            <w:tcBorders>
              <w:top w:val="nil"/>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92.2%</w:t>
            </w:r>
          </w:p>
        </w:tc>
        <w:tc>
          <w:tcPr>
            <w:tcW w:w="1090" w:type="dxa"/>
            <w:tcBorders>
              <w:top w:val="nil"/>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2.7%</w:t>
            </w:r>
          </w:p>
        </w:tc>
        <w:tc>
          <w:tcPr>
            <w:tcW w:w="988" w:type="dxa"/>
            <w:tcBorders>
              <w:top w:val="nil"/>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0.6%</w:t>
            </w:r>
          </w:p>
        </w:tc>
        <w:tc>
          <w:tcPr>
            <w:tcW w:w="874" w:type="dxa"/>
            <w:tcBorders>
              <w:top w:val="nil"/>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0.6%</w:t>
            </w:r>
          </w:p>
        </w:tc>
        <w:tc>
          <w:tcPr>
            <w:tcW w:w="960" w:type="dxa"/>
            <w:tcBorders>
              <w:top w:val="nil"/>
              <w:left w:val="nil"/>
              <w:bottom w:val="single" w:sz="4" w:space="0" w:color="auto"/>
              <w:right w:val="single" w:sz="4" w:space="0" w:color="auto"/>
            </w:tcBorders>
            <w:shd w:val="clear" w:color="auto" w:fill="auto"/>
            <w:noWrap/>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3.9%</w:t>
            </w:r>
          </w:p>
        </w:tc>
        <w:tc>
          <w:tcPr>
            <w:tcW w:w="997" w:type="dxa"/>
            <w:tcBorders>
              <w:top w:val="nil"/>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27429</w:t>
            </w:r>
          </w:p>
        </w:tc>
      </w:tr>
      <w:tr w:rsidR="009A1ABE" w:rsidRPr="00DC45B2" w:rsidTr="009A1ABE">
        <w:trPr>
          <w:trHeight w:val="300"/>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rPr>
                <w:rFonts w:eastAsia="Times New Roman" w:cs="Calibri"/>
                <w:color w:val="000000"/>
              </w:rPr>
            </w:pPr>
            <w:r w:rsidRPr="00DC45B2">
              <w:rPr>
                <w:rFonts w:eastAsia="Times New Roman" w:cs="Calibri"/>
                <w:color w:val="000000"/>
              </w:rPr>
              <w:t>Mississippi</w:t>
            </w:r>
          </w:p>
        </w:tc>
        <w:tc>
          <w:tcPr>
            <w:tcW w:w="1129" w:type="dxa"/>
            <w:tcBorders>
              <w:top w:val="single" w:sz="4" w:space="0" w:color="auto"/>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63.6%</w:t>
            </w:r>
          </w:p>
        </w:tc>
        <w:tc>
          <w:tcPr>
            <w:tcW w:w="1090" w:type="dxa"/>
            <w:tcBorders>
              <w:top w:val="single" w:sz="4" w:space="0" w:color="auto"/>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34.7%</w:t>
            </w:r>
          </w:p>
        </w:tc>
        <w:tc>
          <w:tcPr>
            <w:tcW w:w="988" w:type="dxa"/>
            <w:tcBorders>
              <w:top w:val="single" w:sz="4" w:space="0" w:color="auto"/>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0.2%</w:t>
            </w:r>
          </w:p>
        </w:tc>
        <w:tc>
          <w:tcPr>
            <w:tcW w:w="874" w:type="dxa"/>
            <w:tcBorders>
              <w:top w:val="single" w:sz="4" w:space="0" w:color="auto"/>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0.2%</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1.4%</w:t>
            </w:r>
          </w:p>
        </w:tc>
        <w:tc>
          <w:tcPr>
            <w:tcW w:w="997" w:type="dxa"/>
            <w:tcBorders>
              <w:top w:val="single" w:sz="4" w:space="0" w:color="auto"/>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16099</w:t>
            </w:r>
          </w:p>
        </w:tc>
      </w:tr>
      <w:tr w:rsidR="009A1ABE" w:rsidRPr="00DC45B2" w:rsidTr="009A1ABE">
        <w:trPr>
          <w:trHeight w:val="300"/>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rPr>
                <w:rFonts w:eastAsia="Times New Roman" w:cs="Calibri"/>
                <w:color w:val="000000"/>
              </w:rPr>
            </w:pPr>
            <w:r w:rsidRPr="00DC45B2">
              <w:rPr>
                <w:rFonts w:eastAsia="Times New Roman" w:cs="Calibri"/>
                <w:color w:val="000000"/>
              </w:rPr>
              <w:t>Missouri</w:t>
            </w:r>
          </w:p>
        </w:tc>
        <w:tc>
          <w:tcPr>
            <w:tcW w:w="1129" w:type="dxa"/>
            <w:tcBorders>
              <w:top w:val="single" w:sz="4" w:space="0" w:color="auto"/>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86.8%</w:t>
            </w:r>
          </w:p>
        </w:tc>
        <w:tc>
          <w:tcPr>
            <w:tcW w:w="1090" w:type="dxa"/>
            <w:tcBorders>
              <w:top w:val="single" w:sz="4" w:space="0" w:color="auto"/>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11.3%</w:t>
            </w:r>
          </w:p>
        </w:tc>
        <w:tc>
          <w:tcPr>
            <w:tcW w:w="988" w:type="dxa"/>
            <w:tcBorders>
              <w:top w:val="single" w:sz="4" w:space="0" w:color="auto"/>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0.5%</w:t>
            </w:r>
          </w:p>
        </w:tc>
        <w:tc>
          <w:tcPr>
            <w:tcW w:w="874" w:type="dxa"/>
            <w:tcBorders>
              <w:top w:val="single" w:sz="4" w:space="0" w:color="auto"/>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0.3%</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1.1%</w:t>
            </w:r>
          </w:p>
        </w:tc>
        <w:tc>
          <w:tcPr>
            <w:tcW w:w="997" w:type="dxa"/>
            <w:tcBorders>
              <w:top w:val="single" w:sz="4" w:space="0" w:color="auto"/>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38362</w:t>
            </w:r>
          </w:p>
        </w:tc>
      </w:tr>
      <w:tr w:rsidR="009A1ABE" w:rsidRPr="00DC45B2" w:rsidTr="009A1ABE">
        <w:trPr>
          <w:trHeight w:val="300"/>
        </w:trPr>
        <w:tc>
          <w:tcPr>
            <w:tcW w:w="1842" w:type="dxa"/>
            <w:tcBorders>
              <w:top w:val="nil"/>
              <w:left w:val="single" w:sz="4" w:space="0" w:color="auto"/>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rPr>
                <w:rFonts w:eastAsia="Times New Roman" w:cs="Calibri"/>
                <w:color w:val="000000"/>
              </w:rPr>
            </w:pPr>
            <w:r w:rsidRPr="00DC45B2">
              <w:rPr>
                <w:rFonts w:eastAsia="Times New Roman" w:cs="Calibri"/>
                <w:color w:val="000000"/>
              </w:rPr>
              <w:t>Montana</w:t>
            </w:r>
          </w:p>
        </w:tc>
        <w:tc>
          <w:tcPr>
            <w:tcW w:w="1129" w:type="dxa"/>
            <w:tcBorders>
              <w:top w:val="nil"/>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87.2%</w:t>
            </w:r>
          </w:p>
        </w:tc>
        <w:tc>
          <w:tcPr>
            <w:tcW w:w="1090" w:type="dxa"/>
            <w:tcBorders>
              <w:top w:val="nil"/>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0.2%</w:t>
            </w:r>
          </w:p>
        </w:tc>
        <w:tc>
          <w:tcPr>
            <w:tcW w:w="988" w:type="dxa"/>
            <w:tcBorders>
              <w:top w:val="nil"/>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0.8%</w:t>
            </w:r>
          </w:p>
        </w:tc>
        <w:tc>
          <w:tcPr>
            <w:tcW w:w="874" w:type="dxa"/>
            <w:tcBorders>
              <w:top w:val="nil"/>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0.2%</w:t>
            </w:r>
          </w:p>
        </w:tc>
        <w:tc>
          <w:tcPr>
            <w:tcW w:w="960" w:type="dxa"/>
            <w:tcBorders>
              <w:top w:val="nil"/>
              <w:left w:val="nil"/>
              <w:bottom w:val="single" w:sz="4" w:space="0" w:color="auto"/>
              <w:right w:val="single" w:sz="4" w:space="0" w:color="auto"/>
            </w:tcBorders>
            <w:shd w:val="clear" w:color="auto" w:fill="auto"/>
            <w:noWrap/>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11.6%</w:t>
            </w:r>
          </w:p>
        </w:tc>
        <w:tc>
          <w:tcPr>
            <w:tcW w:w="997" w:type="dxa"/>
            <w:tcBorders>
              <w:top w:val="nil"/>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4769</w:t>
            </w:r>
          </w:p>
        </w:tc>
      </w:tr>
      <w:tr w:rsidR="009A1ABE" w:rsidRPr="00DC45B2" w:rsidTr="009A1ABE">
        <w:trPr>
          <w:trHeight w:val="300"/>
        </w:trPr>
        <w:tc>
          <w:tcPr>
            <w:tcW w:w="1842" w:type="dxa"/>
            <w:tcBorders>
              <w:top w:val="nil"/>
              <w:left w:val="single" w:sz="4" w:space="0" w:color="auto"/>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rPr>
                <w:rFonts w:eastAsia="Times New Roman" w:cs="Calibri"/>
                <w:color w:val="000000"/>
              </w:rPr>
            </w:pPr>
            <w:r w:rsidRPr="00DC45B2">
              <w:rPr>
                <w:rFonts w:eastAsia="Times New Roman" w:cs="Calibri"/>
                <w:color w:val="000000"/>
              </w:rPr>
              <w:t>Nebraska</w:t>
            </w:r>
          </w:p>
        </w:tc>
        <w:tc>
          <w:tcPr>
            <w:tcW w:w="1129" w:type="dxa"/>
            <w:tcBorders>
              <w:top w:val="nil"/>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91.6%</w:t>
            </w:r>
          </w:p>
        </w:tc>
        <w:tc>
          <w:tcPr>
            <w:tcW w:w="1090" w:type="dxa"/>
            <w:tcBorders>
              <w:top w:val="nil"/>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3.3%</w:t>
            </w:r>
          </w:p>
        </w:tc>
        <w:tc>
          <w:tcPr>
            <w:tcW w:w="988" w:type="dxa"/>
            <w:tcBorders>
              <w:top w:val="nil"/>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1.1%</w:t>
            </w:r>
          </w:p>
        </w:tc>
        <w:tc>
          <w:tcPr>
            <w:tcW w:w="874" w:type="dxa"/>
            <w:tcBorders>
              <w:top w:val="nil"/>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0.3%</w:t>
            </w:r>
          </w:p>
        </w:tc>
        <w:tc>
          <w:tcPr>
            <w:tcW w:w="960" w:type="dxa"/>
            <w:tcBorders>
              <w:top w:val="nil"/>
              <w:left w:val="nil"/>
              <w:bottom w:val="single" w:sz="4" w:space="0" w:color="auto"/>
              <w:right w:val="single" w:sz="4" w:space="0" w:color="auto"/>
            </w:tcBorders>
            <w:shd w:val="clear" w:color="auto" w:fill="auto"/>
            <w:noWrap/>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3.7%</w:t>
            </w:r>
          </w:p>
        </w:tc>
        <w:tc>
          <w:tcPr>
            <w:tcW w:w="997" w:type="dxa"/>
            <w:tcBorders>
              <w:top w:val="nil"/>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12336</w:t>
            </w:r>
          </w:p>
        </w:tc>
      </w:tr>
      <w:tr w:rsidR="009A1ABE" w:rsidRPr="00DC45B2" w:rsidTr="009A1ABE">
        <w:trPr>
          <w:trHeight w:val="300"/>
        </w:trPr>
        <w:tc>
          <w:tcPr>
            <w:tcW w:w="1842" w:type="dxa"/>
            <w:tcBorders>
              <w:top w:val="nil"/>
              <w:left w:val="single" w:sz="4" w:space="0" w:color="auto"/>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rPr>
                <w:rFonts w:eastAsia="Times New Roman" w:cs="Calibri"/>
                <w:color w:val="000000"/>
              </w:rPr>
            </w:pPr>
            <w:r w:rsidRPr="00DC45B2">
              <w:rPr>
                <w:rFonts w:eastAsia="Times New Roman" w:cs="Calibri"/>
                <w:color w:val="000000"/>
              </w:rPr>
              <w:t>Nevada</w:t>
            </w:r>
          </w:p>
        </w:tc>
        <w:tc>
          <w:tcPr>
            <w:tcW w:w="1129" w:type="dxa"/>
            <w:tcBorders>
              <w:top w:val="nil"/>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73.3%</w:t>
            </w:r>
          </w:p>
        </w:tc>
        <w:tc>
          <w:tcPr>
            <w:tcW w:w="1090" w:type="dxa"/>
            <w:tcBorders>
              <w:top w:val="nil"/>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9.9%</w:t>
            </w:r>
          </w:p>
        </w:tc>
        <w:tc>
          <w:tcPr>
            <w:tcW w:w="988" w:type="dxa"/>
            <w:tcBorders>
              <w:top w:val="nil"/>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6.0%</w:t>
            </w:r>
          </w:p>
        </w:tc>
        <w:tc>
          <w:tcPr>
            <w:tcW w:w="874" w:type="dxa"/>
            <w:tcBorders>
              <w:top w:val="nil"/>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3.8%</w:t>
            </w:r>
          </w:p>
        </w:tc>
        <w:tc>
          <w:tcPr>
            <w:tcW w:w="960" w:type="dxa"/>
            <w:tcBorders>
              <w:top w:val="nil"/>
              <w:left w:val="nil"/>
              <w:bottom w:val="single" w:sz="4" w:space="0" w:color="auto"/>
              <w:right w:val="single" w:sz="4" w:space="0" w:color="auto"/>
            </w:tcBorders>
            <w:shd w:val="clear" w:color="auto" w:fill="auto"/>
            <w:noWrap/>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7.0%</w:t>
            </w:r>
          </w:p>
        </w:tc>
        <w:tc>
          <w:tcPr>
            <w:tcW w:w="997" w:type="dxa"/>
            <w:tcBorders>
              <w:top w:val="nil"/>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4910</w:t>
            </w:r>
          </w:p>
        </w:tc>
      </w:tr>
      <w:tr w:rsidR="009A1ABE" w:rsidRPr="00DC45B2" w:rsidTr="009A1ABE">
        <w:trPr>
          <w:trHeight w:val="300"/>
        </w:trPr>
        <w:tc>
          <w:tcPr>
            <w:tcW w:w="1842" w:type="dxa"/>
            <w:tcBorders>
              <w:top w:val="nil"/>
              <w:left w:val="single" w:sz="4" w:space="0" w:color="auto"/>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rPr>
                <w:rFonts w:eastAsia="Times New Roman" w:cs="Calibri"/>
                <w:color w:val="000000"/>
              </w:rPr>
            </w:pPr>
            <w:r w:rsidRPr="00DC45B2">
              <w:rPr>
                <w:rFonts w:eastAsia="Times New Roman" w:cs="Calibri"/>
                <w:color w:val="000000"/>
              </w:rPr>
              <w:t>New Hampshire</w:t>
            </w:r>
          </w:p>
        </w:tc>
        <w:tc>
          <w:tcPr>
            <w:tcW w:w="1129" w:type="dxa"/>
            <w:tcBorders>
              <w:top w:val="nil"/>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98.8%</w:t>
            </w:r>
          </w:p>
        </w:tc>
        <w:tc>
          <w:tcPr>
            <w:tcW w:w="1090" w:type="dxa"/>
            <w:tcBorders>
              <w:top w:val="nil"/>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0.3%</w:t>
            </w:r>
          </w:p>
        </w:tc>
        <w:tc>
          <w:tcPr>
            <w:tcW w:w="988" w:type="dxa"/>
            <w:tcBorders>
              <w:top w:val="nil"/>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0.3%</w:t>
            </w:r>
          </w:p>
        </w:tc>
        <w:tc>
          <w:tcPr>
            <w:tcW w:w="874" w:type="dxa"/>
            <w:tcBorders>
              <w:top w:val="nil"/>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0.2%</w:t>
            </w:r>
          </w:p>
        </w:tc>
        <w:tc>
          <w:tcPr>
            <w:tcW w:w="960" w:type="dxa"/>
            <w:tcBorders>
              <w:top w:val="nil"/>
              <w:left w:val="nil"/>
              <w:bottom w:val="single" w:sz="4" w:space="0" w:color="auto"/>
              <w:right w:val="single" w:sz="4" w:space="0" w:color="auto"/>
            </w:tcBorders>
            <w:shd w:val="clear" w:color="auto" w:fill="auto"/>
            <w:noWrap/>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0.3%</w:t>
            </w:r>
          </w:p>
        </w:tc>
        <w:tc>
          <w:tcPr>
            <w:tcW w:w="997" w:type="dxa"/>
            <w:tcBorders>
              <w:top w:val="nil"/>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6959</w:t>
            </w:r>
          </w:p>
        </w:tc>
      </w:tr>
      <w:tr w:rsidR="009A1ABE" w:rsidRPr="00DC45B2" w:rsidTr="009A1ABE">
        <w:trPr>
          <w:trHeight w:val="300"/>
        </w:trPr>
        <w:tc>
          <w:tcPr>
            <w:tcW w:w="1842" w:type="dxa"/>
            <w:tcBorders>
              <w:top w:val="nil"/>
              <w:left w:val="single" w:sz="4" w:space="0" w:color="auto"/>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rPr>
                <w:rFonts w:eastAsia="Times New Roman" w:cs="Calibri"/>
                <w:color w:val="000000"/>
              </w:rPr>
            </w:pPr>
            <w:r w:rsidRPr="00DC45B2">
              <w:rPr>
                <w:rFonts w:eastAsia="Times New Roman" w:cs="Calibri"/>
                <w:color w:val="000000"/>
              </w:rPr>
              <w:t>New Jersey</w:t>
            </w:r>
          </w:p>
        </w:tc>
        <w:tc>
          <w:tcPr>
            <w:tcW w:w="1129" w:type="dxa"/>
            <w:tcBorders>
              <w:top w:val="nil"/>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70.9%</w:t>
            </w:r>
          </w:p>
        </w:tc>
        <w:tc>
          <w:tcPr>
            <w:tcW w:w="1090" w:type="dxa"/>
            <w:tcBorders>
              <w:top w:val="nil"/>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16.5%</w:t>
            </w:r>
          </w:p>
        </w:tc>
        <w:tc>
          <w:tcPr>
            <w:tcW w:w="988" w:type="dxa"/>
            <w:tcBorders>
              <w:top w:val="nil"/>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7.1%</w:t>
            </w:r>
          </w:p>
        </w:tc>
        <w:tc>
          <w:tcPr>
            <w:tcW w:w="874" w:type="dxa"/>
            <w:tcBorders>
              <w:top w:val="nil"/>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2.5%</w:t>
            </w:r>
          </w:p>
        </w:tc>
        <w:tc>
          <w:tcPr>
            <w:tcW w:w="960" w:type="dxa"/>
            <w:tcBorders>
              <w:top w:val="nil"/>
              <w:left w:val="nil"/>
              <w:bottom w:val="single" w:sz="4" w:space="0" w:color="auto"/>
              <w:right w:val="single" w:sz="4" w:space="0" w:color="auto"/>
            </w:tcBorders>
            <w:shd w:val="clear" w:color="auto" w:fill="auto"/>
            <w:noWrap/>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3.0%</w:t>
            </w:r>
          </w:p>
        </w:tc>
        <w:tc>
          <w:tcPr>
            <w:tcW w:w="997" w:type="dxa"/>
            <w:tcBorders>
              <w:top w:val="nil"/>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46618</w:t>
            </w:r>
          </w:p>
        </w:tc>
      </w:tr>
      <w:tr w:rsidR="009A1ABE" w:rsidRPr="00DC45B2" w:rsidTr="009A1ABE">
        <w:trPr>
          <w:trHeight w:val="300"/>
        </w:trPr>
        <w:tc>
          <w:tcPr>
            <w:tcW w:w="1842" w:type="dxa"/>
            <w:tcBorders>
              <w:top w:val="nil"/>
              <w:left w:val="single" w:sz="4" w:space="0" w:color="auto"/>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rPr>
                <w:rFonts w:eastAsia="Times New Roman" w:cs="Calibri"/>
                <w:color w:val="000000"/>
              </w:rPr>
            </w:pPr>
            <w:r w:rsidRPr="00DC45B2">
              <w:rPr>
                <w:rFonts w:eastAsia="Times New Roman" w:cs="Calibri"/>
                <w:color w:val="000000"/>
              </w:rPr>
              <w:t>New Mexico</w:t>
            </w:r>
          </w:p>
        </w:tc>
        <w:tc>
          <w:tcPr>
            <w:tcW w:w="1129" w:type="dxa"/>
            <w:tcBorders>
              <w:top w:val="nil"/>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55.2%</w:t>
            </w:r>
          </w:p>
        </w:tc>
        <w:tc>
          <w:tcPr>
            <w:tcW w:w="1090" w:type="dxa"/>
            <w:tcBorders>
              <w:top w:val="nil"/>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2.0%</w:t>
            </w:r>
          </w:p>
        </w:tc>
        <w:tc>
          <w:tcPr>
            <w:tcW w:w="988" w:type="dxa"/>
            <w:tcBorders>
              <w:top w:val="nil"/>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31.3%</w:t>
            </w:r>
          </w:p>
        </w:tc>
        <w:tc>
          <w:tcPr>
            <w:tcW w:w="874" w:type="dxa"/>
            <w:tcBorders>
              <w:top w:val="nil"/>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0.4%</w:t>
            </w:r>
          </w:p>
        </w:tc>
        <w:tc>
          <w:tcPr>
            <w:tcW w:w="960" w:type="dxa"/>
            <w:tcBorders>
              <w:top w:val="nil"/>
              <w:left w:val="nil"/>
              <w:bottom w:val="single" w:sz="4" w:space="0" w:color="auto"/>
              <w:right w:val="single" w:sz="4" w:space="0" w:color="auto"/>
            </w:tcBorders>
            <w:shd w:val="clear" w:color="auto" w:fill="auto"/>
            <w:noWrap/>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11.1%</w:t>
            </w:r>
          </w:p>
        </w:tc>
        <w:tc>
          <w:tcPr>
            <w:tcW w:w="997" w:type="dxa"/>
            <w:tcBorders>
              <w:top w:val="nil"/>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5970</w:t>
            </w:r>
          </w:p>
        </w:tc>
      </w:tr>
      <w:tr w:rsidR="009A1ABE" w:rsidRPr="00DC45B2" w:rsidTr="00634C88">
        <w:trPr>
          <w:trHeight w:val="300"/>
        </w:trPr>
        <w:tc>
          <w:tcPr>
            <w:tcW w:w="1842" w:type="dxa"/>
            <w:tcBorders>
              <w:top w:val="nil"/>
              <w:left w:val="single" w:sz="4" w:space="0" w:color="auto"/>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rPr>
                <w:rFonts w:eastAsia="Times New Roman" w:cs="Calibri"/>
                <w:color w:val="000000"/>
              </w:rPr>
            </w:pPr>
            <w:r w:rsidRPr="00DC45B2">
              <w:rPr>
                <w:rFonts w:eastAsia="Times New Roman" w:cs="Calibri"/>
                <w:color w:val="000000"/>
              </w:rPr>
              <w:t>New York</w:t>
            </w:r>
          </w:p>
        </w:tc>
        <w:tc>
          <w:tcPr>
            <w:tcW w:w="1129" w:type="dxa"/>
            <w:tcBorders>
              <w:top w:val="nil"/>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69.1%</w:t>
            </w:r>
          </w:p>
        </w:tc>
        <w:tc>
          <w:tcPr>
            <w:tcW w:w="1090" w:type="dxa"/>
            <w:tcBorders>
              <w:top w:val="nil"/>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18.3%</w:t>
            </w:r>
          </w:p>
        </w:tc>
        <w:tc>
          <w:tcPr>
            <w:tcW w:w="988" w:type="dxa"/>
            <w:tcBorders>
              <w:top w:val="nil"/>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8.5%</w:t>
            </w:r>
          </w:p>
        </w:tc>
        <w:tc>
          <w:tcPr>
            <w:tcW w:w="874" w:type="dxa"/>
            <w:tcBorders>
              <w:top w:val="nil"/>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2.4%</w:t>
            </w:r>
          </w:p>
        </w:tc>
        <w:tc>
          <w:tcPr>
            <w:tcW w:w="960" w:type="dxa"/>
            <w:tcBorders>
              <w:top w:val="nil"/>
              <w:left w:val="nil"/>
              <w:bottom w:val="single" w:sz="4" w:space="0" w:color="auto"/>
              <w:right w:val="single" w:sz="4" w:space="0" w:color="auto"/>
            </w:tcBorders>
            <w:shd w:val="clear" w:color="auto" w:fill="auto"/>
            <w:noWrap/>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1.8%</w:t>
            </w:r>
          </w:p>
        </w:tc>
        <w:tc>
          <w:tcPr>
            <w:tcW w:w="997" w:type="dxa"/>
            <w:tcBorders>
              <w:top w:val="nil"/>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109449</w:t>
            </w:r>
          </w:p>
        </w:tc>
      </w:tr>
      <w:tr w:rsidR="009A1ABE" w:rsidRPr="00DC45B2" w:rsidTr="00634C88">
        <w:trPr>
          <w:trHeight w:val="300"/>
        </w:trPr>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rPr>
                <w:rFonts w:eastAsia="Times New Roman" w:cs="Calibri"/>
                <w:color w:val="000000"/>
              </w:rPr>
            </w:pPr>
            <w:r w:rsidRPr="00DC45B2">
              <w:rPr>
                <w:rFonts w:eastAsia="Times New Roman" w:cs="Calibri"/>
                <w:color w:val="000000"/>
              </w:rPr>
              <w:t>North Carolina</w:t>
            </w:r>
          </w:p>
        </w:tc>
        <w:tc>
          <w:tcPr>
            <w:tcW w:w="1129" w:type="dxa"/>
            <w:tcBorders>
              <w:top w:val="single" w:sz="4" w:space="0" w:color="auto"/>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71.2%</w:t>
            </w:r>
          </w:p>
        </w:tc>
        <w:tc>
          <w:tcPr>
            <w:tcW w:w="1090" w:type="dxa"/>
            <w:tcBorders>
              <w:top w:val="single" w:sz="4" w:space="0" w:color="auto"/>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25.2%</w:t>
            </w:r>
          </w:p>
        </w:tc>
        <w:tc>
          <w:tcPr>
            <w:tcW w:w="988" w:type="dxa"/>
            <w:tcBorders>
              <w:top w:val="single" w:sz="4" w:space="0" w:color="auto"/>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0.5%</w:t>
            </w:r>
          </w:p>
        </w:tc>
        <w:tc>
          <w:tcPr>
            <w:tcW w:w="874" w:type="dxa"/>
            <w:tcBorders>
              <w:top w:val="single" w:sz="4" w:space="0" w:color="auto"/>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0.3%</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2.8%</w:t>
            </w:r>
          </w:p>
        </w:tc>
        <w:tc>
          <w:tcPr>
            <w:tcW w:w="997" w:type="dxa"/>
            <w:tcBorders>
              <w:top w:val="single" w:sz="4" w:space="0" w:color="auto"/>
              <w:left w:val="nil"/>
              <w:bottom w:val="single" w:sz="4" w:space="0" w:color="auto"/>
              <w:right w:val="single" w:sz="4" w:space="0" w:color="auto"/>
            </w:tcBorders>
            <w:shd w:val="clear" w:color="auto" w:fill="auto"/>
            <w:vAlign w:val="center"/>
            <w:hideMark/>
          </w:tcPr>
          <w:p w:rsidR="009A1ABE" w:rsidRPr="00DC45B2" w:rsidRDefault="009A1ABE" w:rsidP="003F0347">
            <w:pPr>
              <w:spacing w:after="0" w:line="240" w:lineRule="auto"/>
              <w:jc w:val="right"/>
              <w:rPr>
                <w:rFonts w:eastAsia="Times New Roman" w:cs="Calibri"/>
                <w:color w:val="000000"/>
              </w:rPr>
            </w:pPr>
            <w:r w:rsidRPr="00DC45B2">
              <w:rPr>
                <w:rFonts w:eastAsia="Times New Roman" w:cs="Calibri"/>
                <w:color w:val="000000"/>
              </w:rPr>
              <w:t>38211</w:t>
            </w:r>
          </w:p>
        </w:tc>
      </w:tr>
      <w:tr w:rsidR="00634C88" w:rsidRPr="00DC45B2" w:rsidTr="00634C88">
        <w:trPr>
          <w:trHeight w:val="300"/>
        </w:trPr>
        <w:tc>
          <w:tcPr>
            <w:tcW w:w="184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634C88" w:rsidRPr="00DC45B2" w:rsidRDefault="00634C88" w:rsidP="005F3CC3">
            <w:pPr>
              <w:spacing w:after="0" w:line="240" w:lineRule="auto"/>
              <w:jc w:val="center"/>
              <w:rPr>
                <w:rFonts w:eastAsia="Times New Roman" w:cs="Calibri"/>
                <w:b/>
                <w:bCs/>
                <w:color w:val="000000"/>
              </w:rPr>
            </w:pPr>
            <w:r w:rsidRPr="00DC45B2">
              <w:rPr>
                <w:rFonts w:eastAsia="Times New Roman" w:cs="Calibri"/>
                <w:b/>
                <w:bCs/>
                <w:color w:val="000000"/>
              </w:rPr>
              <w:lastRenderedPageBreak/>
              <w:t>State</w:t>
            </w:r>
          </w:p>
        </w:tc>
        <w:tc>
          <w:tcPr>
            <w:tcW w:w="1129" w:type="dxa"/>
            <w:tcBorders>
              <w:top w:val="single" w:sz="4" w:space="0" w:color="auto"/>
              <w:left w:val="nil"/>
              <w:bottom w:val="single" w:sz="4" w:space="0" w:color="auto"/>
              <w:right w:val="single" w:sz="4" w:space="0" w:color="auto"/>
            </w:tcBorders>
            <w:shd w:val="clear" w:color="auto" w:fill="EEECE1" w:themeFill="background2"/>
            <w:vAlign w:val="center"/>
          </w:tcPr>
          <w:p w:rsidR="00634C88" w:rsidRPr="00DC45B2" w:rsidRDefault="00634C88" w:rsidP="005F3CC3">
            <w:pPr>
              <w:spacing w:after="0" w:line="240" w:lineRule="auto"/>
              <w:jc w:val="center"/>
              <w:rPr>
                <w:rFonts w:eastAsia="Times New Roman" w:cs="Calibri"/>
                <w:b/>
                <w:bCs/>
                <w:color w:val="000000"/>
              </w:rPr>
            </w:pPr>
            <w:r w:rsidRPr="00DC45B2">
              <w:rPr>
                <w:rFonts w:eastAsia="Times New Roman" w:cs="Calibri"/>
                <w:b/>
                <w:bCs/>
                <w:color w:val="000000"/>
              </w:rPr>
              <w:t>Caucasian</w:t>
            </w:r>
          </w:p>
        </w:tc>
        <w:tc>
          <w:tcPr>
            <w:tcW w:w="1090" w:type="dxa"/>
            <w:tcBorders>
              <w:top w:val="single" w:sz="4" w:space="0" w:color="auto"/>
              <w:left w:val="nil"/>
              <w:bottom w:val="single" w:sz="4" w:space="0" w:color="auto"/>
              <w:right w:val="single" w:sz="4" w:space="0" w:color="auto"/>
            </w:tcBorders>
            <w:shd w:val="clear" w:color="auto" w:fill="EEECE1" w:themeFill="background2"/>
            <w:vAlign w:val="bottom"/>
          </w:tcPr>
          <w:p w:rsidR="00634C88" w:rsidRPr="00DC45B2" w:rsidRDefault="00634C88" w:rsidP="005F3CC3">
            <w:pPr>
              <w:spacing w:after="0" w:line="240" w:lineRule="auto"/>
              <w:jc w:val="center"/>
              <w:rPr>
                <w:rFonts w:eastAsia="Times New Roman" w:cs="Calibri"/>
                <w:b/>
                <w:bCs/>
                <w:color w:val="000000"/>
              </w:rPr>
            </w:pPr>
            <w:r w:rsidRPr="00DC45B2">
              <w:rPr>
                <w:rFonts w:eastAsia="Times New Roman" w:cs="Calibri"/>
                <w:b/>
                <w:bCs/>
                <w:color w:val="000000"/>
              </w:rPr>
              <w:t>African American</w:t>
            </w:r>
          </w:p>
        </w:tc>
        <w:tc>
          <w:tcPr>
            <w:tcW w:w="988" w:type="dxa"/>
            <w:tcBorders>
              <w:top w:val="single" w:sz="4" w:space="0" w:color="auto"/>
              <w:left w:val="nil"/>
              <w:bottom w:val="single" w:sz="4" w:space="0" w:color="auto"/>
              <w:right w:val="single" w:sz="4" w:space="0" w:color="auto"/>
            </w:tcBorders>
            <w:shd w:val="clear" w:color="auto" w:fill="EEECE1" w:themeFill="background2"/>
            <w:vAlign w:val="center"/>
          </w:tcPr>
          <w:p w:rsidR="00634C88" w:rsidRPr="00DC45B2" w:rsidRDefault="00634C88" w:rsidP="005F3CC3">
            <w:pPr>
              <w:spacing w:after="0" w:line="240" w:lineRule="auto"/>
              <w:jc w:val="center"/>
              <w:rPr>
                <w:rFonts w:eastAsia="Times New Roman" w:cs="Calibri"/>
                <w:b/>
                <w:bCs/>
                <w:color w:val="000000"/>
              </w:rPr>
            </w:pPr>
            <w:r w:rsidRPr="00DC45B2">
              <w:rPr>
                <w:rFonts w:eastAsia="Times New Roman" w:cs="Calibri"/>
                <w:b/>
                <w:bCs/>
                <w:color w:val="000000"/>
              </w:rPr>
              <w:t>Hispanic</w:t>
            </w:r>
          </w:p>
        </w:tc>
        <w:tc>
          <w:tcPr>
            <w:tcW w:w="874" w:type="dxa"/>
            <w:tcBorders>
              <w:top w:val="single" w:sz="4" w:space="0" w:color="auto"/>
              <w:left w:val="nil"/>
              <w:bottom w:val="single" w:sz="4" w:space="0" w:color="auto"/>
              <w:right w:val="single" w:sz="4" w:space="0" w:color="auto"/>
            </w:tcBorders>
            <w:shd w:val="clear" w:color="auto" w:fill="EEECE1" w:themeFill="background2"/>
            <w:vAlign w:val="center"/>
          </w:tcPr>
          <w:p w:rsidR="00634C88" w:rsidRPr="00DC45B2" w:rsidRDefault="00634C88" w:rsidP="005F3CC3">
            <w:pPr>
              <w:spacing w:after="0" w:line="240" w:lineRule="auto"/>
              <w:jc w:val="center"/>
              <w:rPr>
                <w:rFonts w:eastAsia="Times New Roman" w:cs="Calibri"/>
                <w:b/>
                <w:bCs/>
                <w:color w:val="000000"/>
              </w:rPr>
            </w:pPr>
            <w:r w:rsidRPr="00DC45B2">
              <w:rPr>
                <w:rFonts w:eastAsia="Times New Roman" w:cs="Calibri"/>
                <w:b/>
                <w:bCs/>
                <w:color w:val="000000"/>
              </w:rPr>
              <w:t>Asian</w:t>
            </w:r>
          </w:p>
        </w:tc>
        <w:tc>
          <w:tcPr>
            <w:tcW w:w="960" w:type="dxa"/>
            <w:tcBorders>
              <w:top w:val="single" w:sz="4" w:space="0" w:color="auto"/>
              <w:left w:val="nil"/>
              <w:bottom w:val="single" w:sz="4" w:space="0" w:color="auto"/>
              <w:right w:val="single" w:sz="4" w:space="0" w:color="auto"/>
            </w:tcBorders>
            <w:shd w:val="clear" w:color="auto" w:fill="EEECE1" w:themeFill="background2"/>
            <w:noWrap/>
            <w:vAlign w:val="center"/>
          </w:tcPr>
          <w:p w:rsidR="00634C88" w:rsidRPr="00DC45B2" w:rsidRDefault="00634C88" w:rsidP="005F3CC3">
            <w:pPr>
              <w:spacing w:after="0" w:line="240" w:lineRule="auto"/>
              <w:jc w:val="center"/>
              <w:rPr>
                <w:rFonts w:eastAsia="Times New Roman" w:cs="Calibri"/>
                <w:b/>
                <w:bCs/>
                <w:color w:val="000000"/>
              </w:rPr>
            </w:pPr>
            <w:r w:rsidRPr="00DC45B2">
              <w:rPr>
                <w:rFonts w:eastAsia="Times New Roman" w:cs="Calibri"/>
                <w:b/>
                <w:bCs/>
                <w:color w:val="000000"/>
              </w:rPr>
              <w:t>All Others</w:t>
            </w:r>
          </w:p>
        </w:tc>
        <w:tc>
          <w:tcPr>
            <w:tcW w:w="997" w:type="dxa"/>
            <w:tcBorders>
              <w:top w:val="single" w:sz="4" w:space="0" w:color="auto"/>
              <w:left w:val="nil"/>
              <w:bottom w:val="single" w:sz="4" w:space="0" w:color="auto"/>
              <w:right w:val="single" w:sz="4" w:space="0" w:color="auto"/>
            </w:tcBorders>
            <w:shd w:val="clear" w:color="auto" w:fill="EEECE1" w:themeFill="background2"/>
            <w:vAlign w:val="center"/>
          </w:tcPr>
          <w:p w:rsidR="00634C88" w:rsidRPr="00DC45B2" w:rsidRDefault="00634C88" w:rsidP="005F3CC3">
            <w:pPr>
              <w:spacing w:after="0" w:line="240" w:lineRule="auto"/>
              <w:jc w:val="center"/>
              <w:rPr>
                <w:rFonts w:eastAsia="Times New Roman" w:cs="Calibri"/>
                <w:b/>
                <w:bCs/>
                <w:color w:val="000000"/>
              </w:rPr>
            </w:pPr>
            <w:r w:rsidRPr="00DC45B2">
              <w:rPr>
                <w:rFonts w:eastAsia="Times New Roman" w:cs="Calibri"/>
                <w:b/>
                <w:bCs/>
                <w:color w:val="000000"/>
              </w:rPr>
              <w:t>State Total</w:t>
            </w:r>
          </w:p>
        </w:tc>
      </w:tr>
      <w:tr w:rsidR="00634C88" w:rsidRPr="00DC45B2" w:rsidTr="009A1ABE">
        <w:trPr>
          <w:trHeight w:val="300"/>
        </w:trPr>
        <w:tc>
          <w:tcPr>
            <w:tcW w:w="1842" w:type="dxa"/>
            <w:tcBorders>
              <w:top w:val="nil"/>
              <w:left w:val="single" w:sz="4" w:space="0" w:color="auto"/>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rPr>
                <w:rFonts w:eastAsia="Times New Roman" w:cs="Calibri"/>
                <w:color w:val="000000"/>
              </w:rPr>
            </w:pPr>
            <w:r w:rsidRPr="00DC45B2">
              <w:rPr>
                <w:rFonts w:eastAsia="Times New Roman" w:cs="Calibri"/>
                <w:color w:val="000000"/>
              </w:rPr>
              <w:t>North Dakota</w:t>
            </w:r>
          </w:p>
        </w:tc>
        <w:tc>
          <w:tcPr>
            <w:tcW w:w="1129"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97.3%</w:t>
            </w:r>
          </w:p>
        </w:tc>
        <w:tc>
          <w:tcPr>
            <w:tcW w:w="1090"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0.1%</w:t>
            </w:r>
          </w:p>
        </w:tc>
        <w:tc>
          <w:tcPr>
            <w:tcW w:w="988"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0.1%</w:t>
            </w:r>
          </w:p>
        </w:tc>
        <w:tc>
          <w:tcPr>
            <w:tcW w:w="874"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0.2%</w:t>
            </w:r>
          </w:p>
        </w:tc>
        <w:tc>
          <w:tcPr>
            <w:tcW w:w="960" w:type="dxa"/>
            <w:tcBorders>
              <w:top w:val="nil"/>
              <w:left w:val="nil"/>
              <w:bottom w:val="single" w:sz="4" w:space="0" w:color="auto"/>
              <w:right w:val="single" w:sz="4" w:space="0" w:color="auto"/>
            </w:tcBorders>
            <w:shd w:val="clear" w:color="auto" w:fill="auto"/>
            <w:noWrap/>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2.4%</w:t>
            </w:r>
          </w:p>
        </w:tc>
        <w:tc>
          <w:tcPr>
            <w:tcW w:w="997"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5722</w:t>
            </w:r>
          </w:p>
        </w:tc>
      </w:tr>
      <w:tr w:rsidR="00634C88" w:rsidRPr="00DC45B2" w:rsidTr="009A1ABE">
        <w:trPr>
          <w:trHeight w:val="300"/>
        </w:trPr>
        <w:tc>
          <w:tcPr>
            <w:tcW w:w="1842" w:type="dxa"/>
            <w:tcBorders>
              <w:top w:val="nil"/>
              <w:left w:val="single" w:sz="4" w:space="0" w:color="auto"/>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rPr>
                <w:rFonts w:eastAsia="Times New Roman" w:cs="Calibri"/>
                <w:color w:val="000000"/>
              </w:rPr>
            </w:pPr>
            <w:r w:rsidRPr="00DC45B2">
              <w:rPr>
                <w:rFonts w:eastAsia="Times New Roman" w:cs="Calibri"/>
                <w:color w:val="000000"/>
              </w:rPr>
              <w:t>Ohio</w:t>
            </w:r>
          </w:p>
        </w:tc>
        <w:tc>
          <w:tcPr>
            <w:tcW w:w="1129"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83.7%</w:t>
            </w:r>
          </w:p>
        </w:tc>
        <w:tc>
          <w:tcPr>
            <w:tcW w:w="1090"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13.7%</w:t>
            </w:r>
          </w:p>
        </w:tc>
        <w:tc>
          <w:tcPr>
            <w:tcW w:w="988"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0.7%</w:t>
            </w:r>
          </w:p>
        </w:tc>
        <w:tc>
          <w:tcPr>
            <w:tcW w:w="874"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0.2%</w:t>
            </w:r>
          </w:p>
        </w:tc>
        <w:tc>
          <w:tcPr>
            <w:tcW w:w="960" w:type="dxa"/>
            <w:tcBorders>
              <w:top w:val="nil"/>
              <w:left w:val="nil"/>
              <w:bottom w:val="single" w:sz="4" w:space="0" w:color="auto"/>
              <w:right w:val="single" w:sz="4" w:space="0" w:color="auto"/>
            </w:tcBorders>
            <w:shd w:val="clear" w:color="auto" w:fill="auto"/>
            <w:noWrap/>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1.7%</w:t>
            </w:r>
          </w:p>
        </w:tc>
        <w:tc>
          <w:tcPr>
            <w:tcW w:w="997"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79057</w:t>
            </w:r>
          </w:p>
        </w:tc>
      </w:tr>
      <w:tr w:rsidR="00634C88" w:rsidRPr="00DC45B2" w:rsidTr="009A1ABE">
        <w:trPr>
          <w:trHeight w:val="300"/>
        </w:trPr>
        <w:tc>
          <w:tcPr>
            <w:tcW w:w="1842" w:type="dxa"/>
            <w:tcBorders>
              <w:top w:val="nil"/>
              <w:left w:val="single" w:sz="4" w:space="0" w:color="auto"/>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rPr>
                <w:rFonts w:eastAsia="Times New Roman" w:cs="Calibri"/>
                <w:color w:val="000000"/>
              </w:rPr>
            </w:pPr>
            <w:r w:rsidRPr="00DC45B2">
              <w:rPr>
                <w:rFonts w:eastAsia="Times New Roman" w:cs="Calibri"/>
                <w:color w:val="000000"/>
              </w:rPr>
              <w:t>Oklahoma</w:t>
            </w:r>
          </w:p>
        </w:tc>
        <w:tc>
          <w:tcPr>
            <w:tcW w:w="1129"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86.6%</w:t>
            </w:r>
          </w:p>
        </w:tc>
        <w:tc>
          <w:tcPr>
            <w:tcW w:w="1090"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6.9%</w:t>
            </w:r>
          </w:p>
        </w:tc>
        <w:tc>
          <w:tcPr>
            <w:tcW w:w="988"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1.1%</w:t>
            </w:r>
          </w:p>
        </w:tc>
        <w:tc>
          <w:tcPr>
            <w:tcW w:w="874"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0.4%</w:t>
            </w:r>
          </w:p>
        </w:tc>
        <w:tc>
          <w:tcPr>
            <w:tcW w:w="960" w:type="dxa"/>
            <w:tcBorders>
              <w:top w:val="nil"/>
              <w:left w:val="nil"/>
              <w:bottom w:val="single" w:sz="4" w:space="0" w:color="auto"/>
              <w:right w:val="single" w:sz="4" w:space="0" w:color="auto"/>
            </w:tcBorders>
            <w:shd w:val="clear" w:color="auto" w:fill="auto"/>
            <w:noWrap/>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5.0%</w:t>
            </w:r>
          </w:p>
        </w:tc>
        <w:tc>
          <w:tcPr>
            <w:tcW w:w="997"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19119</w:t>
            </w:r>
          </w:p>
        </w:tc>
      </w:tr>
      <w:tr w:rsidR="00634C88" w:rsidRPr="00DC45B2" w:rsidTr="009A1ABE">
        <w:trPr>
          <w:trHeight w:val="300"/>
        </w:trPr>
        <w:tc>
          <w:tcPr>
            <w:tcW w:w="1842" w:type="dxa"/>
            <w:tcBorders>
              <w:top w:val="nil"/>
              <w:left w:val="single" w:sz="4" w:space="0" w:color="auto"/>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rPr>
                <w:rFonts w:eastAsia="Times New Roman" w:cs="Calibri"/>
                <w:color w:val="000000"/>
              </w:rPr>
            </w:pPr>
            <w:r w:rsidRPr="00DC45B2">
              <w:rPr>
                <w:rFonts w:eastAsia="Times New Roman" w:cs="Calibri"/>
                <w:color w:val="000000"/>
              </w:rPr>
              <w:t>Oregon</w:t>
            </w:r>
          </w:p>
        </w:tc>
        <w:tc>
          <w:tcPr>
            <w:tcW w:w="1129"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90.8%</w:t>
            </w:r>
          </w:p>
        </w:tc>
        <w:tc>
          <w:tcPr>
            <w:tcW w:w="1090"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1.9%</w:t>
            </w:r>
          </w:p>
        </w:tc>
        <w:tc>
          <w:tcPr>
            <w:tcW w:w="988"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1.7%</w:t>
            </w:r>
          </w:p>
        </w:tc>
        <w:tc>
          <w:tcPr>
            <w:tcW w:w="874"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1.4%</w:t>
            </w:r>
          </w:p>
        </w:tc>
        <w:tc>
          <w:tcPr>
            <w:tcW w:w="960" w:type="dxa"/>
            <w:tcBorders>
              <w:top w:val="nil"/>
              <w:left w:val="nil"/>
              <w:bottom w:val="single" w:sz="4" w:space="0" w:color="auto"/>
              <w:right w:val="single" w:sz="4" w:space="0" w:color="auto"/>
            </w:tcBorders>
            <w:shd w:val="clear" w:color="auto" w:fill="auto"/>
            <w:noWrap/>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4.1%</w:t>
            </w:r>
          </w:p>
        </w:tc>
        <w:tc>
          <w:tcPr>
            <w:tcW w:w="997"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7798</w:t>
            </w:r>
          </w:p>
        </w:tc>
      </w:tr>
      <w:tr w:rsidR="00634C88" w:rsidRPr="00DC45B2" w:rsidTr="009A1ABE">
        <w:trPr>
          <w:trHeight w:val="300"/>
        </w:trPr>
        <w:tc>
          <w:tcPr>
            <w:tcW w:w="1842" w:type="dxa"/>
            <w:tcBorders>
              <w:top w:val="nil"/>
              <w:left w:val="single" w:sz="4" w:space="0" w:color="auto"/>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rPr>
                <w:rFonts w:eastAsia="Times New Roman" w:cs="Calibri"/>
                <w:color w:val="000000"/>
              </w:rPr>
            </w:pPr>
            <w:r w:rsidRPr="00DC45B2">
              <w:rPr>
                <w:rFonts w:eastAsia="Times New Roman" w:cs="Calibri"/>
                <w:color w:val="000000"/>
              </w:rPr>
              <w:t>Pennsylvania</w:t>
            </w:r>
          </w:p>
        </w:tc>
        <w:tc>
          <w:tcPr>
            <w:tcW w:w="1129"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86.3%</w:t>
            </w:r>
          </w:p>
        </w:tc>
        <w:tc>
          <w:tcPr>
            <w:tcW w:w="1090"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10.2%</w:t>
            </w:r>
          </w:p>
        </w:tc>
        <w:tc>
          <w:tcPr>
            <w:tcW w:w="988"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1.3%</w:t>
            </w:r>
          </w:p>
        </w:tc>
        <w:tc>
          <w:tcPr>
            <w:tcW w:w="874"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0.4%</w:t>
            </w:r>
          </w:p>
        </w:tc>
        <w:tc>
          <w:tcPr>
            <w:tcW w:w="960" w:type="dxa"/>
            <w:tcBorders>
              <w:top w:val="nil"/>
              <w:left w:val="nil"/>
              <w:bottom w:val="single" w:sz="4" w:space="0" w:color="auto"/>
              <w:right w:val="single" w:sz="4" w:space="0" w:color="auto"/>
            </w:tcBorders>
            <w:shd w:val="clear" w:color="auto" w:fill="auto"/>
            <w:noWrap/>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1.7%</w:t>
            </w:r>
          </w:p>
        </w:tc>
        <w:tc>
          <w:tcPr>
            <w:tcW w:w="997"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81594</w:t>
            </w:r>
          </w:p>
        </w:tc>
      </w:tr>
      <w:tr w:rsidR="00634C88" w:rsidRPr="00DC45B2" w:rsidTr="009A1ABE">
        <w:trPr>
          <w:trHeight w:val="300"/>
        </w:trPr>
        <w:tc>
          <w:tcPr>
            <w:tcW w:w="1842" w:type="dxa"/>
            <w:tcBorders>
              <w:top w:val="nil"/>
              <w:left w:val="single" w:sz="4" w:space="0" w:color="auto"/>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rPr>
                <w:rFonts w:eastAsia="Times New Roman" w:cs="Calibri"/>
                <w:color w:val="000000"/>
              </w:rPr>
            </w:pPr>
            <w:r w:rsidRPr="00DC45B2">
              <w:rPr>
                <w:rFonts w:eastAsia="Times New Roman" w:cs="Calibri"/>
                <w:color w:val="000000"/>
              </w:rPr>
              <w:t>Puerto Rico</w:t>
            </w:r>
          </w:p>
        </w:tc>
        <w:tc>
          <w:tcPr>
            <w:tcW w:w="1129"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rPr>
                <w:rFonts w:eastAsia="Times New Roman" w:cs="Calibri"/>
                <w:color w:val="000000"/>
              </w:rPr>
            </w:pPr>
            <w:r w:rsidRPr="00DC45B2">
              <w:rPr>
                <w:rFonts w:eastAsia="Times New Roman" w:cs="Calibri"/>
                <w:color w:val="000000"/>
              </w:rPr>
              <w:t>*</w:t>
            </w:r>
          </w:p>
        </w:tc>
        <w:tc>
          <w:tcPr>
            <w:tcW w:w="1090"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1.3%</w:t>
            </w:r>
          </w:p>
        </w:tc>
        <w:tc>
          <w:tcPr>
            <w:tcW w:w="988"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98.7%</w:t>
            </w:r>
          </w:p>
        </w:tc>
        <w:tc>
          <w:tcPr>
            <w:tcW w:w="874"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rPr>
                <w:rFonts w:eastAsia="Times New Roman" w:cs="Calibri"/>
                <w:color w:val="000000"/>
              </w:rPr>
            </w:pPr>
            <w:r w:rsidRPr="00DC45B2">
              <w:rPr>
                <w:rFonts w:eastAsia="Times New Roman" w:cs="Calibri"/>
                <w:color w:val="000000"/>
              </w:rPr>
              <w:t>*</w:t>
            </w:r>
          </w:p>
        </w:tc>
        <w:tc>
          <w:tcPr>
            <w:tcW w:w="960" w:type="dxa"/>
            <w:tcBorders>
              <w:top w:val="nil"/>
              <w:left w:val="nil"/>
              <w:bottom w:val="single" w:sz="4" w:space="0" w:color="auto"/>
              <w:right w:val="single" w:sz="4" w:space="0" w:color="auto"/>
            </w:tcBorders>
            <w:shd w:val="clear" w:color="auto" w:fill="auto"/>
            <w:noWrap/>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0.0%</w:t>
            </w:r>
          </w:p>
        </w:tc>
        <w:tc>
          <w:tcPr>
            <w:tcW w:w="997"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155</w:t>
            </w:r>
          </w:p>
        </w:tc>
      </w:tr>
      <w:tr w:rsidR="00634C88" w:rsidRPr="00DC45B2" w:rsidTr="009A1ABE">
        <w:trPr>
          <w:trHeight w:val="300"/>
        </w:trPr>
        <w:tc>
          <w:tcPr>
            <w:tcW w:w="1842" w:type="dxa"/>
            <w:tcBorders>
              <w:top w:val="nil"/>
              <w:left w:val="single" w:sz="4" w:space="0" w:color="auto"/>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rPr>
                <w:rFonts w:eastAsia="Times New Roman" w:cs="Calibri"/>
                <w:color w:val="000000"/>
              </w:rPr>
            </w:pPr>
            <w:r w:rsidRPr="00DC45B2">
              <w:rPr>
                <w:rFonts w:eastAsia="Times New Roman" w:cs="Calibri"/>
                <w:color w:val="000000"/>
              </w:rPr>
              <w:t>Rhode Island</w:t>
            </w:r>
          </w:p>
        </w:tc>
        <w:tc>
          <w:tcPr>
            <w:tcW w:w="1129"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92.8%</w:t>
            </w:r>
          </w:p>
        </w:tc>
        <w:tc>
          <w:tcPr>
            <w:tcW w:w="1090"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3.7%</w:t>
            </w:r>
          </w:p>
        </w:tc>
        <w:tc>
          <w:tcPr>
            <w:tcW w:w="988"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2.1%</w:t>
            </w:r>
          </w:p>
        </w:tc>
        <w:tc>
          <w:tcPr>
            <w:tcW w:w="874"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0.5%</w:t>
            </w:r>
          </w:p>
        </w:tc>
        <w:tc>
          <w:tcPr>
            <w:tcW w:w="960" w:type="dxa"/>
            <w:tcBorders>
              <w:top w:val="nil"/>
              <w:left w:val="nil"/>
              <w:bottom w:val="single" w:sz="4" w:space="0" w:color="auto"/>
              <w:right w:val="single" w:sz="4" w:space="0" w:color="auto"/>
            </w:tcBorders>
            <w:shd w:val="clear" w:color="auto" w:fill="auto"/>
            <w:noWrap/>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0.9%</w:t>
            </w:r>
          </w:p>
        </w:tc>
        <w:tc>
          <w:tcPr>
            <w:tcW w:w="997"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8173</w:t>
            </w:r>
          </w:p>
        </w:tc>
      </w:tr>
      <w:tr w:rsidR="00634C88" w:rsidRPr="00DC45B2" w:rsidTr="009A1ABE">
        <w:trPr>
          <w:trHeight w:val="300"/>
        </w:trPr>
        <w:tc>
          <w:tcPr>
            <w:tcW w:w="1842" w:type="dxa"/>
            <w:tcBorders>
              <w:top w:val="nil"/>
              <w:left w:val="single" w:sz="4" w:space="0" w:color="auto"/>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rPr>
                <w:rFonts w:eastAsia="Times New Roman" w:cs="Calibri"/>
                <w:color w:val="000000"/>
              </w:rPr>
            </w:pPr>
            <w:r w:rsidRPr="00DC45B2">
              <w:rPr>
                <w:rFonts w:eastAsia="Times New Roman" w:cs="Calibri"/>
                <w:color w:val="000000"/>
              </w:rPr>
              <w:t>South Carolina</w:t>
            </w:r>
          </w:p>
        </w:tc>
        <w:tc>
          <w:tcPr>
            <w:tcW w:w="1129"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68.5%</w:t>
            </w:r>
          </w:p>
        </w:tc>
        <w:tc>
          <w:tcPr>
            <w:tcW w:w="1090"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30.1%</w:t>
            </w:r>
          </w:p>
        </w:tc>
        <w:tc>
          <w:tcPr>
            <w:tcW w:w="988"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0.3%</w:t>
            </w:r>
          </w:p>
        </w:tc>
        <w:tc>
          <w:tcPr>
            <w:tcW w:w="874"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0.2%</w:t>
            </w:r>
          </w:p>
        </w:tc>
        <w:tc>
          <w:tcPr>
            <w:tcW w:w="960" w:type="dxa"/>
            <w:tcBorders>
              <w:top w:val="nil"/>
              <w:left w:val="nil"/>
              <w:bottom w:val="single" w:sz="4" w:space="0" w:color="auto"/>
              <w:right w:val="single" w:sz="4" w:space="0" w:color="auto"/>
            </w:tcBorders>
            <w:shd w:val="clear" w:color="auto" w:fill="auto"/>
            <w:noWrap/>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0.9%</w:t>
            </w:r>
          </w:p>
        </w:tc>
        <w:tc>
          <w:tcPr>
            <w:tcW w:w="997"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17082</w:t>
            </w:r>
          </w:p>
        </w:tc>
      </w:tr>
      <w:tr w:rsidR="00634C88" w:rsidRPr="00DC45B2" w:rsidTr="009A1ABE">
        <w:trPr>
          <w:trHeight w:val="300"/>
        </w:trPr>
        <w:tc>
          <w:tcPr>
            <w:tcW w:w="1842" w:type="dxa"/>
            <w:tcBorders>
              <w:top w:val="nil"/>
              <w:left w:val="single" w:sz="4" w:space="0" w:color="auto"/>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rPr>
                <w:rFonts w:eastAsia="Times New Roman" w:cs="Calibri"/>
                <w:color w:val="000000"/>
              </w:rPr>
            </w:pPr>
            <w:r w:rsidRPr="00DC45B2">
              <w:rPr>
                <w:rFonts w:eastAsia="Times New Roman" w:cs="Calibri"/>
                <w:color w:val="000000"/>
              </w:rPr>
              <w:t>South Dakota</w:t>
            </w:r>
          </w:p>
        </w:tc>
        <w:tc>
          <w:tcPr>
            <w:tcW w:w="1129"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93.9%</w:t>
            </w:r>
          </w:p>
        </w:tc>
        <w:tc>
          <w:tcPr>
            <w:tcW w:w="1090"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0.2%</w:t>
            </w:r>
          </w:p>
        </w:tc>
        <w:tc>
          <w:tcPr>
            <w:tcW w:w="988"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0.2%</w:t>
            </w:r>
          </w:p>
        </w:tc>
        <w:tc>
          <w:tcPr>
            <w:tcW w:w="874"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0.1%</w:t>
            </w:r>
          </w:p>
        </w:tc>
        <w:tc>
          <w:tcPr>
            <w:tcW w:w="960" w:type="dxa"/>
            <w:tcBorders>
              <w:top w:val="nil"/>
              <w:left w:val="nil"/>
              <w:bottom w:val="single" w:sz="4" w:space="0" w:color="auto"/>
              <w:right w:val="single" w:sz="4" w:space="0" w:color="auto"/>
            </w:tcBorders>
            <w:shd w:val="clear" w:color="auto" w:fill="auto"/>
            <w:noWrap/>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5.6%</w:t>
            </w:r>
          </w:p>
        </w:tc>
        <w:tc>
          <w:tcPr>
            <w:tcW w:w="997"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6393</w:t>
            </w:r>
          </w:p>
        </w:tc>
      </w:tr>
      <w:tr w:rsidR="00634C88" w:rsidRPr="00DC45B2" w:rsidTr="009A1ABE">
        <w:trPr>
          <w:trHeight w:val="300"/>
        </w:trPr>
        <w:tc>
          <w:tcPr>
            <w:tcW w:w="1842" w:type="dxa"/>
            <w:tcBorders>
              <w:top w:val="nil"/>
              <w:left w:val="single" w:sz="4" w:space="0" w:color="auto"/>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rPr>
                <w:rFonts w:eastAsia="Times New Roman" w:cs="Calibri"/>
                <w:color w:val="000000"/>
              </w:rPr>
            </w:pPr>
            <w:r w:rsidRPr="00DC45B2">
              <w:rPr>
                <w:rFonts w:eastAsia="Times New Roman" w:cs="Calibri"/>
                <w:color w:val="000000"/>
              </w:rPr>
              <w:t>Tennessee</w:t>
            </w:r>
          </w:p>
        </w:tc>
        <w:tc>
          <w:tcPr>
            <w:tcW w:w="1129"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83.1%</w:t>
            </w:r>
          </w:p>
        </w:tc>
        <w:tc>
          <w:tcPr>
            <w:tcW w:w="1090"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15.2%</w:t>
            </w:r>
          </w:p>
        </w:tc>
        <w:tc>
          <w:tcPr>
            <w:tcW w:w="988"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0.3%</w:t>
            </w:r>
          </w:p>
        </w:tc>
        <w:tc>
          <w:tcPr>
            <w:tcW w:w="874"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0.2%</w:t>
            </w:r>
          </w:p>
        </w:tc>
        <w:tc>
          <w:tcPr>
            <w:tcW w:w="960" w:type="dxa"/>
            <w:tcBorders>
              <w:top w:val="nil"/>
              <w:left w:val="nil"/>
              <w:bottom w:val="single" w:sz="4" w:space="0" w:color="auto"/>
              <w:right w:val="single" w:sz="4" w:space="0" w:color="auto"/>
            </w:tcBorders>
            <w:shd w:val="clear" w:color="auto" w:fill="auto"/>
            <w:noWrap/>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1.3%</w:t>
            </w:r>
          </w:p>
        </w:tc>
        <w:tc>
          <w:tcPr>
            <w:tcW w:w="997"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30591</w:t>
            </w:r>
          </w:p>
        </w:tc>
      </w:tr>
      <w:tr w:rsidR="00634C88" w:rsidRPr="00DC45B2" w:rsidTr="009A1ABE">
        <w:trPr>
          <w:trHeight w:val="300"/>
        </w:trPr>
        <w:tc>
          <w:tcPr>
            <w:tcW w:w="1842" w:type="dxa"/>
            <w:tcBorders>
              <w:top w:val="nil"/>
              <w:left w:val="single" w:sz="4" w:space="0" w:color="auto"/>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rPr>
                <w:rFonts w:eastAsia="Times New Roman" w:cs="Calibri"/>
                <w:color w:val="000000"/>
              </w:rPr>
            </w:pPr>
            <w:r w:rsidRPr="00DC45B2">
              <w:rPr>
                <w:rFonts w:eastAsia="Times New Roman" w:cs="Calibri"/>
                <w:color w:val="000000"/>
              </w:rPr>
              <w:t>Texas</w:t>
            </w:r>
          </w:p>
        </w:tc>
        <w:tc>
          <w:tcPr>
            <w:tcW w:w="1129"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67.1%</w:t>
            </w:r>
          </w:p>
        </w:tc>
        <w:tc>
          <w:tcPr>
            <w:tcW w:w="1090"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12.9%</w:t>
            </w:r>
          </w:p>
        </w:tc>
        <w:tc>
          <w:tcPr>
            <w:tcW w:w="988"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16.5%</w:t>
            </w:r>
          </w:p>
        </w:tc>
        <w:tc>
          <w:tcPr>
            <w:tcW w:w="874"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0.9%</w:t>
            </w:r>
          </w:p>
        </w:tc>
        <w:tc>
          <w:tcPr>
            <w:tcW w:w="960" w:type="dxa"/>
            <w:tcBorders>
              <w:top w:val="nil"/>
              <w:left w:val="nil"/>
              <w:bottom w:val="single" w:sz="4" w:space="0" w:color="auto"/>
              <w:right w:val="single" w:sz="4" w:space="0" w:color="auto"/>
            </w:tcBorders>
            <w:shd w:val="clear" w:color="auto" w:fill="auto"/>
            <w:noWrap/>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2.6%</w:t>
            </w:r>
          </w:p>
        </w:tc>
        <w:tc>
          <w:tcPr>
            <w:tcW w:w="997"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98063</w:t>
            </w:r>
          </w:p>
        </w:tc>
      </w:tr>
      <w:tr w:rsidR="00634C88" w:rsidRPr="00DC45B2" w:rsidTr="009A1ABE">
        <w:trPr>
          <w:trHeight w:val="300"/>
        </w:trPr>
        <w:tc>
          <w:tcPr>
            <w:tcW w:w="1842" w:type="dxa"/>
            <w:tcBorders>
              <w:top w:val="nil"/>
              <w:left w:val="single" w:sz="4" w:space="0" w:color="auto"/>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rPr>
                <w:rFonts w:eastAsia="Times New Roman" w:cs="Calibri"/>
                <w:color w:val="000000"/>
              </w:rPr>
            </w:pPr>
            <w:r w:rsidRPr="00DC45B2">
              <w:rPr>
                <w:rFonts w:eastAsia="Times New Roman" w:cs="Calibri"/>
                <w:color w:val="000000"/>
              </w:rPr>
              <w:t>U.S. Virgin Islands</w:t>
            </w:r>
          </w:p>
        </w:tc>
        <w:tc>
          <w:tcPr>
            <w:tcW w:w="1129"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2.8%</w:t>
            </w:r>
          </w:p>
        </w:tc>
        <w:tc>
          <w:tcPr>
            <w:tcW w:w="1090"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86.1%</w:t>
            </w:r>
          </w:p>
        </w:tc>
        <w:tc>
          <w:tcPr>
            <w:tcW w:w="988"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2.8%</w:t>
            </w:r>
          </w:p>
        </w:tc>
        <w:tc>
          <w:tcPr>
            <w:tcW w:w="874"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rPr>
                <w:rFonts w:eastAsia="Times New Roman" w:cs="Calibri"/>
                <w:color w:val="000000"/>
              </w:rPr>
            </w:pPr>
            <w:r w:rsidRPr="00DC45B2">
              <w:rPr>
                <w:rFonts w:eastAsia="Times New Roman" w:cs="Calibri"/>
                <w:color w:val="000000"/>
              </w:rPr>
              <w:t>*</w:t>
            </w:r>
          </w:p>
        </w:tc>
        <w:tc>
          <w:tcPr>
            <w:tcW w:w="960" w:type="dxa"/>
            <w:tcBorders>
              <w:top w:val="nil"/>
              <w:left w:val="nil"/>
              <w:bottom w:val="single" w:sz="4" w:space="0" w:color="auto"/>
              <w:right w:val="single" w:sz="4" w:space="0" w:color="auto"/>
            </w:tcBorders>
            <w:shd w:val="clear" w:color="auto" w:fill="auto"/>
            <w:noWrap/>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8.3%</w:t>
            </w:r>
          </w:p>
        </w:tc>
        <w:tc>
          <w:tcPr>
            <w:tcW w:w="997"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36</w:t>
            </w:r>
          </w:p>
        </w:tc>
      </w:tr>
      <w:tr w:rsidR="00634C88" w:rsidRPr="00DC45B2" w:rsidTr="009A1ABE">
        <w:trPr>
          <w:trHeight w:val="300"/>
        </w:trPr>
        <w:tc>
          <w:tcPr>
            <w:tcW w:w="1842" w:type="dxa"/>
            <w:tcBorders>
              <w:top w:val="nil"/>
              <w:left w:val="single" w:sz="4" w:space="0" w:color="auto"/>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rPr>
                <w:rFonts w:eastAsia="Times New Roman" w:cs="Calibri"/>
                <w:color w:val="000000"/>
              </w:rPr>
            </w:pPr>
            <w:r w:rsidRPr="00DC45B2">
              <w:rPr>
                <w:rFonts w:eastAsia="Times New Roman" w:cs="Calibri"/>
                <w:color w:val="000000"/>
              </w:rPr>
              <w:t>Utah</w:t>
            </w:r>
          </w:p>
        </w:tc>
        <w:tc>
          <w:tcPr>
            <w:tcW w:w="1129"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88.7%</w:t>
            </w:r>
          </w:p>
        </w:tc>
        <w:tc>
          <w:tcPr>
            <w:tcW w:w="1090"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1.4%</w:t>
            </w:r>
          </w:p>
        </w:tc>
        <w:tc>
          <w:tcPr>
            <w:tcW w:w="988"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4.0%</w:t>
            </w:r>
          </w:p>
        </w:tc>
        <w:tc>
          <w:tcPr>
            <w:tcW w:w="874"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1.3%</w:t>
            </w:r>
          </w:p>
        </w:tc>
        <w:tc>
          <w:tcPr>
            <w:tcW w:w="960" w:type="dxa"/>
            <w:tcBorders>
              <w:top w:val="nil"/>
              <w:left w:val="nil"/>
              <w:bottom w:val="single" w:sz="4" w:space="0" w:color="auto"/>
              <w:right w:val="single" w:sz="4" w:space="0" w:color="auto"/>
            </w:tcBorders>
            <w:shd w:val="clear" w:color="auto" w:fill="auto"/>
            <w:noWrap/>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4.6%</w:t>
            </w:r>
          </w:p>
        </w:tc>
        <w:tc>
          <w:tcPr>
            <w:tcW w:w="997"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5668</w:t>
            </w:r>
          </w:p>
        </w:tc>
      </w:tr>
      <w:tr w:rsidR="00634C88" w:rsidRPr="00DC45B2" w:rsidTr="009A1ABE">
        <w:trPr>
          <w:trHeight w:val="300"/>
        </w:trPr>
        <w:tc>
          <w:tcPr>
            <w:tcW w:w="1842" w:type="dxa"/>
            <w:tcBorders>
              <w:top w:val="nil"/>
              <w:left w:val="single" w:sz="4" w:space="0" w:color="auto"/>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rPr>
                <w:rFonts w:eastAsia="Times New Roman" w:cs="Calibri"/>
                <w:color w:val="000000"/>
              </w:rPr>
            </w:pPr>
            <w:r w:rsidRPr="00DC45B2">
              <w:rPr>
                <w:rFonts w:eastAsia="Times New Roman" w:cs="Calibri"/>
                <w:color w:val="000000"/>
              </w:rPr>
              <w:t>Vermont</w:t>
            </w:r>
          </w:p>
        </w:tc>
        <w:tc>
          <w:tcPr>
            <w:tcW w:w="1129"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97.7%</w:t>
            </w:r>
          </w:p>
        </w:tc>
        <w:tc>
          <w:tcPr>
            <w:tcW w:w="1090"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0.5%</w:t>
            </w:r>
          </w:p>
        </w:tc>
        <w:tc>
          <w:tcPr>
            <w:tcW w:w="988"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0.1%</w:t>
            </w:r>
          </w:p>
        </w:tc>
        <w:tc>
          <w:tcPr>
            <w:tcW w:w="874"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0.2%</w:t>
            </w:r>
          </w:p>
        </w:tc>
        <w:tc>
          <w:tcPr>
            <w:tcW w:w="960" w:type="dxa"/>
            <w:tcBorders>
              <w:top w:val="nil"/>
              <w:left w:val="nil"/>
              <w:bottom w:val="single" w:sz="4" w:space="0" w:color="auto"/>
              <w:right w:val="single" w:sz="4" w:space="0" w:color="auto"/>
            </w:tcBorders>
            <w:shd w:val="clear" w:color="auto" w:fill="auto"/>
            <w:noWrap/>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1.5%</w:t>
            </w:r>
          </w:p>
        </w:tc>
        <w:tc>
          <w:tcPr>
            <w:tcW w:w="997"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2805</w:t>
            </w:r>
          </w:p>
        </w:tc>
      </w:tr>
      <w:tr w:rsidR="00634C88" w:rsidRPr="00DC45B2" w:rsidTr="009A1ABE">
        <w:trPr>
          <w:trHeight w:val="300"/>
        </w:trPr>
        <w:tc>
          <w:tcPr>
            <w:tcW w:w="1842" w:type="dxa"/>
            <w:tcBorders>
              <w:top w:val="nil"/>
              <w:left w:val="single" w:sz="4" w:space="0" w:color="auto"/>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rPr>
                <w:rFonts w:eastAsia="Times New Roman" w:cs="Calibri"/>
                <w:color w:val="000000"/>
              </w:rPr>
            </w:pPr>
            <w:r w:rsidRPr="00DC45B2">
              <w:rPr>
                <w:rFonts w:eastAsia="Times New Roman" w:cs="Calibri"/>
                <w:color w:val="000000"/>
              </w:rPr>
              <w:t>Virginia</w:t>
            </w:r>
          </w:p>
        </w:tc>
        <w:tc>
          <w:tcPr>
            <w:tcW w:w="1129"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71.8%</w:t>
            </w:r>
          </w:p>
        </w:tc>
        <w:tc>
          <w:tcPr>
            <w:tcW w:w="1090"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24.2%</w:t>
            </w:r>
          </w:p>
        </w:tc>
        <w:tc>
          <w:tcPr>
            <w:tcW w:w="988"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0.9%</w:t>
            </w:r>
          </w:p>
        </w:tc>
        <w:tc>
          <w:tcPr>
            <w:tcW w:w="874"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1.2%</w:t>
            </w:r>
          </w:p>
        </w:tc>
        <w:tc>
          <w:tcPr>
            <w:tcW w:w="960" w:type="dxa"/>
            <w:tcBorders>
              <w:top w:val="nil"/>
              <w:left w:val="nil"/>
              <w:bottom w:val="single" w:sz="4" w:space="0" w:color="auto"/>
              <w:right w:val="single" w:sz="4" w:space="0" w:color="auto"/>
            </w:tcBorders>
            <w:shd w:val="clear" w:color="auto" w:fill="auto"/>
            <w:noWrap/>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1.9%</w:t>
            </w:r>
          </w:p>
        </w:tc>
        <w:tc>
          <w:tcPr>
            <w:tcW w:w="997"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29379</w:t>
            </w:r>
          </w:p>
        </w:tc>
      </w:tr>
      <w:tr w:rsidR="00634C88" w:rsidRPr="00DC45B2" w:rsidTr="009A1ABE">
        <w:trPr>
          <w:trHeight w:val="300"/>
        </w:trPr>
        <w:tc>
          <w:tcPr>
            <w:tcW w:w="1842" w:type="dxa"/>
            <w:tcBorders>
              <w:top w:val="nil"/>
              <w:left w:val="single" w:sz="4" w:space="0" w:color="auto"/>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rPr>
                <w:rFonts w:eastAsia="Times New Roman" w:cs="Calibri"/>
                <w:color w:val="000000"/>
              </w:rPr>
            </w:pPr>
            <w:r w:rsidRPr="00DC45B2">
              <w:rPr>
                <w:rFonts w:eastAsia="Times New Roman" w:cs="Calibri"/>
                <w:color w:val="000000"/>
              </w:rPr>
              <w:t>Washington</w:t>
            </w:r>
          </w:p>
        </w:tc>
        <w:tc>
          <w:tcPr>
            <w:tcW w:w="1129"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86.3%</w:t>
            </w:r>
          </w:p>
        </w:tc>
        <w:tc>
          <w:tcPr>
            <w:tcW w:w="1090"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3.6%</w:t>
            </w:r>
          </w:p>
        </w:tc>
        <w:tc>
          <w:tcPr>
            <w:tcW w:w="988"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2.2%</w:t>
            </w:r>
          </w:p>
        </w:tc>
        <w:tc>
          <w:tcPr>
            <w:tcW w:w="874"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3.6%</w:t>
            </w:r>
          </w:p>
        </w:tc>
        <w:tc>
          <w:tcPr>
            <w:tcW w:w="960" w:type="dxa"/>
            <w:tcBorders>
              <w:top w:val="nil"/>
              <w:left w:val="nil"/>
              <w:bottom w:val="single" w:sz="4" w:space="0" w:color="auto"/>
              <w:right w:val="single" w:sz="4" w:space="0" w:color="auto"/>
            </w:tcBorders>
            <w:shd w:val="clear" w:color="auto" w:fill="auto"/>
            <w:noWrap/>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4.4%</w:t>
            </w:r>
          </w:p>
        </w:tc>
        <w:tc>
          <w:tcPr>
            <w:tcW w:w="997"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17794</w:t>
            </w:r>
          </w:p>
        </w:tc>
      </w:tr>
      <w:tr w:rsidR="00634C88" w:rsidRPr="00DC45B2" w:rsidTr="009A1ABE">
        <w:trPr>
          <w:trHeight w:val="300"/>
        </w:trPr>
        <w:tc>
          <w:tcPr>
            <w:tcW w:w="1842" w:type="dxa"/>
            <w:tcBorders>
              <w:top w:val="nil"/>
              <w:left w:val="single" w:sz="4" w:space="0" w:color="auto"/>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rPr>
                <w:rFonts w:eastAsia="Times New Roman" w:cs="Calibri"/>
                <w:color w:val="000000"/>
              </w:rPr>
            </w:pPr>
            <w:r w:rsidRPr="00DC45B2">
              <w:rPr>
                <w:rFonts w:eastAsia="Times New Roman" w:cs="Calibri"/>
                <w:color w:val="000000"/>
              </w:rPr>
              <w:t>West Virginia</w:t>
            </w:r>
          </w:p>
        </w:tc>
        <w:tc>
          <w:tcPr>
            <w:tcW w:w="1129"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94.1%</w:t>
            </w:r>
          </w:p>
        </w:tc>
        <w:tc>
          <w:tcPr>
            <w:tcW w:w="1090"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3.0%</w:t>
            </w:r>
          </w:p>
        </w:tc>
        <w:tc>
          <w:tcPr>
            <w:tcW w:w="988"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0.2%</w:t>
            </w:r>
          </w:p>
        </w:tc>
        <w:tc>
          <w:tcPr>
            <w:tcW w:w="874"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rPr>
                <w:rFonts w:eastAsia="Times New Roman" w:cs="Calibri"/>
                <w:color w:val="000000"/>
              </w:rPr>
            </w:pPr>
            <w:r w:rsidRPr="00DC45B2">
              <w:rPr>
                <w:rFonts w:eastAsia="Times New Roman" w:cs="Calibri"/>
                <w:color w:val="000000"/>
              </w:rPr>
              <w:t>*</w:t>
            </w:r>
          </w:p>
        </w:tc>
        <w:tc>
          <w:tcPr>
            <w:tcW w:w="960" w:type="dxa"/>
            <w:tcBorders>
              <w:top w:val="nil"/>
              <w:left w:val="nil"/>
              <w:bottom w:val="single" w:sz="4" w:space="0" w:color="auto"/>
              <w:right w:val="single" w:sz="4" w:space="0" w:color="auto"/>
            </w:tcBorders>
            <w:shd w:val="clear" w:color="auto" w:fill="auto"/>
            <w:noWrap/>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2.7%</w:t>
            </w:r>
          </w:p>
        </w:tc>
        <w:tc>
          <w:tcPr>
            <w:tcW w:w="997"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9610</w:t>
            </w:r>
          </w:p>
        </w:tc>
      </w:tr>
      <w:tr w:rsidR="00634C88" w:rsidRPr="00DC45B2" w:rsidTr="009A1ABE">
        <w:trPr>
          <w:trHeight w:val="300"/>
        </w:trPr>
        <w:tc>
          <w:tcPr>
            <w:tcW w:w="1842" w:type="dxa"/>
            <w:tcBorders>
              <w:top w:val="nil"/>
              <w:left w:val="single" w:sz="4" w:space="0" w:color="auto"/>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rPr>
                <w:rFonts w:eastAsia="Times New Roman" w:cs="Calibri"/>
                <w:color w:val="000000"/>
              </w:rPr>
            </w:pPr>
            <w:r w:rsidRPr="00DC45B2">
              <w:rPr>
                <w:rFonts w:eastAsia="Times New Roman" w:cs="Calibri"/>
                <w:color w:val="000000"/>
              </w:rPr>
              <w:t>Wisconsin</w:t>
            </w:r>
          </w:p>
        </w:tc>
        <w:tc>
          <w:tcPr>
            <w:tcW w:w="1129"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93.6%</w:t>
            </w:r>
          </w:p>
        </w:tc>
        <w:tc>
          <w:tcPr>
            <w:tcW w:w="1090"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3.6%</w:t>
            </w:r>
          </w:p>
        </w:tc>
        <w:tc>
          <w:tcPr>
            <w:tcW w:w="988"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0.8%</w:t>
            </w:r>
          </w:p>
        </w:tc>
        <w:tc>
          <w:tcPr>
            <w:tcW w:w="874"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0.3%</w:t>
            </w:r>
          </w:p>
        </w:tc>
        <w:tc>
          <w:tcPr>
            <w:tcW w:w="960" w:type="dxa"/>
            <w:tcBorders>
              <w:top w:val="nil"/>
              <w:left w:val="nil"/>
              <w:bottom w:val="single" w:sz="4" w:space="0" w:color="auto"/>
              <w:right w:val="single" w:sz="4" w:space="0" w:color="auto"/>
            </w:tcBorders>
            <w:shd w:val="clear" w:color="auto" w:fill="auto"/>
            <w:noWrap/>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1.7%</w:t>
            </w:r>
          </w:p>
        </w:tc>
        <w:tc>
          <w:tcPr>
            <w:tcW w:w="997"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28643</w:t>
            </w:r>
          </w:p>
        </w:tc>
      </w:tr>
      <w:tr w:rsidR="00634C88" w:rsidRPr="00DC45B2" w:rsidTr="009A1ABE">
        <w:trPr>
          <w:trHeight w:val="300"/>
        </w:trPr>
        <w:tc>
          <w:tcPr>
            <w:tcW w:w="1842" w:type="dxa"/>
            <w:tcBorders>
              <w:top w:val="nil"/>
              <w:left w:val="single" w:sz="4" w:space="0" w:color="auto"/>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rPr>
                <w:rFonts w:eastAsia="Times New Roman" w:cs="Calibri"/>
                <w:color w:val="000000"/>
              </w:rPr>
            </w:pPr>
            <w:r w:rsidRPr="00DC45B2">
              <w:rPr>
                <w:rFonts w:eastAsia="Times New Roman" w:cs="Calibri"/>
                <w:color w:val="000000"/>
              </w:rPr>
              <w:t>Wyoming</w:t>
            </w:r>
          </w:p>
        </w:tc>
        <w:tc>
          <w:tcPr>
            <w:tcW w:w="1129"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91.5%</w:t>
            </w:r>
          </w:p>
        </w:tc>
        <w:tc>
          <w:tcPr>
            <w:tcW w:w="1090"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0.6%</w:t>
            </w:r>
          </w:p>
        </w:tc>
        <w:tc>
          <w:tcPr>
            <w:tcW w:w="988"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3.4%</w:t>
            </w:r>
          </w:p>
        </w:tc>
        <w:tc>
          <w:tcPr>
            <w:tcW w:w="874"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0.2%</w:t>
            </w:r>
          </w:p>
        </w:tc>
        <w:tc>
          <w:tcPr>
            <w:tcW w:w="960" w:type="dxa"/>
            <w:tcBorders>
              <w:top w:val="nil"/>
              <w:left w:val="nil"/>
              <w:bottom w:val="single" w:sz="4" w:space="0" w:color="auto"/>
              <w:right w:val="single" w:sz="4" w:space="0" w:color="auto"/>
            </w:tcBorders>
            <w:shd w:val="clear" w:color="auto" w:fill="auto"/>
            <w:noWrap/>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4.4%</w:t>
            </w:r>
          </w:p>
        </w:tc>
        <w:tc>
          <w:tcPr>
            <w:tcW w:w="997" w:type="dxa"/>
            <w:tcBorders>
              <w:top w:val="nil"/>
              <w:left w:val="nil"/>
              <w:bottom w:val="single" w:sz="4" w:space="0" w:color="auto"/>
              <w:right w:val="single" w:sz="4" w:space="0" w:color="auto"/>
            </w:tcBorders>
            <w:shd w:val="clear" w:color="auto" w:fill="auto"/>
            <w:vAlign w:val="center"/>
            <w:hideMark/>
          </w:tcPr>
          <w:p w:rsidR="00634C88" w:rsidRPr="00DC45B2" w:rsidRDefault="00634C88" w:rsidP="003F0347">
            <w:pPr>
              <w:spacing w:after="0" w:line="240" w:lineRule="auto"/>
              <w:jc w:val="right"/>
              <w:rPr>
                <w:rFonts w:eastAsia="Times New Roman" w:cs="Calibri"/>
                <w:color w:val="000000"/>
              </w:rPr>
            </w:pPr>
            <w:r w:rsidRPr="00DC45B2">
              <w:rPr>
                <w:rFonts w:eastAsia="Times New Roman" w:cs="Calibri"/>
                <w:color w:val="000000"/>
              </w:rPr>
              <w:t>2381</w:t>
            </w:r>
          </w:p>
        </w:tc>
      </w:tr>
    </w:tbl>
    <w:p w:rsidR="000714E4" w:rsidRPr="00DC45B2" w:rsidRDefault="000714E4"/>
    <w:p w:rsidR="003F0347" w:rsidRPr="00DC45B2" w:rsidRDefault="003F0347" w:rsidP="003F0347">
      <w:pPr>
        <w:pStyle w:val="Heading1"/>
        <w:rPr>
          <w:rFonts w:asciiTheme="minorHAnsi" w:hAnsiTheme="minorHAnsi"/>
          <w:sz w:val="22"/>
          <w:szCs w:val="22"/>
        </w:rPr>
      </w:pPr>
    </w:p>
    <w:p w:rsidR="003F0347" w:rsidRDefault="003F0347" w:rsidP="003F0347">
      <w:pPr>
        <w:pStyle w:val="Heading1"/>
        <w:rPr>
          <w:rFonts w:asciiTheme="minorHAnsi" w:hAnsiTheme="minorHAnsi"/>
          <w:sz w:val="22"/>
          <w:szCs w:val="22"/>
        </w:rPr>
      </w:pPr>
    </w:p>
    <w:p w:rsidR="00634C88" w:rsidRDefault="00634C88" w:rsidP="00634C88"/>
    <w:p w:rsidR="00634C88" w:rsidRDefault="00634C88" w:rsidP="00634C88"/>
    <w:p w:rsidR="00634C88" w:rsidRDefault="00634C88" w:rsidP="00634C88"/>
    <w:p w:rsidR="00634C88" w:rsidRDefault="00634C88" w:rsidP="00634C88"/>
    <w:p w:rsidR="00634C88" w:rsidRDefault="00634C88" w:rsidP="00634C88"/>
    <w:p w:rsidR="00634C88" w:rsidRPr="00634C88" w:rsidRDefault="00634C88" w:rsidP="00634C88"/>
    <w:p w:rsidR="003F0347" w:rsidRDefault="003F0347" w:rsidP="003F0347"/>
    <w:p w:rsidR="00FA202A" w:rsidRDefault="00FA202A" w:rsidP="003F0347">
      <w:pPr>
        <w:pStyle w:val="Heading1"/>
        <w:rPr>
          <w:rFonts w:asciiTheme="minorHAnsi" w:hAnsiTheme="minorHAnsi"/>
          <w:sz w:val="22"/>
          <w:szCs w:val="22"/>
        </w:rPr>
      </w:pPr>
      <w:bookmarkStart w:id="3" w:name="_Toc378337100"/>
      <w:r w:rsidRPr="00DC45B2">
        <w:rPr>
          <w:rFonts w:asciiTheme="minorHAnsi" w:hAnsiTheme="minorHAnsi"/>
          <w:sz w:val="22"/>
          <w:szCs w:val="22"/>
        </w:rPr>
        <w:lastRenderedPageBreak/>
        <w:t>1c.3 Provide epidemiologic or resource use data that demonstrates the measure addresses a high priority aspect of healthcare</w:t>
      </w:r>
      <w:bookmarkEnd w:id="3"/>
    </w:p>
    <w:p w:rsidR="00FA202A" w:rsidRPr="00DC45B2" w:rsidRDefault="003F0347">
      <w:r w:rsidRPr="00DC45B2">
        <w:t>THE FLOW OF MEDICARE BENEFICIARIES AFTER DISCHARGE FROM AN ACUTE CARE HOSPITAL</w:t>
      </w:r>
    </w:p>
    <w:p w:rsidR="003F0347" w:rsidRPr="00DC45B2" w:rsidRDefault="003F0347">
      <w:pPr>
        <w:rPr>
          <w:b/>
        </w:rPr>
      </w:pPr>
      <w:r w:rsidRPr="00DC45B2">
        <w:rPr>
          <w:noProof/>
        </w:rPr>
        <w:drawing>
          <wp:inline distT="0" distB="0" distL="0" distR="0" wp14:anchorId="3B57EAD1" wp14:editId="36D8339C">
            <wp:extent cx="4572638" cy="342947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572638" cy="3429479"/>
                    </a:xfrm>
                    <a:prstGeom prst="rect">
                      <a:avLst/>
                    </a:prstGeom>
                  </pic:spPr>
                </pic:pic>
              </a:graphicData>
            </a:graphic>
          </wp:inline>
        </w:drawing>
      </w:r>
    </w:p>
    <w:p w:rsidR="003F0347" w:rsidRPr="00DC45B2" w:rsidRDefault="003F0347">
      <w:pPr>
        <w:rPr>
          <w:b/>
        </w:rPr>
      </w:pPr>
    </w:p>
    <w:p w:rsidR="003F0347" w:rsidRPr="00DC45B2" w:rsidRDefault="003F0347">
      <w:pPr>
        <w:rPr>
          <w:b/>
        </w:rPr>
      </w:pPr>
    </w:p>
    <w:p w:rsidR="003F0347" w:rsidRPr="00DC45B2" w:rsidRDefault="003F0347">
      <w:pPr>
        <w:rPr>
          <w:b/>
        </w:rPr>
      </w:pPr>
    </w:p>
    <w:p w:rsidR="003F0347" w:rsidRPr="00DC45B2" w:rsidRDefault="003F0347">
      <w:pPr>
        <w:rPr>
          <w:b/>
        </w:rPr>
      </w:pPr>
    </w:p>
    <w:p w:rsidR="003F0347" w:rsidRPr="00DC45B2" w:rsidRDefault="003F0347">
      <w:pPr>
        <w:rPr>
          <w:b/>
        </w:rPr>
      </w:pPr>
    </w:p>
    <w:p w:rsidR="003F0347" w:rsidRPr="00DC45B2" w:rsidRDefault="003F0347">
      <w:pPr>
        <w:rPr>
          <w:b/>
        </w:rPr>
      </w:pPr>
    </w:p>
    <w:p w:rsidR="003F0347" w:rsidRPr="00DC45B2" w:rsidRDefault="003F0347">
      <w:pPr>
        <w:rPr>
          <w:b/>
        </w:rPr>
      </w:pPr>
    </w:p>
    <w:p w:rsidR="003F0347" w:rsidRPr="00DC45B2" w:rsidRDefault="003F0347">
      <w:pPr>
        <w:rPr>
          <w:b/>
        </w:rPr>
      </w:pPr>
    </w:p>
    <w:p w:rsidR="003F0347" w:rsidRPr="00DC45B2" w:rsidRDefault="003F0347">
      <w:pPr>
        <w:rPr>
          <w:b/>
        </w:rPr>
      </w:pPr>
    </w:p>
    <w:p w:rsidR="003F0347" w:rsidRPr="00DC45B2" w:rsidRDefault="003F0347">
      <w:pPr>
        <w:rPr>
          <w:b/>
        </w:rPr>
      </w:pPr>
    </w:p>
    <w:p w:rsidR="00DC45B2" w:rsidRPr="00DC45B2" w:rsidRDefault="00DC45B2">
      <w:pPr>
        <w:rPr>
          <w:b/>
        </w:rPr>
      </w:pPr>
    </w:p>
    <w:p w:rsidR="009A1ABE" w:rsidRPr="009A1ABE" w:rsidRDefault="003F0347" w:rsidP="00634C88">
      <w:pPr>
        <w:pStyle w:val="Heading1"/>
      </w:pPr>
      <w:bookmarkStart w:id="4" w:name="_Toc378337101"/>
      <w:r w:rsidRPr="00DC45B2">
        <w:rPr>
          <w:rFonts w:asciiTheme="minorHAnsi" w:hAnsiTheme="minorHAnsi"/>
          <w:sz w:val="22"/>
          <w:szCs w:val="22"/>
        </w:rPr>
        <w:lastRenderedPageBreak/>
        <w:t xml:space="preserve">Comparison of CMS’s </w:t>
      </w:r>
      <w:r w:rsidR="009A1ABE" w:rsidRPr="00DC45B2">
        <w:rPr>
          <w:rFonts w:asciiTheme="minorHAnsi" w:hAnsiTheme="minorHAnsi"/>
          <w:sz w:val="22"/>
          <w:szCs w:val="22"/>
        </w:rPr>
        <w:t>skilled nursing fa</w:t>
      </w:r>
      <w:r w:rsidR="009A1ABE">
        <w:rPr>
          <w:rFonts w:asciiTheme="minorHAnsi" w:hAnsiTheme="minorHAnsi"/>
          <w:sz w:val="22"/>
          <w:szCs w:val="22"/>
        </w:rPr>
        <w:t>cility readmission measure and PointRight OnP</w:t>
      </w:r>
      <w:r w:rsidR="009A1ABE" w:rsidRPr="00DC45B2">
        <w:rPr>
          <w:rFonts w:asciiTheme="minorHAnsi" w:hAnsiTheme="minorHAnsi"/>
          <w:sz w:val="22"/>
          <w:szCs w:val="22"/>
        </w:rPr>
        <w:t xml:space="preserve">oint-30 </w:t>
      </w:r>
      <w:r w:rsidR="009A1ABE">
        <w:rPr>
          <w:rFonts w:asciiTheme="minorHAnsi" w:hAnsiTheme="minorHAnsi"/>
          <w:sz w:val="22"/>
          <w:szCs w:val="22"/>
        </w:rPr>
        <w:t xml:space="preserve">SNF </w:t>
      </w:r>
      <w:r w:rsidR="009A1ABE" w:rsidRPr="00DC45B2">
        <w:rPr>
          <w:rFonts w:asciiTheme="minorHAnsi" w:hAnsiTheme="minorHAnsi"/>
          <w:sz w:val="22"/>
          <w:szCs w:val="22"/>
        </w:rPr>
        <w:t>rehospitalization</w:t>
      </w:r>
      <w:r w:rsidR="009A1ABE">
        <w:rPr>
          <w:rFonts w:asciiTheme="minorHAnsi" w:hAnsiTheme="minorHAnsi"/>
          <w:sz w:val="22"/>
          <w:szCs w:val="22"/>
        </w:rPr>
        <w:t>s</w:t>
      </w:r>
      <w:bookmarkEnd w:id="4"/>
    </w:p>
    <w:p w:rsidR="003F0347" w:rsidRPr="00DC45B2" w:rsidRDefault="003F0347" w:rsidP="003F0347">
      <w:pPr>
        <w:ind w:firstLine="720"/>
        <w:rPr>
          <w:rFonts w:cs="Times New Roman"/>
        </w:rPr>
      </w:pPr>
      <w:r w:rsidRPr="00DC45B2">
        <w:rPr>
          <w:rFonts w:cs="Times New Roman"/>
        </w:rPr>
        <w:t xml:space="preserve">CMS and AHCA </w:t>
      </w:r>
      <w:r w:rsidR="003D724E" w:rsidRPr="00DC45B2">
        <w:rPr>
          <w:rFonts w:cs="Times New Roman"/>
        </w:rPr>
        <w:t xml:space="preserve">both </w:t>
      </w:r>
      <w:r w:rsidRPr="00DC45B2">
        <w:rPr>
          <w:rFonts w:cs="Times New Roman"/>
        </w:rPr>
        <w:t>have developed</w:t>
      </w:r>
      <w:r w:rsidR="003D724E">
        <w:rPr>
          <w:rFonts w:cs="Times New Roman"/>
        </w:rPr>
        <w:t xml:space="preserve"> 30 </w:t>
      </w:r>
      <w:r w:rsidRPr="00DC45B2">
        <w:rPr>
          <w:rFonts w:cs="Times New Roman"/>
        </w:rPr>
        <w:t xml:space="preserve">day </w:t>
      </w:r>
      <w:r w:rsidR="00DC45B2" w:rsidRPr="00DC45B2">
        <w:rPr>
          <w:rFonts w:cs="Times New Roman"/>
        </w:rPr>
        <w:t xml:space="preserve">rehospitalization </w:t>
      </w:r>
      <w:r w:rsidRPr="00DC45B2">
        <w:rPr>
          <w:rFonts w:cs="Times New Roman"/>
        </w:rPr>
        <w:t xml:space="preserve"> measures for submission to the National Quality Forum (NQF) for consideration for endorsement.  In anticipation of this submission, CMS and AHCA initiated discussions in September</w:t>
      </w:r>
      <w:r w:rsidR="003D724E">
        <w:rPr>
          <w:rFonts w:cs="Times New Roman"/>
        </w:rPr>
        <w:t>,</w:t>
      </w:r>
      <w:r w:rsidRPr="00DC45B2">
        <w:rPr>
          <w:rFonts w:cs="Times New Roman"/>
        </w:rPr>
        <w:t xml:space="preserve"> 2013 to assess any opportunities for alignment and harmonization.  These discussions have included consideration of the conceptual framework of the measures, the available data sources, and the intended programmatic use of the measures by both agen</w:t>
      </w:r>
      <w:r w:rsidR="009C6F64">
        <w:rPr>
          <w:rFonts w:cs="Times New Roman"/>
        </w:rPr>
        <w:t xml:space="preserve">cies. </w:t>
      </w:r>
      <w:r w:rsidRPr="00DC45B2">
        <w:rPr>
          <w:rFonts w:cs="Times New Roman"/>
        </w:rPr>
        <w:t xml:space="preserve">CMS and AHCA have come to the mutual conclusion that these measures are fundamentally distinct but complimentary and each deserves NQF consideration for endorsement on its merits.  </w:t>
      </w:r>
    </w:p>
    <w:p w:rsidR="003F0347" w:rsidRPr="00DC45B2" w:rsidRDefault="003F0347" w:rsidP="003F0347">
      <w:pPr>
        <w:ind w:firstLine="720"/>
        <w:rPr>
          <w:rFonts w:cs="Times New Roman"/>
        </w:rPr>
      </w:pPr>
      <w:r w:rsidRPr="00DC45B2">
        <w:rPr>
          <w:rFonts w:cs="Times New Roman"/>
        </w:rPr>
        <w:t>Table 1 below presents a side by side comparison of CMS’s Skilled Nursing Facility Readmission Measure (SNFRM) and the PointRight OnPoint</w:t>
      </w:r>
      <w:r w:rsidR="00DC45B2" w:rsidRPr="00DC45B2">
        <w:rPr>
          <w:rFonts w:cs="Times New Roman"/>
        </w:rPr>
        <w:t>-</w:t>
      </w:r>
      <w:r w:rsidRPr="00DC45B2">
        <w:rPr>
          <w:rFonts w:cs="Times New Roman"/>
        </w:rPr>
        <w:t xml:space="preserve">30 </w:t>
      </w:r>
      <w:r w:rsidR="009C6F64">
        <w:rPr>
          <w:rFonts w:cs="Times New Roman"/>
        </w:rPr>
        <w:t>rehospitalization</w:t>
      </w:r>
      <w:r w:rsidRPr="00DC45B2">
        <w:rPr>
          <w:rFonts w:cs="Times New Roman"/>
        </w:rPr>
        <w:t xml:space="preserve"> metric provided by AHCA. The SNFRM and </w:t>
      </w:r>
      <w:r w:rsidR="009C6F64">
        <w:rPr>
          <w:rFonts w:cs="Times New Roman"/>
        </w:rPr>
        <w:t xml:space="preserve">PointRight </w:t>
      </w:r>
      <w:r w:rsidRPr="00DC45B2">
        <w:rPr>
          <w:rFonts w:cs="Times New Roman"/>
        </w:rPr>
        <w:t>OnPoint-30 measure each provide different insights into the issue of hospital readmissions from skilled nursing facilities (SNFs) and we believe these are worth preserving in separate endorsed quality measures.</w:t>
      </w:r>
    </w:p>
    <w:p w:rsidR="003F0347" w:rsidRPr="00DC45B2" w:rsidRDefault="003F0347" w:rsidP="003F0347">
      <w:pPr>
        <w:pStyle w:val="ListParagraph"/>
        <w:numPr>
          <w:ilvl w:val="0"/>
          <w:numId w:val="2"/>
        </w:numPr>
        <w:rPr>
          <w:rFonts w:cs="Times New Roman"/>
        </w:rPr>
      </w:pPr>
      <w:r w:rsidRPr="00DC45B2">
        <w:rPr>
          <w:rFonts w:cs="Times New Roman"/>
        </w:rPr>
        <w:t>Measure Purpose</w:t>
      </w:r>
    </w:p>
    <w:p w:rsidR="003F0347" w:rsidRPr="00DC45B2" w:rsidRDefault="003F0347" w:rsidP="003F0347">
      <w:pPr>
        <w:ind w:left="360"/>
        <w:rPr>
          <w:rFonts w:cs="Times New Roman"/>
        </w:rPr>
      </w:pPr>
      <w:r w:rsidRPr="00DC45B2">
        <w:rPr>
          <w:rFonts w:cs="Times New Roman"/>
        </w:rPr>
        <w:t xml:space="preserve">Both the SNFRM and </w:t>
      </w:r>
      <w:r w:rsidR="009C6F64">
        <w:rPr>
          <w:rFonts w:cs="Times New Roman"/>
        </w:rPr>
        <w:t xml:space="preserve">PointRight </w:t>
      </w:r>
      <w:r w:rsidRPr="00DC45B2">
        <w:rPr>
          <w:rFonts w:cs="Times New Roman"/>
        </w:rPr>
        <w:t>OnPoint-30 are designed to generate retrospective reports on the quality of care provided by SNFs that can be used for benchmarking facilities’ performance, and as a basis for performance incentives.  In addition, the</w:t>
      </w:r>
      <w:r w:rsidR="009C6F64">
        <w:rPr>
          <w:rFonts w:cs="Times New Roman"/>
        </w:rPr>
        <w:t xml:space="preserve"> PointRight</w:t>
      </w:r>
      <w:r w:rsidRPr="00DC45B2">
        <w:rPr>
          <w:rFonts w:cs="Times New Roman"/>
        </w:rPr>
        <w:t xml:space="preserve"> OnPoint-30 measure is based on MDS data allowing it to be calculated more timely and frequently than claims and thus is potentially suitable for monitoring progress in quality improvement efforts </w:t>
      </w:r>
    </w:p>
    <w:p w:rsidR="003F0347" w:rsidRPr="00DC45B2" w:rsidRDefault="003F0347" w:rsidP="003F0347">
      <w:pPr>
        <w:ind w:left="360"/>
        <w:rPr>
          <w:rFonts w:cs="Times New Roman"/>
        </w:rPr>
      </w:pPr>
      <w:r w:rsidRPr="00DC45B2">
        <w:rPr>
          <w:rFonts w:cs="Times New Roman"/>
        </w:rPr>
        <w:t xml:space="preserve">The two measures focus on SNF patients but have different denominator definitions. The SNFRM is a measure of SNFs’ performance among Medicare FFS patients only; the OnPoint-30 measure is an all-payer measure, </w:t>
      </w:r>
      <w:r w:rsidR="009C6F64" w:rsidRPr="00DC45B2">
        <w:rPr>
          <w:rFonts w:cs="Times New Roman"/>
        </w:rPr>
        <w:t>which includes</w:t>
      </w:r>
      <w:r w:rsidRPr="00DC45B2">
        <w:rPr>
          <w:rFonts w:cs="Times New Roman"/>
        </w:rPr>
        <w:t xml:space="preserve"> Medicare Advantage patients as well as those covered by Medi</w:t>
      </w:r>
      <w:r w:rsidR="009C6F64">
        <w:rPr>
          <w:rFonts w:cs="Times New Roman"/>
        </w:rPr>
        <w:t xml:space="preserve">caid and commercial insurance. </w:t>
      </w:r>
      <w:r w:rsidRPr="00DC45B2">
        <w:rPr>
          <w:rFonts w:cs="Times New Roman"/>
        </w:rPr>
        <w:t xml:space="preserve">The SNFRM measure does not include patients with non-Medicare qualifying hospital stays (e.g. hospital stays &lt; three days or stays in observation status only) while the </w:t>
      </w:r>
      <w:r w:rsidR="009C6F64">
        <w:rPr>
          <w:rFonts w:cs="Times New Roman"/>
        </w:rPr>
        <w:t>PointRight OnPoint-</w:t>
      </w:r>
      <w:r w:rsidRPr="00DC45B2">
        <w:rPr>
          <w:rFonts w:cs="Times New Roman"/>
        </w:rPr>
        <w:t xml:space="preserve">30 includes these individuals. The </w:t>
      </w:r>
      <w:r w:rsidR="009C6F64">
        <w:rPr>
          <w:rFonts w:cs="Times New Roman"/>
        </w:rPr>
        <w:t>PointRight OnPoint-30 measure includes re</w:t>
      </w:r>
      <w:r w:rsidRPr="00DC45B2">
        <w:rPr>
          <w:rFonts w:cs="Times New Roman"/>
        </w:rPr>
        <w:t xml:space="preserve">admissions to the SNF in the denominator because the measure’s developers view “revolving door” SNF to hospital to SNF transfers as a clinical quality problem that should lower a facility’s quality score if it happens. </w:t>
      </w:r>
    </w:p>
    <w:p w:rsidR="003F0347" w:rsidRPr="00DC45B2" w:rsidRDefault="003F0347" w:rsidP="003F0347">
      <w:pPr>
        <w:ind w:left="360"/>
        <w:rPr>
          <w:rFonts w:cs="Times New Roman"/>
        </w:rPr>
      </w:pPr>
      <w:r w:rsidRPr="00DC45B2">
        <w:rPr>
          <w:rFonts w:cs="Times New Roman"/>
        </w:rPr>
        <w:t>Both the SNFRM and the PointRight OnPoint-30 measure</w:t>
      </w:r>
      <w:r w:rsidR="00AF2B49">
        <w:rPr>
          <w:rFonts w:cs="Times New Roman"/>
        </w:rPr>
        <w:t>s</w:t>
      </w:r>
      <w:r w:rsidRPr="00DC45B2">
        <w:rPr>
          <w:rFonts w:cs="Times New Roman"/>
        </w:rPr>
        <w:t xml:space="preserve"> measure hospital readmissions attributable to the facility but define the numerator differently.  The SNFRM has an algorithm for identifying readmissions likely to have been planned </w:t>
      </w:r>
      <w:r w:rsidR="00BC58C4" w:rsidRPr="00DC45B2">
        <w:rPr>
          <w:rFonts w:cs="Times New Roman"/>
        </w:rPr>
        <w:t>and removing</w:t>
      </w:r>
      <w:r w:rsidRPr="00DC45B2">
        <w:rPr>
          <w:rFonts w:cs="Times New Roman"/>
        </w:rPr>
        <w:t xml:space="preserve"> them from the numerator and the</w:t>
      </w:r>
      <w:r w:rsidR="00DC45B2" w:rsidRPr="00DC45B2">
        <w:rPr>
          <w:rFonts w:cs="Times New Roman"/>
        </w:rPr>
        <w:t xml:space="preserve"> denominator, which the PointRight OnPoint-</w:t>
      </w:r>
      <w:r w:rsidRPr="00DC45B2">
        <w:rPr>
          <w:rFonts w:cs="Times New Roman"/>
        </w:rPr>
        <w:t xml:space="preserve">30 measure does not.  The SNFRM excludes observation stays from the numerator while </w:t>
      </w:r>
      <w:r w:rsidR="00DC45B2" w:rsidRPr="00DC45B2">
        <w:rPr>
          <w:rFonts w:cs="Times New Roman"/>
        </w:rPr>
        <w:t>PointR</w:t>
      </w:r>
      <w:bookmarkStart w:id="5" w:name="_GoBack"/>
      <w:bookmarkEnd w:id="5"/>
      <w:r w:rsidR="00DC45B2" w:rsidRPr="00DC45B2">
        <w:rPr>
          <w:rFonts w:cs="Times New Roman"/>
        </w:rPr>
        <w:t>ight OnPoint-</w:t>
      </w:r>
      <w:r w:rsidRPr="00DC45B2">
        <w:rPr>
          <w:rFonts w:cs="Times New Roman"/>
        </w:rPr>
        <w:t xml:space="preserve">30 includes them.  The SNFRM includes in the numerator hospitalizations from the community that occurred between the date of SNF discharge and 30 days post SNF admission from the hospital while </w:t>
      </w:r>
      <w:r w:rsidR="00DC45B2" w:rsidRPr="00DC45B2">
        <w:rPr>
          <w:rFonts w:cs="Times New Roman"/>
        </w:rPr>
        <w:t xml:space="preserve">PointRight </w:t>
      </w:r>
      <w:r w:rsidRPr="00DC45B2">
        <w:rPr>
          <w:rFonts w:cs="Times New Roman"/>
        </w:rPr>
        <w:t>OnPoint</w:t>
      </w:r>
      <w:r w:rsidR="00DC45B2" w:rsidRPr="00DC45B2">
        <w:rPr>
          <w:rFonts w:cs="Times New Roman"/>
        </w:rPr>
        <w:t>-30</w:t>
      </w:r>
      <w:r w:rsidRPr="00DC45B2">
        <w:rPr>
          <w:rFonts w:cs="Times New Roman"/>
        </w:rPr>
        <w:t xml:space="preserve"> measures rehospitalizations that only occur during the SNF stay. </w:t>
      </w:r>
    </w:p>
    <w:p w:rsidR="003F0347" w:rsidRPr="00DC45B2" w:rsidRDefault="003F0347" w:rsidP="003F0347">
      <w:pPr>
        <w:pStyle w:val="ListParagraph"/>
        <w:numPr>
          <w:ilvl w:val="0"/>
          <w:numId w:val="2"/>
        </w:numPr>
        <w:rPr>
          <w:rFonts w:cs="Times New Roman"/>
        </w:rPr>
      </w:pPr>
      <w:r w:rsidRPr="00DC45B2">
        <w:rPr>
          <w:rFonts w:cs="Times New Roman"/>
        </w:rPr>
        <w:t>Exclusions</w:t>
      </w:r>
    </w:p>
    <w:p w:rsidR="003F0347" w:rsidRPr="00DC45B2" w:rsidRDefault="003F0347" w:rsidP="003F0347">
      <w:pPr>
        <w:pStyle w:val="ListParagraph"/>
        <w:numPr>
          <w:ilvl w:val="1"/>
          <w:numId w:val="2"/>
        </w:numPr>
        <w:rPr>
          <w:rFonts w:cs="Times New Roman"/>
        </w:rPr>
      </w:pPr>
      <w:r w:rsidRPr="00DC45B2">
        <w:rPr>
          <w:rFonts w:cs="Times New Roman"/>
        </w:rPr>
        <w:lastRenderedPageBreak/>
        <w:t xml:space="preserve">The SNFRM excludes planned readmissions, observation stays, and readmissions for medical cancer treatment in alignment with the (NQF# 1789) Hospital-Wide Readmission Measure and other condition-specific measures currently implemented in quality reporting and value-based purchasing programs at CMS.  </w:t>
      </w:r>
    </w:p>
    <w:p w:rsidR="003F0347" w:rsidRPr="00BC58C4" w:rsidRDefault="00BC58C4" w:rsidP="00BC58C4">
      <w:pPr>
        <w:pStyle w:val="ListParagraph"/>
        <w:numPr>
          <w:ilvl w:val="1"/>
          <w:numId w:val="2"/>
        </w:numPr>
        <w:rPr>
          <w:rFonts w:cs="Times New Roman"/>
        </w:rPr>
      </w:pPr>
      <w:r>
        <w:rPr>
          <w:rFonts w:cs="Times New Roman"/>
        </w:rPr>
        <w:t>PointRight</w:t>
      </w:r>
      <w:r w:rsidR="003F0347" w:rsidRPr="00DC45B2">
        <w:rPr>
          <w:rFonts w:cs="Times New Roman"/>
        </w:rPr>
        <w:t xml:space="preserve"> OnPoint-30 do</w:t>
      </w:r>
      <w:r>
        <w:rPr>
          <w:rFonts w:cs="Times New Roman"/>
        </w:rPr>
        <w:t>es not contain such exclusions.</w:t>
      </w:r>
    </w:p>
    <w:p w:rsidR="003F0347" w:rsidRPr="00DC45B2" w:rsidRDefault="003F0347" w:rsidP="003F0347">
      <w:pPr>
        <w:pStyle w:val="ListParagraph"/>
        <w:numPr>
          <w:ilvl w:val="0"/>
          <w:numId w:val="2"/>
        </w:numPr>
        <w:rPr>
          <w:rFonts w:cs="Times New Roman"/>
        </w:rPr>
      </w:pPr>
      <w:r w:rsidRPr="00DC45B2">
        <w:rPr>
          <w:rFonts w:cs="Times New Roman"/>
        </w:rPr>
        <w:t>Risk-Adjustment</w:t>
      </w:r>
    </w:p>
    <w:p w:rsidR="00773C0E" w:rsidRDefault="003F0347" w:rsidP="003F0347">
      <w:pPr>
        <w:pStyle w:val="ListParagraph"/>
        <w:numPr>
          <w:ilvl w:val="1"/>
          <w:numId w:val="2"/>
        </w:numPr>
        <w:rPr>
          <w:rFonts w:cs="Times New Roman"/>
        </w:rPr>
      </w:pPr>
      <w:r w:rsidRPr="00DC45B2">
        <w:rPr>
          <w:rFonts w:cs="Times New Roman"/>
        </w:rPr>
        <w:t xml:space="preserve">Both measures provide risk adjustment strategy based on logistic regression of multiple demographic and clinical characteristics but rely on different sources of data for the information and as such have different list of variables. </w:t>
      </w:r>
    </w:p>
    <w:p w:rsidR="003F0347" w:rsidRPr="00DC45B2" w:rsidRDefault="003F0347" w:rsidP="003F0347">
      <w:pPr>
        <w:pStyle w:val="ListParagraph"/>
        <w:numPr>
          <w:ilvl w:val="1"/>
          <w:numId w:val="2"/>
        </w:numPr>
        <w:rPr>
          <w:rFonts w:cs="Times New Roman"/>
        </w:rPr>
      </w:pPr>
      <w:r w:rsidRPr="00DC45B2">
        <w:rPr>
          <w:rFonts w:cs="Times New Roman"/>
        </w:rPr>
        <w:t xml:space="preserve">The SNFRM measure provides a robust risk-adjustment that provides comparable accounting for patient risk reported by the hospital on claims and is similar to prior CMS readmissions measures.  This model makes use of demographic characteristics, comorbidities, and treatment characteristics obtained through hospital and SNF claims data. The full list of indicators is available in the submitted documentation.  </w:t>
      </w:r>
    </w:p>
    <w:p w:rsidR="003F0347" w:rsidRPr="00DC45B2" w:rsidRDefault="00773C0E" w:rsidP="003F0347">
      <w:pPr>
        <w:pStyle w:val="ListParagraph"/>
        <w:numPr>
          <w:ilvl w:val="1"/>
          <w:numId w:val="2"/>
        </w:numPr>
        <w:rPr>
          <w:rFonts w:cs="Times New Roman"/>
        </w:rPr>
      </w:pPr>
      <w:r>
        <w:rPr>
          <w:rFonts w:cs="Times New Roman"/>
        </w:rPr>
        <w:t>PointRight</w:t>
      </w:r>
      <w:r w:rsidR="003F0347" w:rsidRPr="00DC45B2">
        <w:rPr>
          <w:rFonts w:cs="Times New Roman"/>
        </w:rPr>
        <w:t xml:space="preserve"> OnPoint-30 makes use of demographic, comorbidity and treatment characteristics as well</w:t>
      </w:r>
      <w:r>
        <w:rPr>
          <w:rFonts w:cs="Times New Roman"/>
        </w:rPr>
        <w:t>,</w:t>
      </w:r>
      <w:r w:rsidR="003F0347" w:rsidRPr="00DC45B2">
        <w:rPr>
          <w:rFonts w:cs="Times New Roman"/>
        </w:rPr>
        <w:t xml:space="preserve"> but </w:t>
      </w:r>
      <w:r>
        <w:rPr>
          <w:rFonts w:cs="Times New Roman"/>
        </w:rPr>
        <w:t>they are based on</w:t>
      </w:r>
      <w:r w:rsidR="003F0347" w:rsidRPr="00DC45B2">
        <w:rPr>
          <w:rFonts w:cs="Times New Roman"/>
        </w:rPr>
        <w:t xml:space="preserve"> MDS rather than claims</w:t>
      </w:r>
      <w:r>
        <w:rPr>
          <w:rFonts w:cs="Times New Roman"/>
        </w:rPr>
        <w:t xml:space="preserve"> data</w:t>
      </w:r>
      <w:r w:rsidR="003F0347" w:rsidRPr="00DC45B2">
        <w:rPr>
          <w:rFonts w:cs="Times New Roman"/>
        </w:rPr>
        <w:t>.  The full list of indicators is available in the submitted</w:t>
      </w:r>
      <w:r>
        <w:rPr>
          <w:rFonts w:cs="Times New Roman"/>
        </w:rPr>
        <w:t xml:space="preserve"> documentation. </w:t>
      </w:r>
      <w:r w:rsidR="003F0347" w:rsidRPr="00DC45B2">
        <w:rPr>
          <w:rFonts w:cs="Times New Roman"/>
        </w:rPr>
        <w:t xml:space="preserve">Table 2 presents the risk-adjustors included in the model.  </w:t>
      </w:r>
    </w:p>
    <w:p w:rsidR="003F0347" w:rsidRPr="00DC45B2" w:rsidRDefault="003F0347" w:rsidP="003F0347">
      <w:pPr>
        <w:pStyle w:val="ListParagraph"/>
        <w:numPr>
          <w:ilvl w:val="1"/>
          <w:numId w:val="2"/>
        </w:numPr>
        <w:rPr>
          <w:rFonts w:cs="Times New Roman"/>
        </w:rPr>
      </w:pPr>
      <w:r w:rsidRPr="00DC45B2">
        <w:rPr>
          <w:rFonts w:cs="Times New Roman"/>
        </w:rPr>
        <w:t xml:space="preserve">The two risk adjustment methodologies are equally robust, as </w:t>
      </w:r>
      <w:r w:rsidR="00813B27">
        <w:rPr>
          <w:rFonts w:cs="Times New Roman"/>
        </w:rPr>
        <w:t>measured by roughly equivalent C</w:t>
      </w:r>
      <w:r w:rsidRPr="00DC45B2">
        <w:rPr>
          <w:rFonts w:cs="Times New Roman"/>
        </w:rPr>
        <w:t>-statist</w:t>
      </w:r>
      <w:r w:rsidR="001545BE">
        <w:rPr>
          <w:rFonts w:cs="Times New Roman"/>
        </w:rPr>
        <w:t xml:space="preserve">ics for both measures of 0.67. </w:t>
      </w:r>
      <w:r w:rsidRPr="00DC45B2">
        <w:rPr>
          <w:rFonts w:cs="Times New Roman"/>
        </w:rPr>
        <w:t xml:space="preserve">The important difference is that the CMS measure takes a much broader range of comorbidities into account than the </w:t>
      </w:r>
      <w:r w:rsidR="00813B27">
        <w:rPr>
          <w:rFonts w:cs="Times New Roman"/>
        </w:rPr>
        <w:t>PointRight OnPoint-30 measure. T</w:t>
      </w:r>
      <w:r w:rsidRPr="00DC45B2">
        <w:rPr>
          <w:rFonts w:cs="Times New Roman"/>
        </w:rPr>
        <w:t xml:space="preserve">he </w:t>
      </w:r>
      <w:r w:rsidR="00813B27">
        <w:rPr>
          <w:rFonts w:cs="Times New Roman"/>
        </w:rPr>
        <w:t xml:space="preserve">PointRight </w:t>
      </w:r>
      <w:r w:rsidRPr="00DC45B2">
        <w:rPr>
          <w:rFonts w:cs="Times New Roman"/>
        </w:rPr>
        <w:t>OnPoint-30</w:t>
      </w:r>
      <w:r w:rsidR="00813B27">
        <w:rPr>
          <w:rFonts w:cs="Times New Roman"/>
        </w:rPr>
        <w:t xml:space="preserve"> </w:t>
      </w:r>
      <w:r w:rsidRPr="00DC45B2">
        <w:rPr>
          <w:rFonts w:cs="Times New Roman"/>
        </w:rPr>
        <w:t>measure considers a broader range of the clinical status of the patient on admission such as cognition, pain,</w:t>
      </w:r>
      <w:r w:rsidR="00813B27">
        <w:rPr>
          <w:rFonts w:cs="Times New Roman"/>
        </w:rPr>
        <w:t xml:space="preserve"> and functional dependencies. </w:t>
      </w:r>
      <w:r w:rsidRPr="00DC45B2">
        <w:rPr>
          <w:rFonts w:cs="Times New Roman"/>
        </w:rPr>
        <w:t xml:space="preserve">The SNFRM will give relatively more valid risk adjustment for SNFs that admit medically complex patients; the OnPoint-30 measure will give relatively better risk adjustment for SNFs that admit severely disabled patients without multiple medical comorbidities (e.g. those with cognitive impairment, dependency in eating, </w:t>
      </w:r>
      <w:r w:rsidR="00AF2B49" w:rsidRPr="00DC45B2">
        <w:rPr>
          <w:rFonts w:cs="Times New Roman"/>
        </w:rPr>
        <w:t>etc.</w:t>
      </w:r>
      <w:r w:rsidRPr="00DC45B2">
        <w:rPr>
          <w:rFonts w:cs="Times New Roman"/>
        </w:rPr>
        <w:t xml:space="preserve">). Nonetheless, the overall performance of the two risk adjustment models is comparable based on the C-statistics. </w:t>
      </w:r>
    </w:p>
    <w:p w:rsidR="003F0347" w:rsidRPr="00DC45B2" w:rsidRDefault="003F0347" w:rsidP="003F0347">
      <w:pPr>
        <w:pStyle w:val="ListParagraph"/>
        <w:numPr>
          <w:ilvl w:val="0"/>
          <w:numId w:val="2"/>
        </w:numPr>
        <w:rPr>
          <w:rFonts w:cs="Times New Roman"/>
        </w:rPr>
      </w:pPr>
      <w:r w:rsidRPr="00DC45B2">
        <w:rPr>
          <w:rFonts w:cs="Times New Roman"/>
        </w:rPr>
        <w:t>Data Sources</w:t>
      </w:r>
    </w:p>
    <w:p w:rsidR="003F0347" w:rsidRPr="00DC45B2" w:rsidRDefault="003F0347" w:rsidP="003F0347">
      <w:pPr>
        <w:pStyle w:val="ListParagraph"/>
        <w:numPr>
          <w:ilvl w:val="1"/>
          <w:numId w:val="2"/>
        </w:numPr>
        <w:rPr>
          <w:rFonts w:cs="Times New Roman"/>
        </w:rPr>
      </w:pPr>
      <w:r w:rsidRPr="00DC45B2">
        <w:rPr>
          <w:rFonts w:cs="Times New Roman"/>
        </w:rPr>
        <w:t xml:space="preserve">The SNFRM uses Medicare fee-for-service claims (FFS) data.  It is aligned with other claims-based readmissions measures at CMS </w:t>
      </w:r>
      <w:r w:rsidRPr="00DC45B2">
        <w:rPr>
          <w:rFonts w:cs="Times New Roman"/>
          <w:iCs/>
        </w:rPr>
        <w:t xml:space="preserve">in order to promote shared accountability for improving care transitions across all settings.  Since it excludes Medicare Advantage patients, </w:t>
      </w:r>
      <w:r w:rsidR="00813B27" w:rsidRPr="00DC45B2">
        <w:rPr>
          <w:rFonts w:cs="Times New Roman"/>
          <w:iCs/>
        </w:rPr>
        <w:t>this makes</w:t>
      </w:r>
      <w:r w:rsidRPr="00DC45B2">
        <w:rPr>
          <w:rFonts w:cs="Times New Roman"/>
          <w:iCs/>
        </w:rPr>
        <w:t xml:space="preserve"> the measure more appropriate for quality adjustment of Medicare FFS payments, but not as useful for assessing a </w:t>
      </w:r>
      <w:r w:rsidR="00813B27">
        <w:rPr>
          <w:rFonts w:cs="Times New Roman"/>
          <w:iCs/>
        </w:rPr>
        <w:t>SNF’s</w:t>
      </w:r>
      <w:r w:rsidRPr="00DC45B2">
        <w:rPr>
          <w:rFonts w:cs="Times New Roman"/>
          <w:iCs/>
        </w:rPr>
        <w:t xml:space="preserve"> overall performance. </w:t>
      </w:r>
      <w:r w:rsidR="00813B27">
        <w:rPr>
          <w:rFonts w:cs="Times New Roman"/>
          <w:iCs/>
        </w:rPr>
        <w:t>PointRight OnPoint-</w:t>
      </w:r>
      <w:r w:rsidRPr="00DC45B2">
        <w:rPr>
          <w:rFonts w:cs="Times New Roman"/>
          <w:iCs/>
        </w:rPr>
        <w:t xml:space="preserve">30 is a measure of overall performance for all </w:t>
      </w:r>
      <w:r w:rsidR="00813B27" w:rsidRPr="00DC45B2">
        <w:rPr>
          <w:rFonts w:cs="Times New Roman"/>
          <w:iCs/>
        </w:rPr>
        <w:t>payers</w:t>
      </w:r>
      <w:r w:rsidRPr="00DC45B2">
        <w:rPr>
          <w:rFonts w:cs="Times New Roman"/>
          <w:iCs/>
        </w:rPr>
        <w:t xml:space="preserve">, which makes it </w:t>
      </w:r>
      <w:r w:rsidR="00813B27">
        <w:rPr>
          <w:rFonts w:cs="Times New Roman"/>
          <w:iCs/>
        </w:rPr>
        <w:t>in</w:t>
      </w:r>
      <w:r w:rsidRPr="00DC45B2">
        <w:rPr>
          <w:rFonts w:cs="Times New Roman"/>
          <w:iCs/>
        </w:rPr>
        <w:t xml:space="preserve">appropriate to assess Medicare FFS practices only, especially when a facility has small volume or proportion of patients that are Medicare FFS. </w:t>
      </w:r>
    </w:p>
    <w:p w:rsidR="00105DA1" w:rsidRDefault="003F0347" w:rsidP="00105DA1">
      <w:pPr>
        <w:pStyle w:val="ListParagraph"/>
        <w:numPr>
          <w:ilvl w:val="1"/>
          <w:numId w:val="2"/>
        </w:numPr>
        <w:rPr>
          <w:rFonts w:cs="Times New Roman"/>
        </w:rPr>
      </w:pPr>
      <w:r w:rsidRPr="00813B27">
        <w:rPr>
          <w:rFonts w:cs="Times New Roman"/>
        </w:rPr>
        <w:t xml:space="preserve">OnPoint-30 uses MDS data to avoid the substantial lag in the availability of claims for organizations not affiliated with CMS, making it more appropriate for quality improvement efforts at the facility level. </w:t>
      </w:r>
    </w:p>
    <w:p w:rsidR="00105DA1" w:rsidRPr="00105DA1" w:rsidRDefault="00105DA1" w:rsidP="00105DA1">
      <w:pPr>
        <w:rPr>
          <w:rFonts w:cs="Times New Roman"/>
        </w:rPr>
      </w:pPr>
      <w:r w:rsidRPr="00105DA1">
        <w:rPr>
          <w:rFonts w:cs="Times New Roman"/>
          <w:b/>
          <w:bCs/>
        </w:rPr>
        <w:lastRenderedPageBreak/>
        <w:t>Table 1. Comparison of the SNFRM and PointRight OnPoint-30 SNF Rehospitalizations</w:t>
      </w:r>
    </w:p>
    <w:tbl>
      <w:tblPr>
        <w:tblStyle w:val="TableGrid"/>
        <w:tblW w:w="0" w:type="auto"/>
        <w:tblLayout w:type="fixed"/>
        <w:tblLook w:val="0480" w:firstRow="0" w:lastRow="0" w:firstColumn="1" w:lastColumn="0" w:noHBand="0" w:noVBand="1"/>
      </w:tblPr>
      <w:tblGrid>
        <w:gridCol w:w="1278"/>
        <w:gridCol w:w="4215"/>
        <w:gridCol w:w="4083"/>
      </w:tblGrid>
      <w:tr w:rsidR="003F0347" w:rsidRPr="00DC45B2" w:rsidTr="00A6580A">
        <w:tc>
          <w:tcPr>
            <w:tcW w:w="1278" w:type="dxa"/>
          </w:tcPr>
          <w:p w:rsidR="003F0347" w:rsidRPr="00DC45B2" w:rsidRDefault="003F0347" w:rsidP="003F0347">
            <w:pPr>
              <w:rPr>
                <w:rFonts w:cs="Times New Roman"/>
                <w:b/>
              </w:rPr>
            </w:pPr>
          </w:p>
        </w:tc>
        <w:tc>
          <w:tcPr>
            <w:tcW w:w="4215" w:type="dxa"/>
            <w:shd w:val="clear" w:color="auto" w:fill="F2F2F2" w:themeFill="background1" w:themeFillShade="F2"/>
          </w:tcPr>
          <w:p w:rsidR="003F0347" w:rsidRPr="00DC45B2" w:rsidRDefault="003F0347" w:rsidP="003F0347">
            <w:pPr>
              <w:rPr>
                <w:rFonts w:cs="Times New Roman"/>
                <w:b/>
              </w:rPr>
            </w:pPr>
            <w:r w:rsidRPr="00DC45B2">
              <w:rPr>
                <w:rFonts w:cs="Times New Roman"/>
                <w:b/>
              </w:rPr>
              <w:t>Skilled Nursing Facility 30-Day All-Cause Readmissions Measure (SNFRM)</w:t>
            </w:r>
          </w:p>
        </w:tc>
        <w:tc>
          <w:tcPr>
            <w:tcW w:w="4083" w:type="dxa"/>
            <w:shd w:val="clear" w:color="auto" w:fill="F2F2F2" w:themeFill="background1" w:themeFillShade="F2"/>
          </w:tcPr>
          <w:p w:rsidR="003F0347" w:rsidRPr="00DC45B2" w:rsidRDefault="00813B27" w:rsidP="00813B27">
            <w:pPr>
              <w:rPr>
                <w:rFonts w:cs="Times New Roman"/>
                <w:b/>
              </w:rPr>
            </w:pPr>
            <w:r>
              <w:rPr>
                <w:rFonts w:cs="Times New Roman"/>
                <w:b/>
              </w:rPr>
              <w:t xml:space="preserve">PointRight </w:t>
            </w:r>
            <w:r w:rsidR="003F0347" w:rsidRPr="00DC45B2">
              <w:rPr>
                <w:rFonts w:cs="Times New Roman"/>
                <w:b/>
              </w:rPr>
              <w:t xml:space="preserve">OnPoint-30 </w:t>
            </w:r>
          </w:p>
        </w:tc>
      </w:tr>
      <w:tr w:rsidR="003F0347" w:rsidRPr="00DC45B2" w:rsidTr="00A6580A">
        <w:tc>
          <w:tcPr>
            <w:tcW w:w="1278" w:type="dxa"/>
            <w:shd w:val="clear" w:color="auto" w:fill="F2F2F2" w:themeFill="background1" w:themeFillShade="F2"/>
          </w:tcPr>
          <w:p w:rsidR="003F0347" w:rsidRPr="00DC45B2" w:rsidRDefault="003F0347" w:rsidP="003F0347">
            <w:pPr>
              <w:rPr>
                <w:rFonts w:cs="Times New Roman"/>
                <w:b/>
              </w:rPr>
            </w:pPr>
            <w:r w:rsidRPr="00DC45B2">
              <w:rPr>
                <w:rFonts w:cs="Times New Roman"/>
                <w:b/>
              </w:rPr>
              <w:t xml:space="preserve">Data Source </w:t>
            </w:r>
          </w:p>
        </w:tc>
        <w:tc>
          <w:tcPr>
            <w:tcW w:w="4215" w:type="dxa"/>
          </w:tcPr>
          <w:p w:rsidR="003F0347" w:rsidRPr="00DC45B2" w:rsidRDefault="003F0347" w:rsidP="003F0347">
            <w:pPr>
              <w:rPr>
                <w:rFonts w:cs="Times New Roman"/>
              </w:rPr>
            </w:pPr>
            <w:r w:rsidRPr="00DC45B2">
              <w:rPr>
                <w:rFonts w:cs="Times New Roman"/>
              </w:rPr>
              <w:t xml:space="preserve">Medicare Part A SNF &amp; Hospital FFS Claims </w:t>
            </w:r>
          </w:p>
        </w:tc>
        <w:tc>
          <w:tcPr>
            <w:tcW w:w="4083" w:type="dxa"/>
          </w:tcPr>
          <w:p w:rsidR="003F0347" w:rsidRPr="00DC45B2" w:rsidRDefault="003F0347" w:rsidP="003F0347">
            <w:pPr>
              <w:rPr>
                <w:rFonts w:cs="Times New Roman"/>
              </w:rPr>
            </w:pPr>
            <w:r w:rsidRPr="00DC45B2">
              <w:rPr>
                <w:rFonts w:cs="Times New Roman"/>
              </w:rPr>
              <w:t xml:space="preserve">MDS 3.0 </w:t>
            </w:r>
          </w:p>
        </w:tc>
      </w:tr>
      <w:tr w:rsidR="003F0347" w:rsidRPr="00DC45B2" w:rsidTr="00A6580A">
        <w:tc>
          <w:tcPr>
            <w:tcW w:w="1278" w:type="dxa"/>
            <w:shd w:val="clear" w:color="auto" w:fill="F2F2F2" w:themeFill="background1" w:themeFillShade="F2"/>
          </w:tcPr>
          <w:p w:rsidR="003F0347" w:rsidRPr="00DC45B2" w:rsidRDefault="003F0347" w:rsidP="003F0347">
            <w:pPr>
              <w:rPr>
                <w:rFonts w:cs="Times New Roman"/>
                <w:b/>
              </w:rPr>
            </w:pPr>
            <w:r w:rsidRPr="00DC45B2">
              <w:rPr>
                <w:rFonts w:cs="Times New Roman"/>
                <w:b/>
              </w:rPr>
              <w:t xml:space="preserve">Level of Analysis </w:t>
            </w:r>
          </w:p>
        </w:tc>
        <w:tc>
          <w:tcPr>
            <w:tcW w:w="4215" w:type="dxa"/>
          </w:tcPr>
          <w:p w:rsidR="003F0347" w:rsidRPr="00DC45B2" w:rsidRDefault="003F0347" w:rsidP="003F0347">
            <w:pPr>
              <w:rPr>
                <w:rFonts w:cs="Times New Roman"/>
              </w:rPr>
            </w:pPr>
            <w:r w:rsidRPr="00DC45B2">
              <w:rPr>
                <w:rFonts w:cs="Times New Roman"/>
              </w:rPr>
              <w:t>Facility</w:t>
            </w:r>
          </w:p>
        </w:tc>
        <w:tc>
          <w:tcPr>
            <w:tcW w:w="4083" w:type="dxa"/>
          </w:tcPr>
          <w:p w:rsidR="003F0347" w:rsidRPr="00DC45B2" w:rsidRDefault="003F0347" w:rsidP="003F0347">
            <w:pPr>
              <w:rPr>
                <w:rFonts w:cs="Times New Roman"/>
              </w:rPr>
            </w:pPr>
            <w:r w:rsidRPr="00DC45B2">
              <w:rPr>
                <w:rFonts w:cs="Times New Roman"/>
              </w:rPr>
              <w:t xml:space="preserve">Facility </w:t>
            </w:r>
          </w:p>
        </w:tc>
      </w:tr>
      <w:tr w:rsidR="003F0347" w:rsidRPr="00DC45B2" w:rsidTr="00A6580A">
        <w:tc>
          <w:tcPr>
            <w:tcW w:w="1278" w:type="dxa"/>
            <w:shd w:val="clear" w:color="auto" w:fill="F2F2F2" w:themeFill="background1" w:themeFillShade="F2"/>
          </w:tcPr>
          <w:p w:rsidR="003F0347" w:rsidRPr="00DC45B2" w:rsidRDefault="003F0347" w:rsidP="003F0347">
            <w:pPr>
              <w:rPr>
                <w:rFonts w:cs="Times New Roman"/>
                <w:b/>
              </w:rPr>
            </w:pPr>
            <w:r w:rsidRPr="00DC45B2">
              <w:rPr>
                <w:rFonts w:cs="Times New Roman"/>
                <w:b/>
              </w:rPr>
              <w:t xml:space="preserve">Numerator Window </w:t>
            </w:r>
          </w:p>
        </w:tc>
        <w:tc>
          <w:tcPr>
            <w:tcW w:w="4215" w:type="dxa"/>
          </w:tcPr>
          <w:p w:rsidR="003F0347" w:rsidRPr="00DC45B2" w:rsidRDefault="003F0347" w:rsidP="003F0347">
            <w:pPr>
              <w:rPr>
                <w:rFonts w:cs="Times New Roman"/>
              </w:rPr>
            </w:pPr>
            <w:r w:rsidRPr="00DC45B2">
              <w:rPr>
                <w:rFonts w:cs="Times New Roman"/>
              </w:rPr>
              <w:t xml:space="preserve">30 days after discharge from the prior proximal hospitalization at an IPPS, CAH, or psychiatric hospital. </w:t>
            </w:r>
          </w:p>
        </w:tc>
        <w:tc>
          <w:tcPr>
            <w:tcW w:w="4083" w:type="dxa"/>
          </w:tcPr>
          <w:p w:rsidR="003F0347" w:rsidRPr="00DC45B2" w:rsidRDefault="003F0347" w:rsidP="003F0347">
            <w:pPr>
              <w:rPr>
                <w:rFonts w:cs="Times New Roman"/>
              </w:rPr>
            </w:pPr>
            <w:r w:rsidRPr="00DC45B2">
              <w:rPr>
                <w:rFonts w:cs="Times New Roman"/>
              </w:rPr>
              <w:t xml:space="preserve">30 days after admission to the SNF from an acute care hospital.  </w:t>
            </w:r>
          </w:p>
        </w:tc>
      </w:tr>
      <w:tr w:rsidR="003F0347" w:rsidRPr="00DC45B2" w:rsidTr="00A6580A">
        <w:tc>
          <w:tcPr>
            <w:tcW w:w="1278" w:type="dxa"/>
            <w:shd w:val="clear" w:color="auto" w:fill="F2F2F2" w:themeFill="background1" w:themeFillShade="F2"/>
          </w:tcPr>
          <w:p w:rsidR="003F0347" w:rsidRPr="00DC45B2" w:rsidRDefault="003F0347" w:rsidP="003F0347">
            <w:pPr>
              <w:rPr>
                <w:rFonts w:cs="Times New Roman"/>
                <w:b/>
              </w:rPr>
            </w:pPr>
            <w:r w:rsidRPr="00A6580A">
              <w:rPr>
                <w:rFonts w:cs="Times New Roman"/>
                <w:b/>
                <w:sz w:val="18"/>
              </w:rPr>
              <w:t xml:space="preserve">Denominator Window </w:t>
            </w:r>
          </w:p>
        </w:tc>
        <w:tc>
          <w:tcPr>
            <w:tcW w:w="4215" w:type="dxa"/>
          </w:tcPr>
          <w:p w:rsidR="003F0347" w:rsidRPr="00DC45B2" w:rsidRDefault="003F0347" w:rsidP="003F0347">
            <w:pPr>
              <w:rPr>
                <w:rFonts w:cs="Times New Roman"/>
              </w:rPr>
            </w:pPr>
            <w:r w:rsidRPr="00DC45B2">
              <w:rPr>
                <w:rFonts w:cs="Times New Roman"/>
              </w:rPr>
              <w:t xml:space="preserve">Patient must have a SNF admission within 1 day after being discharged from the prior proximal hospital stay. </w:t>
            </w:r>
          </w:p>
        </w:tc>
        <w:tc>
          <w:tcPr>
            <w:tcW w:w="4083" w:type="dxa"/>
          </w:tcPr>
          <w:p w:rsidR="003F0347" w:rsidRPr="00DC45B2" w:rsidRDefault="003F0347" w:rsidP="003F0347">
            <w:pPr>
              <w:rPr>
                <w:rFonts w:cs="Times New Roman"/>
              </w:rPr>
            </w:pPr>
            <w:r w:rsidRPr="00DC45B2">
              <w:rPr>
                <w:rFonts w:cs="Times New Roman"/>
              </w:rPr>
              <w:t xml:space="preserve">Patients must have had a hospital stay prior to admission to the SNF, as indicated on the MDS admission assessment, which generally is considered </w:t>
            </w:r>
            <w:r w:rsidR="009A1ABE">
              <w:rPr>
                <w:rFonts w:cs="Times New Roman"/>
              </w:rPr>
              <w:t>1 calendar day</w:t>
            </w:r>
            <w:r w:rsidRPr="00DC45B2">
              <w:rPr>
                <w:rFonts w:cs="Times New Roman"/>
              </w:rPr>
              <w:t xml:space="preserve"> since the hospital discharge </w:t>
            </w:r>
          </w:p>
          <w:p w:rsidR="003F0347" w:rsidRPr="00DC45B2" w:rsidRDefault="003F0347" w:rsidP="003F0347">
            <w:pPr>
              <w:rPr>
                <w:rFonts w:cs="Times New Roman"/>
              </w:rPr>
            </w:pPr>
          </w:p>
        </w:tc>
      </w:tr>
      <w:tr w:rsidR="003F0347" w:rsidRPr="00DC45B2" w:rsidTr="00A6580A">
        <w:tc>
          <w:tcPr>
            <w:tcW w:w="1278" w:type="dxa"/>
            <w:shd w:val="clear" w:color="auto" w:fill="F2F2F2" w:themeFill="background1" w:themeFillShade="F2"/>
          </w:tcPr>
          <w:p w:rsidR="003F0347" w:rsidRPr="00DC45B2" w:rsidRDefault="003F0347" w:rsidP="003F0347">
            <w:pPr>
              <w:rPr>
                <w:rFonts w:cs="Times New Roman"/>
                <w:b/>
              </w:rPr>
            </w:pPr>
            <w:r w:rsidRPr="00D13D7F">
              <w:rPr>
                <w:rFonts w:cs="Times New Roman"/>
                <w:b/>
                <w:sz w:val="16"/>
              </w:rPr>
              <w:t>Measurement Period</w:t>
            </w:r>
          </w:p>
        </w:tc>
        <w:tc>
          <w:tcPr>
            <w:tcW w:w="4215" w:type="dxa"/>
          </w:tcPr>
          <w:p w:rsidR="003F0347" w:rsidRPr="00DC45B2" w:rsidRDefault="003F0347" w:rsidP="009A1ABE">
            <w:pPr>
              <w:rPr>
                <w:rFonts w:cs="Times New Roman"/>
              </w:rPr>
            </w:pPr>
            <w:r w:rsidRPr="00DC45B2">
              <w:rPr>
                <w:rFonts w:cs="Times New Roman"/>
              </w:rPr>
              <w:t>Year (</w:t>
            </w:r>
            <w:r w:rsidR="009A1ABE">
              <w:rPr>
                <w:rFonts w:cs="Times New Roman"/>
              </w:rPr>
              <w:t>c</w:t>
            </w:r>
            <w:r w:rsidR="009A1ABE" w:rsidRPr="00DC45B2">
              <w:rPr>
                <w:rFonts w:cs="Times New Roman"/>
              </w:rPr>
              <w:t>alendar</w:t>
            </w:r>
            <w:r w:rsidRPr="00DC45B2">
              <w:rPr>
                <w:rFonts w:cs="Times New Roman"/>
              </w:rPr>
              <w:t xml:space="preserve"> year), updated</w:t>
            </w:r>
            <w:r w:rsidR="009A1ABE">
              <w:rPr>
                <w:rFonts w:cs="Times New Roman"/>
              </w:rPr>
              <w:t xml:space="preserve"> annually </w:t>
            </w:r>
          </w:p>
        </w:tc>
        <w:tc>
          <w:tcPr>
            <w:tcW w:w="4083" w:type="dxa"/>
          </w:tcPr>
          <w:p w:rsidR="003F0347" w:rsidRPr="00DC45B2" w:rsidRDefault="003F0347" w:rsidP="003F0347">
            <w:pPr>
              <w:rPr>
                <w:rFonts w:cs="Times New Roman"/>
              </w:rPr>
            </w:pPr>
            <w:r w:rsidRPr="00DC45B2">
              <w:rPr>
                <w:rFonts w:cs="Times New Roman"/>
              </w:rPr>
              <w:t>Rolling 12 Months; updated quarterly</w:t>
            </w:r>
          </w:p>
        </w:tc>
      </w:tr>
      <w:tr w:rsidR="003F0347" w:rsidRPr="00DC45B2" w:rsidTr="00A6580A">
        <w:tc>
          <w:tcPr>
            <w:tcW w:w="1278" w:type="dxa"/>
            <w:shd w:val="clear" w:color="auto" w:fill="F2F2F2" w:themeFill="background1" w:themeFillShade="F2"/>
          </w:tcPr>
          <w:p w:rsidR="003F0347" w:rsidRPr="00DC45B2" w:rsidRDefault="003F0347" w:rsidP="003F0347">
            <w:pPr>
              <w:rPr>
                <w:rFonts w:cs="Times New Roman"/>
                <w:b/>
              </w:rPr>
            </w:pPr>
            <w:r w:rsidRPr="00DC45B2">
              <w:rPr>
                <w:rFonts w:cs="Times New Roman"/>
                <w:b/>
              </w:rPr>
              <w:t xml:space="preserve">Measure Type </w:t>
            </w:r>
          </w:p>
        </w:tc>
        <w:tc>
          <w:tcPr>
            <w:tcW w:w="4215" w:type="dxa"/>
          </w:tcPr>
          <w:p w:rsidR="003F0347" w:rsidRPr="00DC45B2" w:rsidRDefault="003F0347" w:rsidP="003F0347">
            <w:pPr>
              <w:rPr>
                <w:rFonts w:cs="Times New Roman"/>
              </w:rPr>
            </w:pPr>
            <w:r w:rsidRPr="00DC45B2">
              <w:rPr>
                <w:rFonts w:cs="Times New Roman"/>
              </w:rPr>
              <w:t>Outcome</w:t>
            </w:r>
          </w:p>
        </w:tc>
        <w:tc>
          <w:tcPr>
            <w:tcW w:w="4083" w:type="dxa"/>
          </w:tcPr>
          <w:p w:rsidR="003F0347" w:rsidRPr="00DC45B2" w:rsidRDefault="003F0347" w:rsidP="003F0347">
            <w:pPr>
              <w:rPr>
                <w:rFonts w:cs="Times New Roman"/>
              </w:rPr>
            </w:pPr>
            <w:r w:rsidRPr="00DC45B2">
              <w:rPr>
                <w:rFonts w:cs="Times New Roman"/>
              </w:rPr>
              <w:t xml:space="preserve">Outcome </w:t>
            </w:r>
          </w:p>
        </w:tc>
      </w:tr>
      <w:tr w:rsidR="003F0347" w:rsidRPr="00DC45B2" w:rsidTr="00A6580A">
        <w:tc>
          <w:tcPr>
            <w:tcW w:w="1278" w:type="dxa"/>
            <w:shd w:val="clear" w:color="auto" w:fill="F2F2F2" w:themeFill="background1" w:themeFillShade="F2"/>
          </w:tcPr>
          <w:p w:rsidR="003F0347" w:rsidRPr="00DC45B2" w:rsidRDefault="003F0347" w:rsidP="003F0347">
            <w:pPr>
              <w:tabs>
                <w:tab w:val="left" w:pos="945"/>
              </w:tabs>
              <w:rPr>
                <w:rFonts w:cs="Times New Roman"/>
                <w:b/>
              </w:rPr>
            </w:pPr>
            <w:r w:rsidRPr="00DC45B2">
              <w:rPr>
                <w:rFonts w:cs="Times New Roman"/>
                <w:b/>
              </w:rPr>
              <w:t xml:space="preserve">Type of Score </w:t>
            </w:r>
          </w:p>
        </w:tc>
        <w:tc>
          <w:tcPr>
            <w:tcW w:w="4215" w:type="dxa"/>
          </w:tcPr>
          <w:p w:rsidR="003F0347" w:rsidRPr="00DC45B2" w:rsidRDefault="003F0347" w:rsidP="003F0347">
            <w:pPr>
              <w:rPr>
                <w:rFonts w:cs="Times New Roman"/>
              </w:rPr>
            </w:pPr>
            <w:r w:rsidRPr="00DC45B2">
              <w:rPr>
                <w:rFonts w:cs="Times New Roman"/>
              </w:rPr>
              <w:t xml:space="preserve">Rate </w:t>
            </w:r>
          </w:p>
        </w:tc>
        <w:tc>
          <w:tcPr>
            <w:tcW w:w="4083" w:type="dxa"/>
          </w:tcPr>
          <w:p w:rsidR="003F0347" w:rsidRPr="00DC45B2" w:rsidRDefault="003F0347" w:rsidP="003F0347">
            <w:pPr>
              <w:rPr>
                <w:rFonts w:cs="Times New Roman"/>
              </w:rPr>
            </w:pPr>
            <w:r w:rsidRPr="00DC45B2">
              <w:rPr>
                <w:rFonts w:cs="Times New Roman"/>
              </w:rPr>
              <w:t xml:space="preserve">Rate </w:t>
            </w:r>
          </w:p>
        </w:tc>
      </w:tr>
      <w:tr w:rsidR="003F0347" w:rsidRPr="00DC45B2" w:rsidTr="00A6580A">
        <w:tc>
          <w:tcPr>
            <w:tcW w:w="1278" w:type="dxa"/>
            <w:shd w:val="clear" w:color="auto" w:fill="F2F2F2" w:themeFill="background1" w:themeFillShade="F2"/>
          </w:tcPr>
          <w:p w:rsidR="003F0347" w:rsidRPr="00DC45B2" w:rsidRDefault="003F0347" w:rsidP="003F0347">
            <w:pPr>
              <w:tabs>
                <w:tab w:val="left" w:pos="945"/>
              </w:tabs>
              <w:rPr>
                <w:rFonts w:cs="Times New Roman"/>
                <w:b/>
              </w:rPr>
            </w:pPr>
            <w:r w:rsidRPr="00DC45B2">
              <w:rPr>
                <w:rFonts w:cs="Times New Roman"/>
                <w:b/>
              </w:rPr>
              <w:t xml:space="preserve">Numerator </w:t>
            </w:r>
          </w:p>
        </w:tc>
        <w:tc>
          <w:tcPr>
            <w:tcW w:w="4215" w:type="dxa"/>
          </w:tcPr>
          <w:p w:rsidR="003F0347" w:rsidRPr="00DC45B2" w:rsidRDefault="003F0347" w:rsidP="003F0347">
            <w:pPr>
              <w:rPr>
                <w:rFonts w:cs="Times New Roman"/>
              </w:rPr>
            </w:pPr>
            <w:r w:rsidRPr="00DC45B2">
              <w:rPr>
                <w:rFonts w:cs="Times New Roman"/>
              </w:rPr>
              <w:t xml:space="preserve">The number of SNF stays where there was an all-cause and unplanned readmission to an acute care hospital (IPPS, CAH) within 30 days of discharge from their prior proximal hospitalization. Hospital readmissions that occur after discharge from the SNF stay but within 30 days of the proximal hospitalization are included. </w:t>
            </w:r>
          </w:p>
        </w:tc>
        <w:tc>
          <w:tcPr>
            <w:tcW w:w="4083" w:type="dxa"/>
          </w:tcPr>
          <w:p w:rsidR="003F0347" w:rsidRPr="00DC45B2" w:rsidRDefault="003F0347" w:rsidP="003F0347">
            <w:pPr>
              <w:rPr>
                <w:rFonts w:cs="Times New Roman"/>
              </w:rPr>
            </w:pPr>
            <w:r w:rsidRPr="00DC45B2">
              <w:rPr>
                <w:rFonts w:cs="Times New Roman"/>
              </w:rPr>
              <w:t xml:space="preserve">The number of individuals sent back to any hospital (excluding ER only visits) from a nursing facility within 30 days of admission as indicated on the MDS discharge assessment during the 12 month measurement period.  All rehospitalizations (both inpatient and observation only) for any reason are included.  Hospital Readmissions that occur after discharge from the SNF but within 30 days </w:t>
            </w:r>
            <w:r w:rsidR="00AF2B49" w:rsidRPr="00DC45B2">
              <w:rPr>
                <w:rFonts w:cs="Times New Roman"/>
              </w:rPr>
              <w:t>of</w:t>
            </w:r>
            <w:r w:rsidRPr="00DC45B2">
              <w:rPr>
                <w:rFonts w:cs="Times New Roman"/>
              </w:rPr>
              <w:t xml:space="preserve"> the proximal hospitalization are excluded. </w:t>
            </w:r>
          </w:p>
        </w:tc>
      </w:tr>
      <w:tr w:rsidR="003F0347" w:rsidRPr="00DC45B2" w:rsidTr="00A6580A">
        <w:tc>
          <w:tcPr>
            <w:tcW w:w="1278" w:type="dxa"/>
            <w:shd w:val="clear" w:color="auto" w:fill="F2F2F2" w:themeFill="background1" w:themeFillShade="F2"/>
          </w:tcPr>
          <w:p w:rsidR="003F0347" w:rsidRPr="00DC45B2" w:rsidRDefault="003F0347" w:rsidP="003F0347">
            <w:pPr>
              <w:tabs>
                <w:tab w:val="left" w:pos="945"/>
              </w:tabs>
              <w:rPr>
                <w:rFonts w:cs="Times New Roman"/>
                <w:b/>
              </w:rPr>
            </w:pPr>
            <w:r w:rsidRPr="00DC45B2">
              <w:rPr>
                <w:rFonts w:cs="Times New Roman"/>
                <w:b/>
              </w:rPr>
              <w:t xml:space="preserve">Numerator Exclusions </w:t>
            </w:r>
          </w:p>
        </w:tc>
        <w:tc>
          <w:tcPr>
            <w:tcW w:w="4215" w:type="dxa"/>
          </w:tcPr>
          <w:p w:rsidR="003F0347" w:rsidRPr="00DC45B2" w:rsidRDefault="003F0347" w:rsidP="003F0347">
            <w:pPr>
              <w:rPr>
                <w:rFonts w:cs="Times New Roman"/>
              </w:rPr>
            </w:pPr>
            <w:r w:rsidRPr="00DC45B2">
              <w:rPr>
                <w:rFonts w:cs="Times New Roman"/>
              </w:rPr>
              <w:t xml:space="preserve">Readmissions that are identified using the Planned Readmission algorithm and observation stays. </w:t>
            </w:r>
          </w:p>
        </w:tc>
        <w:tc>
          <w:tcPr>
            <w:tcW w:w="4083" w:type="dxa"/>
          </w:tcPr>
          <w:p w:rsidR="003F0347" w:rsidRPr="00DC45B2" w:rsidRDefault="003F0347" w:rsidP="003F0347">
            <w:pPr>
              <w:rPr>
                <w:rFonts w:cs="Times New Roman"/>
              </w:rPr>
            </w:pPr>
            <w:r w:rsidRPr="00DC45B2">
              <w:rPr>
                <w:rFonts w:cs="Times New Roman"/>
              </w:rPr>
              <w:t xml:space="preserve">ER only visits are excluded. Planned readmissions are not excluded. </w:t>
            </w:r>
          </w:p>
        </w:tc>
      </w:tr>
      <w:tr w:rsidR="003F0347" w:rsidRPr="00DC45B2" w:rsidTr="00A6580A">
        <w:tc>
          <w:tcPr>
            <w:tcW w:w="1278" w:type="dxa"/>
            <w:shd w:val="clear" w:color="auto" w:fill="F2F2F2" w:themeFill="background1" w:themeFillShade="F2"/>
          </w:tcPr>
          <w:p w:rsidR="003F0347" w:rsidRPr="00DC45B2" w:rsidRDefault="003F0347" w:rsidP="003F0347">
            <w:pPr>
              <w:tabs>
                <w:tab w:val="left" w:pos="945"/>
              </w:tabs>
              <w:rPr>
                <w:rFonts w:cs="Times New Roman"/>
                <w:b/>
              </w:rPr>
            </w:pPr>
            <w:r w:rsidRPr="00D13D7F">
              <w:rPr>
                <w:rFonts w:cs="Times New Roman"/>
                <w:b/>
                <w:sz w:val="18"/>
              </w:rPr>
              <w:t>Denominator</w:t>
            </w:r>
          </w:p>
        </w:tc>
        <w:tc>
          <w:tcPr>
            <w:tcW w:w="4215" w:type="dxa"/>
          </w:tcPr>
          <w:p w:rsidR="003F0347" w:rsidRPr="00DC45B2" w:rsidRDefault="003F0347" w:rsidP="003F0347">
            <w:pPr>
              <w:rPr>
                <w:rFonts w:cs="Times New Roman"/>
              </w:rPr>
            </w:pPr>
            <w:r w:rsidRPr="00DC45B2">
              <w:rPr>
                <w:rFonts w:cs="Times New Roman"/>
              </w:rPr>
              <w:t xml:space="preserve">All patients who have been admitted to a SNF within 1 day of discharge from a prior proximal hospitalization (admission to an IPPS acute care hospital, CAH, of a psychiatric hospital). </w:t>
            </w:r>
          </w:p>
        </w:tc>
        <w:tc>
          <w:tcPr>
            <w:tcW w:w="4083" w:type="dxa"/>
          </w:tcPr>
          <w:p w:rsidR="003F0347" w:rsidRDefault="003F0347" w:rsidP="003F0347">
            <w:pPr>
              <w:rPr>
                <w:rFonts w:cs="Times New Roman"/>
              </w:rPr>
            </w:pPr>
            <w:r w:rsidRPr="00DC45B2">
              <w:rPr>
                <w:rFonts w:cs="Times New Roman"/>
              </w:rPr>
              <w:t>The denominator is the number of admissions with a MDS admission assessment to a skilled nursing facility that indicated admission from an acute hospital. Admission to SNF occurred during the target rolling 12-month period.</w:t>
            </w:r>
          </w:p>
          <w:p w:rsidR="00105DA1" w:rsidRDefault="00105DA1" w:rsidP="003F0347">
            <w:pPr>
              <w:rPr>
                <w:rFonts w:cs="Times New Roman"/>
              </w:rPr>
            </w:pPr>
          </w:p>
          <w:p w:rsidR="00105DA1" w:rsidRDefault="00105DA1" w:rsidP="003F0347">
            <w:pPr>
              <w:rPr>
                <w:rFonts w:cs="Times New Roman"/>
              </w:rPr>
            </w:pPr>
          </w:p>
          <w:p w:rsidR="00D13D7F" w:rsidRDefault="00D13D7F" w:rsidP="003F0347">
            <w:pPr>
              <w:rPr>
                <w:rFonts w:cs="Times New Roman"/>
              </w:rPr>
            </w:pPr>
          </w:p>
          <w:p w:rsidR="00D13D7F" w:rsidRPr="00DC45B2" w:rsidRDefault="00D13D7F" w:rsidP="003F0347">
            <w:pPr>
              <w:rPr>
                <w:rFonts w:cs="Times New Roman"/>
              </w:rPr>
            </w:pPr>
          </w:p>
        </w:tc>
      </w:tr>
      <w:tr w:rsidR="00105DA1" w:rsidRPr="00DC45B2" w:rsidTr="00A6580A">
        <w:tc>
          <w:tcPr>
            <w:tcW w:w="1278" w:type="dxa"/>
            <w:shd w:val="clear" w:color="auto" w:fill="F2F2F2" w:themeFill="background1" w:themeFillShade="F2"/>
          </w:tcPr>
          <w:p w:rsidR="00105DA1" w:rsidRPr="00DC45B2" w:rsidRDefault="00105DA1" w:rsidP="003F0347">
            <w:pPr>
              <w:tabs>
                <w:tab w:val="left" w:pos="945"/>
              </w:tabs>
              <w:rPr>
                <w:rFonts w:cs="Times New Roman"/>
                <w:b/>
              </w:rPr>
            </w:pPr>
          </w:p>
        </w:tc>
        <w:tc>
          <w:tcPr>
            <w:tcW w:w="4215" w:type="dxa"/>
            <w:shd w:val="clear" w:color="auto" w:fill="F2F2F2" w:themeFill="background1" w:themeFillShade="F2"/>
          </w:tcPr>
          <w:p w:rsidR="00105DA1" w:rsidRPr="00DC45B2" w:rsidRDefault="00105DA1" w:rsidP="00861A76">
            <w:pPr>
              <w:rPr>
                <w:rFonts w:cs="Times New Roman"/>
                <w:b/>
              </w:rPr>
            </w:pPr>
            <w:r w:rsidRPr="00DC45B2">
              <w:rPr>
                <w:rFonts w:cs="Times New Roman"/>
                <w:b/>
              </w:rPr>
              <w:t>Skilled Nursing Facility 30-Day All-Cause Readmissions Measure (SNFRM)</w:t>
            </w:r>
          </w:p>
        </w:tc>
        <w:tc>
          <w:tcPr>
            <w:tcW w:w="4083" w:type="dxa"/>
            <w:shd w:val="clear" w:color="auto" w:fill="F2F2F2" w:themeFill="background1" w:themeFillShade="F2"/>
          </w:tcPr>
          <w:p w:rsidR="00105DA1" w:rsidRPr="00DC45B2" w:rsidRDefault="00105DA1" w:rsidP="00861A76">
            <w:pPr>
              <w:rPr>
                <w:rFonts w:cs="Times New Roman"/>
                <w:b/>
              </w:rPr>
            </w:pPr>
            <w:r>
              <w:rPr>
                <w:rFonts w:cs="Times New Roman"/>
                <w:b/>
              </w:rPr>
              <w:t xml:space="preserve">PointRight </w:t>
            </w:r>
            <w:r w:rsidRPr="00DC45B2">
              <w:rPr>
                <w:rFonts w:cs="Times New Roman"/>
                <w:b/>
              </w:rPr>
              <w:t xml:space="preserve">OnPoint-30 </w:t>
            </w:r>
          </w:p>
        </w:tc>
      </w:tr>
      <w:tr w:rsidR="00105DA1" w:rsidRPr="00DC45B2" w:rsidTr="00A6580A">
        <w:tc>
          <w:tcPr>
            <w:tcW w:w="1278" w:type="dxa"/>
            <w:shd w:val="clear" w:color="auto" w:fill="F2F2F2" w:themeFill="background1" w:themeFillShade="F2"/>
          </w:tcPr>
          <w:p w:rsidR="00105DA1" w:rsidRPr="00DC45B2" w:rsidRDefault="00105DA1" w:rsidP="003F0347">
            <w:pPr>
              <w:tabs>
                <w:tab w:val="left" w:pos="945"/>
              </w:tabs>
              <w:rPr>
                <w:rFonts w:cs="Times New Roman"/>
                <w:b/>
              </w:rPr>
            </w:pPr>
            <w:r w:rsidRPr="00A6580A">
              <w:rPr>
                <w:rFonts w:cs="Times New Roman"/>
                <w:b/>
                <w:sz w:val="18"/>
              </w:rPr>
              <w:t>Denominator Exclusions</w:t>
            </w:r>
            <w:r w:rsidRPr="00A6580A">
              <w:rPr>
                <w:rFonts w:cs="Times New Roman"/>
                <w:b/>
                <w:sz w:val="32"/>
              </w:rPr>
              <w:t xml:space="preserve"> </w:t>
            </w:r>
          </w:p>
        </w:tc>
        <w:tc>
          <w:tcPr>
            <w:tcW w:w="4215" w:type="dxa"/>
          </w:tcPr>
          <w:p w:rsidR="00105DA1" w:rsidRPr="00DC45B2" w:rsidRDefault="00105DA1" w:rsidP="003F0347">
            <w:pPr>
              <w:pStyle w:val="Default"/>
              <w:rPr>
                <w:rFonts w:asciiTheme="minorHAnsi" w:hAnsiTheme="minorHAnsi" w:cs="Times New Roman"/>
                <w:sz w:val="22"/>
                <w:szCs w:val="22"/>
              </w:rPr>
            </w:pPr>
          </w:p>
          <w:p w:rsidR="00105DA1" w:rsidRPr="00DC45B2" w:rsidRDefault="00105DA1" w:rsidP="003F0347">
            <w:pPr>
              <w:pStyle w:val="Default"/>
              <w:numPr>
                <w:ilvl w:val="0"/>
                <w:numId w:val="1"/>
              </w:numPr>
              <w:rPr>
                <w:rFonts w:asciiTheme="minorHAnsi" w:hAnsiTheme="minorHAnsi" w:cs="Times New Roman"/>
                <w:sz w:val="22"/>
                <w:szCs w:val="22"/>
              </w:rPr>
            </w:pPr>
            <w:r w:rsidRPr="00DC45B2">
              <w:rPr>
                <w:rFonts w:asciiTheme="minorHAnsi" w:hAnsiTheme="minorHAnsi" w:cs="Times New Roman"/>
                <w:sz w:val="22"/>
                <w:szCs w:val="22"/>
              </w:rPr>
              <w:t xml:space="preserve">Age &lt;18 </w:t>
            </w:r>
            <w:r w:rsidR="00AF2B49" w:rsidRPr="00DC45B2">
              <w:rPr>
                <w:rFonts w:asciiTheme="minorHAnsi" w:hAnsiTheme="minorHAnsi" w:cs="Times New Roman"/>
                <w:sz w:val="22"/>
                <w:szCs w:val="22"/>
              </w:rPr>
              <w:t>yrs.</w:t>
            </w:r>
          </w:p>
          <w:p w:rsidR="00105DA1" w:rsidRPr="00DC45B2" w:rsidRDefault="00105DA1" w:rsidP="003F0347">
            <w:pPr>
              <w:pStyle w:val="Default"/>
              <w:numPr>
                <w:ilvl w:val="0"/>
                <w:numId w:val="1"/>
              </w:numPr>
              <w:rPr>
                <w:rFonts w:asciiTheme="minorHAnsi" w:hAnsiTheme="minorHAnsi" w:cs="Times New Roman"/>
                <w:sz w:val="22"/>
                <w:szCs w:val="22"/>
              </w:rPr>
            </w:pPr>
            <w:r w:rsidRPr="00DC45B2">
              <w:rPr>
                <w:rFonts w:asciiTheme="minorHAnsi" w:hAnsiTheme="minorHAnsi" w:cs="Times New Roman"/>
                <w:color w:val="auto"/>
                <w:sz w:val="22"/>
                <w:szCs w:val="22"/>
              </w:rPr>
              <w:t>SNF stays where the patient had one or more intervening post-acute care (PAC) admissions (inpatient rehabilitation facility [IRF] or long-term care hospital [LTCH]) which occurred either between the prior proximal hospital discharge and SNF admission or after the SNF discharge, within the 30-day risk window. Also excluded are SNF admissions where the patient had multiple SNF admissions after the prior proximal hospitalization, within the 30-day risk window</w:t>
            </w:r>
            <w:r w:rsidRPr="00DC45B2">
              <w:rPr>
                <w:rFonts w:asciiTheme="minorHAnsi" w:hAnsiTheme="minorHAnsi" w:cs="Times New Roman"/>
                <w:sz w:val="22"/>
                <w:szCs w:val="22"/>
              </w:rPr>
              <w:t xml:space="preserve">. </w:t>
            </w:r>
          </w:p>
          <w:p w:rsidR="00105DA1" w:rsidRPr="00DC45B2" w:rsidRDefault="00105DA1" w:rsidP="003F0347">
            <w:pPr>
              <w:pStyle w:val="ListParagraph"/>
              <w:numPr>
                <w:ilvl w:val="0"/>
                <w:numId w:val="1"/>
              </w:numPr>
              <w:rPr>
                <w:rFonts w:cs="Times New Roman"/>
              </w:rPr>
            </w:pPr>
            <w:r w:rsidRPr="00DC45B2">
              <w:rPr>
                <w:rFonts w:cs="Times New Roman"/>
              </w:rPr>
              <w:t xml:space="preserve">SNF stay with a gap &gt;1 day between discharge from the acute care hospital and admission to the SNF. </w:t>
            </w:r>
          </w:p>
          <w:p w:rsidR="00105DA1" w:rsidRPr="00DC45B2" w:rsidRDefault="00105DA1" w:rsidP="003F0347">
            <w:pPr>
              <w:pStyle w:val="ListParagraph"/>
              <w:numPr>
                <w:ilvl w:val="0"/>
                <w:numId w:val="1"/>
              </w:numPr>
              <w:rPr>
                <w:rFonts w:cs="Times New Roman"/>
              </w:rPr>
            </w:pPr>
            <w:r w:rsidRPr="00DC45B2">
              <w:rPr>
                <w:rFonts w:cs="Times New Roman"/>
              </w:rPr>
              <w:t xml:space="preserve">Patient did not have at least 12 months of FFS Medicare enrollment. </w:t>
            </w:r>
          </w:p>
          <w:p w:rsidR="00105DA1" w:rsidRPr="00DC45B2" w:rsidRDefault="00105DA1" w:rsidP="003F0347">
            <w:pPr>
              <w:pStyle w:val="ListParagraph"/>
              <w:numPr>
                <w:ilvl w:val="0"/>
                <w:numId w:val="1"/>
              </w:numPr>
              <w:rPr>
                <w:rFonts w:cs="Times New Roman"/>
              </w:rPr>
            </w:pPr>
            <w:r w:rsidRPr="00DC45B2">
              <w:rPr>
                <w:rFonts w:cs="Times New Roman"/>
              </w:rPr>
              <w:t xml:space="preserve">Patient did not have FFS Medicare enrollment for the entire risk period. </w:t>
            </w:r>
          </w:p>
          <w:p w:rsidR="00105DA1" w:rsidRPr="00DC45B2" w:rsidRDefault="00105DA1" w:rsidP="003F0347">
            <w:pPr>
              <w:pStyle w:val="ListParagraph"/>
              <w:numPr>
                <w:ilvl w:val="0"/>
                <w:numId w:val="1"/>
              </w:numPr>
              <w:rPr>
                <w:rFonts w:cs="Times New Roman"/>
              </w:rPr>
            </w:pPr>
            <w:r w:rsidRPr="00DC45B2">
              <w:rPr>
                <w:rFonts w:cs="Times New Roman"/>
              </w:rPr>
              <w:t xml:space="preserve">SNF stay in with the prior proximal </w:t>
            </w:r>
            <w:r w:rsidR="00AF2B49" w:rsidRPr="00DC45B2">
              <w:rPr>
                <w:rFonts w:cs="Times New Roman"/>
              </w:rPr>
              <w:t>hospitalization for</w:t>
            </w:r>
            <w:r w:rsidRPr="00DC45B2">
              <w:rPr>
                <w:rFonts w:cs="Times New Roman"/>
              </w:rPr>
              <w:t xml:space="preserve"> medical treatment of cancer or rehabilitation care, fitting of prostheses and adjustment of devices. Patients with cancer whose principal diagnosis from the prior proximal hospitalization was for other diagnoses or for surgical treatment of cancer remain in the measure.</w:t>
            </w:r>
          </w:p>
          <w:p w:rsidR="00105DA1" w:rsidRDefault="00105DA1" w:rsidP="003F0347">
            <w:pPr>
              <w:pStyle w:val="ListParagraph"/>
              <w:numPr>
                <w:ilvl w:val="0"/>
                <w:numId w:val="1"/>
              </w:numPr>
              <w:rPr>
                <w:rFonts w:cs="Times New Roman"/>
              </w:rPr>
            </w:pPr>
            <w:r w:rsidRPr="00DC45B2">
              <w:rPr>
                <w:rFonts w:cs="Times New Roman"/>
              </w:rPr>
              <w:t xml:space="preserve">Patient left SNF against medical advice. </w:t>
            </w:r>
          </w:p>
          <w:p w:rsidR="00105DA1" w:rsidRDefault="00105DA1" w:rsidP="00105DA1">
            <w:pPr>
              <w:rPr>
                <w:rFonts w:cs="Times New Roman"/>
              </w:rPr>
            </w:pPr>
          </w:p>
          <w:p w:rsidR="00105DA1" w:rsidRDefault="00105DA1" w:rsidP="00105DA1">
            <w:pPr>
              <w:rPr>
                <w:rFonts w:cs="Times New Roman"/>
              </w:rPr>
            </w:pPr>
          </w:p>
          <w:p w:rsidR="00105DA1" w:rsidRDefault="00105DA1" w:rsidP="00105DA1">
            <w:pPr>
              <w:rPr>
                <w:rFonts w:cs="Times New Roman"/>
              </w:rPr>
            </w:pPr>
          </w:p>
          <w:p w:rsidR="00105DA1" w:rsidRDefault="00105DA1" w:rsidP="00105DA1">
            <w:pPr>
              <w:rPr>
                <w:rFonts w:cs="Times New Roman"/>
              </w:rPr>
            </w:pPr>
          </w:p>
          <w:p w:rsidR="00105DA1" w:rsidRDefault="00105DA1" w:rsidP="00105DA1">
            <w:pPr>
              <w:rPr>
                <w:rFonts w:cs="Times New Roman"/>
              </w:rPr>
            </w:pPr>
          </w:p>
          <w:p w:rsidR="00105DA1" w:rsidRDefault="00105DA1" w:rsidP="00105DA1">
            <w:pPr>
              <w:rPr>
                <w:rFonts w:cs="Times New Roman"/>
              </w:rPr>
            </w:pPr>
          </w:p>
          <w:p w:rsidR="00105DA1" w:rsidRDefault="00105DA1" w:rsidP="00105DA1">
            <w:pPr>
              <w:rPr>
                <w:rFonts w:cs="Times New Roman"/>
              </w:rPr>
            </w:pPr>
          </w:p>
          <w:p w:rsidR="00105DA1" w:rsidRPr="00105DA1" w:rsidRDefault="00105DA1" w:rsidP="00105DA1">
            <w:pPr>
              <w:rPr>
                <w:rFonts w:cs="Times New Roman"/>
              </w:rPr>
            </w:pPr>
          </w:p>
        </w:tc>
        <w:tc>
          <w:tcPr>
            <w:tcW w:w="4083" w:type="dxa"/>
          </w:tcPr>
          <w:p w:rsidR="00105DA1" w:rsidRPr="00DC45B2" w:rsidRDefault="00105DA1" w:rsidP="003F0347">
            <w:pPr>
              <w:rPr>
                <w:rFonts w:cs="Times New Roman"/>
              </w:rPr>
            </w:pPr>
            <w:r w:rsidRPr="00DC45B2">
              <w:rPr>
                <w:rFonts w:cs="Times New Roman"/>
              </w:rPr>
              <w:t xml:space="preserve">The denominator does not contain any individual level exclusions. </w:t>
            </w:r>
          </w:p>
          <w:p w:rsidR="00105DA1" w:rsidRPr="00DC45B2" w:rsidRDefault="00105DA1" w:rsidP="003F0347">
            <w:pPr>
              <w:rPr>
                <w:rFonts w:cs="Times New Roman"/>
              </w:rPr>
            </w:pPr>
            <w:r w:rsidRPr="00DC45B2">
              <w:rPr>
                <w:rFonts w:cs="Times New Roman"/>
              </w:rPr>
              <w:t>Rates for nursing homes were not calculated if they had greater than five percent missing data on the discharge MDS assessment. We calculate the % of admissions that do not have either a discharge MDS assessment or quarterly MDS assessment within</w:t>
            </w:r>
            <w:r>
              <w:rPr>
                <w:rFonts w:cs="Times New Roman"/>
              </w:rPr>
              <w:t xml:space="preserve"> 120</w:t>
            </w:r>
            <w:r w:rsidRPr="00DC45B2">
              <w:rPr>
                <w:rFonts w:cs="Times New Roman"/>
              </w:rPr>
              <w:t xml:space="preserve"> days following admission. If &lt;95% we do not report a facilities rate.  </w:t>
            </w:r>
          </w:p>
          <w:p w:rsidR="00105DA1" w:rsidRPr="00DC45B2" w:rsidRDefault="00105DA1" w:rsidP="003F0347">
            <w:pPr>
              <w:ind w:firstLine="720"/>
              <w:rPr>
                <w:rFonts w:cs="Times New Roman"/>
              </w:rPr>
            </w:pPr>
          </w:p>
        </w:tc>
      </w:tr>
      <w:tr w:rsidR="00105DA1" w:rsidRPr="00DC45B2" w:rsidTr="00A6580A">
        <w:tc>
          <w:tcPr>
            <w:tcW w:w="1278" w:type="dxa"/>
            <w:shd w:val="clear" w:color="auto" w:fill="F2F2F2" w:themeFill="background1" w:themeFillShade="F2"/>
          </w:tcPr>
          <w:p w:rsidR="00105DA1" w:rsidRPr="00DC45B2" w:rsidRDefault="00105DA1" w:rsidP="003F0347">
            <w:pPr>
              <w:tabs>
                <w:tab w:val="left" w:pos="945"/>
              </w:tabs>
              <w:rPr>
                <w:rFonts w:cs="Times New Roman"/>
                <w:b/>
              </w:rPr>
            </w:pPr>
          </w:p>
        </w:tc>
        <w:tc>
          <w:tcPr>
            <w:tcW w:w="4215" w:type="dxa"/>
            <w:shd w:val="clear" w:color="auto" w:fill="F2F2F2" w:themeFill="background1" w:themeFillShade="F2"/>
          </w:tcPr>
          <w:p w:rsidR="00105DA1" w:rsidRPr="00DC45B2" w:rsidRDefault="00105DA1" w:rsidP="00861A76">
            <w:pPr>
              <w:rPr>
                <w:rFonts w:cs="Times New Roman"/>
                <w:b/>
              </w:rPr>
            </w:pPr>
            <w:r w:rsidRPr="00DC45B2">
              <w:rPr>
                <w:rFonts w:cs="Times New Roman"/>
                <w:b/>
              </w:rPr>
              <w:t>Skilled Nursing Facility 30-Day All-Cause Readmissions Measure (SNFRM)</w:t>
            </w:r>
          </w:p>
        </w:tc>
        <w:tc>
          <w:tcPr>
            <w:tcW w:w="4083" w:type="dxa"/>
            <w:shd w:val="clear" w:color="auto" w:fill="F2F2F2" w:themeFill="background1" w:themeFillShade="F2"/>
          </w:tcPr>
          <w:p w:rsidR="00105DA1" w:rsidRPr="00DC45B2" w:rsidRDefault="00105DA1" w:rsidP="00861A76">
            <w:pPr>
              <w:rPr>
                <w:rFonts w:cs="Times New Roman"/>
                <w:b/>
              </w:rPr>
            </w:pPr>
            <w:r>
              <w:rPr>
                <w:rFonts w:cs="Times New Roman"/>
                <w:b/>
              </w:rPr>
              <w:t xml:space="preserve">PointRight </w:t>
            </w:r>
            <w:r w:rsidRPr="00DC45B2">
              <w:rPr>
                <w:rFonts w:cs="Times New Roman"/>
                <w:b/>
              </w:rPr>
              <w:t xml:space="preserve">OnPoint-30 </w:t>
            </w:r>
          </w:p>
        </w:tc>
      </w:tr>
      <w:tr w:rsidR="00105DA1" w:rsidRPr="00DC45B2" w:rsidTr="00A6580A">
        <w:tc>
          <w:tcPr>
            <w:tcW w:w="1278" w:type="dxa"/>
            <w:shd w:val="clear" w:color="auto" w:fill="F2F2F2" w:themeFill="background1" w:themeFillShade="F2"/>
          </w:tcPr>
          <w:p w:rsidR="00105DA1" w:rsidRPr="00DC45B2" w:rsidRDefault="00105DA1" w:rsidP="003F0347">
            <w:pPr>
              <w:tabs>
                <w:tab w:val="left" w:pos="945"/>
              </w:tabs>
              <w:rPr>
                <w:rFonts w:cs="Times New Roman"/>
                <w:b/>
              </w:rPr>
            </w:pPr>
            <w:r w:rsidRPr="00D13D7F">
              <w:rPr>
                <w:rFonts w:cs="Times New Roman"/>
                <w:b/>
                <w:sz w:val="18"/>
              </w:rPr>
              <w:t xml:space="preserve">Risk Adjustment </w:t>
            </w:r>
          </w:p>
        </w:tc>
        <w:tc>
          <w:tcPr>
            <w:tcW w:w="4215" w:type="dxa"/>
          </w:tcPr>
          <w:p w:rsidR="00105DA1" w:rsidRPr="00DC45B2" w:rsidRDefault="00105DA1" w:rsidP="003F0347">
            <w:pPr>
              <w:pStyle w:val="Default"/>
              <w:rPr>
                <w:rFonts w:asciiTheme="minorHAnsi" w:hAnsiTheme="minorHAnsi" w:cs="Times New Roman"/>
                <w:sz w:val="22"/>
                <w:szCs w:val="22"/>
              </w:rPr>
            </w:pPr>
            <w:r w:rsidRPr="00DC45B2">
              <w:rPr>
                <w:rFonts w:asciiTheme="minorHAnsi" w:hAnsiTheme="minorHAnsi" w:cs="Times New Roman"/>
                <w:sz w:val="22"/>
                <w:szCs w:val="22"/>
              </w:rPr>
              <w:t xml:space="preserve">Risk adjustment is based on age, sex, length of stay during prior proximal hospitalization, time spent in ICU during prior proximal hospitalization, disabled as a reason for Medicare coverage, ESRD, number of acute care hospitalizations in the past 365 days, principal diagnosis based on AHRQ’s single level CCS, system specific surgical indicators, individual comorbidities as grouped by CMS hierarchical condition categories or other comorbidity indices, and multiple comorbidities, modeled using the sum of HCCs if sum is &gt;2 and the square of this sum. </w:t>
            </w:r>
          </w:p>
          <w:p w:rsidR="00105DA1" w:rsidRPr="00DC45B2" w:rsidRDefault="00105DA1" w:rsidP="003F0347">
            <w:pPr>
              <w:pStyle w:val="Default"/>
              <w:rPr>
                <w:rFonts w:asciiTheme="minorHAnsi" w:hAnsiTheme="minorHAnsi" w:cs="Times New Roman"/>
                <w:sz w:val="22"/>
                <w:szCs w:val="22"/>
              </w:rPr>
            </w:pPr>
          </w:p>
          <w:p w:rsidR="00105DA1" w:rsidRPr="00DC45B2" w:rsidRDefault="00105DA1" w:rsidP="003F0347">
            <w:pPr>
              <w:pStyle w:val="Default"/>
              <w:rPr>
                <w:rFonts w:asciiTheme="minorHAnsi" w:hAnsiTheme="minorHAnsi" w:cs="Times New Roman"/>
                <w:sz w:val="22"/>
                <w:szCs w:val="22"/>
              </w:rPr>
            </w:pPr>
            <w:r w:rsidRPr="00DC45B2">
              <w:rPr>
                <w:rFonts w:asciiTheme="minorHAnsi" w:hAnsiTheme="minorHAnsi" w:cs="Times New Roman"/>
                <w:sz w:val="22"/>
                <w:szCs w:val="22"/>
              </w:rPr>
              <w:br/>
            </w:r>
            <m:oMathPara>
              <m:oMath>
                <m:r>
                  <w:rPr>
                    <w:rFonts w:ascii="Cambria Math" w:hAnsi="Cambria Math" w:cs="Times New Roman"/>
                    <w:sz w:val="22"/>
                    <w:szCs w:val="22"/>
                  </w:rPr>
                  <m:t>Risk Standardized Readmissions Rate=</m:t>
                </m:r>
                <m:d>
                  <m:dPr>
                    <m:ctrlPr>
                      <w:rPr>
                        <w:rFonts w:ascii="Cambria Math" w:hAnsi="Cambria Math" w:cs="Times New Roman"/>
                        <w:i/>
                        <w:color w:val="auto"/>
                        <w:sz w:val="22"/>
                        <w:szCs w:val="22"/>
                      </w:rPr>
                    </m:ctrlPr>
                  </m:dPr>
                  <m:e>
                    <m:f>
                      <m:fPr>
                        <m:ctrlPr>
                          <w:rPr>
                            <w:rFonts w:ascii="Cambria Math" w:hAnsi="Cambria Math" w:cs="Times New Roman"/>
                            <w:i/>
                            <w:color w:val="auto"/>
                            <w:sz w:val="22"/>
                            <w:szCs w:val="22"/>
                          </w:rPr>
                        </m:ctrlPr>
                      </m:fPr>
                      <m:num>
                        <m:eqArr>
                          <m:eqArrPr>
                            <m:ctrlPr>
                              <w:rPr>
                                <w:rFonts w:ascii="Cambria Math" w:hAnsi="Cambria Math" w:cs="Times New Roman"/>
                                <w:i/>
                                <w:color w:val="auto"/>
                                <w:sz w:val="22"/>
                                <w:szCs w:val="22"/>
                              </w:rPr>
                            </m:ctrlPr>
                          </m:eqArrPr>
                          <m:e>
                            <m:r>
                              <w:rPr>
                                <w:rFonts w:ascii="Cambria Math" w:hAnsi="Cambria Math" w:cs="Times New Roman"/>
                                <w:color w:val="auto"/>
                                <w:sz w:val="22"/>
                                <w:szCs w:val="22"/>
                              </w:rPr>
                              <m:t>Predicted</m:t>
                            </m:r>
                          </m:e>
                          <m:e>
                            <m:r>
                              <w:rPr>
                                <w:rFonts w:ascii="Cambria Math" w:hAnsi="Cambria Math" w:cs="Times New Roman"/>
                                <w:color w:val="auto"/>
                                <w:sz w:val="22"/>
                                <w:szCs w:val="22"/>
                              </w:rPr>
                              <m:t>Readmissions</m:t>
                            </m:r>
                          </m:e>
                        </m:eqArr>
                      </m:num>
                      <m:den>
                        <m:eqArr>
                          <m:eqArrPr>
                            <m:ctrlPr>
                              <w:rPr>
                                <w:rFonts w:ascii="Cambria Math" w:hAnsi="Cambria Math" w:cs="Times New Roman"/>
                                <w:i/>
                                <w:sz w:val="22"/>
                                <w:szCs w:val="22"/>
                              </w:rPr>
                            </m:ctrlPr>
                          </m:eqArrPr>
                          <m:e>
                            <m:r>
                              <w:rPr>
                                <w:rFonts w:ascii="Cambria Math" w:hAnsi="Cambria Math" w:cs="Times New Roman"/>
                                <w:sz w:val="22"/>
                                <w:szCs w:val="22"/>
                              </w:rPr>
                              <m:t xml:space="preserve">Expected </m:t>
                            </m:r>
                          </m:e>
                          <m:e>
                            <m:r>
                              <w:rPr>
                                <w:rFonts w:ascii="Cambria Math" w:hAnsi="Cambria Math" w:cs="Times New Roman"/>
                                <w:sz w:val="22"/>
                                <w:szCs w:val="22"/>
                              </w:rPr>
                              <m:t>Readmissions</m:t>
                            </m:r>
                          </m:e>
                        </m:eqArr>
                      </m:den>
                    </m:f>
                  </m:e>
                </m:d>
                <m:r>
                  <w:rPr>
                    <w:rFonts w:ascii="Cambria Math" w:hAnsi="Cambria Math" w:cs="Times New Roman"/>
                    <w:sz w:val="22"/>
                    <w:szCs w:val="22"/>
                  </w:rPr>
                  <m:t>x Overall Raw National Rate</m:t>
                </m:r>
              </m:oMath>
            </m:oMathPara>
          </w:p>
          <w:p w:rsidR="00105DA1" w:rsidRPr="00DC45B2" w:rsidRDefault="00105DA1" w:rsidP="003F0347">
            <w:pPr>
              <w:pStyle w:val="Default"/>
              <w:rPr>
                <w:rFonts w:asciiTheme="minorHAnsi" w:hAnsiTheme="minorHAnsi" w:cs="Times New Roman"/>
                <w:sz w:val="22"/>
                <w:szCs w:val="22"/>
              </w:rPr>
            </w:pPr>
          </w:p>
        </w:tc>
        <w:tc>
          <w:tcPr>
            <w:tcW w:w="4083" w:type="dxa"/>
          </w:tcPr>
          <w:p w:rsidR="00105DA1" w:rsidRPr="00DC45B2" w:rsidRDefault="00105DA1" w:rsidP="003F0347">
            <w:pPr>
              <w:rPr>
                <w:rFonts w:cs="Times New Roman"/>
              </w:rPr>
            </w:pPr>
            <w:r w:rsidRPr="00DC45B2">
              <w:rPr>
                <w:rFonts w:cs="Times New Roman"/>
              </w:rPr>
              <w:t xml:space="preserve">Adjusted based on 33 different clinical variables and compared observed rate to expected rate. </w:t>
            </w:r>
          </w:p>
          <w:p w:rsidR="00105DA1" w:rsidRPr="00DC45B2" w:rsidRDefault="00105DA1" w:rsidP="003F0347">
            <w:pPr>
              <w:rPr>
                <w:rFonts w:cs="Times New Roman"/>
                <w:i/>
              </w:rPr>
            </w:pPr>
            <w:r w:rsidRPr="00DC45B2">
              <w:rPr>
                <w:rFonts w:cs="Times New Roman"/>
                <w:i/>
              </w:rPr>
              <w:t xml:space="preserve">See Table below with list of variables. </w:t>
            </w:r>
          </w:p>
          <w:p w:rsidR="00105DA1" w:rsidRPr="00DC45B2" w:rsidRDefault="00105DA1" w:rsidP="003F0347">
            <w:pPr>
              <w:rPr>
                <w:rFonts w:cs="Times New Roman"/>
              </w:rPr>
            </w:pPr>
          </w:p>
          <w:p w:rsidR="00105DA1" w:rsidRPr="00DC45B2" w:rsidRDefault="00105DA1" w:rsidP="003F0347">
            <w:pPr>
              <w:rPr>
                <w:rFonts w:cs="Times New Roman"/>
              </w:rPr>
            </w:pPr>
            <m:oMathPara>
              <m:oMath>
                <m:r>
                  <w:rPr>
                    <w:rFonts w:ascii="Cambria Math" w:hAnsi="Cambria Math" w:cs="Times New Roman"/>
                  </w:rPr>
                  <m:t>Risk Adjusted Rate=</m:t>
                </m:r>
                <m:d>
                  <m:dPr>
                    <m:ctrlPr>
                      <w:rPr>
                        <w:rFonts w:ascii="Cambria Math" w:hAnsi="Cambria Math" w:cs="Times New Roman"/>
                        <w:i/>
                      </w:rPr>
                    </m:ctrlPr>
                  </m:dPr>
                  <m:e>
                    <m:f>
                      <m:fPr>
                        <m:ctrlPr>
                          <w:rPr>
                            <w:rFonts w:ascii="Cambria Math" w:hAnsi="Cambria Math" w:cs="Times New Roman"/>
                            <w:i/>
                          </w:rPr>
                        </m:ctrlPr>
                      </m:fPr>
                      <m:num>
                        <m:eqArr>
                          <m:eqArrPr>
                            <m:ctrlPr>
                              <w:rPr>
                                <w:rFonts w:ascii="Cambria Math" w:hAnsi="Cambria Math" w:cs="Times New Roman"/>
                                <w:i/>
                              </w:rPr>
                            </m:ctrlPr>
                          </m:eqArrPr>
                          <m:e>
                            <m:r>
                              <w:rPr>
                                <w:rFonts w:ascii="Cambria Math" w:hAnsi="Cambria Math" w:cs="Times New Roman"/>
                              </w:rPr>
                              <m:t xml:space="preserve">Actual </m:t>
                            </m:r>
                          </m:e>
                          <m:e>
                            <m:r>
                              <w:rPr>
                                <w:rFonts w:ascii="Cambria Math" w:hAnsi="Cambria Math" w:cs="Times New Roman"/>
                              </w:rPr>
                              <m:t>Rehospitalizations</m:t>
                            </m:r>
                          </m:e>
                        </m:eqArr>
                      </m:num>
                      <m:den>
                        <m:eqArr>
                          <m:eqArrPr>
                            <m:ctrlPr>
                              <w:rPr>
                                <w:rFonts w:ascii="Cambria Math" w:hAnsi="Cambria Math" w:cs="Times New Roman"/>
                                <w:i/>
                              </w:rPr>
                            </m:ctrlPr>
                          </m:eqArrPr>
                          <m:e>
                            <m:r>
                              <w:rPr>
                                <w:rFonts w:ascii="Cambria Math" w:hAnsi="Cambria Math" w:cs="Times New Roman"/>
                              </w:rPr>
                              <m:t xml:space="preserve">Expected </m:t>
                            </m:r>
                          </m:e>
                          <m:e>
                            <m:r>
                              <w:rPr>
                                <w:rFonts w:ascii="Cambria Math" w:hAnsi="Cambria Math" w:cs="Times New Roman"/>
                              </w:rPr>
                              <m:t>Rehospita</m:t>
                            </m:r>
                            <m:r>
                              <w:rPr>
                                <w:rFonts w:ascii="Cambria Math" w:hAnsi="Cambria Math" w:cs="Times New Roman"/>
                              </w:rPr>
                              <m:t>lizations</m:t>
                            </m:r>
                          </m:e>
                        </m:eqArr>
                      </m:den>
                    </m:f>
                  </m:e>
                </m:d>
                <m:r>
                  <w:rPr>
                    <w:rFonts w:ascii="Cambria Math" w:hAnsi="Cambria Math" w:cs="Times New Roman"/>
                  </w:rPr>
                  <m:t xml:space="preserve">x National Average </m:t>
                </m:r>
              </m:oMath>
            </m:oMathPara>
          </w:p>
          <w:p w:rsidR="00105DA1" w:rsidRPr="00DC45B2" w:rsidRDefault="00105DA1" w:rsidP="003F0347">
            <w:pPr>
              <w:rPr>
                <w:rFonts w:cs="Times New Roman"/>
              </w:rPr>
            </w:pPr>
          </w:p>
          <w:p w:rsidR="00105DA1" w:rsidRPr="00DC45B2" w:rsidRDefault="00105DA1" w:rsidP="003F0347">
            <w:pPr>
              <w:rPr>
                <w:rFonts w:cs="Times New Roman"/>
              </w:rPr>
            </w:pPr>
          </w:p>
          <w:p w:rsidR="00105DA1" w:rsidRPr="00DC45B2" w:rsidRDefault="00105DA1" w:rsidP="003F0347">
            <w:pPr>
              <w:rPr>
                <w:rFonts w:cs="Times New Roman"/>
              </w:rPr>
            </w:pPr>
          </w:p>
          <w:p w:rsidR="00105DA1" w:rsidRPr="00DC45B2" w:rsidRDefault="00105DA1" w:rsidP="003F0347">
            <w:pPr>
              <w:rPr>
                <w:rFonts w:cs="Times New Roman"/>
              </w:rPr>
            </w:pPr>
          </w:p>
          <w:p w:rsidR="00105DA1" w:rsidRPr="00DC45B2" w:rsidRDefault="00105DA1" w:rsidP="003F0347">
            <w:pPr>
              <w:rPr>
                <w:rFonts w:cs="Times New Roman"/>
              </w:rPr>
            </w:pPr>
          </w:p>
          <w:p w:rsidR="00105DA1" w:rsidRPr="00DC45B2" w:rsidRDefault="00105DA1" w:rsidP="003F0347">
            <w:pPr>
              <w:rPr>
                <w:rFonts w:cs="Times New Roman"/>
              </w:rPr>
            </w:pPr>
          </w:p>
          <w:p w:rsidR="00105DA1" w:rsidRPr="00DC45B2" w:rsidRDefault="00105DA1" w:rsidP="003F0347">
            <w:pPr>
              <w:rPr>
                <w:rFonts w:cs="Times New Roman"/>
              </w:rPr>
            </w:pPr>
          </w:p>
          <w:p w:rsidR="00105DA1" w:rsidRPr="00DC45B2" w:rsidRDefault="00105DA1" w:rsidP="003F0347">
            <w:pPr>
              <w:rPr>
                <w:rFonts w:cs="Times New Roman"/>
              </w:rPr>
            </w:pPr>
          </w:p>
          <w:p w:rsidR="00105DA1" w:rsidRPr="00DC45B2" w:rsidRDefault="00105DA1" w:rsidP="003F0347">
            <w:pPr>
              <w:rPr>
                <w:rFonts w:cs="Times New Roman"/>
              </w:rPr>
            </w:pPr>
          </w:p>
          <w:p w:rsidR="00105DA1" w:rsidRPr="00DC45B2" w:rsidRDefault="00105DA1" w:rsidP="003F0347">
            <w:pPr>
              <w:rPr>
                <w:rFonts w:cs="Times New Roman"/>
              </w:rPr>
            </w:pPr>
          </w:p>
          <w:p w:rsidR="00105DA1" w:rsidRPr="00DC45B2" w:rsidRDefault="00105DA1" w:rsidP="003F0347">
            <w:pPr>
              <w:rPr>
                <w:rFonts w:cs="Times New Roman"/>
              </w:rPr>
            </w:pPr>
          </w:p>
          <w:p w:rsidR="00105DA1" w:rsidRPr="00DC45B2" w:rsidRDefault="00105DA1" w:rsidP="003F0347">
            <w:pPr>
              <w:rPr>
                <w:rFonts w:cs="Times New Roman"/>
              </w:rPr>
            </w:pPr>
          </w:p>
          <w:p w:rsidR="00105DA1" w:rsidRPr="00DC45B2" w:rsidRDefault="00105DA1" w:rsidP="003F0347">
            <w:pPr>
              <w:tabs>
                <w:tab w:val="left" w:pos="1005"/>
              </w:tabs>
              <w:rPr>
                <w:rFonts w:cs="Times New Roman"/>
              </w:rPr>
            </w:pPr>
            <w:r w:rsidRPr="00DC45B2">
              <w:rPr>
                <w:rFonts w:cs="Times New Roman"/>
              </w:rPr>
              <w:tab/>
            </w:r>
          </w:p>
        </w:tc>
      </w:tr>
      <w:tr w:rsidR="00105DA1" w:rsidRPr="00DC45B2" w:rsidTr="00A6580A">
        <w:tc>
          <w:tcPr>
            <w:tcW w:w="1278" w:type="dxa"/>
            <w:shd w:val="clear" w:color="auto" w:fill="F2F2F2" w:themeFill="background1" w:themeFillShade="F2"/>
          </w:tcPr>
          <w:p w:rsidR="00105DA1" w:rsidRPr="00DC45B2" w:rsidRDefault="00A6580A" w:rsidP="003F0347">
            <w:pPr>
              <w:tabs>
                <w:tab w:val="left" w:pos="945"/>
              </w:tabs>
              <w:rPr>
                <w:rFonts w:cs="Times New Roman"/>
                <w:b/>
              </w:rPr>
            </w:pPr>
            <w:r>
              <w:rPr>
                <w:rFonts w:cs="Times New Roman"/>
                <w:b/>
                <w:sz w:val="18"/>
              </w:rPr>
              <w:t>Frequency with Which the Risk Adjustment Coefficients are U</w:t>
            </w:r>
            <w:r w:rsidR="00105DA1" w:rsidRPr="00D13D7F">
              <w:rPr>
                <w:rFonts w:cs="Times New Roman"/>
                <w:b/>
                <w:sz w:val="18"/>
              </w:rPr>
              <w:t>pdated</w:t>
            </w:r>
            <w:r w:rsidR="00105DA1" w:rsidRPr="00D13D7F">
              <w:rPr>
                <w:rFonts w:cs="Times New Roman"/>
                <w:color w:val="1F497D"/>
                <w:sz w:val="18"/>
              </w:rPr>
              <w:t xml:space="preserve"> </w:t>
            </w:r>
          </w:p>
        </w:tc>
        <w:tc>
          <w:tcPr>
            <w:tcW w:w="4215" w:type="dxa"/>
          </w:tcPr>
          <w:p w:rsidR="00105DA1" w:rsidRPr="00DC45B2" w:rsidRDefault="00105DA1" w:rsidP="003F0347">
            <w:pPr>
              <w:pStyle w:val="Default"/>
              <w:rPr>
                <w:rFonts w:asciiTheme="minorHAnsi" w:hAnsiTheme="minorHAnsi"/>
                <w:sz w:val="22"/>
                <w:szCs w:val="22"/>
              </w:rPr>
            </w:pPr>
            <w:r>
              <w:rPr>
                <w:rFonts w:asciiTheme="minorHAnsi" w:hAnsiTheme="minorHAnsi"/>
                <w:sz w:val="22"/>
                <w:szCs w:val="22"/>
              </w:rPr>
              <w:t xml:space="preserve">Not Specified </w:t>
            </w:r>
          </w:p>
        </w:tc>
        <w:tc>
          <w:tcPr>
            <w:tcW w:w="4083" w:type="dxa"/>
          </w:tcPr>
          <w:p w:rsidR="00105DA1" w:rsidRPr="00DC45B2" w:rsidRDefault="00105DA1" w:rsidP="003F0347">
            <w:pPr>
              <w:rPr>
                <w:rFonts w:cs="Times New Roman"/>
              </w:rPr>
            </w:pPr>
            <w:r>
              <w:rPr>
                <w:rFonts w:cs="Times New Roman"/>
              </w:rPr>
              <w:t xml:space="preserve">Bi-annual </w:t>
            </w:r>
            <w:r w:rsidRPr="00DC45B2">
              <w:rPr>
                <w:rFonts w:cs="Times New Roman"/>
              </w:rPr>
              <w:t xml:space="preserve"> </w:t>
            </w:r>
          </w:p>
        </w:tc>
      </w:tr>
    </w:tbl>
    <w:p w:rsidR="00DC45B2" w:rsidRDefault="00DC45B2" w:rsidP="003F0347">
      <w:pPr>
        <w:rPr>
          <w:rFonts w:cs="Times New Roman"/>
          <w:b/>
        </w:rPr>
      </w:pPr>
    </w:p>
    <w:p w:rsidR="00105DA1" w:rsidRDefault="00105DA1" w:rsidP="003F0347">
      <w:pPr>
        <w:rPr>
          <w:rFonts w:cs="Times New Roman"/>
          <w:b/>
        </w:rPr>
      </w:pPr>
    </w:p>
    <w:p w:rsidR="00105DA1" w:rsidRDefault="00105DA1" w:rsidP="003F0347">
      <w:pPr>
        <w:rPr>
          <w:rFonts w:cs="Times New Roman"/>
          <w:b/>
        </w:rPr>
      </w:pPr>
    </w:p>
    <w:p w:rsidR="00105DA1" w:rsidRDefault="00105DA1" w:rsidP="003F0347">
      <w:pPr>
        <w:rPr>
          <w:rFonts w:cs="Times New Roman"/>
          <w:b/>
        </w:rPr>
      </w:pPr>
    </w:p>
    <w:p w:rsidR="00105DA1" w:rsidRDefault="00105DA1" w:rsidP="003F0347">
      <w:pPr>
        <w:rPr>
          <w:rFonts w:cs="Times New Roman"/>
          <w:b/>
        </w:rPr>
      </w:pPr>
    </w:p>
    <w:p w:rsidR="00105DA1" w:rsidRDefault="00105DA1" w:rsidP="003F0347">
      <w:pPr>
        <w:rPr>
          <w:rFonts w:cs="Times New Roman"/>
          <w:b/>
        </w:rPr>
      </w:pPr>
    </w:p>
    <w:p w:rsidR="00105DA1" w:rsidRDefault="00105DA1" w:rsidP="003F0347">
      <w:pPr>
        <w:rPr>
          <w:rFonts w:cs="Times New Roman"/>
          <w:b/>
        </w:rPr>
      </w:pPr>
    </w:p>
    <w:p w:rsidR="00105DA1" w:rsidRDefault="00105DA1" w:rsidP="003F0347">
      <w:pPr>
        <w:rPr>
          <w:rFonts w:cs="Times New Roman"/>
          <w:b/>
        </w:rPr>
      </w:pPr>
    </w:p>
    <w:p w:rsidR="00105DA1" w:rsidRDefault="00105DA1" w:rsidP="003F0347">
      <w:pPr>
        <w:rPr>
          <w:rFonts w:cs="Times New Roman"/>
          <w:b/>
        </w:rPr>
      </w:pPr>
    </w:p>
    <w:p w:rsidR="00A6580A" w:rsidRPr="00DC45B2" w:rsidRDefault="00A6580A" w:rsidP="003F0347">
      <w:pPr>
        <w:rPr>
          <w:rFonts w:cs="Times New Roman"/>
          <w:b/>
        </w:rPr>
      </w:pPr>
    </w:p>
    <w:p w:rsidR="003F0347" w:rsidRPr="00DC45B2" w:rsidRDefault="003F0347" w:rsidP="003F0347">
      <w:pPr>
        <w:rPr>
          <w:rFonts w:cs="Times New Roman"/>
          <w:b/>
        </w:rPr>
      </w:pPr>
      <w:r w:rsidRPr="00DC45B2">
        <w:rPr>
          <w:rFonts w:cs="Times New Roman"/>
          <w:b/>
        </w:rPr>
        <w:lastRenderedPageBreak/>
        <w:t xml:space="preserve">Table 2. </w:t>
      </w:r>
      <w:r w:rsidR="00813B27">
        <w:rPr>
          <w:rFonts w:cs="Times New Roman"/>
          <w:b/>
        </w:rPr>
        <w:t xml:space="preserve">PointRight </w:t>
      </w:r>
      <w:r w:rsidRPr="00DC45B2">
        <w:rPr>
          <w:rFonts w:cs="Times New Roman"/>
          <w:b/>
        </w:rPr>
        <w:t>OnPoint-30</w:t>
      </w:r>
      <w:r w:rsidR="00813B27">
        <w:rPr>
          <w:rFonts w:cs="Times New Roman"/>
          <w:b/>
        </w:rPr>
        <w:t xml:space="preserve"> </w:t>
      </w:r>
      <w:r w:rsidRPr="00DC45B2">
        <w:rPr>
          <w:rFonts w:cs="Times New Roman"/>
          <w:b/>
        </w:rPr>
        <w:t xml:space="preserve">Risk Adjustment Variables </w:t>
      </w:r>
    </w:p>
    <w:tbl>
      <w:tblPr>
        <w:tblW w:w="6740" w:type="dxa"/>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3460"/>
        <w:gridCol w:w="3280"/>
      </w:tblGrid>
      <w:tr w:rsidR="003F0347" w:rsidRPr="00DC45B2" w:rsidTr="00B4128B">
        <w:trPr>
          <w:trHeight w:val="197"/>
        </w:trPr>
        <w:tc>
          <w:tcPr>
            <w:tcW w:w="3460" w:type="dxa"/>
            <w:tcBorders>
              <w:top w:val="single" w:sz="4" w:space="0" w:color="auto"/>
              <w:bottom w:val="single" w:sz="4" w:space="0" w:color="auto"/>
            </w:tcBorders>
            <w:shd w:val="clear" w:color="auto" w:fill="F2F2F2" w:themeFill="background1" w:themeFillShade="F2"/>
            <w:noWrap/>
            <w:vAlign w:val="bottom"/>
            <w:hideMark/>
          </w:tcPr>
          <w:p w:rsidR="003F0347" w:rsidRPr="00DC45B2" w:rsidRDefault="003F0347" w:rsidP="003F0347">
            <w:pPr>
              <w:spacing w:after="0" w:line="240" w:lineRule="auto"/>
              <w:rPr>
                <w:rFonts w:eastAsia="Times New Roman" w:cs="Times New Roman"/>
                <w:b/>
                <w:bCs/>
                <w:color w:val="000000"/>
              </w:rPr>
            </w:pPr>
            <w:r w:rsidRPr="00DC45B2">
              <w:rPr>
                <w:rFonts w:eastAsia="Times New Roman" w:cs="Times New Roman"/>
                <w:b/>
                <w:bCs/>
                <w:color w:val="000000"/>
              </w:rPr>
              <w:t xml:space="preserve">Demographic </w:t>
            </w:r>
          </w:p>
        </w:tc>
        <w:tc>
          <w:tcPr>
            <w:tcW w:w="3280" w:type="dxa"/>
            <w:tcBorders>
              <w:top w:val="single" w:sz="4" w:space="0" w:color="auto"/>
              <w:bottom w:val="single" w:sz="4" w:space="0" w:color="auto"/>
            </w:tcBorders>
            <w:shd w:val="clear" w:color="auto" w:fill="F2F2F2" w:themeFill="background1" w:themeFillShade="F2"/>
            <w:noWrap/>
            <w:vAlign w:val="bottom"/>
            <w:hideMark/>
          </w:tcPr>
          <w:p w:rsidR="003F0347" w:rsidRPr="00DC45B2" w:rsidRDefault="003F0347" w:rsidP="003F0347">
            <w:pPr>
              <w:spacing w:after="0" w:line="240" w:lineRule="auto"/>
              <w:rPr>
                <w:rFonts w:eastAsia="Times New Roman" w:cs="Times New Roman"/>
                <w:b/>
                <w:bCs/>
                <w:color w:val="000000"/>
              </w:rPr>
            </w:pPr>
            <w:r w:rsidRPr="00DC45B2">
              <w:rPr>
                <w:rFonts w:eastAsia="Times New Roman" w:cs="Times New Roman"/>
                <w:b/>
                <w:bCs/>
                <w:color w:val="000000"/>
              </w:rPr>
              <w:t xml:space="preserve">Diagnoses </w:t>
            </w:r>
          </w:p>
        </w:tc>
      </w:tr>
      <w:tr w:rsidR="003F0347" w:rsidRPr="00DC45B2" w:rsidTr="00B4128B">
        <w:trPr>
          <w:trHeight w:val="300"/>
        </w:trPr>
        <w:tc>
          <w:tcPr>
            <w:tcW w:w="3460" w:type="dxa"/>
            <w:tcBorders>
              <w:top w:val="single" w:sz="4" w:space="0" w:color="auto"/>
            </w:tcBorders>
            <w:shd w:val="clear" w:color="auto" w:fill="auto"/>
            <w:noWrap/>
            <w:vAlign w:val="bottom"/>
            <w:hideMark/>
          </w:tcPr>
          <w:p w:rsidR="003F0347" w:rsidRPr="00DC45B2" w:rsidRDefault="003F0347" w:rsidP="00B4128B">
            <w:pPr>
              <w:spacing w:after="0" w:line="240" w:lineRule="auto"/>
              <w:rPr>
                <w:rFonts w:eastAsia="Times New Roman" w:cs="Times New Roman"/>
                <w:color w:val="000000"/>
              </w:rPr>
            </w:pPr>
            <w:r w:rsidRPr="00DC45B2">
              <w:rPr>
                <w:rFonts w:eastAsia="Times New Roman" w:cs="Times New Roman"/>
                <w:color w:val="000000"/>
              </w:rPr>
              <w:t>Age &gt;65</w:t>
            </w:r>
          </w:p>
        </w:tc>
        <w:tc>
          <w:tcPr>
            <w:tcW w:w="3280" w:type="dxa"/>
            <w:tcBorders>
              <w:top w:val="single" w:sz="4" w:space="0" w:color="auto"/>
            </w:tcBorders>
            <w:shd w:val="clear" w:color="auto" w:fill="auto"/>
            <w:noWrap/>
            <w:vAlign w:val="bottom"/>
            <w:hideMark/>
          </w:tcPr>
          <w:p w:rsidR="003F0347" w:rsidRPr="00DC45B2" w:rsidRDefault="003F0347" w:rsidP="00B4128B">
            <w:pPr>
              <w:spacing w:after="0" w:line="240" w:lineRule="auto"/>
              <w:rPr>
                <w:rFonts w:eastAsia="Times New Roman" w:cs="Times New Roman"/>
                <w:color w:val="000000"/>
              </w:rPr>
            </w:pPr>
            <w:r w:rsidRPr="00DC45B2">
              <w:rPr>
                <w:rFonts w:eastAsia="Times New Roman" w:cs="Times New Roman"/>
                <w:color w:val="000000"/>
              </w:rPr>
              <w:t>Anemia</w:t>
            </w:r>
          </w:p>
        </w:tc>
      </w:tr>
      <w:tr w:rsidR="003F0347" w:rsidRPr="00DC45B2" w:rsidTr="00B4128B">
        <w:trPr>
          <w:trHeight w:val="300"/>
        </w:trPr>
        <w:tc>
          <w:tcPr>
            <w:tcW w:w="3460" w:type="dxa"/>
            <w:shd w:val="clear" w:color="auto" w:fill="auto"/>
            <w:noWrap/>
            <w:vAlign w:val="bottom"/>
            <w:hideMark/>
          </w:tcPr>
          <w:p w:rsidR="003F0347" w:rsidRPr="00DC45B2" w:rsidRDefault="003F0347" w:rsidP="00B4128B">
            <w:pPr>
              <w:spacing w:after="0" w:line="240" w:lineRule="auto"/>
              <w:rPr>
                <w:rFonts w:eastAsia="Times New Roman" w:cs="Times New Roman"/>
                <w:color w:val="000000"/>
              </w:rPr>
            </w:pPr>
            <w:r w:rsidRPr="00DC45B2">
              <w:rPr>
                <w:rFonts w:eastAsia="Times New Roman" w:cs="Times New Roman"/>
                <w:color w:val="000000"/>
              </w:rPr>
              <w:t>Male</w:t>
            </w:r>
          </w:p>
        </w:tc>
        <w:tc>
          <w:tcPr>
            <w:tcW w:w="3280" w:type="dxa"/>
            <w:shd w:val="clear" w:color="auto" w:fill="auto"/>
            <w:noWrap/>
            <w:vAlign w:val="bottom"/>
            <w:hideMark/>
          </w:tcPr>
          <w:p w:rsidR="003F0347" w:rsidRPr="00DC45B2" w:rsidRDefault="003F0347" w:rsidP="00B4128B">
            <w:pPr>
              <w:spacing w:after="0" w:line="240" w:lineRule="auto"/>
              <w:rPr>
                <w:rFonts w:eastAsia="Times New Roman" w:cs="Times New Roman"/>
                <w:color w:val="000000"/>
              </w:rPr>
            </w:pPr>
            <w:r w:rsidRPr="00DC45B2">
              <w:rPr>
                <w:rFonts w:eastAsia="Times New Roman" w:cs="Times New Roman"/>
                <w:color w:val="000000"/>
              </w:rPr>
              <w:t>Asthma</w:t>
            </w:r>
          </w:p>
        </w:tc>
      </w:tr>
      <w:tr w:rsidR="003F0347" w:rsidRPr="00DC45B2" w:rsidTr="00B4128B">
        <w:trPr>
          <w:trHeight w:val="330"/>
        </w:trPr>
        <w:tc>
          <w:tcPr>
            <w:tcW w:w="3460" w:type="dxa"/>
            <w:tcBorders>
              <w:bottom w:val="single" w:sz="4" w:space="0" w:color="auto"/>
            </w:tcBorders>
            <w:shd w:val="clear" w:color="auto" w:fill="auto"/>
            <w:noWrap/>
            <w:vAlign w:val="bottom"/>
            <w:hideMark/>
          </w:tcPr>
          <w:p w:rsidR="003F0347" w:rsidRPr="00DC45B2" w:rsidRDefault="003F0347" w:rsidP="00B4128B">
            <w:pPr>
              <w:spacing w:after="0" w:line="240" w:lineRule="auto"/>
              <w:rPr>
                <w:rFonts w:eastAsia="Times New Roman" w:cs="Times New Roman"/>
                <w:color w:val="000000"/>
              </w:rPr>
            </w:pPr>
            <w:r w:rsidRPr="00DC45B2">
              <w:rPr>
                <w:rFonts w:eastAsia="Times New Roman" w:cs="Times New Roman"/>
                <w:color w:val="000000"/>
              </w:rPr>
              <w:t>Medicare as Primary Payer</w:t>
            </w:r>
          </w:p>
        </w:tc>
        <w:tc>
          <w:tcPr>
            <w:tcW w:w="3280" w:type="dxa"/>
            <w:shd w:val="clear" w:color="auto" w:fill="auto"/>
            <w:noWrap/>
            <w:vAlign w:val="bottom"/>
            <w:hideMark/>
          </w:tcPr>
          <w:p w:rsidR="003F0347" w:rsidRPr="00DC45B2" w:rsidRDefault="003F0347" w:rsidP="00B4128B">
            <w:pPr>
              <w:spacing w:after="0" w:line="240" w:lineRule="auto"/>
              <w:rPr>
                <w:rFonts w:eastAsia="Times New Roman" w:cs="Times New Roman"/>
                <w:color w:val="000000"/>
              </w:rPr>
            </w:pPr>
            <w:r w:rsidRPr="00DC45B2">
              <w:rPr>
                <w:rFonts w:eastAsia="Times New Roman" w:cs="Times New Roman"/>
                <w:color w:val="000000"/>
              </w:rPr>
              <w:t>Diabetes</w:t>
            </w:r>
          </w:p>
        </w:tc>
      </w:tr>
      <w:tr w:rsidR="003F0347" w:rsidRPr="00DC45B2" w:rsidTr="00B4128B">
        <w:trPr>
          <w:trHeight w:val="330"/>
        </w:trPr>
        <w:tc>
          <w:tcPr>
            <w:tcW w:w="3460" w:type="dxa"/>
            <w:tcBorders>
              <w:top w:val="single" w:sz="4" w:space="0" w:color="auto"/>
              <w:bottom w:val="single" w:sz="4" w:space="0" w:color="auto"/>
            </w:tcBorders>
            <w:shd w:val="clear" w:color="auto" w:fill="F2F2F2" w:themeFill="background1" w:themeFillShade="F2"/>
            <w:noWrap/>
            <w:vAlign w:val="bottom"/>
            <w:hideMark/>
          </w:tcPr>
          <w:p w:rsidR="003F0347" w:rsidRPr="00DC45B2" w:rsidRDefault="003F0347" w:rsidP="00B4128B">
            <w:pPr>
              <w:spacing w:after="0" w:line="240" w:lineRule="auto"/>
              <w:rPr>
                <w:rFonts w:eastAsia="Times New Roman" w:cs="Times New Roman"/>
                <w:b/>
                <w:bCs/>
                <w:color w:val="000000"/>
              </w:rPr>
            </w:pPr>
            <w:r w:rsidRPr="00DC45B2">
              <w:rPr>
                <w:rFonts w:eastAsia="Times New Roman" w:cs="Times New Roman"/>
                <w:b/>
                <w:bCs/>
                <w:color w:val="000000"/>
              </w:rPr>
              <w:t>Functional Status</w:t>
            </w:r>
          </w:p>
        </w:tc>
        <w:tc>
          <w:tcPr>
            <w:tcW w:w="3280" w:type="dxa"/>
            <w:shd w:val="clear" w:color="auto" w:fill="auto"/>
            <w:noWrap/>
            <w:vAlign w:val="bottom"/>
            <w:hideMark/>
          </w:tcPr>
          <w:p w:rsidR="003F0347" w:rsidRPr="00DC45B2" w:rsidRDefault="003F0347" w:rsidP="00B4128B">
            <w:pPr>
              <w:spacing w:after="0" w:line="240" w:lineRule="auto"/>
              <w:rPr>
                <w:rFonts w:eastAsia="Times New Roman" w:cs="Times New Roman"/>
                <w:color w:val="000000"/>
              </w:rPr>
            </w:pPr>
            <w:r w:rsidRPr="00DC45B2">
              <w:rPr>
                <w:rFonts w:eastAsia="Times New Roman" w:cs="Times New Roman"/>
                <w:color w:val="000000"/>
              </w:rPr>
              <w:t>Hx of heart failure</w:t>
            </w:r>
          </w:p>
        </w:tc>
      </w:tr>
      <w:tr w:rsidR="003F0347" w:rsidRPr="00DC45B2" w:rsidTr="00B4128B">
        <w:trPr>
          <w:trHeight w:val="300"/>
        </w:trPr>
        <w:tc>
          <w:tcPr>
            <w:tcW w:w="3460" w:type="dxa"/>
            <w:tcBorders>
              <w:top w:val="single" w:sz="4" w:space="0" w:color="auto"/>
            </w:tcBorders>
            <w:shd w:val="clear" w:color="auto" w:fill="auto"/>
            <w:noWrap/>
            <w:vAlign w:val="bottom"/>
            <w:hideMark/>
          </w:tcPr>
          <w:p w:rsidR="003F0347" w:rsidRPr="00DC45B2" w:rsidRDefault="003F0347" w:rsidP="00B4128B">
            <w:pPr>
              <w:spacing w:after="0" w:line="240" w:lineRule="auto"/>
              <w:rPr>
                <w:rFonts w:eastAsia="Times New Roman" w:cs="Times New Roman"/>
                <w:color w:val="000000"/>
              </w:rPr>
            </w:pPr>
            <w:r w:rsidRPr="00DC45B2">
              <w:rPr>
                <w:rFonts w:eastAsia="Times New Roman" w:cs="Times New Roman"/>
                <w:color w:val="000000"/>
              </w:rPr>
              <w:t>Total Bowel Incontinence</w:t>
            </w:r>
          </w:p>
        </w:tc>
        <w:tc>
          <w:tcPr>
            <w:tcW w:w="3280" w:type="dxa"/>
            <w:shd w:val="clear" w:color="auto" w:fill="auto"/>
            <w:noWrap/>
            <w:vAlign w:val="bottom"/>
            <w:hideMark/>
          </w:tcPr>
          <w:p w:rsidR="003F0347" w:rsidRPr="00DC45B2" w:rsidRDefault="003F0347" w:rsidP="00B4128B">
            <w:pPr>
              <w:spacing w:after="0" w:line="240" w:lineRule="auto"/>
              <w:rPr>
                <w:rFonts w:eastAsia="Times New Roman" w:cs="Times New Roman"/>
                <w:color w:val="000000"/>
              </w:rPr>
            </w:pPr>
            <w:r w:rsidRPr="00DC45B2">
              <w:rPr>
                <w:rFonts w:eastAsia="Times New Roman" w:cs="Times New Roman"/>
                <w:color w:val="000000"/>
              </w:rPr>
              <w:t>Hx of sepsis</w:t>
            </w:r>
          </w:p>
        </w:tc>
      </w:tr>
      <w:tr w:rsidR="003F0347" w:rsidRPr="00DC45B2" w:rsidTr="00B4128B">
        <w:trPr>
          <w:trHeight w:val="300"/>
        </w:trPr>
        <w:tc>
          <w:tcPr>
            <w:tcW w:w="3460" w:type="dxa"/>
            <w:shd w:val="clear" w:color="auto" w:fill="auto"/>
            <w:noWrap/>
            <w:vAlign w:val="bottom"/>
            <w:hideMark/>
          </w:tcPr>
          <w:p w:rsidR="003F0347" w:rsidRPr="00DC45B2" w:rsidRDefault="003F0347" w:rsidP="00B4128B">
            <w:pPr>
              <w:spacing w:after="0" w:line="240" w:lineRule="auto"/>
              <w:rPr>
                <w:rFonts w:eastAsia="Times New Roman" w:cs="Times New Roman"/>
                <w:color w:val="000000"/>
              </w:rPr>
            </w:pPr>
            <w:r w:rsidRPr="00DC45B2">
              <w:rPr>
                <w:rFonts w:eastAsia="Times New Roman" w:cs="Times New Roman"/>
                <w:color w:val="000000"/>
              </w:rPr>
              <w:t>Eating Dependent</w:t>
            </w:r>
          </w:p>
        </w:tc>
        <w:tc>
          <w:tcPr>
            <w:tcW w:w="3280" w:type="dxa"/>
            <w:shd w:val="clear" w:color="auto" w:fill="auto"/>
            <w:noWrap/>
            <w:vAlign w:val="bottom"/>
            <w:hideMark/>
          </w:tcPr>
          <w:p w:rsidR="003F0347" w:rsidRPr="00DC45B2" w:rsidRDefault="003F0347" w:rsidP="00B4128B">
            <w:pPr>
              <w:spacing w:after="0" w:line="240" w:lineRule="auto"/>
              <w:rPr>
                <w:rFonts w:eastAsia="Times New Roman" w:cs="Times New Roman"/>
                <w:color w:val="000000"/>
              </w:rPr>
            </w:pPr>
            <w:r w:rsidRPr="00DC45B2">
              <w:rPr>
                <w:rFonts w:eastAsia="Times New Roman" w:cs="Times New Roman"/>
                <w:color w:val="000000"/>
              </w:rPr>
              <w:t>Hx of viral hepatitis</w:t>
            </w:r>
          </w:p>
        </w:tc>
      </w:tr>
      <w:tr w:rsidR="003F0347" w:rsidRPr="00DC45B2" w:rsidTr="00B4128B">
        <w:trPr>
          <w:trHeight w:val="300"/>
        </w:trPr>
        <w:tc>
          <w:tcPr>
            <w:tcW w:w="3460" w:type="dxa"/>
            <w:shd w:val="clear" w:color="auto" w:fill="auto"/>
            <w:noWrap/>
            <w:vAlign w:val="bottom"/>
            <w:hideMark/>
          </w:tcPr>
          <w:p w:rsidR="003F0347" w:rsidRPr="00DC45B2" w:rsidRDefault="003F0347" w:rsidP="00B4128B">
            <w:pPr>
              <w:spacing w:after="0" w:line="240" w:lineRule="auto"/>
              <w:rPr>
                <w:rFonts w:eastAsia="Times New Roman" w:cs="Times New Roman"/>
                <w:color w:val="000000"/>
              </w:rPr>
            </w:pPr>
            <w:r w:rsidRPr="00DC45B2">
              <w:rPr>
                <w:rFonts w:eastAsia="Times New Roman" w:cs="Times New Roman"/>
                <w:color w:val="000000"/>
              </w:rPr>
              <w:t>Needs 2 person Assistance in ADLs</w:t>
            </w:r>
          </w:p>
        </w:tc>
        <w:tc>
          <w:tcPr>
            <w:tcW w:w="3280" w:type="dxa"/>
            <w:tcBorders>
              <w:bottom w:val="nil"/>
            </w:tcBorders>
            <w:shd w:val="clear" w:color="auto" w:fill="auto"/>
            <w:noWrap/>
            <w:vAlign w:val="bottom"/>
            <w:hideMark/>
          </w:tcPr>
          <w:p w:rsidR="003F0347" w:rsidRPr="00DC45B2" w:rsidRDefault="003F0347" w:rsidP="00B4128B">
            <w:pPr>
              <w:spacing w:after="0" w:line="240" w:lineRule="auto"/>
              <w:rPr>
                <w:rFonts w:eastAsia="Times New Roman" w:cs="Times New Roman"/>
                <w:color w:val="000000"/>
              </w:rPr>
            </w:pPr>
            <w:r w:rsidRPr="00DC45B2">
              <w:rPr>
                <w:rFonts w:eastAsia="Times New Roman" w:cs="Times New Roman"/>
                <w:color w:val="000000"/>
              </w:rPr>
              <w:t>Hx of internal bleeding</w:t>
            </w:r>
          </w:p>
        </w:tc>
      </w:tr>
      <w:tr w:rsidR="003F0347" w:rsidRPr="00DC45B2" w:rsidTr="00B4128B">
        <w:trPr>
          <w:trHeight w:val="330"/>
        </w:trPr>
        <w:tc>
          <w:tcPr>
            <w:tcW w:w="3460" w:type="dxa"/>
            <w:tcBorders>
              <w:bottom w:val="single" w:sz="4" w:space="0" w:color="auto"/>
              <w:right w:val="single" w:sz="4" w:space="0" w:color="auto"/>
            </w:tcBorders>
            <w:shd w:val="clear" w:color="auto" w:fill="auto"/>
            <w:noWrap/>
            <w:vAlign w:val="bottom"/>
            <w:hideMark/>
          </w:tcPr>
          <w:p w:rsidR="003F0347" w:rsidRPr="00DC45B2" w:rsidRDefault="003F0347" w:rsidP="00B4128B">
            <w:pPr>
              <w:spacing w:after="0" w:line="240" w:lineRule="auto"/>
              <w:rPr>
                <w:rFonts w:eastAsia="Times New Roman" w:cs="Times New Roman"/>
                <w:color w:val="000000"/>
              </w:rPr>
            </w:pPr>
            <w:r w:rsidRPr="00DC45B2">
              <w:rPr>
                <w:rFonts w:eastAsia="Times New Roman" w:cs="Times New Roman"/>
                <w:color w:val="000000"/>
              </w:rPr>
              <w:t>Cognitive impairment (Dementia)</w:t>
            </w:r>
          </w:p>
        </w:tc>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3F0347" w:rsidRPr="00DC45B2" w:rsidRDefault="003F0347" w:rsidP="00B4128B">
            <w:pPr>
              <w:spacing w:after="0" w:line="240" w:lineRule="auto"/>
              <w:rPr>
                <w:rFonts w:eastAsia="Times New Roman" w:cs="Times New Roman"/>
                <w:b/>
                <w:bCs/>
                <w:color w:val="000000"/>
              </w:rPr>
            </w:pPr>
          </w:p>
        </w:tc>
      </w:tr>
      <w:tr w:rsidR="003F0347" w:rsidRPr="00DC45B2" w:rsidTr="00B4128B">
        <w:trPr>
          <w:trHeight w:val="300"/>
        </w:trPr>
        <w:tc>
          <w:tcPr>
            <w:tcW w:w="3460" w:type="dxa"/>
            <w:tcBorders>
              <w:top w:val="single" w:sz="4" w:space="0" w:color="auto"/>
              <w:bottom w:val="single" w:sz="4" w:space="0" w:color="auto"/>
            </w:tcBorders>
            <w:shd w:val="clear" w:color="auto" w:fill="F2F2F2" w:themeFill="background1" w:themeFillShade="F2"/>
            <w:noWrap/>
            <w:vAlign w:val="bottom"/>
            <w:hideMark/>
          </w:tcPr>
          <w:p w:rsidR="003F0347" w:rsidRPr="00DC45B2" w:rsidRDefault="003F0347" w:rsidP="00B4128B">
            <w:pPr>
              <w:spacing w:after="0" w:line="240" w:lineRule="auto"/>
              <w:rPr>
                <w:rFonts w:eastAsia="Times New Roman" w:cs="Times New Roman"/>
                <w:b/>
                <w:bCs/>
                <w:color w:val="000000"/>
              </w:rPr>
            </w:pPr>
            <w:r w:rsidRPr="00DC45B2">
              <w:rPr>
                <w:rFonts w:eastAsia="Times New Roman" w:cs="Times New Roman"/>
                <w:b/>
                <w:bCs/>
                <w:color w:val="000000"/>
              </w:rPr>
              <w:t>Prognosis</w:t>
            </w:r>
          </w:p>
        </w:tc>
        <w:tc>
          <w:tcPr>
            <w:tcW w:w="3280" w:type="dxa"/>
            <w:tcBorders>
              <w:top w:val="single" w:sz="4" w:space="0" w:color="auto"/>
              <w:bottom w:val="single" w:sz="4" w:space="0" w:color="auto"/>
            </w:tcBorders>
            <w:shd w:val="clear" w:color="auto" w:fill="F2F2F2" w:themeFill="background1" w:themeFillShade="F2"/>
            <w:noWrap/>
            <w:vAlign w:val="bottom"/>
          </w:tcPr>
          <w:p w:rsidR="003F0347" w:rsidRPr="00DC45B2" w:rsidRDefault="00B4128B" w:rsidP="00B4128B">
            <w:pPr>
              <w:spacing w:after="0" w:line="240" w:lineRule="auto"/>
              <w:rPr>
                <w:rFonts w:eastAsia="Times New Roman" w:cs="Times New Roman"/>
                <w:color w:val="000000"/>
              </w:rPr>
            </w:pPr>
            <w:r w:rsidRPr="00DC45B2">
              <w:rPr>
                <w:rFonts w:eastAsia="Times New Roman" w:cs="Times New Roman"/>
                <w:b/>
                <w:bCs/>
                <w:color w:val="000000"/>
              </w:rPr>
              <w:t>Services &amp; Treatments</w:t>
            </w:r>
          </w:p>
        </w:tc>
      </w:tr>
      <w:tr w:rsidR="00B4128B" w:rsidRPr="00DC45B2" w:rsidTr="00B4128B">
        <w:trPr>
          <w:trHeight w:val="345"/>
        </w:trPr>
        <w:tc>
          <w:tcPr>
            <w:tcW w:w="3460" w:type="dxa"/>
            <w:tcBorders>
              <w:top w:val="single" w:sz="4" w:space="0" w:color="auto"/>
            </w:tcBorders>
            <w:shd w:val="clear" w:color="auto" w:fill="auto"/>
            <w:noWrap/>
            <w:vAlign w:val="bottom"/>
            <w:hideMark/>
          </w:tcPr>
          <w:p w:rsidR="00B4128B" w:rsidRPr="00DC45B2" w:rsidRDefault="00B4128B" w:rsidP="00B4128B">
            <w:pPr>
              <w:spacing w:after="0" w:line="240" w:lineRule="auto"/>
              <w:rPr>
                <w:rFonts w:eastAsia="Times New Roman" w:cs="Times New Roman"/>
                <w:color w:val="000000"/>
              </w:rPr>
            </w:pPr>
            <w:r w:rsidRPr="00DC45B2">
              <w:rPr>
                <w:rFonts w:eastAsia="Times New Roman" w:cs="Times New Roman"/>
                <w:color w:val="000000"/>
              </w:rPr>
              <w:t>End Stage prognosis poor</w:t>
            </w:r>
          </w:p>
        </w:tc>
        <w:tc>
          <w:tcPr>
            <w:tcW w:w="3280" w:type="dxa"/>
            <w:tcBorders>
              <w:top w:val="single" w:sz="4" w:space="0" w:color="auto"/>
            </w:tcBorders>
            <w:shd w:val="clear" w:color="auto" w:fill="auto"/>
            <w:noWrap/>
            <w:vAlign w:val="bottom"/>
          </w:tcPr>
          <w:p w:rsidR="00B4128B" w:rsidRPr="00DC45B2" w:rsidRDefault="00B4128B" w:rsidP="00861A76">
            <w:pPr>
              <w:spacing w:after="0" w:line="240" w:lineRule="auto"/>
              <w:rPr>
                <w:rFonts w:eastAsia="Times New Roman" w:cs="Times New Roman"/>
                <w:color w:val="000000"/>
              </w:rPr>
            </w:pPr>
            <w:r w:rsidRPr="00DC45B2">
              <w:rPr>
                <w:rFonts w:eastAsia="Times New Roman" w:cs="Times New Roman"/>
                <w:color w:val="000000"/>
              </w:rPr>
              <w:t>Dialysis</w:t>
            </w:r>
          </w:p>
        </w:tc>
      </w:tr>
      <w:tr w:rsidR="00B4128B" w:rsidRPr="00DC45B2" w:rsidTr="00B4128B">
        <w:trPr>
          <w:trHeight w:val="345"/>
        </w:trPr>
        <w:tc>
          <w:tcPr>
            <w:tcW w:w="3460" w:type="dxa"/>
            <w:shd w:val="clear" w:color="auto" w:fill="auto"/>
            <w:noWrap/>
            <w:vAlign w:val="bottom"/>
            <w:hideMark/>
          </w:tcPr>
          <w:p w:rsidR="00B4128B" w:rsidRPr="00DC45B2" w:rsidRDefault="00B4128B" w:rsidP="00B4128B">
            <w:pPr>
              <w:spacing w:after="0" w:line="240" w:lineRule="auto"/>
              <w:rPr>
                <w:rFonts w:eastAsia="Times New Roman" w:cs="Times New Roman"/>
                <w:color w:val="000000"/>
              </w:rPr>
            </w:pPr>
            <w:r w:rsidRPr="00DC45B2">
              <w:rPr>
                <w:rFonts w:eastAsia="Times New Roman" w:cs="Times New Roman"/>
                <w:color w:val="000000"/>
              </w:rPr>
              <w:t>Recently rehospitalized</w:t>
            </w:r>
          </w:p>
        </w:tc>
        <w:tc>
          <w:tcPr>
            <w:tcW w:w="3280" w:type="dxa"/>
            <w:shd w:val="clear" w:color="auto" w:fill="auto"/>
            <w:noWrap/>
            <w:vAlign w:val="bottom"/>
          </w:tcPr>
          <w:p w:rsidR="00B4128B" w:rsidRPr="00DC45B2" w:rsidRDefault="00B4128B" w:rsidP="00861A76">
            <w:pPr>
              <w:spacing w:after="0" w:line="240" w:lineRule="auto"/>
              <w:rPr>
                <w:rFonts w:eastAsia="Times New Roman" w:cs="Times New Roman"/>
                <w:color w:val="000000"/>
              </w:rPr>
            </w:pPr>
            <w:r w:rsidRPr="00DC45B2">
              <w:rPr>
                <w:rFonts w:eastAsia="Times New Roman" w:cs="Times New Roman"/>
                <w:color w:val="000000"/>
              </w:rPr>
              <w:t>Insulin prescribed</w:t>
            </w:r>
          </w:p>
        </w:tc>
      </w:tr>
      <w:tr w:rsidR="00B4128B" w:rsidRPr="00DC45B2" w:rsidTr="00B4128B">
        <w:trPr>
          <w:trHeight w:val="345"/>
        </w:trPr>
        <w:tc>
          <w:tcPr>
            <w:tcW w:w="3460" w:type="dxa"/>
            <w:shd w:val="clear" w:color="auto" w:fill="auto"/>
            <w:noWrap/>
            <w:vAlign w:val="bottom"/>
            <w:hideMark/>
          </w:tcPr>
          <w:p w:rsidR="00B4128B" w:rsidRPr="00DC45B2" w:rsidRDefault="00B4128B" w:rsidP="00B4128B">
            <w:pPr>
              <w:spacing w:after="0" w:line="240" w:lineRule="auto"/>
              <w:rPr>
                <w:rFonts w:eastAsia="Times New Roman" w:cs="Times New Roman"/>
                <w:color w:val="000000"/>
              </w:rPr>
            </w:pPr>
            <w:r w:rsidRPr="00DC45B2">
              <w:rPr>
                <w:rFonts w:eastAsia="Times New Roman" w:cs="Times New Roman"/>
                <w:color w:val="000000"/>
              </w:rPr>
              <w:t>Hx of respiratory failure</w:t>
            </w:r>
          </w:p>
        </w:tc>
        <w:tc>
          <w:tcPr>
            <w:tcW w:w="3280" w:type="dxa"/>
            <w:shd w:val="clear" w:color="auto" w:fill="auto"/>
            <w:noWrap/>
            <w:vAlign w:val="bottom"/>
          </w:tcPr>
          <w:p w:rsidR="00B4128B" w:rsidRPr="00DC45B2" w:rsidRDefault="00B4128B" w:rsidP="00861A76">
            <w:pPr>
              <w:spacing w:after="0" w:line="240" w:lineRule="auto"/>
              <w:rPr>
                <w:rFonts w:eastAsia="Times New Roman" w:cs="Times New Roman"/>
                <w:color w:val="000000"/>
              </w:rPr>
            </w:pPr>
            <w:r w:rsidRPr="00DC45B2">
              <w:rPr>
                <w:rFonts w:eastAsia="Times New Roman" w:cs="Times New Roman"/>
                <w:color w:val="000000"/>
              </w:rPr>
              <w:t>Ostomy Care</w:t>
            </w:r>
          </w:p>
        </w:tc>
      </w:tr>
      <w:tr w:rsidR="00B4128B" w:rsidRPr="00DC45B2" w:rsidTr="00B4128B">
        <w:trPr>
          <w:trHeight w:val="375"/>
        </w:trPr>
        <w:tc>
          <w:tcPr>
            <w:tcW w:w="3460" w:type="dxa"/>
            <w:tcBorders>
              <w:bottom w:val="single" w:sz="4" w:space="0" w:color="auto"/>
            </w:tcBorders>
            <w:shd w:val="clear" w:color="auto" w:fill="auto"/>
            <w:noWrap/>
            <w:vAlign w:val="bottom"/>
            <w:hideMark/>
          </w:tcPr>
          <w:p w:rsidR="00B4128B" w:rsidRPr="00DC45B2" w:rsidRDefault="00B4128B" w:rsidP="00B4128B">
            <w:pPr>
              <w:spacing w:after="0" w:line="240" w:lineRule="auto"/>
              <w:rPr>
                <w:rFonts w:eastAsia="Times New Roman" w:cs="Times New Roman"/>
                <w:color w:val="000000"/>
              </w:rPr>
            </w:pPr>
            <w:r w:rsidRPr="00DC45B2">
              <w:rPr>
                <w:rFonts w:eastAsia="Times New Roman" w:cs="Times New Roman"/>
                <w:color w:val="000000"/>
              </w:rPr>
              <w:t>Receiving Hospice Care</w:t>
            </w:r>
          </w:p>
        </w:tc>
        <w:tc>
          <w:tcPr>
            <w:tcW w:w="3280" w:type="dxa"/>
            <w:shd w:val="clear" w:color="auto" w:fill="auto"/>
            <w:noWrap/>
            <w:vAlign w:val="bottom"/>
          </w:tcPr>
          <w:p w:rsidR="00B4128B" w:rsidRPr="00DC45B2" w:rsidRDefault="00B4128B" w:rsidP="00861A76">
            <w:pPr>
              <w:spacing w:after="0" w:line="240" w:lineRule="auto"/>
              <w:rPr>
                <w:rFonts w:eastAsia="Times New Roman" w:cs="Times New Roman"/>
                <w:color w:val="000000"/>
              </w:rPr>
            </w:pPr>
            <w:r w:rsidRPr="00DC45B2">
              <w:rPr>
                <w:rFonts w:eastAsia="Times New Roman" w:cs="Times New Roman"/>
                <w:color w:val="000000"/>
              </w:rPr>
              <w:t>Cancer chemotherapy</w:t>
            </w:r>
          </w:p>
        </w:tc>
      </w:tr>
      <w:tr w:rsidR="00B4128B" w:rsidRPr="00DC45B2" w:rsidTr="00B4128B">
        <w:trPr>
          <w:trHeight w:val="270"/>
        </w:trPr>
        <w:tc>
          <w:tcPr>
            <w:tcW w:w="3460" w:type="dxa"/>
            <w:tcBorders>
              <w:top w:val="single" w:sz="4" w:space="0" w:color="auto"/>
              <w:bottom w:val="single" w:sz="4" w:space="0" w:color="auto"/>
            </w:tcBorders>
            <w:shd w:val="clear" w:color="auto" w:fill="F2F2F2" w:themeFill="background1" w:themeFillShade="F2"/>
            <w:noWrap/>
            <w:vAlign w:val="bottom"/>
            <w:hideMark/>
          </w:tcPr>
          <w:p w:rsidR="00B4128B" w:rsidRPr="00DC45B2" w:rsidRDefault="00B4128B" w:rsidP="00B4128B">
            <w:pPr>
              <w:spacing w:after="0" w:line="240" w:lineRule="auto"/>
              <w:rPr>
                <w:rFonts w:eastAsia="Times New Roman" w:cs="Times New Roman"/>
                <w:b/>
                <w:bCs/>
                <w:color w:val="000000"/>
              </w:rPr>
            </w:pPr>
            <w:r w:rsidRPr="00DC45B2">
              <w:rPr>
                <w:rFonts w:eastAsia="Times New Roman" w:cs="Times New Roman"/>
                <w:b/>
                <w:bCs/>
                <w:color w:val="000000"/>
              </w:rPr>
              <w:t>Clinical Condition</w:t>
            </w:r>
          </w:p>
        </w:tc>
        <w:tc>
          <w:tcPr>
            <w:tcW w:w="3280" w:type="dxa"/>
            <w:shd w:val="clear" w:color="auto" w:fill="auto"/>
            <w:noWrap/>
            <w:vAlign w:val="bottom"/>
          </w:tcPr>
          <w:p w:rsidR="00B4128B" w:rsidRPr="00DC45B2" w:rsidRDefault="00B4128B" w:rsidP="00861A76">
            <w:pPr>
              <w:spacing w:after="0" w:line="240" w:lineRule="auto"/>
              <w:rPr>
                <w:rFonts w:eastAsia="Times New Roman" w:cs="Times New Roman"/>
                <w:color w:val="000000"/>
              </w:rPr>
            </w:pPr>
            <w:r w:rsidRPr="00DC45B2">
              <w:rPr>
                <w:rFonts w:eastAsia="Times New Roman" w:cs="Times New Roman"/>
                <w:color w:val="000000"/>
              </w:rPr>
              <w:t>Receiving radiation therapy</w:t>
            </w:r>
          </w:p>
        </w:tc>
      </w:tr>
      <w:tr w:rsidR="00B4128B" w:rsidRPr="00DC45B2" w:rsidTr="00B4128B">
        <w:trPr>
          <w:trHeight w:val="330"/>
        </w:trPr>
        <w:tc>
          <w:tcPr>
            <w:tcW w:w="3460" w:type="dxa"/>
            <w:tcBorders>
              <w:top w:val="single" w:sz="4" w:space="0" w:color="auto"/>
            </w:tcBorders>
            <w:shd w:val="clear" w:color="auto" w:fill="auto"/>
            <w:noWrap/>
            <w:vAlign w:val="bottom"/>
            <w:hideMark/>
          </w:tcPr>
          <w:p w:rsidR="00B4128B" w:rsidRPr="00DC45B2" w:rsidRDefault="00B4128B" w:rsidP="00B4128B">
            <w:pPr>
              <w:spacing w:after="0" w:line="240" w:lineRule="auto"/>
              <w:rPr>
                <w:rFonts w:eastAsia="Times New Roman" w:cs="Times New Roman"/>
                <w:color w:val="000000"/>
              </w:rPr>
            </w:pPr>
            <w:r w:rsidRPr="00DC45B2">
              <w:rPr>
                <w:rFonts w:eastAsia="Times New Roman" w:cs="Times New Roman"/>
                <w:color w:val="000000"/>
              </w:rPr>
              <w:t>Daily Pain</w:t>
            </w:r>
          </w:p>
        </w:tc>
        <w:tc>
          <w:tcPr>
            <w:tcW w:w="3280" w:type="dxa"/>
            <w:shd w:val="clear" w:color="auto" w:fill="auto"/>
            <w:noWrap/>
            <w:vAlign w:val="bottom"/>
          </w:tcPr>
          <w:p w:rsidR="00B4128B" w:rsidRPr="00DC45B2" w:rsidRDefault="00B4128B" w:rsidP="00861A76">
            <w:pPr>
              <w:spacing w:after="0" w:line="240" w:lineRule="auto"/>
              <w:rPr>
                <w:rFonts w:eastAsia="Times New Roman" w:cs="Times New Roman"/>
                <w:color w:val="000000"/>
              </w:rPr>
            </w:pPr>
            <w:r w:rsidRPr="00DC45B2">
              <w:rPr>
                <w:rFonts w:eastAsia="Times New Roman" w:cs="Times New Roman"/>
                <w:color w:val="000000"/>
              </w:rPr>
              <w:t>Continue to receive IV medication</w:t>
            </w:r>
          </w:p>
        </w:tc>
      </w:tr>
      <w:tr w:rsidR="00B4128B" w:rsidRPr="00DC45B2" w:rsidTr="00B4128B">
        <w:trPr>
          <w:trHeight w:val="240"/>
        </w:trPr>
        <w:tc>
          <w:tcPr>
            <w:tcW w:w="3460" w:type="dxa"/>
            <w:shd w:val="clear" w:color="auto" w:fill="auto"/>
            <w:noWrap/>
            <w:vAlign w:val="bottom"/>
            <w:hideMark/>
          </w:tcPr>
          <w:p w:rsidR="00B4128B" w:rsidRPr="00DC45B2" w:rsidRDefault="00B4128B" w:rsidP="00B4128B">
            <w:pPr>
              <w:spacing w:after="0" w:line="240" w:lineRule="auto"/>
              <w:rPr>
                <w:rFonts w:eastAsia="Times New Roman" w:cs="Times New Roman"/>
                <w:color w:val="000000"/>
              </w:rPr>
            </w:pPr>
            <w:r w:rsidRPr="00DC45B2">
              <w:rPr>
                <w:rFonts w:eastAsia="Times New Roman" w:cs="Times New Roman"/>
                <w:color w:val="000000"/>
              </w:rPr>
              <w:t>Pressure Ulcer Stage (4 variables)</w:t>
            </w:r>
          </w:p>
        </w:tc>
        <w:tc>
          <w:tcPr>
            <w:tcW w:w="3280" w:type="dxa"/>
            <w:shd w:val="clear" w:color="auto" w:fill="auto"/>
            <w:noWrap/>
            <w:vAlign w:val="bottom"/>
          </w:tcPr>
          <w:p w:rsidR="00B4128B" w:rsidRPr="00DC45B2" w:rsidRDefault="00B4128B" w:rsidP="00861A76">
            <w:pPr>
              <w:spacing w:after="0" w:line="240" w:lineRule="auto"/>
              <w:rPr>
                <w:rFonts w:eastAsia="Times New Roman" w:cs="Times New Roman"/>
                <w:color w:val="000000"/>
              </w:rPr>
            </w:pPr>
            <w:r w:rsidRPr="00DC45B2">
              <w:rPr>
                <w:rFonts w:eastAsia="Times New Roman" w:cs="Times New Roman"/>
                <w:color w:val="000000"/>
              </w:rPr>
              <w:t>Continue to receive oxygen</w:t>
            </w:r>
          </w:p>
        </w:tc>
      </w:tr>
      <w:tr w:rsidR="00B4128B" w:rsidRPr="00DC45B2" w:rsidTr="00B4128B">
        <w:trPr>
          <w:trHeight w:val="300"/>
        </w:trPr>
        <w:tc>
          <w:tcPr>
            <w:tcW w:w="3460" w:type="dxa"/>
            <w:shd w:val="clear" w:color="auto" w:fill="auto"/>
            <w:noWrap/>
            <w:vAlign w:val="bottom"/>
            <w:hideMark/>
          </w:tcPr>
          <w:p w:rsidR="00B4128B" w:rsidRPr="00DC45B2" w:rsidRDefault="00B4128B" w:rsidP="00B4128B">
            <w:pPr>
              <w:spacing w:after="0" w:line="240" w:lineRule="auto"/>
              <w:rPr>
                <w:rFonts w:eastAsia="Times New Roman" w:cs="Times New Roman"/>
                <w:color w:val="000000"/>
              </w:rPr>
            </w:pPr>
            <w:r w:rsidRPr="00DC45B2">
              <w:rPr>
                <w:rFonts w:eastAsia="Times New Roman" w:cs="Times New Roman"/>
                <w:color w:val="000000"/>
              </w:rPr>
              <w:t>Venous arterial ulcer</w:t>
            </w:r>
          </w:p>
        </w:tc>
        <w:tc>
          <w:tcPr>
            <w:tcW w:w="3280" w:type="dxa"/>
            <w:shd w:val="clear" w:color="auto" w:fill="auto"/>
            <w:noWrap/>
            <w:vAlign w:val="bottom"/>
            <w:hideMark/>
          </w:tcPr>
          <w:p w:rsidR="00B4128B" w:rsidRPr="00DC45B2" w:rsidRDefault="00B4128B" w:rsidP="00861A76">
            <w:pPr>
              <w:spacing w:after="0" w:line="240" w:lineRule="auto"/>
              <w:rPr>
                <w:rFonts w:eastAsia="Times New Roman" w:cs="Times New Roman"/>
                <w:color w:val="000000"/>
              </w:rPr>
            </w:pPr>
            <w:r w:rsidRPr="00DC45B2">
              <w:rPr>
                <w:rFonts w:eastAsia="Times New Roman" w:cs="Times New Roman"/>
                <w:color w:val="000000"/>
              </w:rPr>
              <w:t>Continued tracheostomy care</w:t>
            </w:r>
          </w:p>
        </w:tc>
      </w:tr>
      <w:tr w:rsidR="00B4128B" w:rsidRPr="00DC45B2" w:rsidTr="00B4128B">
        <w:trPr>
          <w:trHeight w:val="300"/>
        </w:trPr>
        <w:tc>
          <w:tcPr>
            <w:tcW w:w="3460" w:type="dxa"/>
            <w:shd w:val="clear" w:color="auto" w:fill="auto"/>
            <w:noWrap/>
            <w:vAlign w:val="bottom"/>
            <w:hideMark/>
          </w:tcPr>
          <w:p w:rsidR="00B4128B" w:rsidRPr="00DC45B2" w:rsidRDefault="00B4128B" w:rsidP="00B4128B">
            <w:pPr>
              <w:spacing w:after="0" w:line="240" w:lineRule="auto"/>
              <w:rPr>
                <w:rFonts w:eastAsia="Times New Roman" w:cs="Times New Roman"/>
                <w:color w:val="000000"/>
              </w:rPr>
            </w:pPr>
            <w:r w:rsidRPr="00DC45B2">
              <w:rPr>
                <w:rFonts w:eastAsia="Times New Roman" w:cs="Times New Roman"/>
                <w:color w:val="000000"/>
              </w:rPr>
              <w:t>Diabetic foot ulcer</w:t>
            </w:r>
          </w:p>
        </w:tc>
        <w:tc>
          <w:tcPr>
            <w:tcW w:w="3280" w:type="dxa"/>
            <w:shd w:val="clear" w:color="auto" w:fill="auto"/>
            <w:noWrap/>
            <w:vAlign w:val="bottom"/>
            <w:hideMark/>
          </w:tcPr>
          <w:p w:rsidR="00B4128B" w:rsidRPr="00DC45B2" w:rsidRDefault="00B4128B" w:rsidP="00B4128B">
            <w:pPr>
              <w:spacing w:after="0" w:line="240" w:lineRule="auto"/>
              <w:rPr>
                <w:rFonts w:eastAsia="Times New Roman" w:cs="Times New Roman"/>
                <w:color w:val="000000"/>
              </w:rPr>
            </w:pPr>
          </w:p>
        </w:tc>
      </w:tr>
    </w:tbl>
    <w:p w:rsidR="003F0347" w:rsidRPr="00DC45B2" w:rsidRDefault="003F0347" w:rsidP="003F0347">
      <w:pPr>
        <w:rPr>
          <w:b/>
        </w:rPr>
      </w:pPr>
    </w:p>
    <w:p w:rsidR="003F0347" w:rsidRPr="00DC45B2" w:rsidRDefault="003F0347" w:rsidP="003F0347">
      <w:pPr>
        <w:rPr>
          <w:rFonts w:cs="Times New Roman"/>
        </w:rPr>
      </w:pPr>
    </w:p>
    <w:p w:rsidR="003F0347" w:rsidRPr="00DC45B2" w:rsidRDefault="003F0347">
      <w:pPr>
        <w:rPr>
          <w:b/>
        </w:rPr>
      </w:pPr>
    </w:p>
    <w:sectPr w:rsidR="003F0347" w:rsidRPr="00DC45B2" w:rsidSect="003F0347">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724E" w:rsidRDefault="003D724E" w:rsidP="003F0347">
      <w:pPr>
        <w:spacing w:after="0" w:line="240" w:lineRule="auto"/>
      </w:pPr>
      <w:r>
        <w:separator/>
      </w:r>
    </w:p>
  </w:endnote>
  <w:endnote w:type="continuationSeparator" w:id="0">
    <w:p w:rsidR="003D724E" w:rsidRDefault="003D724E" w:rsidP="003F03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5724880"/>
      <w:docPartObj>
        <w:docPartGallery w:val="Page Numbers (Bottom of Page)"/>
        <w:docPartUnique/>
      </w:docPartObj>
    </w:sdtPr>
    <w:sdtEndPr>
      <w:rPr>
        <w:noProof/>
      </w:rPr>
    </w:sdtEndPr>
    <w:sdtContent>
      <w:p w:rsidR="003D724E" w:rsidRDefault="003D724E">
        <w:pPr>
          <w:pStyle w:val="Footer"/>
          <w:jc w:val="right"/>
        </w:pPr>
        <w:r>
          <w:fldChar w:fldCharType="begin"/>
        </w:r>
        <w:r>
          <w:instrText xml:space="preserve"> PAGE   \* MERGEFORMAT </w:instrText>
        </w:r>
        <w:r>
          <w:fldChar w:fldCharType="separate"/>
        </w:r>
        <w:r w:rsidR="00AF2B49">
          <w:rPr>
            <w:noProof/>
          </w:rPr>
          <w:t>1</w:t>
        </w:r>
        <w:r>
          <w:rPr>
            <w:noProof/>
          </w:rPr>
          <w:fldChar w:fldCharType="end"/>
        </w:r>
      </w:p>
    </w:sdtContent>
  </w:sdt>
  <w:p w:rsidR="003D724E" w:rsidRDefault="003D72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724E" w:rsidRDefault="003D724E" w:rsidP="003F0347">
      <w:pPr>
        <w:spacing w:after="0" w:line="240" w:lineRule="auto"/>
      </w:pPr>
      <w:r>
        <w:separator/>
      </w:r>
    </w:p>
  </w:footnote>
  <w:footnote w:type="continuationSeparator" w:id="0">
    <w:p w:rsidR="003D724E" w:rsidRDefault="003D724E" w:rsidP="003F03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24E" w:rsidRDefault="003D724E" w:rsidP="00DC45B2">
    <w:pPr>
      <w:pStyle w:val="Header"/>
      <w:tabs>
        <w:tab w:val="left" w:pos="3832"/>
      </w:tabs>
    </w:pPr>
    <w:r>
      <w:tab/>
    </w:r>
    <w:r>
      <w:tab/>
    </w:r>
    <w:r>
      <w:tab/>
      <w:t>PointRight OnPoint-30 SNF Rehospitalizations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51FAC"/>
    <w:multiLevelType w:val="hybridMultilevel"/>
    <w:tmpl w:val="CB96B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962716E"/>
    <w:multiLevelType w:val="hybridMultilevel"/>
    <w:tmpl w:val="CB228B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E39"/>
    <w:rsid w:val="000714E4"/>
    <w:rsid w:val="00105DA1"/>
    <w:rsid w:val="001545BE"/>
    <w:rsid w:val="001E3E39"/>
    <w:rsid w:val="003D724E"/>
    <w:rsid w:val="003F0347"/>
    <w:rsid w:val="00634C88"/>
    <w:rsid w:val="00660AB8"/>
    <w:rsid w:val="00773C0E"/>
    <w:rsid w:val="00813B27"/>
    <w:rsid w:val="00886161"/>
    <w:rsid w:val="008A60FB"/>
    <w:rsid w:val="008F4616"/>
    <w:rsid w:val="009361D0"/>
    <w:rsid w:val="00943449"/>
    <w:rsid w:val="009A1ABE"/>
    <w:rsid w:val="009C6F64"/>
    <w:rsid w:val="009F19B8"/>
    <w:rsid w:val="00A6580A"/>
    <w:rsid w:val="00AF2B49"/>
    <w:rsid w:val="00B4128B"/>
    <w:rsid w:val="00BC58C4"/>
    <w:rsid w:val="00D13D7F"/>
    <w:rsid w:val="00DC45B2"/>
    <w:rsid w:val="00FA20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F034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714E4"/>
    <w:rPr>
      <w:color w:val="0000FF" w:themeColor="hyperlink"/>
      <w:u w:val="single"/>
    </w:rPr>
  </w:style>
  <w:style w:type="paragraph" w:styleId="BalloonText">
    <w:name w:val="Balloon Text"/>
    <w:basedOn w:val="Normal"/>
    <w:link w:val="BalloonTextChar"/>
    <w:uiPriority w:val="99"/>
    <w:semiHidden/>
    <w:unhideWhenUsed/>
    <w:rsid w:val="003F03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0347"/>
    <w:rPr>
      <w:rFonts w:ascii="Tahoma" w:hAnsi="Tahoma" w:cs="Tahoma"/>
      <w:sz w:val="16"/>
      <w:szCs w:val="16"/>
    </w:rPr>
  </w:style>
  <w:style w:type="character" w:customStyle="1" w:styleId="Heading1Char">
    <w:name w:val="Heading 1 Char"/>
    <w:basedOn w:val="DefaultParagraphFont"/>
    <w:link w:val="Heading1"/>
    <w:uiPriority w:val="9"/>
    <w:rsid w:val="003F0347"/>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3F0347"/>
    <w:pPr>
      <w:outlineLvl w:val="9"/>
    </w:pPr>
    <w:rPr>
      <w:lang w:eastAsia="ja-JP"/>
    </w:rPr>
  </w:style>
  <w:style w:type="paragraph" w:styleId="TOC1">
    <w:name w:val="toc 1"/>
    <w:basedOn w:val="Normal"/>
    <w:next w:val="Normal"/>
    <w:autoRedefine/>
    <w:uiPriority w:val="39"/>
    <w:unhideWhenUsed/>
    <w:rsid w:val="003F0347"/>
    <w:pPr>
      <w:spacing w:after="100"/>
    </w:pPr>
  </w:style>
  <w:style w:type="paragraph" w:styleId="Title">
    <w:name w:val="Title"/>
    <w:basedOn w:val="Normal"/>
    <w:next w:val="Normal"/>
    <w:link w:val="TitleChar"/>
    <w:uiPriority w:val="10"/>
    <w:qFormat/>
    <w:rsid w:val="003F034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F034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3F03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0347"/>
  </w:style>
  <w:style w:type="paragraph" w:styleId="Footer">
    <w:name w:val="footer"/>
    <w:basedOn w:val="Normal"/>
    <w:link w:val="FooterChar"/>
    <w:uiPriority w:val="99"/>
    <w:unhideWhenUsed/>
    <w:rsid w:val="003F03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0347"/>
  </w:style>
  <w:style w:type="table" w:styleId="TableGrid">
    <w:name w:val="Table Grid"/>
    <w:basedOn w:val="TableNormal"/>
    <w:uiPriority w:val="59"/>
    <w:rsid w:val="003F03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F0347"/>
    <w:pPr>
      <w:ind w:left="720"/>
      <w:contextualSpacing/>
    </w:pPr>
  </w:style>
  <w:style w:type="paragraph" w:customStyle="1" w:styleId="Default">
    <w:name w:val="Default"/>
    <w:rsid w:val="003F0347"/>
    <w:pPr>
      <w:autoSpaceDE w:val="0"/>
      <w:autoSpaceDN w:val="0"/>
      <w:adjustRightInd w:val="0"/>
      <w:spacing w:after="0" w:line="240" w:lineRule="auto"/>
    </w:pPr>
    <w:rPr>
      <w:rFonts w:ascii="Calibri" w:hAnsi="Calibri" w:cs="Calibri"/>
      <w:color w:val="000000"/>
      <w:sz w:val="24"/>
      <w:szCs w:val="24"/>
    </w:rPr>
  </w:style>
  <w:style w:type="character" w:customStyle="1" w:styleId="apple-converted-space">
    <w:name w:val="apple-converted-space"/>
    <w:basedOn w:val="DefaultParagraphFont"/>
    <w:rsid w:val="00634C8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F034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714E4"/>
    <w:rPr>
      <w:color w:val="0000FF" w:themeColor="hyperlink"/>
      <w:u w:val="single"/>
    </w:rPr>
  </w:style>
  <w:style w:type="paragraph" w:styleId="BalloonText">
    <w:name w:val="Balloon Text"/>
    <w:basedOn w:val="Normal"/>
    <w:link w:val="BalloonTextChar"/>
    <w:uiPriority w:val="99"/>
    <w:semiHidden/>
    <w:unhideWhenUsed/>
    <w:rsid w:val="003F03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0347"/>
    <w:rPr>
      <w:rFonts w:ascii="Tahoma" w:hAnsi="Tahoma" w:cs="Tahoma"/>
      <w:sz w:val="16"/>
      <w:szCs w:val="16"/>
    </w:rPr>
  </w:style>
  <w:style w:type="character" w:customStyle="1" w:styleId="Heading1Char">
    <w:name w:val="Heading 1 Char"/>
    <w:basedOn w:val="DefaultParagraphFont"/>
    <w:link w:val="Heading1"/>
    <w:uiPriority w:val="9"/>
    <w:rsid w:val="003F0347"/>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3F0347"/>
    <w:pPr>
      <w:outlineLvl w:val="9"/>
    </w:pPr>
    <w:rPr>
      <w:lang w:eastAsia="ja-JP"/>
    </w:rPr>
  </w:style>
  <w:style w:type="paragraph" w:styleId="TOC1">
    <w:name w:val="toc 1"/>
    <w:basedOn w:val="Normal"/>
    <w:next w:val="Normal"/>
    <w:autoRedefine/>
    <w:uiPriority w:val="39"/>
    <w:unhideWhenUsed/>
    <w:rsid w:val="003F0347"/>
    <w:pPr>
      <w:spacing w:after="100"/>
    </w:pPr>
  </w:style>
  <w:style w:type="paragraph" w:styleId="Title">
    <w:name w:val="Title"/>
    <w:basedOn w:val="Normal"/>
    <w:next w:val="Normal"/>
    <w:link w:val="TitleChar"/>
    <w:uiPriority w:val="10"/>
    <w:qFormat/>
    <w:rsid w:val="003F034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F0347"/>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3F03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0347"/>
  </w:style>
  <w:style w:type="paragraph" w:styleId="Footer">
    <w:name w:val="footer"/>
    <w:basedOn w:val="Normal"/>
    <w:link w:val="FooterChar"/>
    <w:uiPriority w:val="99"/>
    <w:unhideWhenUsed/>
    <w:rsid w:val="003F03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0347"/>
  </w:style>
  <w:style w:type="table" w:styleId="TableGrid">
    <w:name w:val="Table Grid"/>
    <w:basedOn w:val="TableNormal"/>
    <w:uiPriority w:val="59"/>
    <w:rsid w:val="003F03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F0347"/>
    <w:pPr>
      <w:ind w:left="720"/>
      <w:contextualSpacing/>
    </w:pPr>
  </w:style>
  <w:style w:type="paragraph" w:customStyle="1" w:styleId="Default">
    <w:name w:val="Default"/>
    <w:rsid w:val="003F0347"/>
    <w:pPr>
      <w:autoSpaceDE w:val="0"/>
      <w:autoSpaceDN w:val="0"/>
      <w:adjustRightInd w:val="0"/>
      <w:spacing w:after="0" w:line="240" w:lineRule="auto"/>
    </w:pPr>
    <w:rPr>
      <w:rFonts w:ascii="Calibri" w:hAnsi="Calibri" w:cs="Calibri"/>
      <w:color w:val="000000"/>
      <w:sz w:val="24"/>
      <w:szCs w:val="24"/>
    </w:rPr>
  </w:style>
  <w:style w:type="character" w:customStyle="1" w:styleId="apple-converted-space">
    <w:name w:val="apple-converted-space"/>
    <w:basedOn w:val="DefaultParagraphFont"/>
    <w:rsid w:val="00634C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resdac.org/cms-data/files/mds-3.0/data-documentation" TargetMode="External"/><Relationship Id="rId4" Type="http://schemas.microsoft.com/office/2007/relationships/stylesWithEffects" Target="stylesWithEffects.xml"/><Relationship Id="rId9" Type="http://schemas.openxmlformats.org/officeDocument/2006/relationships/hyperlink" Target="http://www.resdac.org/cms-data/files/mds-3.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7FF94-0090-4F68-BF2C-1EA833E70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2692</Words>
  <Characters>15349</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Urvi Shah</dc:creator>
  <cp:lastModifiedBy>Urvi Shah</cp:lastModifiedBy>
  <cp:revision>3</cp:revision>
  <cp:lastPrinted>2014-01-24T22:06:00Z</cp:lastPrinted>
  <dcterms:created xsi:type="dcterms:W3CDTF">2014-01-27T14:33:00Z</dcterms:created>
  <dcterms:modified xsi:type="dcterms:W3CDTF">2014-01-28T15:44:00Z</dcterms:modified>
</cp:coreProperties>
</file>