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A00F54">
            <w:rPr>
              <w:rStyle w:val="Style1"/>
            </w:rPr>
            <w:t>N/A</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A00F54">
            <w:rPr>
              <w:rStyle w:val="Style1"/>
              <w:rFonts w:cstheme="minorHAnsi"/>
            </w:rPr>
            <w:t>PointRight OnPoint-30</w:t>
          </w:r>
          <w:r w:rsidR="005A302E">
            <w:rPr>
              <w:rStyle w:val="Style1"/>
              <w:rFonts w:cstheme="minorHAnsi"/>
            </w:rPr>
            <w:t xml:space="preserve"> SNF Rehospitalizations</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981456">
            <w:rPr>
              <w:rStyle w:val="Style2"/>
              <w:rFonts w:cstheme="minorHAnsi"/>
            </w:rPr>
            <w:t>2/5/2014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B05821"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B05821"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A00F54">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B05821"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B05821"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B05821"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B05821"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BB4C45" w:rsidRDefault="009D7E38" w:rsidP="008F589F">
            <w:pPr>
              <w:pStyle w:val="ListParagraph"/>
              <w:numPr>
                <w:ilvl w:val="0"/>
                <w:numId w:val="6"/>
              </w:numPr>
              <w:rPr>
                <w:rFonts w:cstheme="minorHAnsi"/>
                <w:noProof/>
                <w:highlight w:val="yellow"/>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r w:rsidR="00BB4C45">
              <w:rPr>
                <w:b/>
                <w:i/>
              </w:rPr>
              <w:t xml:space="preserve"> </w:t>
            </w:r>
            <w:r w:rsidR="00BB4C45" w:rsidRPr="00BB4C45">
              <w:rPr>
                <w:highlight w:val="yellow"/>
              </w:rPr>
              <w:t xml:space="preserve">Received permission from NQF staff to exceed 20 pages. </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If patient preference (e.g., informed decision</w:t>
            </w:r>
            <w:r w:rsidR="00A00F54">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B05821"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w:t>
            </w:r>
            <w:r>
              <w:rPr>
                <w:rFonts w:ascii="Calibri" w:eastAsia="Calibri" w:hAnsi="Calibri" w:cs="Calibri"/>
              </w:rPr>
              <w:t>-</w:t>
            </w:r>
            <w:r w:rsidRPr="000F034A">
              <w:rPr>
                <w:rFonts w:ascii="Calibri" w:eastAsia="Calibri" w:hAnsi="Calibri" w:cs="Calibri"/>
              </w:rPr>
              <w:t>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B05821"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B05821"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B05821" w:rsidP="0081459E">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81459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81459E">
                  <w:rPr>
                    <w:rStyle w:val="Style1"/>
                  </w:rPr>
                  <w:t>Nursing Facility MDS 3.0</w:t>
                </w:r>
              </w:sdtContent>
            </w:sdt>
          </w:p>
        </w:tc>
        <w:tc>
          <w:tcPr>
            <w:tcW w:w="4847" w:type="dxa"/>
          </w:tcPr>
          <w:p w:rsidR="00A01494" w:rsidRPr="00A01494" w:rsidRDefault="00B05821" w:rsidP="0081459E">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81459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81459E">
                  <w:rPr>
                    <w:rStyle w:val="Style1"/>
                  </w:rPr>
                  <w:t xml:space="preserve">Nursing Facility MDS 3.0 </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w:t>
      </w:r>
      <w:r w:rsidR="00A805D5">
        <w:rPr>
          <w:rFonts w:cstheme="minorHAnsi"/>
          <w:bCs/>
          <w:i/>
        </w:rPr>
        <w:t>facility</w:t>
      </w:r>
      <w:r w:rsidR="001C7B02" w:rsidRPr="00241591">
        <w:rPr>
          <w:rFonts w:cstheme="minorHAnsi"/>
          <w:bCs/>
          <w:i/>
        </w:rPr>
        <w:t xml:space="preserve"> MDS, </w:t>
      </w:r>
      <w:r w:rsidR="00A805D5">
        <w:rPr>
          <w:rFonts w:cstheme="minorHAnsi"/>
          <w:bCs/>
          <w:i/>
        </w:rPr>
        <w:t>facility</w:t>
      </w:r>
      <w:r w:rsidR="001C7B02" w:rsidRPr="00241591">
        <w:rPr>
          <w:rFonts w:cstheme="minorHAnsi"/>
          <w:bCs/>
          <w:i/>
        </w:rPr>
        <w:t xml:space="preserv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Pr="0081459E" w:rsidRDefault="0081459E" w:rsidP="00DB3627">
      <w:pPr>
        <w:autoSpaceDE w:val="0"/>
        <w:autoSpaceDN w:val="0"/>
        <w:adjustRightInd w:val="0"/>
        <w:spacing w:after="0" w:line="240" w:lineRule="auto"/>
        <w:rPr>
          <w:rFonts w:cstheme="minorHAnsi"/>
          <w:bCs/>
          <w:color w:val="1F497D" w:themeColor="text2"/>
        </w:rPr>
      </w:pPr>
      <w:r w:rsidRPr="0081459E">
        <w:rPr>
          <w:rFonts w:cstheme="minorHAnsi"/>
          <w:bCs/>
          <w:color w:val="1F497D" w:themeColor="text2"/>
        </w:rPr>
        <w:t>Nursing Facility MDS 3.0</w:t>
      </w:r>
    </w:p>
    <w:p w:rsidR="009E1846" w:rsidRDefault="009E1846" w:rsidP="00DB3627">
      <w:pPr>
        <w:autoSpaceDE w:val="0"/>
        <w:autoSpaceDN w:val="0"/>
        <w:adjustRightInd w:val="0"/>
        <w:spacing w:after="0" w:line="240" w:lineRule="auto"/>
        <w:rPr>
          <w:rFonts w:cstheme="minorHAnsi"/>
          <w:b/>
        </w:rPr>
      </w:pPr>
    </w:p>
    <w:p w:rsidR="004D436B" w:rsidRDefault="002B5016" w:rsidP="00DB3627">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p>
    <w:p w:rsidR="0004593A" w:rsidRPr="00A25024" w:rsidRDefault="000574AB" w:rsidP="00DB3627">
      <w:pPr>
        <w:autoSpaceDE w:val="0"/>
        <w:autoSpaceDN w:val="0"/>
        <w:adjustRightInd w:val="0"/>
        <w:spacing w:after="0" w:line="240" w:lineRule="auto"/>
        <w:rPr>
          <w:rFonts w:cstheme="minorHAnsi"/>
          <w:bCs/>
        </w:rPr>
      </w:pPr>
      <w:r w:rsidRPr="00A25024">
        <w:rPr>
          <w:rFonts w:cstheme="minorHAnsi"/>
        </w:rPr>
        <w:t xml:space="preserve"> </w:t>
      </w:r>
      <w:sdt>
        <w:sdtPr>
          <w:rPr>
            <w:rFonts w:cstheme="minorHAnsi"/>
            <w:bCs/>
            <w:color w:val="1F497D" w:themeColor="text2"/>
          </w:rPr>
          <w:id w:val="950514773"/>
          <w:text/>
        </w:sdtPr>
        <w:sdtEndPr/>
        <w:sdtContent>
          <w:r w:rsidR="00481D43" w:rsidRPr="00F84FF1">
            <w:rPr>
              <w:rFonts w:cstheme="minorHAnsi"/>
              <w:bCs/>
              <w:color w:val="1F497D" w:themeColor="text2"/>
            </w:rPr>
            <w:t>January 2011 through December 2012</w:t>
          </w:r>
        </w:sdtContent>
      </w:sdt>
    </w:p>
    <w:p w:rsidR="0090462B" w:rsidRDefault="0090462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81459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81459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B05821"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573162"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rsidR="00EC02A5" w:rsidRDefault="00F0091C" w:rsidP="00DB3627">
      <w:pPr>
        <w:autoSpaceDE w:val="0"/>
        <w:autoSpaceDN w:val="0"/>
        <w:adjustRightInd w:val="0"/>
        <w:spacing w:after="0" w:line="240" w:lineRule="auto"/>
        <w:rPr>
          <w:rFonts w:cstheme="minorHAnsi"/>
          <w:bCs/>
          <w:color w:val="1F497D" w:themeColor="text2"/>
        </w:rPr>
      </w:pPr>
      <w:r>
        <w:rPr>
          <w:rFonts w:cstheme="minorHAnsi"/>
          <w:bCs/>
          <w:color w:val="1F497D" w:themeColor="text2"/>
        </w:rPr>
        <w:t>Initial</w:t>
      </w:r>
      <w:r w:rsidR="00CD18D3">
        <w:rPr>
          <w:rFonts w:cstheme="minorHAnsi"/>
          <w:bCs/>
          <w:color w:val="1F497D" w:themeColor="text2"/>
        </w:rPr>
        <w:t>,</w:t>
      </w:r>
      <w:r w:rsidR="0004014B">
        <w:rPr>
          <w:rFonts w:cstheme="minorHAnsi"/>
          <w:bCs/>
          <w:color w:val="1F497D" w:themeColor="text2"/>
        </w:rPr>
        <w:t xml:space="preserve"> testing was completed on</w:t>
      </w:r>
      <w:r w:rsidR="00573162" w:rsidRPr="00FF0E8C">
        <w:rPr>
          <w:rFonts w:cstheme="minorHAnsi"/>
          <w:bCs/>
          <w:color w:val="1F497D" w:themeColor="text2"/>
        </w:rPr>
        <w:t xml:space="preserve"> 2,800 </w:t>
      </w:r>
      <w:r w:rsidR="00CD18D3">
        <w:rPr>
          <w:rFonts w:cstheme="minorHAnsi"/>
          <w:bCs/>
          <w:color w:val="1F497D" w:themeColor="text2"/>
        </w:rPr>
        <w:t>facilities</w:t>
      </w:r>
      <w:r w:rsidR="00573162" w:rsidRPr="00FF0E8C">
        <w:rPr>
          <w:rFonts w:cstheme="minorHAnsi"/>
          <w:bCs/>
          <w:color w:val="1F497D" w:themeColor="text2"/>
        </w:rPr>
        <w:t xml:space="preserve"> to verify the calculations. Subsequent an</w:t>
      </w:r>
      <w:r w:rsidR="00FF0E8C" w:rsidRPr="00FF0E8C">
        <w:rPr>
          <w:rFonts w:cstheme="minorHAnsi"/>
          <w:bCs/>
          <w:color w:val="1F497D" w:themeColor="text2"/>
        </w:rPr>
        <w:t>alyses were conducted on the national MDS database</w:t>
      </w:r>
      <w:r w:rsidR="00631E56">
        <w:rPr>
          <w:rFonts w:cstheme="minorHAnsi"/>
          <w:bCs/>
          <w:color w:val="1F497D" w:themeColor="text2"/>
        </w:rPr>
        <w:t xml:space="preserve"> for all Medicare certified SNFs in the country</w:t>
      </w:r>
      <w:r w:rsidR="00FF0E8C" w:rsidRPr="00FF0E8C">
        <w:rPr>
          <w:rFonts w:cstheme="minorHAnsi"/>
          <w:bCs/>
          <w:color w:val="1F497D" w:themeColor="text2"/>
        </w:rPr>
        <w:t xml:space="preserve">. </w:t>
      </w:r>
      <w:r w:rsidR="00CD18D3">
        <w:rPr>
          <w:rFonts w:cstheme="minorHAnsi"/>
          <w:bCs/>
          <w:color w:val="1F497D" w:themeColor="text2"/>
        </w:rPr>
        <w:t xml:space="preserve">Presented below is summary information on the number and types of SNFs nationally in 2011 and 2012. </w:t>
      </w:r>
    </w:p>
    <w:p w:rsidR="00F0091C" w:rsidRDefault="00F0091C" w:rsidP="00DB3627">
      <w:pPr>
        <w:autoSpaceDE w:val="0"/>
        <w:autoSpaceDN w:val="0"/>
        <w:adjustRightInd w:val="0"/>
        <w:spacing w:after="0" w:line="240" w:lineRule="auto"/>
        <w:rPr>
          <w:rFonts w:cstheme="minorHAnsi"/>
          <w:bCs/>
          <w:color w:val="1F497D" w:themeColor="text2"/>
        </w:rPr>
      </w:pPr>
    </w:p>
    <w:p w:rsidR="00FE50D5" w:rsidRDefault="00FE50D5" w:rsidP="00DB3627">
      <w:pPr>
        <w:autoSpaceDE w:val="0"/>
        <w:autoSpaceDN w:val="0"/>
        <w:adjustRightInd w:val="0"/>
        <w:spacing w:after="0" w:line="240" w:lineRule="auto"/>
        <w:rPr>
          <w:rFonts w:cstheme="minorHAnsi"/>
          <w:b/>
          <w:bCs/>
          <w:color w:val="1F497D" w:themeColor="text2"/>
        </w:rPr>
      </w:pPr>
    </w:p>
    <w:p w:rsidR="00FE50D5" w:rsidRDefault="00FE50D5" w:rsidP="00DB3627">
      <w:pPr>
        <w:autoSpaceDE w:val="0"/>
        <w:autoSpaceDN w:val="0"/>
        <w:adjustRightInd w:val="0"/>
        <w:spacing w:after="0" w:line="240" w:lineRule="auto"/>
        <w:rPr>
          <w:rFonts w:cstheme="minorHAnsi"/>
          <w:b/>
          <w:bCs/>
          <w:color w:val="1F497D" w:themeColor="text2"/>
        </w:rPr>
      </w:pPr>
    </w:p>
    <w:p w:rsidR="00FE50D5" w:rsidRDefault="00FE50D5" w:rsidP="00DB3627">
      <w:pPr>
        <w:autoSpaceDE w:val="0"/>
        <w:autoSpaceDN w:val="0"/>
        <w:adjustRightInd w:val="0"/>
        <w:spacing w:after="0" w:line="240" w:lineRule="auto"/>
        <w:rPr>
          <w:rFonts w:cstheme="minorHAnsi"/>
          <w:b/>
          <w:bCs/>
          <w:color w:val="1F497D" w:themeColor="text2"/>
        </w:rPr>
      </w:pPr>
    </w:p>
    <w:p w:rsidR="00EC02A5" w:rsidRDefault="00FE50D5" w:rsidP="00DB3627">
      <w:pPr>
        <w:autoSpaceDE w:val="0"/>
        <w:autoSpaceDN w:val="0"/>
        <w:adjustRightInd w:val="0"/>
        <w:spacing w:after="0" w:line="240" w:lineRule="auto"/>
        <w:rPr>
          <w:rFonts w:cstheme="minorHAnsi"/>
          <w:bCs/>
          <w:color w:val="1F497D" w:themeColor="text2"/>
        </w:rPr>
      </w:pPr>
      <w:r w:rsidRPr="00FE50D5">
        <w:rPr>
          <w:rFonts w:cstheme="minorHAnsi"/>
          <w:b/>
          <w:bCs/>
          <w:color w:val="1F497D" w:themeColor="text2"/>
        </w:rPr>
        <w:t>TABLE 1. Number and Types of SNFs</w:t>
      </w:r>
    </w:p>
    <w:tbl>
      <w:tblPr>
        <w:tblStyle w:val="TableGrid"/>
        <w:tblW w:w="0" w:type="auto"/>
        <w:tblLook w:val="04A0" w:firstRow="1" w:lastRow="0" w:firstColumn="1" w:lastColumn="0" w:noHBand="0" w:noVBand="1"/>
      </w:tblPr>
      <w:tblGrid>
        <w:gridCol w:w="3192"/>
        <w:gridCol w:w="3192"/>
        <w:gridCol w:w="3192"/>
      </w:tblGrid>
      <w:tr w:rsidR="00EC02A5" w:rsidTr="00EC02A5">
        <w:tc>
          <w:tcPr>
            <w:tcW w:w="3192" w:type="dxa"/>
          </w:tcPr>
          <w:p w:rsidR="00EC02A5" w:rsidRDefault="00EC02A5" w:rsidP="00DB3627">
            <w:pPr>
              <w:autoSpaceDE w:val="0"/>
              <w:autoSpaceDN w:val="0"/>
              <w:adjustRightInd w:val="0"/>
              <w:rPr>
                <w:rFonts w:cstheme="minorHAnsi"/>
                <w:bCs/>
                <w:color w:val="1F497D" w:themeColor="text2"/>
              </w:rPr>
            </w:pPr>
          </w:p>
        </w:tc>
        <w:tc>
          <w:tcPr>
            <w:tcW w:w="3192" w:type="dxa"/>
          </w:tcPr>
          <w:p w:rsidR="00EC02A5" w:rsidRPr="00EC02A5" w:rsidRDefault="00EC02A5" w:rsidP="00EC02A5">
            <w:pPr>
              <w:autoSpaceDE w:val="0"/>
              <w:autoSpaceDN w:val="0"/>
              <w:adjustRightInd w:val="0"/>
              <w:jc w:val="center"/>
              <w:rPr>
                <w:rFonts w:cstheme="minorHAnsi"/>
                <w:b/>
                <w:bCs/>
                <w:color w:val="1F497D" w:themeColor="text2"/>
              </w:rPr>
            </w:pPr>
            <w:r w:rsidRPr="00EC02A5">
              <w:rPr>
                <w:rFonts w:cstheme="minorHAnsi"/>
                <w:b/>
                <w:bCs/>
                <w:color w:val="1F497D" w:themeColor="text2"/>
              </w:rPr>
              <w:t>2011</w:t>
            </w:r>
          </w:p>
        </w:tc>
        <w:tc>
          <w:tcPr>
            <w:tcW w:w="3192" w:type="dxa"/>
          </w:tcPr>
          <w:p w:rsidR="00EC02A5" w:rsidRPr="00EC02A5" w:rsidRDefault="00EC02A5" w:rsidP="00EC02A5">
            <w:pPr>
              <w:autoSpaceDE w:val="0"/>
              <w:autoSpaceDN w:val="0"/>
              <w:adjustRightInd w:val="0"/>
              <w:jc w:val="center"/>
              <w:rPr>
                <w:rFonts w:cstheme="minorHAnsi"/>
                <w:b/>
                <w:bCs/>
                <w:color w:val="1F497D" w:themeColor="text2"/>
              </w:rPr>
            </w:pPr>
            <w:r w:rsidRPr="00EC02A5">
              <w:rPr>
                <w:rFonts w:cstheme="minorHAnsi"/>
                <w:b/>
                <w:bCs/>
                <w:color w:val="1F497D" w:themeColor="text2"/>
              </w:rPr>
              <w:t>2012</w:t>
            </w:r>
          </w:p>
        </w:tc>
      </w:tr>
      <w:tr w:rsidR="00EC02A5" w:rsidTr="00EC02A5">
        <w:tc>
          <w:tcPr>
            <w:tcW w:w="3192" w:type="dxa"/>
          </w:tcPr>
          <w:p w:rsidR="00EC02A5" w:rsidRPr="004D436B" w:rsidRDefault="00EC02A5" w:rsidP="00DB3627">
            <w:pPr>
              <w:autoSpaceDE w:val="0"/>
              <w:autoSpaceDN w:val="0"/>
              <w:adjustRightInd w:val="0"/>
              <w:rPr>
                <w:rFonts w:cstheme="minorHAnsi"/>
                <w:b/>
                <w:bCs/>
                <w:color w:val="1F497D" w:themeColor="text2"/>
              </w:rPr>
            </w:pPr>
            <w:r w:rsidRPr="004D436B">
              <w:rPr>
                <w:rFonts w:cstheme="minorHAnsi"/>
                <w:b/>
                <w:bCs/>
                <w:color w:val="1F497D" w:themeColor="text2"/>
              </w:rPr>
              <w:t xml:space="preserve">Number of SNFs </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15,693</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15,690</w:t>
            </w:r>
          </w:p>
        </w:tc>
      </w:tr>
      <w:tr w:rsidR="00EC02A5" w:rsidTr="00EC02A5">
        <w:tc>
          <w:tcPr>
            <w:tcW w:w="3192" w:type="dxa"/>
          </w:tcPr>
          <w:p w:rsidR="00EC02A5" w:rsidRPr="004D436B" w:rsidRDefault="00EC02A5" w:rsidP="00DB3627">
            <w:pPr>
              <w:autoSpaceDE w:val="0"/>
              <w:autoSpaceDN w:val="0"/>
              <w:adjustRightInd w:val="0"/>
              <w:rPr>
                <w:rFonts w:cstheme="minorHAnsi"/>
                <w:b/>
                <w:bCs/>
                <w:color w:val="1F497D" w:themeColor="text2"/>
              </w:rPr>
            </w:pPr>
            <w:r w:rsidRPr="004D436B">
              <w:rPr>
                <w:rFonts w:cstheme="minorHAnsi"/>
                <w:b/>
                <w:bCs/>
                <w:color w:val="1F497D" w:themeColor="text2"/>
              </w:rPr>
              <w:t xml:space="preserve">For –Profit </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10,758</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10,832</w:t>
            </w:r>
          </w:p>
        </w:tc>
      </w:tr>
      <w:tr w:rsidR="00EC02A5" w:rsidTr="00EC02A5">
        <w:tc>
          <w:tcPr>
            <w:tcW w:w="3192" w:type="dxa"/>
          </w:tcPr>
          <w:p w:rsidR="00EC02A5" w:rsidRPr="004D436B" w:rsidRDefault="00EC02A5" w:rsidP="00DB3627">
            <w:pPr>
              <w:autoSpaceDE w:val="0"/>
              <w:autoSpaceDN w:val="0"/>
              <w:adjustRightInd w:val="0"/>
              <w:rPr>
                <w:rFonts w:cstheme="minorHAnsi"/>
                <w:b/>
                <w:bCs/>
                <w:color w:val="1F497D" w:themeColor="text2"/>
              </w:rPr>
            </w:pPr>
            <w:r w:rsidRPr="004D436B">
              <w:rPr>
                <w:rFonts w:cstheme="minorHAnsi"/>
                <w:b/>
                <w:bCs/>
                <w:color w:val="1F497D" w:themeColor="text2"/>
              </w:rPr>
              <w:t>Not-for-Profit</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4,030</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3,968</w:t>
            </w:r>
          </w:p>
        </w:tc>
      </w:tr>
      <w:tr w:rsidR="00EC02A5" w:rsidTr="00EC02A5">
        <w:tc>
          <w:tcPr>
            <w:tcW w:w="3192" w:type="dxa"/>
          </w:tcPr>
          <w:p w:rsidR="00EC02A5" w:rsidRPr="004D436B" w:rsidRDefault="00EC02A5" w:rsidP="00DB3627">
            <w:pPr>
              <w:autoSpaceDE w:val="0"/>
              <w:autoSpaceDN w:val="0"/>
              <w:adjustRightInd w:val="0"/>
              <w:rPr>
                <w:rFonts w:cstheme="minorHAnsi"/>
                <w:b/>
                <w:bCs/>
                <w:color w:val="1F497D" w:themeColor="text2"/>
              </w:rPr>
            </w:pPr>
            <w:r w:rsidRPr="004D436B">
              <w:rPr>
                <w:rFonts w:cstheme="minorHAnsi"/>
                <w:b/>
                <w:bCs/>
                <w:color w:val="1F497D" w:themeColor="text2"/>
              </w:rPr>
              <w:t xml:space="preserve">Government </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905</w:t>
            </w:r>
          </w:p>
        </w:tc>
        <w:tc>
          <w:tcPr>
            <w:tcW w:w="3192" w:type="dxa"/>
          </w:tcPr>
          <w:p w:rsidR="00EC02A5" w:rsidRDefault="00051958" w:rsidP="00DB3627">
            <w:pPr>
              <w:autoSpaceDE w:val="0"/>
              <w:autoSpaceDN w:val="0"/>
              <w:adjustRightInd w:val="0"/>
              <w:rPr>
                <w:rFonts w:cstheme="minorHAnsi"/>
                <w:bCs/>
                <w:color w:val="1F497D" w:themeColor="text2"/>
              </w:rPr>
            </w:pPr>
            <w:r w:rsidRPr="00051958">
              <w:rPr>
                <w:rFonts w:cstheme="minorHAnsi"/>
                <w:bCs/>
                <w:color w:val="1F497D" w:themeColor="text2"/>
              </w:rPr>
              <w:t>890</w:t>
            </w:r>
          </w:p>
        </w:tc>
      </w:tr>
    </w:tbl>
    <w:p w:rsidR="00F20CCE" w:rsidRDefault="00F20CCE" w:rsidP="00DB3627">
      <w:pPr>
        <w:autoSpaceDE w:val="0"/>
        <w:autoSpaceDN w:val="0"/>
        <w:adjustRightInd w:val="0"/>
        <w:spacing w:after="0" w:line="240" w:lineRule="auto"/>
        <w:rPr>
          <w:rFonts w:cstheme="minorHAnsi"/>
          <w:bCs/>
          <w:color w:val="1F497D" w:themeColor="text2"/>
        </w:rPr>
      </w:pPr>
      <w:r>
        <w:rPr>
          <w:rFonts w:cstheme="minorHAnsi"/>
          <w:bCs/>
          <w:color w:val="1F497D" w:themeColor="text2"/>
        </w:rPr>
        <w:t>*Data from AHCA Quality Report 2013,</w:t>
      </w:r>
      <w:r w:rsidR="00925E3E">
        <w:rPr>
          <w:rFonts w:cstheme="minorHAnsi"/>
          <w:bCs/>
          <w:color w:val="1F497D" w:themeColor="text2"/>
        </w:rPr>
        <w:t xml:space="preserve"> based on CMS OSCAR data.</w:t>
      </w:r>
      <w:r>
        <w:rPr>
          <w:rFonts w:cstheme="minorHAnsi"/>
          <w:bCs/>
          <w:color w:val="1F497D" w:themeColor="text2"/>
        </w:rPr>
        <w:t xml:space="preserve"> Available at</w:t>
      </w:r>
    </w:p>
    <w:p w:rsidR="009B2595" w:rsidRDefault="00B05821" w:rsidP="00DB3627">
      <w:pPr>
        <w:autoSpaceDE w:val="0"/>
        <w:autoSpaceDN w:val="0"/>
        <w:adjustRightInd w:val="0"/>
        <w:spacing w:after="0" w:line="240" w:lineRule="auto"/>
        <w:rPr>
          <w:rStyle w:val="Hyperlink"/>
        </w:rPr>
      </w:pPr>
      <w:hyperlink r:id="rId10" w:history="1">
        <w:r w:rsidR="00F20CCE">
          <w:rPr>
            <w:rStyle w:val="Hyperlink"/>
          </w:rPr>
          <w:t>http://www.ahcancal.org/qualityreport/Documents/AHCA_2013QR_ONLINE.pdf</w:t>
        </w:r>
      </w:hyperlink>
    </w:p>
    <w:p w:rsidR="007422FD" w:rsidRDefault="004348CC" w:rsidP="00DB3627">
      <w:pPr>
        <w:autoSpaceDE w:val="0"/>
        <w:autoSpaceDN w:val="0"/>
        <w:adjustRightInd w:val="0"/>
        <w:spacing w:after="0" w:line="240" w:lineRule="auto"/>
        <w:rPr>
          <w:rFonts w:cstheme="minorHAnsi"/>
          <w:bCs/>
          <w:color w:val="1F497D" w:themeColor="text2"/>
        </w:rPr>
      </w:pPr>
      <w:r w:rsidRPr="00FF0E8C">
        <w:rPr>
          <w:rFonts w:cstheme="minorHAnsi"/>
          <w:bCs/>
          <w:color w:val="1F497D" w:themeColor="text2"/>
        </w:rPr>
        <w:br/>
      </w:r>
      <w:r w:rsidR="002B5016">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D75ADF" w:rsidRPr="002627E7">
        <w:rPr>
          <w:rFonts w:cstheme="minorHAnsi"/>
          <w:bCs/>
          <w:color w:val="1F497D" w:themeColor="text2"/>
        </w:rPr>
        <w:t xml:space="preserve">Data reported from 2012 shows </w:t>
      </w:r>
      <w:r w:rsidR="002627E7">
        <w:rPr>
          <w:rFonts w:cstheme="minorHAnsi"/>
          <w:bCs/>
          <w:color w:val="1F497D" w:themeColor="text2"/>
        </w:rPr>
        <w:t xml:space="preserve">that there were 2,452,848 Medicare admissions and 798,513 Non-Medicare admissions to SNFs. </w:t>
      </w:r>
      <w:r w:rsidR="00CE3444">
        <w:rPr>
          <w:rFonts w:cstheme="minorHAnsi"/>
          <w:bCs/>
          <w:color w:val="1F497D" w:themeColor="text2"/>
        </w:rPr>
        <w:t>The table below provides a breakdown of the descriptive characteristic</w:t>
      </w:r>
      <w:r w:rsidR="00F0091C">
        <w:rPr>
          <w:rFonts w:cstheme="minorHAnsi"/>
          <w:bCs/>
          <w:color w:val="1F497D" w:themeColor="text2"/>
        </w:rPr>
        <w:t>s</w:t>
      </w:r>
      <w:r w:rsidR="00CE3444">
        <w:rPr>
          <w:rFonts w:cstheme="minorHAnsi"/>
          <w:bCs/>
          <w:color w:val="1F497D" w:themeColor="text2"/>
        </w:rPr>
        <w:t xml:space="preserve"> of these patients. </w:t>
      </w:r>
    </w:p>
    <w:p w:rsidR="009B2595" w:rsidRDefault="009B2595" w:rsidP="00DB3627">
      <w:pPr>
        <w:autoSpaceDE w:val="0"/>
        <w:autoSpaceDN w:val="0"/>
        <w:adjustRightInd w:val="0"/>
        <w:spacing w:after="0" w:line="240" w:lineRule="auto"/>
        <w:rPr>
          <w:rFonts w:cstheme="minorHAnsi"/>
          <w:bCs/>
          <w:color w:val="1F497D" w:themeColor="text2"/>
        </w:rPr>
      </w:pPr>
    </w:p>
    <w:p w:rsidR="002627E7" w:rsidRDefault="00FE50D5" w:rsidP="00DB3627">
      <w:pPr>
        <w:autoSpaceDE w:val="0"/>
        <w:autoSpaceDN w:val="0"/>
        <w:adjustRightInd w:val="0"/>
        <w:spacing w:after="0" w:line="240" w:lineRule="auto"/>
        <w:rPr>
          <w:rFonts w:cstheme="minorHAnsi"/>
          <w:b/>
          <w:bCs/>
          <w:color w:val="1F497D" w:themeColor="text2"/>
        </w:rPr>
      </w:pPr>
      <w:r w:rsidRPr="00FE50D5">
        <w:rPr>
          <w:rFonts w:cstheme="minorHAnsi"/>
          <w:b/>
          <w:bCs/>
          <w:color w:val="1F497D" w:themeColor="text2"/>
        </w:rPr>
        <w:t xml:space="preserve">TABLE 2. Characteristics of Patients </w:t>
      </w:r>
    </w:p>
    <w:p w:rsidR="00F51329" w:rsidRPr="00FE50D5" w:rsidRDefault="00F51329" w:rsidP="00DB3627">
      <w:pPr>
        <w:autoSpaceDE w:val="0"/>
        <w:autoSpaceDN w:val="0"/>
        <w:adjustRightInd w:val="0"/>
        <w:spacing w:after="0" w:line="240" w:lineRule="auto"/>
        <w:rPr>
          <w:rFonts w:cstheme="minorHAnsi"/>
          <w:b/>
          <w:bCs/>
          <w:color w:val="1F497D" w:themeColor="text2"/>
        </w:rPr>
      </w:pPr>
    </w:p>
    <w:tbl>
      <w:tblPr>
        <w:tblStyle w:val="TableGrid"/>
        <w:tblW w:w="0" w:type="auto"/>
        <w:jc w:val="right"/>
        <w:tblLook w:val="04A0" w:firstRow="1" w:lastRow="0" w:firstColumn="1" w:lastColumn="0" w:noHBand="0" w:noVBand="1"/>
      </w:tblPr>
      <w:tblGrid>
        <w:gridCol w:w="3192"/>
        <w:gridCol w:w="3192"/>
        <w:gridCol w:w="3192"/>
      </w:tblGrid>
      <w:tr w:rsidR="002627E7" w:rsidTr="00FE50D5">
        <w:trPr>
          <w:jc w:val="right"/>
        </w:trPr>
        <w:tc>
          <w:tcPr>
            <w:tcW w:w="3192" w:type="dxa"/>
          </w:tcPr>
          <w:p w:rsidR="002627E7" w:rsidRPr="002627E7" w:rsidRDefault="002627E7" w:rsidP="00DB3627">
            <w:pPr>
              <w:autoSpaceDE w:val="0"/>
              <w:autoSpaceDN w:val="0"/>
              <w:adjustRightInd w:val="0"/>
              <w:rPr>
                <w:rFonts w:cstheme="minorHAnsi"/>
                <w:bCs/>
                <w:color w:val="1F497D" w:themeColor="text2"/>
              </w:rPr>
            </w:pPr>
          </w:p>
        </w:tc>
        <w:tc>
          <w:tcPr>
            <w:tcW w:w="3192" w:type="dxa"/>
          </w:tcPr>
          <w:p w:rsidR="002627E7" w:rsidRPr="002627E7" w:rsidRDefault="002627E7" w:rsidP="002627E7">
            <w:pPr>
              <w:autoSpaceDE w:val="0"/>
              <w:autoSpaceDN w:val="0"/>
              <w:adjustRightInd w:val="0"/>
              <w:jc w:val="center"/>
              <w:rPr>
                <w:rFonts w:cstheme="minorHAnsi"/>
                <w:b/>
                <w:bCs/>
                <w:color w:val="1F497D" w:themeColor="text2"/>
              </w:rPr>
            </w:pPr>
            <w:r w:rsidRPr="002627E7">
              <w:rPr>
                <w:rFonts w:cstheme="minorHAnsi"/>
                <w:b/>
                <w:bCs/>
                <w:color w:val="1F497D" w:themeColor="text2"/>
              </w:rPr>
              <w:t>Medicare Admissions</w:t>
            </w:r>
          </w:p>
        </w:tc>
        <w:tc>
          <w:tcPr>
            <w:tcW w:w="3192" w:type="dxa"/>
          </w:tcPr>
          <w:p w:rsidR="002627E7" w:rsidRPr="002627E7" w:rsidRDefault="002627E7" w:rsidP="002627E7">
            <w:pPr>
              <w:autoSpaceDE w:val="0"/>
              <w:autoSpaceDN w:val="0"/>
              <w:adjustRightInd w:val="0"/>
              <w:jc w:val="center"/>
              <w:rPr>
                <w:rFonts w:cstheme="minorHAnsi"/>
                <w:b/>
                <w:bCs/>
                <w:color w:val="1F497D" w:themeColor="text2"/>
              </w:rPr>
            </w:pPr>
            <w:r w:rsidRPr="002627E7">
              <w:rPr>
                <w:rFonts w:cstheme="minorHAnsi"/>
                <w:b/>
                <w:bCs/>
                <w:color w:val="1F497D" w:themeColor="text2"/>
              </w:rPr>
              <w:t>Non-Medicare Admissions</w:t>
            </w:r>
          </w:p>
        </w:tc>
      </w:tr>
      <w:tr w:rsidR="002627E7" w:rsidTr="004D436B">
        <w:trPr>
          <w:jc w:val="right"/>
        </w:trPr>
        <w:tc>
          <w:tcPr>
            <w:tcW w:w="3192" w:type="dxa"/>
            <w:shd w:val="clear" w:color="auto" w:fill="F2F2F2" w:themeFill="background1" w:themeFillShade="F2"/>
          </w:tcPr>
          <w:p w:rsidR="002627E7" w:rsidRPr="002627E7" w:rsidRDefault="002627E7" w:rsidP="00DB3627">
            <w:pPr>
              <w:autoSpaceDE w:val="0"/>
              <w:autoSpaceDN w:val="0"/>
              <w:adjustRightInd w:val="0"/>
              <w:rPr>
                <w:rFonts w:cstheme="minorHAnsi"/>
                <w:b/>
                <w:bCs/>
                <w:color w:val="1F497D" w:themeColor="text2"/>
              </w:rPr>
            </w:pPr>
            <w:r>
              <w:rPr>
                <w:rFonts w:cstheme="minorHAnsi"/>
                <w:b/>
                <w:bCs/>
                <w:color w:val="1F497D" w:themeColor="text2"/>
              </w:rPr>
              <w:t xml:space="preserve">Age Category </w:t>
            </w:r>
          </w:p>
        </w:tc>
        <w:tc>
          <w:tcPr>
            <w:tcW w:w="3192" w:type="dxa"/>
            <w:shd w:val="clear" w:color="auto" w:fill="F2F2F2" w:themeFill="background1" w:themeFillShade="F2"/>
          </w:tcPr>
          <w:p w:rsidR="002627E7" w:rsidRPr="002627E7" w:rsidRDefault="002627E7"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2627E7" w:rsidRPr="002627E7" w:rsidRDefault="002627E7" w:rsidP="00FE50D5">
            <w:pPr>
              <w:autoSpaceDE w:val="0"/>
              <w:autoSpaceDN w:val="0"/>
              <w:adjustRightInd w:val="0"/>
              <w:jc w:val="right"/>
              <w:rPr>
                <w:rFonts w:cstheme="minorHAnsi"/>
                <w:bCs/>
                <w:color w:val="1F497D" w:themeColor="text2"/>
              </w:rPr>
            </w:pPr>
          </w:p>
        </w:tc>
      </w:tr>
      <w:tr w:rsidR="002627E7" w:rsidTr="00FE50D5">
        <w:trPr>
          <w:jc w:val="right"/>
        </w:trPr>
        <w:tc>
          <w:tcPr>
            <w:tcW w:w="3192" w:type="dxa"/>
          </w:tcPr>
          <w:p w:rsidR="002627E7" w:rsidRPr="002627E7" w:rsidRDefault="002627E7" w:rsidP="00DB3627">
            <w:pPr>
              <w:autoSpaceDE w:val="0"/>
              <w:autoSpaceDN w:val="0"/>
              <w:adjustRightInd w:val="0"/>
              <w:rPr>
                <w:rFonts w:cstheme="minorHAnsi"/>
                <w:bCs/>
                <w:color w:val="1F497D" w:themeColor="text2"/>
              </w:rPr>
            </w:pPr>
            <w:r>
              <w:rPr>
                <w:rFonts w:cstheme="minorHAnsi"/>
                <w:bCs/>
                <w:color w:val="1F497D" w:themeColor="text2"/>
              </w:rPr>
              <w:t>Under 65</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10.6%</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26.3%</w:t>
            </w:r>
          </w:p>
        </w:tc>
      </w:tr>
      <w:tr w:rsidR="002627E7" w:rsidTr="00FE50D5">
        <w:trPr>
          <w:jc w:val="right"/>
        </w:trPr>
        <w:tc>
          <w:tcPr>
            <w:tcW w:w="3192" w:type="dxa"/>
          </w:tcPr>
          <w:p w:rsidR="002627E7" w:rsidRPr="002627E7" w:rsidRDefault="002627E7" w:rsidP="00DB3627">
            <w:pPr>
              <w:autoSpaceDE w:val="0"/>
              <w:autoSpaceDN w:val="0"/>
              <w:adjustRightInd w:val="0"/>
              <w:rPr>
                <w:rFonts w:cstheme="minorHAnsi"/>
                <w:bCs/>
                <w:color w:val="1F497D" w:themeColor="text2"/>
              </w:rPr>
            </w:pPr>
            <w:r>
              <w:rPr>
                <w:rFonts w:cstheme="minorHAnsi"/>
                <w:bCs/>
                <w:color w:val="1F497D" w:themeColor="text2"/>
              </w:rPr>
              <w:t>Age 65-84</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53.7%</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43.1%</w:t>
            </w:r>
          </w:p>
        </w:tc>
      </w:tr>
      <w:tr w:rsidR="002627E7" w:rsidTr="00FE50D5">
        <w:trPr>
          <w:jc w:val="right"/>
        </w:trPr>
        <w:tc>
          <w:tcPr>
            <w:tcW w:w="3192" w:type="dxa"/>
          </w:tcPr>
          <w:p w:rsidR="002627E7" w:rsidRDefault="002627E7" w:rsidP="00DB3627">
            <w:pPr>
              <w:autoSpaceDE w:val="0"/>
              <w:autoSpaceDN w:val="0"/>
              <w:adjustRightInd w:val="0"/>
              <w:rPr>
                <w:rFonts w:cstheme="minorHAnsi"/>
                <w:bCs/>
                <w:color w:val="1F497D" w:themeColor="text2"/>
              </w:rPr>
            </w:pPr>
            <w:r>
              <w:rPr>
                <w:rFonts w:cstheme="minorHAnsi"/>
                <w:bCs/>
                <w:color w:val="1F497D" w:themeColor="text2"/>
              </w:rPr>
              <w:t xml:space="preserve">85 and Older </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35.8%</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30.6%</w:t>
            </w:r>
          </w:p>
        </w:tc>
      </w:tr>
      <w:tr w:rsidR="002627E7" w:rsidTr="00FE50D5">
        <w:trPr>
          <w:jc w:val="right"/>
        </w:trPr>
        <w:tc>
          <w:tcPr>
            <w:tcW w:w="3192" w:type="dxa"/>
          </w:tcPr>
          <w:p w:rsidR="002627E7" w:rsidRDefault="002627E7" w:rsidP="00DB3627">
            <w:pPr>
              <w:autoSpaceDE w:val="0"/>
              <w:autoSpaceDN w:val="0"/>
              <w:adjustRightInd w:val="0"/>
              <w:rPr>
                <w:rFonts w:cstheme="minorHAnsi"/>
                <w:bCs/>
                <w:color w:val="1F497D" w:themeColor="text2"/>
              </w:rPr>
            </w:pPr>
            <w:r>
              <w:rPr>
                <w:rFonts w:cstheme="minorHAnsi"/>
                <w:bCs/>
                <w:color w:val="1F497D" w:themeColor="text2"/>
              </w:rPr>
              <w:t xml:space="preserve">Average Age </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78.8</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74.4</w:t>
            </w:r>
          </w:p>
        </w:tc>
      </w:tr>
      <w:tr w:rsidR="002627E7" w:rsidTr="00FE50D5">
        <w:trPr>
          <w:jc w:val="right"/>
        </w:trPr>
        <w:tc>
          <w:tcPr>
            <w:tcW w:w="3192" w:type="dxa"/>
          </w:tcPr>
          <w:p w:rsidR="002627E7" w:rsidRPr="002627E7" w:rsidRDefault="002627E7" w:rsidP="00DB3627">
            <w:pPr>
              <w:autoSpaceDE w:val="0"/>
              <w:autoSpaceDN w:val="0"/>
              <w:adjustRightInd w:val="0"/>
              <w:rPr>
                <w:rFonts w:cstheme="minorHAnsi"/>
                <w:b/>
                <w:bCs/>
                <w:color w:val="1F497D" w:themeColor="text2"/>
              </w:rPr>
            </w:pPr>
            <w:r>
              <w:rPr>
                <w:rFonts w:cstheme="minorHAnsi"/>
                <w:b/>
                <w:bCs/>
                <w:color w:val="1F497D" w:themeColor="text2"/>
              </w:rPr>
              <w:t xml:space="preserve">Gender </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p>
        </w:tc>
      </w:tr>
      <w:tr w:rsidR="002627E7" w:rsidTr="00FE50D5">
        <w:trPr>
          <w:jc w:val="right"/>
        </w:trPr>
        <w:tc>
          <w:tcPr>
            <w:tcW w:w="3192" w:type="dxa"/>
          </w:tcPr>
          <w:p w:rsidR="002627E7" w:rsidRPr="002627E7" w:rsidRDefault="002627E7" w:rsidP="002627E7">
            <w:pPr>
              <w:autoSpaceDE w:val="0"/>
              <w:autoSpaceDN w:val="0"/>
              <w:adjustRightInd w:val="0"/>
              <w:rPr>
                <w:rFonts w:cstheme="minorHAnsi"/>
                <w:bCs/>
                <w:color w:val="1F497D" w:themeColor="text2"/>
              </w:rPr>
            </w:pPr>
            <w:r>
              <w:rPr>
                <w:rFonts w:cstheme="minorHAnsi"/>
                <w:bCs/>
                <w:color w:val="1F497D" w:themeColor="text2"/>
              </w:rPr>
              <w:t xml:space="preserve">Male </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37.7%</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39.6%</w:t>
            </w:r>
          </w:p>
        </w:tc>
      </w:tr>
      <w:tr w:rsidR="002627E7" w:rsidTr="00FE50D5">
        <w:trPr>
          <w:jc w:val="right"/>
        </w:trPr>
        <w:tc>
          <w:tcPr>
            <w:tcW w:w="3192" w:type="dxa"/>
          </w:tcPr>
          <w:p w:rsidR="002627E7" w:rsidRDefault="002627E7" w:rsidP="002627E7">
            <w:pPr>
              <w:autoSpaceDE w:val="0"/>
              <w:autoSpaceDN w:val="0"/>
              <w:adjustRightInd w:val="0"/>
              <w:rPr>
                <w:rFonts w:cstheme="minorHAnsi"/>
                <w:bCs/>
                <w:color w:val="1F497D" w:themeColor="text2"/>
              </w:rPr>
            </w:pPr>
            <w:r>
              <w:rPr>
                <w:rFonts w:cstheme="minorHAnsi"/>
                <w:bCs/>
                <w:color w:val="1F497D" w:themeColor="text2"/>
              </w:rPr>
              <w:t xml:space="preserve">Female </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62.3%</w:t>
            </w:r>
          </w:p>
        </w:tc>
        <w:tc>
          <w:tcPr>
            <w:tcW w:w="3192" w:type="dxa"/>
          </w:tcPr>
          <w:p w:rsidR="002627E7" w:rsidRPr="002627E7" w:rsidRDefault="002627E7" w:rsidP="00FE50D5">
            <w:pPr>
              <w:autoSpaceDE w:val="0"/>
              <w:autoSpaceDN w:val="0"/>
              <w:adjustRightInd w:val="0"/>
              <w:jc w:val="right"/>
              <w:rPr>
                <w:rFonts w:cstheme="minorHAnsi"/>
                <w:bCs/>
                <w:color w:val="1F497D" w:themeColor="text2"/>
              </w:rPr>
            </w:pPr>
            <w:r w:rsidRPr="002627E7">
              <w:rPr>
                <w:rFonts w:cstheme="minorHAnsi"/>
                <w:bCs/>
                <w:color w:val="1F497D" w:themeColor="text2"/>
              </w:rPr>
              <w:t>60.4%</w:t>
            </w:r>
          </w:p>
        </w:tc>
      </w:tr>
      <w:tr w:rsidR="00F20CCE" w:rsidTr="004D436B">
        <w:trPr>
          <w:jc w:val="right"/>
        </w:trPr>
        <w:tc>
          <w:tcPr>
            <w:tcW w:w="3192" w:type="dxa"/>
            <w:shd w:val="clear" w:color="auto" w:fill="F2F2F2" w:themeFill="background1" w:themeFillShade="F2"/>
          </w:tcPr>
          <w:p w:rsidR="00F20CCE" w:rsidRPr="00F20CCE" w:rsidRDefault="00F20CCE" w:rsidP="002627E7">
            <w:pPr>
              <w:autoSpaceDE w:val="0"/>
              <w:autoSpaceDN w:val="0"/>
              <w:adjustRightInd w:val="0"/>
              <w:rPr>
                <w:rFonts w:cstheme="minorHAnsi"/>
                <w:b/>
                <w:bCs/>
                <w:color w:val="1F497D" w:themeColor="text2"/>
              </w:rPr>
            </w:pPr>
            <w:r>
              <w:rPr>
                <w:rFonts w:cstheme="minorHAnsi"/>
                <w:b/>
                <w:bCs/>
                <w:color w:val="1F497D" w:themeColor="text2"/>
              </w:rPr>
              <w:t xml:space="preserve">Bed Mobility </w:t>
            </w: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r>
      <w:tr w:rsidR="00F20CCE" w:rsidTr="00FE50D5">
        <w:trPr>
          <w:jc w:val="right"/>
        </w:trPr>
        <w:tc>
          <w:tcPr>
            <w:tcW w:w="3192" w:type="dxa"/>
          </w:tcPr>
          <w:p w:rsidR="00F20CCE" w:rsidRPr="00F20CCE" w:rsidRDefault="00F20CCE" w:rsidP="002627E7">
            <w:pPr>
              <w:autoSpaceDE w:val="0"/>
              <w:autoSpaceDN w:val="0"/>
              <w:adjustRightInd w:val="0"/>
              <w:rPr>
                <w:rFonts w:cstheme="minorHAnsi"/>
                <w:bCs/>
                <w:color w:val="1F497D" w:themeColor="text2"/>
              </w:rPr>
            </w:pPr>
            <w:r>
              <w:rPr>
                <w:rFonts w:cstheme="minorHAnsi"/>
                <w:bCs/>
                <w:color w:val="1F497D" w:themeColor="text2"/>
              </w:rPr>
              <w:t xml:space="preserve">Independent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Pr>
                <w:rFonts w:cstheme="minorHAnsi"/>
                <w:bCs/>
                <w:color w:val="1F497D" w:themeColor="text2"/>
              </w:rPr>
              <w:t xml:space="preserve">4.8%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9.8%</w:t>
            </w:r>
          </w:p>
        </w:tc>
      </w:tr>
      <w:tr w:rsidR="00F20CCE" w:rsidTr="00FE50D5">
        <w:trPr>
          <w:jc w:val="right"/>
        </w:trPr>
        <w:tc>
          <w:tcPr>
            <w:tcW w:w="3192" w:type="dxa"/>
          </w:tcPr>
          <w:p w:rsidR="00F20CCE" w:rsidRDefault="00F20CCE" w:rsidP="002627E7">
            <w:pPr>
              <w:autoSpaceDE w:val="0"/>
              <w:autoSpaceDN w:val="0"/>
              <w:adjustRightInd w:val="0"/>
              <w:rPr>
                <w:rFonts w:cstheme="minorHAnsi"/>
                <w:bCs/>
                <w:color w:val="1F497D" w:themeColor="text2"/>
              </w:rPr>
            </w:pPr>
            <w:r>
              <w:rPr>
                <w:rFonts w:cstheme="minorHAnsi"/>
                <w:bCs/>
                <w:color w:val="1F497D" w:themeColor="text2"/>
              </w:rPr>
              <w:t xml:space="preserve">Supervision/Limited Assistance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22.3%</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23.8%</w:t>
            </w:r>
          </w:p>
        </w:tc>
      </w:tr>
      <w:tr w:rsidR="00F20CCE" w:rsidTr="00FE50D5">
        <w:trPr>
          <w:jc w:val="right"/>
        </w:trPr>
        <w:tc>
          <w:tcPr>
            <w:tcW w:w="3192" w:type="dxa"/>
          </w:tcPr>
          <w:p w:rsidR="00F20CCE" w:rsidRDefault="00F20CCE" w:rsidP="002627E7">
            <w:pPr>
              <w:autoSpaceDE w:val="0"/>
              <w:autoSpaceDN w:val="0"/>
              <w:adjustRightInd w:val="0"/>
              <w:rPr>
                <w:rFonts w:cstheme="minorHAnsi"/>
                <w:bCs/>
                <w:color w:val="1F497D" w:themeColor="text2"/>
              </w:rPr>
            </w:pPr>
            <w:r>
              <w:rPr>
                <w:rFonts w:cstheme="minorHAnsi"/>
                <w:bCs/>
                <w:color w:val="1F497D" w:themeColor="text2"/>
              </w:rPr>
              <w:t xml:space="preserve">Extensive Assistance/Total Dependence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72.7%</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66.4%</w:t>
            </w:r>
          </w:p>
        </w:tc>
      </w:tr>
      <w:tr w:rsidR="00F20CCE" w:rsidTr="004D436B">
        <w:trPr>
          <w:jc w:val="right"/>
        </w:trPr>
        <w:tc>
          <w:tcPr>
            <w:tcW w:w="3192" w:type="dxa"/>
            <w:shd w:val="clear" w:color="auto" w:fill="F2F2F2" w:themeFill="background1" w:themeFillShade="F2"/>
          </w:tcPr>
          <w:p w:rsidR="00F20CCE" w:rsidRPr="00F20CCE" w:rsidRDefault="00F20CCE" w:rsidP="002627E7">
            <w:pPr>
              <w:autoSpaceDE w:val="0"/>
              <w:autoSpaceDN w:val="0"/>
              <w:adjustRightInd w:val="0"/>
              <w:rPr>
                <w:rFonts w:cstheme="minorHAnsi"/>
                <w:b/>
                <w:bCs/>
                <w:color w:val="1F497D" w:themeColor="text2"/>
              </w:rPr>
            </w:pPr>
            <w:r>
              <w:rPr>
                <w:rFonts w:cstheme="minorHAnsi"/>
                <w:b/>
                <w:bCs/>
                <w:color w:val="1F497D" w:themeColor="text2"/>
              </w:rPr>
              <w:t>Transfer</w:t>
            </w: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r>
      <w:tr w:rsidR="00F20CCE" w:rsidTr="00FE50D5">
        <w:trPr>
          <w:jc w:val="right"/>
        </w:trPr>
        <w:tc>
          <w:tcPr>
            <w:tcW w:w="3192" w:type="dxa"/>
          </w:tcPr>
          <w:p w:rsidR="00F20CCE" w:rsidRPr="00F20CCE" w:rsidRDefault="00F20CCE" w:rsidP="00981456">
            <w:pPr>
              <w:autoSpaceDE w:val="0"/>
              <w:autoSpaceDN w:val="0"/>
              <w:adjustRightInd w:val="0"/>
              <w:rPr>
                <w:rFonts w:cstheme="minorHAnsi"/>
                <w:bCs/>
                <w:color w:val="1F497D" w:themeColor="text2"/>
              </w:rPr>
            </w:pPr>
            <w:r>
              <w:rPr>
                <w:rFonts w:cstheme="minorHAnsi"/>
                <w:bCs/>
                <w:color w:val="1F497D" w:themeColor="text2"/>
              </w:rPr>
              <w:t xml:space="preserve">Independent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2.5%</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6.7%</w:t>
            </w:r>
          </w:p>
        </w:tc>
      </w:tr>
      <w:tr w:rsidR="00F20CCE" w:rsidTr="00FE50D5">
        <w:trPr>
          <w:jc w:val="right"/>
        </w:trPr>
        <w:tc>
          <w:tcPr>
            <w:tcW w:w="3192" w:type="dxa"/>
          </w:tcPr>
          <w:p w:rsidR="00F20CCE" w:rsidRDefault="00F20CCE" w:rsidP="00981456">
            <w:pPr>
              <w:autoSpaceDE w:val="0"/>
              <w:autoSpaceDN w:val="0"/>
              <w:adjustRightInd w:val="0"/>
              <w:rPr>
                <w:rFonts w:cstheme="minorHAnsi"/>
                <w:bCs/>
                <w:color w:val="1F497D" w:themeColor="text2"/>
              </w:rPr>
            </w:pPr>
            <w:r>
              <w:rPr>
                <w:rFonts w:cstheme="minorHAnsi"/>
                <w:bCs/>
                <w:color w:val="1F497D" w:themeColor="text2"/>
              </w:rPr>
              <w:t xml:space="preserve">Supervision/Limited Assistance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23.5%</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25.1%</w:t>
            </w:r>
          </w:p>
        </w:tc>
      </w:tr>
      <w:tr w:rsidR="00F20CCE" w:rsidTr="00FE50D5">
        <w:trPr>
          <w:jc w:val="right"/>
        </w:trPr>
        <w:tc>
          <w:tcPr>
            <w:tcW w:w="3192" w:type="dxa"/>
          </w:tcPr>
          <w:p w:rsidR="00F20CCE" w:rsidRDefault="00F20CCE" w:rsidP="00981456">
            <w:pPr>
              <w:autoSpaceDE w:val="0"/>
              <w:autoSpaceDN w:val="0"/>
              <w:adjustRightInd w:val="0"/>
              <w:rPr>
                <w:rFonts w:cstheme="minorHAnsi"/>
                <w:bCs/>
                <w:color w:val="1F497D" w:themeColor="text2"/>
              </w:rPr>
            </w:pPr>
            <w:r>
              <w:rPr>
                <w:rFonts w:cstheme="minorHAnsi"/>
                <w:bCs/>
                <w:color w:val="1F497D" w:themeColor="text2"/>
              </w:rPr>
              <w:t xml:space="preserve">Extensive Assistance/Total Dependence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73.9%</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68.1%</w:t>
            </w:r>
          </w:p>
        </w:tc>
      </w:tr>
      <w:tr w:rsidR="00F20CCE" w:rsidTr="004D436B">
        <w:trPr>
          <w:jc w:val="right"/>
        </w:trPr>
        <w:tc>
          <w:tcPr>
            <w:tcW w:w="3192" w:type="dxa"/>
            <w:shd w:val="clear" w:color="auto" w:fill="F2F2F2" w:themeFill="background1" w:themeFillShade="F2"/>
          </w:tcPr>
          <w:p w:rsidR="00F20CCE" w:rsidRPr="00F20CCE" w:rsidRDefault="00F20CCE" w:rsidP="002627E7">
            <w:pPr>
              <w:autoSpaceDE w:val="0"/>
              <w:autoSpaceDN w:val="0"/>
              <w:adjustRightInd w:val="0"/>
              <w:rPr>
                <w:rFonts w:cstheme="minorHAnsi"/>
                <w:b/>
                <w:bCs/>
                <w:color w:val="1F497D" w:themeColor="text2"/>
              </w:rPr>
            </w:pPr>
            <w:r>
              <w:rPr>
                <w:rFonts w:cstheme="minorHAnsi"/>
                <w:b/>
                <w:bCs/>
                <w:color w:val="1F497D" w:themeColor="text2"/>
              </w:rPr>
              <w:t xml:space="preserve">Eating </w:t>
            </w: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r>
      <w:tr w:rsidR="00F20CCE" w:rsidTr="00FE50D5">
        <w:trPr>
          <w:jc w:val="right"/>
        </w:trPr>
        <w:tc>
          <w:tcPr>
            <w:tcW w:w="3192" w:type="dxa"/>
          </w:tcPr>
          <w:p w:rsidR="00F20CCE" w:rsidRPr="00F20CCE" w:rsidRDefault="00F20CCE" w:rsidP="00981456">
            <w:pPr>
              <w:autoSpaceDE w:val="0"/>
              <w:autoSpaceDN w:val="0"/>
              <w:adjustRightInd w:val="0"/>
              <w:rPr>
                <w:rFonts w:cstheme="minorHAnsi"/>
                <w:bCs/>
                <w:color w:val="1F497D" w:themeColor="text2"/>
              </w:rPr>
            </w:pPr>
            <w:r>
              <w:rPr>
                <w:rFonts w:cstheme="minorHAnsi"/>
                <w:bCs/>
                <w:color w:val="1F497D" w:themeColor="text2"/>
              </w:rPr>
              <w:t xml:space="preserve">Independent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34.2%</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34.9</w:t>
            </w:r>
            <w:r>
              <w:rPr>
                <w:rFonts w:cstheme="minorHAnsi"/>
                <w:bCs/>
                <w:color w:val="1F497D" w:themeColor="text2"/>
              </w:rPr>
              <w:t>%</w:t>
            </w:r>
          </w:p>
        </w:tc>
      </w:tr>
      <w:tr w:rsidR="00F20CCE" w:rsidTr="00FE50D5">
        <w:trPr>
          <w:jc w:val="right"/>
        </w:trPr>
        <w:tc>
          <w:tcPr>
            <w:tcW w:w="3192" w:type="dxa"/>
          </w:tcPr>
          <w:p w:rsidR="00F20CCE" w:rsidRDefault="00F20CCE" w:rsidP="00981456">
            <w:pPr>
              <w:autoSpaceDE w:val="0"/>
              <w:autoSpaceDN w:val="0"/>
              <w:adjustRightInd w:val="0"/>
              <w:rPr>
                <w:rFonts w:cstheme="minorHAnsi"/>
                <w:bCs/>
                <w:color w:val="1F497D" w:themeColor="text2"/>
              </w:rPr>
            </w:pPr>
            <w:r>
              <w:rPr>
                <w:rFonts w:cstheme="minorHAnsi"/>
                <w:bCs/>
                <w:color w:val="1F497D" w:themeColor="text2"/>
              </w:rPr>
              <w:t xml:space="preserve">Supervision/Limited Assistance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47.7%</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47.2%</w:t>
            </w:r>
          </w:p>
        </w:tc>
      </w:tr>
      <w:tr w:rsidR="00F20CCE" w:rsidTr="00FE50D5">
        <w:trPr>
          <w:jc w:val="right"/>
        </w:trPr>
        <w:tc>
          <w:tcPr>
            <w:tcW w:w="3192" w:type="dxa"/>
          </w:tcPr>
          <w:p w:rsidR="00F20CCE" w:rsidRDefault="00F20CCE" w:rsidP="00981456">
            <w:pPr>
              <w:autoSpaceDE w:val="0"/>
              <w:autoSpaceDN w:val="0"/>
              <w:adjustRightInd w:val="0"/>
              <w:rPr>
                <w:rFonts w:cstheme="minorHAnsi"/>
                <w:bCs/>
                <w:color w:val="1F497D" w:themeColor="text2"/>
              </w:rPr>
            </w:pPr>
            <w:r>
              <w:rPr>
                <w:rFonts w:cstheme="minorHAnsi"/>
                <w:bCs/>
                <w:color w:val="1F497D" w:themeColor="text2"/>
              </w:rPr>
              <w:t xml:space="preserve">Extensive Assistance/Total Dependence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18%</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Pr>
                <w:rFonts w:cstheme="minorHAnsi"/>
                <w:bCs/>
                <w:color w:val="1F497D" w:themeColor="text2"/>
              </w:rPr>
              <w:t>17.9%</w:t>
            </w:r>
          </w:p>
        </w:tc>
      </w:tr>
      <w:tr w:rsidR="00F20CCE" w:rsidTr="004D436B">
        <w:trPr>
          <w:jc w:val="right"/>
        </w:trPr>
        <w:tc>
          <w:tcPr>
            <w:tcW w:w="3192" w:type="dxa"/>
            <w:shd w:val="clear" w:color="auto" w:fill="F2F2F2" w:themeFill="background1" w:themeFillShade="F2"/>
          </w:tcPr>
          <w:p w:rsidR="00F20CCE" w:rsidRPr="00F20CCE" w:rsidRDefault="00F20CCE" w:rsidP="002627E7">
            <w:pPr>
              <w:autoSpaceDE w:val="0"/>
              <w:autoSpaceDN w:val="0"/>
              <w:adjustRightInd w:val="0"/>
              <w:rPr>
                <w:rFonts w:cstheme="minorHAnsi"/>
                <w:b/>
                <w:bCs/>
                <w:color w:val="1F497D" w:themeColor="text2"/>
              </w:rPr>
            </w:pPr>
            <w:r>
              <w:rPr>
                <w:rFonts w:cstheme="minorHAnsi"/>
                <w:b/>
                <w:bCs/>
                <w:color w:val="1F497D" w:themeColor="text2"/>
              </w:rPr>
              <w:t xml:space="preserve">Toilet Use </w:t>
            </w: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20CCE" w:rsidRPr="002627E7" w:rsidRDefault="00F20CCE" w:rsidP="00FE50D5">
            <w:pPr>
              <w:autoSpaceDE w:val="0"/>
              <w:autoSpaceDN w:val="0"/>
              <w:adjustRightInd w:val="0"/>
              <w:jc w:val="right"/>
              <w:rPr>
                <w:rFonts w:cstheme="minorHAnsi"/>
                <w:bCs/>
                <w:color w:val="1F497D" w:themeColor="text2"/>
              </w:rPr>
            </w:pPr>
          </w:p>
        </w:tc>
      </w:tr>
      <w:tr w:rsidR="00F20CCE" w:rsidTr="00FE50D5">
        <w:trPr>
          <w:jc w:val="right"/>
        </w:trPr>
        <w:tc>
          <w:tcPr>
            <w:tcW w:w="3192" w:type="dxa"/>
          </w:tcPr>
          <w:p w:rsidR="00F20CCE" w:rsidRPr="00F20CCE" w:rsidRDefault="00F20CCE" w:rsidP="00981456">
            <w:pPr>
              <w:autoSpaceDE w:val="0"/>
              <w:autoSpaceDN w:val="0"/>
              <w:adjustRightInd w:val="0"/>
              <w:rPr>
                <w:rFonts w:cstheme="minorHAnsi"/>
                <w:bCs/>
                <w:color w:val="1F497D" w:themeColor="text2"/>
              </w:rPr>
            </w:pPr>
            <w:r>
              <w:rPr>
                <w:rFonts w:cstheme="minorHAnsi"/>
                <w:bCs/>
                <w:color w:val="1F497D" w:themeColor="text2"/>
              </w:rPr>
              <w:t xml:space="preserve">Independent </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2.5%</w:t>
            </w:r>
          </w:p>
        </w:tc>
        <w:tc>
          <w:tcPr>
            <w:tcW w:w="3192" w:type="dxa"/>
          </w:tcPr>
          <w:p w:rsidR="00F20CCE" w:rsidRPr="002627E7" w:rsidRDefault="00756CF5" w:rsidP="00FE50D5">
            <w:pPr>
              <w:autoSpaceDE w:val="0"/>
              <w:autoSpaceDN w:val="0"/>
              <w:adjustRightInd w:val="0"/>
              <w:jc w:val="right"/>
              <w:rPr>
                <w:rFonts w:cstheme="minorHAnsi"/>
                <w:bCs/>
                <w:color w:val="1F497D" w:themeColor="text2"/>
              </w:rPr>
            </w:pPr>
            <w:r w:rsidRPr="00756CF5">
              <w:rPr>
                <w:rFonts w:cstheme="minorHAnsi"/>
                <w:bCs/>
                <w:color w:val="1F497D" w:themeColor="text2"/>
              </w:rPr>
              <w:t>5.9%</w:t>
            </w:r>
          </w:p>
        </w:tc>
      </w:tr>
      <w:tr w:rsidR="00F51329" w:rsidTr="00FE50D5">
        <w:trPr>
          <w:trHeight w:val="323"/>
          <w:jc w:val="right"/>
        </w:trPr>
        <w:tc>
          <w:tcPr>
            <w:tcW w:w="3192" w:type="dxa"/>
          </w:tcPr>
          <w:p w:rsidR="00F51329" w:rsidRDefault="00F51329" w:rsidP="0047450C">
            <w:pPr>
              <w:autoSpaceDE w:val="0"/>
              <w:autoSpaceDN w:val="0"/>
              <w:adjustRightInd w:val="0"/>
              <w:rPr>
                <w:rFonts w:cstheme="minorHAnsi"/>
                <w:b/>
                <w:bCs/>
                <w:color w:val="1F497D" w:themeColor="text2"/>
              </w:rPr>
            </w:pPr>
          </w:p>
        </w:tc>
        <w:tc>
          <w:tcPr>
            <w:tcW w:w="3192" w:type="dxa"/>
          </w:tcPr>
          <w:p w:rsidR="00F51329" w:rsidRPr="002627E7" w:rsidRDefault="00F51329" w:rsidP="0047450C">
            <w:pPr>
              <w:autoSpaceDE w:val="0"/>
              <w:autoSpaceDN w:val="0"/>
              <w:adjustRightInd w:val="0"/>
              <w:jc w:val="center"/>
              <w:rPr>
                <w:rFonts w:cstheme="minorHAnsi"/>
                <w:b/>
                <w:bCs/>
                <w:color w:val="1F497D" w:themeColor="text2"/>
              </w:rPr>
            </w:pPr>
            <w:r w:rsidRPr="002627E7">
              <w:rPr>
                <w:rFonts w:cstheme="minorHAnsi"/>
                <w:b/>
                <w:bCs/>
                <w:color w:val="1F497D" w:themeColor="text2"/>
              </w:rPr>
              <w:t>Medicare Admissions</w:t>
            </w:r>
          </w:p>
        </w:tc>
        <w:tc>
          <w:tcPr>
            <w:tcW w:w="3192" w:type="dxa"/>
          </w:tcPr>
          <w:p w:rsidR="00F51329" w:rsidRPr="002627E7" w:rsidRDefault="00F51329" w:rsidP="0047450C">
            <w:pPr>
              <w:autoSpaceDE w:val="0"/>
              <w:autoSpaceDN w:val="0"/>
              <w:adjustRightInd w:val="0"/>
              <w:jc w:val="center"/>
              <w:rPr>
                <w:rFonts w:cstheme="minorHAnsi"/>
                <w:b/>
                <w:bCs/>
                <w:color w:val="1F497D" w:themeColor="text2"/>
              </w:rPr>
            </w:pPr>
            <w:r w:rsidRPr="002627E7">
              <w:rPr>
                <w:rFonts w:cstheme="minorHAnsi"/>
                <w:b/>
                <w:bCs/>
                <w:color w:val="1F497D" w:themeColor="text2"/>
              </w:rPr>
              <w:t>Non-Medicare Admissions</w:t>
            </w:r>
          </w:p>
        </w:tc>
      </w:tr>
      <w:tr w:rsidR="00F51329" w:rsidTr="00F51329">
        <w:trPr>
          <w:trHeight w:val="368"/>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Supervision/Limited Assistance </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20.9%</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21.7%</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Extensive Assistance/Total Dependence </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76.5%</w:t>
            </w:r>
          </w:p>
        </w:tc>
        <w:tc>
          <w:tcPr>
            <w:tcW w:w="3192" w:type="dxa"/>
          </w:tcPr>
          <w:p w:rsidR="00F51329" w:rsidRPr="002627E7" w:rsidRDefault="00F51329" w:rsidP="004D436B">
            <w:pPr>
              <w:autoSpaceDE w:val="0"/>
              <w:autoSpaceDN w:val="0"/>
              <w:adjustRightInd w:val="0"/>
              <w:jc w:val="right"/>
              <w:rPr>
                <w:rFonts w:cstheme="minorHAnsi"/>
                <w:bCs/>
                <w:color w:val="1F497D" w:themeColor="text2"/>
              </w:rPr>
            </w:pPr>
            <w:r w:rsidRPr="00756CF5">
              <w:rPr>
                <w:rFonts w:cstheme="minorHAnsi"/>
                <w:bCs/>
                <w:color w:val="1F497D" w:themeColor="text2"/>
              </w:rPr>
              <w:t>72.3%</w:t>
            </w:r>
          </w:p>
        </w:tc>
      </w:tr>
      <w:tr w:rsidR="00F51329" w:rsidTr="004D436B">
        <w:trPr>
          <w:jc w:val="right"/>
        </w:trPr>
        <w:tc>
          <w:tcPr>
            <w:tcW w:w="3192" w:type="dxa"/>
            <w:shd w:val="clear" w:color="auto" w:fill="F2F2F2" w:themeFill="background1" w:themeFillShade="F2"/>
          </w:tcPr>
          <w:p w:rsidR="00F51329" w:rsidRPr="00F20CCE" w:rsidRDefault="00F51329" w:rsidP="002627E7">
            <w:pPr>
              <w:autoSpaceDE w:val="0"/>
              <w:autoSpaceDN w:val="0"/>
              <w:adjustRightInd w:val="0"/>
              <w:rPr>
                <w:rFonts w:cstheme="minorHAnsi"/>
                <w:b/>
                <w:bCs/>
                <w:color w:val="1F497D" w:themeColor="text2"/>
              </w:rPr>
            </w:pPr>
            <w:r>
              <w:rPr>
                <w:rFonts w:cstheme="minorHAnsi"/>
                <w:b/>
                <w:bCs/>
                <w:color w:val="1F497D" w:themeColor="text2"/>
              </w:rPr>
              <w:t xml:space="preserve">Bathing </w:t>
            </w:r>
          </w:p>
        </w:tc>
        <w:tc>
          <w:tcPr>
            <w:tcW w:w="3192" w:type="dxa"/>
            <w:shd w:val="clear" w:color="auto" w:fill="F2F2F2" w:themeFill="background1" w:themeFillShade="F2"/>
          </w:tcPr>
          <w:p w:rsidR="00F51329" w:rsidRPr="002627E7" w:rsidRDefault="00F51329"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51329" w:rsidRPr="002627E7" w:rsidRDefault="00F51329" w:rsidP="00FE50D5">
            <w:pPr>
              <w:autoSpaceDE w:val="0"/>
              <w:autoSpaceDN w:val="0"/>
              <w:adjustRightInd w:val="0"/>
              <w:jc w:val="right"/>
              <w:rPr>
                <w:rFonts w:cstheme="minorHAnsi"/>
                <w:bCs/>
                <w:color w:val="1F497D" w:themeColor="text2"/>
              </w:rPr>
            </w:pPr>
          </w:p>
        </w:tc>
      </w:tr>
      <w:tr w:rsidR="00F51329" w:rsidTr="00FE50D5">
        <w:trPr>
          <w:jc w:val="right"/>
        </w:trPr>
        <w:tc>
          <w:tcPr>
            <w:tcW w:w="3192" w:type="dxa"/>
          </w:tcPr>
          <w:p w:rsidR="00F51329" w:rsidRPr="00F20CCE"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Independent </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1.3%</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2.1%</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Supervision/Limited Assistance </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9.6%</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10.9%</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Extensive Assistance/Total Dependence </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88.8%</w:t>
            </w:r>
          </w:p>
        </w:tc>
        <w:tc>
          <w:tcPr>
            <w:tcW w:w="3192" w:type="dxa"/>
          </w:tcPr>
          <w:p w:rsidR="00F51329" w:rsidRPr="002627E7" w:rsidRDefault="00F51329" w:rsidP="00FE50D5">
            <w:pPr>
              <w:autoSpaceDE w:val="0"/>
              <w:autoSpaceDN w:val="0"/>
              <w:adjustRightInd w:val="0"/>
              <w:jc w:val="right"/>
              <w:rPr>
                <w:rFonts w:cstheme="minorHAnsi"/>
                <w:bCs/>
                <w:color w:val="1F497D" w:themeColor="text2"/>
              </w:rPr>
            </w:pPr>
            <w:r w:rsidRPr="00756CF5">
              <w:rPr>
                <w:rFonts w:cstheme="minorHAnsi"/>
                <w:bCs/>
                <w:color w:val="1F497D" w:themeColor="text2"/>
              </w:rPr>
              <w:t>86.7%</w:t>
            </w:r>
          </w:p>
        </w:tc>
      </w:tr>
      <w:tr w:rsidR="00F51329" w:rsidTr="004D436B">
        <w:trPr>
          <w:jc w:val="right"/>
        </w:trPr>
        <w:tc>
          <w:tcPr>
            <w:tcW w:w="3192" w:type="dxa"/>
            <w:shd w:val="clear" w:color="auto" w:fill="F2F2F2" w:themeFill="background1" w:themeFillShade="F2"/>
          </w:tcPr>
          <w:p w:rsidR="00F51329" w:rsidRPr="005350E3" w:rsidRDefault="00F51329" w:rsidP="00981456">
            <w:pPr>
              <w:autoSpaceDE w:val="0"/>
              <w:autoSpaceDN w:val="0"/>
              <w:adjustRightInd w:val="0"/>
              <w:rPr>
                <w:rFonts w:cstheme="minorHAnsi"/>
                <w:b/>
                <w:bCs/>
                <w:color w:val="1F497D" w:themeColor="text2"/>
              </w:rPr>
            </w:pPr>
            <w:r>
              <w:rPr>
                <w:rFonts w:cstheme="minorHAnsi"/>
                <w:b/>
                <w:bCs/>
                <w:color w:val="1F497D" w:themeColor="text2"/>
              </w:rPr>
              <w:t xml:space="preserve">Race/Ethnicity </w:t>
            </w:r>
          </w:p>
        </w:tc>
        <w:tc>
          <w:tcPr>
            <w:tcW w:w="3192" w:type="dxa"/>
            <w:shd w:val="clear" w:color="auto" w:fill="F2F2F2" w:themeFill="background1" w:themeFillShade="F2"/>
          </w:tcPr>
          <w:p w:rsidR="00F51329" w:rsidRPr="00756CF5" w:rsidRDefault="00F51329"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51329" w:rsidRPr="00756CF5" w:rsidRDefault="00F51329" w:rsidP="00FE50D5">
            <w:pPr>
              <w:autoSpaceDE w:val="0"/>
              <w:autoSpaceDN w:val="0"/>
              <w:adjustRightInd w:val="0"/>
              <w:jc w:val="right"/>
              <w:rPr>
                <w:rFonts w:cstheme="minorHAnsi"/>
                <w:bCs/>
                <w:color w:val="1F497D" w:themeColor="text2"/>
              </w:rPr>
            </w:pPr>
          </w:p>
        </w:tc>
      </w:tr>
      <w:tr w:rsidR="00F51329" w:rsidTr="00FE50D5">
        <w:trPr>
          <w:jc w:val="right"/>
        </w:trPr>
        <w:tc>
          <w:tcPr>
            <w:tcW w:w="3192" w:type="dxa"/>
          </w:tcPr>
          <w:p w:rsidR="00F51329" w:rsidRPr="005350E3"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American Indian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0.0%</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0.0%</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Asian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2.7%</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3.4%</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Black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10.0%</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13.1%</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Hispanic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3.8%</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6.2%</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White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82.1%</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75.2%</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Native Hawaiian or Pacific Islander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0.2%</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0.4%</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Unknown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1.1%</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8A06D9">
              <w:rPr>
                <w:rFonts w:cstheme="minorHAnsi"/>
                <w:bCs/>
                <w:color w:val="1F497D" w:themeColor="text2"/>
              </w:rPr>
              <w:t>1.8%</w:t>
            </w:r>
          </w:p>
        </w:tc>
      </w:tr>
      <w:tr w:rsidR="00F51329" w:rsidTr="004D436B">
        <w:trPr>
          <w:jc w:val="right"/>
        </w:trPr>
        <w:tc>
          <w:tcPr>
            <w:tcW w:w="3192" w:type="dxa"/>
            <w:shd w:val="clear" w:color="auto" w:fill="F2F2F2" w:themeFill="background1" w:themeFillShade="F2"/>
          </w:tcPr>
          <w:p w:rsidR="00F51329" w:rsidRPr="005350E3" w:rsidRDefault="00F51329" w:rsidP="00981456">
            <w:pPr>
              <w:autoSpaceDE w:val="0"/>
              <w:autoSpaceDN w:val="0"/>
              <w:adjustRightInd w:val="0"/>
              <w:rPr>
                <w:rFonts w:cstheme="minorHAnsi"/>
                <w:b/>
                <w:bCs/>
                <w:color w:val="1F497D" w:themeColor="text2"/>
              </w:rPr>
            </w:pPr>
            <w:r>
              <w:rPr>
                <w:rFonts w:cstheme="minorHAnsi"/>
                <w:b/>
                <w:bCs/>
                <w:color w:val="1F497D" w:themeColor="text2"/>
              </w:rPr>
              <w:t xml:space="preserve">Common Active Diagnoses </w:t>
            </w:r>
          </w:p>
        </w:tc>
        <w:tc>
          <w:tcPr>
            <w:tcW w:w="3192" w:type="dxa"/>
            <w:shd w:val="clear" w:color="auto" w:fill="F2F2F2" w:themeFill="background1" w:themeFillShade="F2"/>
          </w:tcPr>
          <w:p w:rsidR="00F51329" w:rsidRPr="00756CF5" w:rsidRDefault="00F51329"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51329" w:rsidRPr="00756CF5" w:rsidRDefault="00F51329" w:rsidP="00FE50D5">
            <w:pPr>
              <w:autoSpaceDE w:val="0"/>
              <w:autoSpaceDN w:val="0"/>
              <w:adjustRightInd w:val="0"/>
              <w:jc w:val="right"/>
              <w:rPr>
                <w:rFonts w:cstheme="minorHAnsi"/>
                <w:bCs/>
                <w:color w:val="1F497D" w:themeColor="text2"/>
              </w:rPr>
            </w:pPr>
          </w:p>
        </w:tc>
      </w:tr>
      <w:tr w:rsidR="00F51329" w:rsidTr="00FE50D5">
        <w:trPr>
          <w:jc w:val="right"/>
        </w:trPr>
        <w:tc>
          <w:tcPr>
            <w:tcW w:w="3192" w:type="dxa"/>
          </w:tcPr>
          <w:p w:rsidR="00F51329" w:rsidRPr="005350E3"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Anemia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31.0%</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26.1%</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sidRPr="005350E3">
              <w:rPr>
                <w:rFonts w:cstheme="minorHAnsi"/>
                <w:bCs/>
                <w:color w:val="1F497D" w:themeColor="text2"/>
              </w:rPr>
              <w:t>Arteriosclerotic Heart Disease</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17.9%</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21.5%</w:t>
            </w:r>
          </w:p>
        </w:tc>
      </w:tr>
      <w:tr w:rsidR="00F51329" w:rsidTr="00FE50D5">
        <w:trPr>
          <w:jc w:val="right"/>
        </w:trPr>
        <w:tc>
          <w:tcPr>
            <w:tcW w:w="3192" w:type="dxa"/>
          </w:tcPr>
          <w:p w:rsidR="00F51329" w:rsidRPr="005350E3"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Congestive Heart Failure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22.8%</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17.1%</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COPD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25.2%</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21.5%</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Depression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32.3%</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33.4%</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Diabetes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34.4%</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33.3%</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Hip Fracture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7.1%</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5.0%</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Hypertension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75.4%</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71.2%</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Osteoporosis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44.9%</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11.1%</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Stroke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12.4%</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12.7%</w:t>
            </w:r>
          </w:p>
        </w:tc>
      </w:tr>
      <w:tr w:rsidR="00F51329" w:rsidTr="004D436B">
        <w:trPr>
          <w:jc w:val="right"/>
        </w:trPr>
        <w:tc>
          <w:tcPr>
            <w:tcW w:w="3192" w:type="dxa"/>
            <w:shd w:val="clear" w:color="auto" w:fill="F2F2F2" w:themeFill="background1" w:themeFillShade="F2"/>
          </w:tcPr>
          <w:p w:rsidR="00F51329" w:rsidRPr="005350E3" w:rsidRDefault="00F51329" w:rsidP="00981456">
            <w:pPr>
              <w:autoSpaceDE w:val="0"/>
              <w:autoSpaceDN w:val="0"/>
              <w:adjustRightInd w:val="0"/>
              <w:rPr>
                <w:rFonts w:cstheme="minorHAnsi"/>
                <w:b/>
                <w:bCs/>
                <w:color w:val="1F497D" w:themeColor="text2"/>
              </w:rPr>
            </w:pPr>
            <w:r>
              <w:rPr>
                <w:rFonts w:cstheme="minorHAnsi"/>
                <w:b/>
                <w:bCs/>
                <w:color w:val="1F497D" w:themeColor="text2"/>
              </w:rPr>
              <w:t xml:space="preserve">Special Treatment and Services </w:t>
            </w:r>
          </w:p>
        </w:tc>
        <w:tc>
          <w:tcPr>
            <w:tcW w:w="3192" w:type="dxa"/>
            <w:shd w:val="clear" w:color="auto" w:fill="F2F2F2" w:themeFill="background1" w:themeFillShade="F2"/>
          </w:tcPr>
          <w:p w:rsidR="00F51329" w:rsidRPr="00756CF5" w:rsidRDefault="00F51329" w:rsidP="00FE50D5">
            <w:pPr>
              <w:autoSpaceDE w:val="0"/>
              <w:autoSpaceDN w:val="0"/>
              <w:adjustRightInd w:val="0"/>
              <w:jc w:val="right"/>
              <w:rPr>
                <w:rFonts w:cstheme="minorHAnsi"/>
                <w:bCs/>
                <w:color w:val="1F497D" w:themeColor="text2"/>
              </w:rPr>
            </w:pPr>
          </w:p>
        </w:tc>
        <w:tc>
          <w:tcPr>
            <w:tcW w:w="3192" w:type="dxa"/>
            <w:shd w:val="clear" w:color="auto" w:fill="F2F2F2" w:themeFill="background1" w:themeFillShade="F2"/>
          </w:tcPr>
          <w:p w:rsidR="00F51329" w:rsidRPr="00756CF5" w:rsidRDefault="00F51329" w:rsidP="00FE50D5">
            <w:pPr>
              <w:autoSpaceDE w:val="0"/>
              <w:autoSpaceDN w:val="0"/>
              <w:adjustRightInd w:val="0"/>
              <w:jc w:val="right"/>
              <w:rPr>
                <w:rFonts w:cstheme="minorHAnsi"/>
                <w:bCs/>
                <w:color w:val="1F497D" w:themeColor="text2"/>
              </w:rPr>
            </w:pPr>
          </w:p>
        </w:tc>
      </w:tr>
      <w:tr w:rsidR="00F51329" w:rsidTr="00FE50D5">
        <w:trPr>
          <w:jc w:val="right"/>
        </w:trPr>
        <w:tc>
          <w:tcPr>
            <w:tcW w:w="3192" w:type="dxa"/>
          </w:tcPr>
          <w:p w:rsidR="00F51329" w:rsidRPr="005350E3"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Brain Injury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0.1%</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0.9%</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Hospice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0.4%</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5.9%</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IV Medication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9.1%</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7.7%</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sidRPr="005350E3">
              <w:rPr>
                <w:rFonts w:cstheme="minorHAnsi"/>
                <w:bCs/>
                <w:color w:val="1F497D" w:themeColor="text2"/>
              </w:rPr>
              <w:t>Parenteral/IV Nutrition</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0.6%</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0.4%</w:t>
            </w:r>
          </w:p>
        </w:tc>
      </w:tr>
      <w:tr w:rsidR="00F51329" w:rsidTr="00FE50D5">
        <w:trPr>
          <w:jc w:val="right"/>
        </w:trPr>
        <w:tc>
          <w:tcPr>
            <w:tcW w:w="3192" w:type="dxa"/>
          </w:tcPr>
          <w:p w:rsidR="00F51329" w:rsidRPr="005350E3" w:rsidRDefault="00F51329" w:rsidP="00981456">
            <w:pPr>
              <w:autoSpaceDE w:val="0"/>
              <w:autoSpaceDN w:val="0"/>
              <w:adjustRightInd w:val="0"/>
              <w:rPr>
                <w:rFonts w:cstheme="minorHAnsi"/>
                <w:bCs/>
                <w:color w:val="1F497D" w:themeColor="text2"/>
              </w:rPr>
            </w:pPr>
            <w:r>
              <w:rPr>
                <w:rFonts w:cstheme="minorHAnsi"/>
                <w:bCs/>
                <w:color w:val="1F497D" w:themeColor="text2"/>
              </w:rPr>
              <w:t xml:space="preserve">Respite </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0.0%</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0.9%</w:t>
            </w:r>
          </w:p>
        </w:tc>
      </w:tr>
      <w:tr w:rsidR="00F51329" w:rsidTr="00FE50D5">
        <w:trPr>
          <w:jc w:val="right"/>
        </w:trPr>
        <w:tc>
          <w:tcPr>
            <w:tcW w:w="3192" w:type="dxa"/>
          </w:tcPr>
          <w:p w:rsidR="00F51329" w:rsidRDefault="00F51329" w:rsidP="00981456">
            <w:pPr>
              <w:autoSpaceDE w:val="0"/>
              <w:autoSpaceDN w:val="0"/>
              <w:adjustRightInd w:val="0"/>
              <w:rPr>
                <w:rFonts w:cstheme="minorHAnsi"/>
                <w:bCs/>
                <w:color w:val="1F497D" w:themeColor="text2"/>
              </w:rPr>
            </w:pPr>
            <w:r w:rsidRPr="00BE6C48">
              <w:rPr>
                <w:rFonts w:cstheme="minorHAnsi"/>
                <w:bCs/>
                <w:color w:val="1F497D" w:themeColor="text2"/>
              </w:rPr>
              <w:t>Ventilator/Respirator</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0.4%</w:t>
            </w:r>
          </w:p>
        </w:tc>
        <w:tc>
          <w:tcPr>
            <w:tcW w:w="3192" w:type="dxa"/>
          </w:tcPr>
          <w:p w:rsidR="00F51329" w:rsidRPr="00756CF5" w:rsidRDefault="00F51329" w:rsidP="00FE50D5">
            <w:pPr>
              <w:autoSpaceDE w:val="0"/>
              <w:autoSpaceDN w:val="0"/>
              <w:adjustRightInd w:val="0"/>
              <w:jc w:val="right"/>
              <w:rPr>
                <w:rFonts w:cstheme="minorHAnsi"/>
                <w:bCs/>
                <w:color w:val="1F497D" w:themeColor="text2"/>
              </w:rPr>
            </w:pPr>
            <w:r w:rsidRPr="002807BD">
              <w:rPr>
                <w:rFonts w:cstheme="minorHAnsi"/>
                <w:bCs/>
                <w:color w:val="1F497D" w:themeColor="text2"/>
              </w:rPr>
              <w:t>0.7%</w:t>
            </w:r>
          </w:p>
        </w:tc>
      </w:tr>
    </w:tbl>
    <w:p w:rsidR="00F20CCE" w:rsidRDefault="00F20CCE" w:rsidP="00F20CCE">
      <w:pPr>
        <w:autoSpaceDE w:val="0"/>
        <w:autoSpaceDN w:val="0"/>
        <w:adjustRightInd w:val="0"/>
        <w:spacing w:after="0" w:line="240" w:lineRule="auto"/>
        <w:rPr>
          <w:rFonts w:cstheme="minorHAnsi"/>
          <w:bCs/>
          <w:color w:val="1F497D" w:themeColor="text2"/>
        </w:rPr>
      </w:pPr>
      <w:r>
        <w:rPr>
          <w:rFonts w:cstheme="minorHAnsi"/>
          <w:bCs/>
          <w:color w:val="1F497D" w:themeColor="text2"/>
        </w:rPr>
        <w:t xml:space="preserve">*Data from AHCA Quality Report 2013, </w:t>
      </w:r>
      <w:r w:rsidR="00925E3E">
        <w:rPr>
          <w:rFonts w:cstheme="minorHAnsi"/>
          <w:bCs/>
          <w:color w:val="1F497D" w:themeColor="text2"/>
        </w:rPr>
        <w:t xml:space="preserve">based on MDS and OSCAR data. </w:t>
      </w:r>
      <w:r>
        <w:rPr>
          <w:rFonts w:cstheme="minorHAnsi"/>
          <w:bCs/>
          <w:color w:val="1F497D" w:themeColor="text2"/>
        </w:rPr>
        <w:t>Available at</w:t>
      </w:r>
    </w:p>
    <w:p w:rsidR="0003009D" w:rsidRDefault="00B05821" w:rsidP="00DB3627">
      <w:pPr>
        <w:autoSpaceDE w:val="0"/>
        <w:autoSpaceDN w:val="0"/>
        <w:adjustRightInd w:val="0"/>
        <w:spacing w:after="0" w:line="240" w:lineRule="auto"/>
        <w:rPr>
          <w:rStyle w:val="Hyperlink"/>
        </w:rPr>
      </w:pPr>
      <w:hyperlink r:id="rId11" w:history="1">
        <w:r w:rsidR="00F20CCE">
          <w:rPr>
            <w:rStyle w:val="Hyperlink"/>
          </w:rPr>
          <w:t>http://www.ahcancal.org/qualityreport/Documents/AHCA_2013QR_ONLINE.pdf</w:t>
        </w:r>
      </w:hyperlink>
    </w:p>
    <w:p w:rsidR="009B2595" w:rsidRDefault="009B2595"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88269E" w:rsidP="00E37E1B">
      <w:pPr>
        <w:autoSpaceDE w:val="0"/>
        <w:autoSpaceDN w:val="0"/>
        <w:adjustRightInd w:val="0"/>
        <w:spacing w:after="0" w:line="240" w:lineRule="auto"/>
        <w:rPr>
          <w:rFonts w:cstheme="minorHAnsi"/>
          <w:bCs/>
          <w:color w:val="1F497D" w:themeColor="text2"/>
        </w:rPr>
      </w:pPr>
      <w:r w:rsidRPr="0088269E">
        <w:rPr>
          <w:rFonts w:cstheme="minorHAnsi"/>
          <w:bCs/>
          <w:color w:val="1F497D" w:themeColor="text2"/>
        </w:rPr>
        <w:t>N/A</w:t>
      </w:r>
    </w:p>
    <w:p w:rsidR="00F51329" w:rsidRDefault="00F51329" w:rsidP="00E37E1B">
      <w:pPr>
        <w:autoSpaceDE w:val="0"/>
        <w:autoSpaceDN w:val="0"/>
        <w:adjustRightInd w:val="0"/>
        <w:spacing w:after="0" w:line="240" w:lineRule="auto"/>
        <w:rPr>
          <w:rFonts w:cstheme="minorHAnsi"/>
          <w:bCs/>
          <w:color w:val="1F497D" w:themeColor="text2"/>
        </w:rPr>
      </w:pPr>
    </w:p>
    <w:p w:rsidR="00F51329" w:rsidRPr="0088269E" w:rsidRDefault="00F51329" w:rsidP="00E37E1B">
      <w:pPr>
        <w:autoSpaceDE w:val="0"/>
        <w:autoSpaceDN w:val="0"/>
        <w:adjustRightInd w:val="0"/>
        <w:spacing w:after="0" w:line="240" w:lineRule="auto"/>
        <w:rPr>
          <w:rFonts w:cstheme="minorHAnsi"/>
          <w:bCs/>
          <w:color w:val="1F497D" w:themeColor="text2"/>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lastRenderedPageBreak/>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FE4F00" w:rsidRDefault="00092566" w:rsidP="00FE4F00">
      <w:pPr>
        <w:autoSpaceDE w:val="0"/>
        <w:autoSpaceDN w:val="0"/>
        <w:adjustRightInd w:val="0"/>
        <w:spacing w:after="0" w:line="240" w:lineRule="auto"/>
        <w:rPr>
          <w:rFonts w:cstheme="minorHAnsi"/>
          <w:bCs/>
          <w:iCs/>
          <w:color w:val="1F497D" w:themeColor="text2"/>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3D4A5D">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r w:rsidR="004D436B">
        <w:rPr>
          <w:rFonts w:cstheme="minorHAnsi"/>
          <w:bCs/>
        </w:rPr>
        <w:br/>
      </w:r>
      <w:r w:rsidR="00C12D8E" w:rsidRPr="00481D43">
        <w:rPr>
          <w:rFonts w:cstheme="minorHAnsi"/>
          <w:bCs/>
          <w:iCs/>
          <w:color w:val="1F497D" w:themeColor="text2"/>
        </w:rPr>
        <w:t>We used parallel forms reliability by calculating several measures based on MDS 3.0 data submitted by over 2</w:t>
      </w:r>
      <w:r w:rsidR="00F0091C">
        <w:rPr>
          <w:rFonts w:cstheme="minorHAnsi"/>
          <w:bCs/>
          <w:iCs/>
          <w:color w:val="1F497D" w:themeColor="text2"/>
        </w:rPr>
        <w:t>,</w:t>
      </w:r>
      <w:r w:rsidR="00C12D8E" w:rsidRPr="00481D43">
        <w:rPr>
          <w:rFonts w:cstheme="minorHAnsi"/>
          <w:bCs/>
          <w:iCs/>
          <w:color w:val="1F497D" w:themeColor="text2"/>
        </w:rPr>
        <w:t>800 SNFs directly to the research team and MDS 3.0 data from these same SNFs provided by CMS.  We calculated the number of admiss</w:t>
      </w:r>
      <w:r w:rsidR="00FE4F00">
        <w:rPr>
          <w:rFonts w:cstheme="minorHAnsi"/>
          <w:bCs/>
          <w:iCs/>
          <w:color w:val="1F497D" w:themeColor="text2"/>
        </w:rPr>
        <w:t>ion, tracking rate, observed re</w:t>
      </w:r>
      <w:r w:rsidR="00C12D8E" w:rsidRPr="00481D43">
        <w:rPr>
          <w:rFonts w:cstheme="minorHAnsi"/>
          <w:bCs/>
          <w:iCs/>
          <w:color w:val="1F497D" w:themeColor="text2"/>
        </w:rPr>
        <w:t xml:space="preserve">hospitalization rate and expected rehospitalization rate using both data </w:t>
      </w:r>
      <w:r w:rsidR="00FE4F00">
        <w:rPr>
          <w:rFonts w:cstheme="minorHAnsi"/>
          <w:bCs/>
          <w:iCs/>
          <w:color w:val="1F497D" w:themeColor="text2"/>
        </w:rPr>
        <w:t xml:space="preserve">sets and compared the results. </w:t>
      </w:r>
    </w:p>
    <w:p w:rsidR="009B2595" w:rsidRDefault="009B2595" w:rsidP="00FE4F00">
      <w:pPr>
        <w:autoSpaceDE w:val="0"/>
        <w:autoSpaceDN w:val="0"/>
        <w:adjustRightInd w:val="0"/>
        <w:spacing w:after="0" w:line="240" w:lineRule="auto"/>
        <w:rPr>
          <w:rFonts w:cstheme="minorHAnsi"/>
          <w:bCs/>
          <w:iCs/>
          <w:color w:val="1F497D" w:themeColor="text2"/>
        </w:rPr>
      </w:pPr>
    </w:p>
    <w:p w:rsidR="00FE4F00" w:rsidRDefault="00092566" w:rsidP="00FE4F00">
      <w:pPr>
        <w:autoSpaceDE w:val="0"/>
        <w:autoSpaceDN w:val="0"/>
        <w:adjustRightInd w:val="0"/>
        <w:spacing w:after="0" w:line="240" w:lineRule="auto"/>
        <w:rPr>
          <w:rFonts w:cstheme="minorHAnsi"/>
          <w:bCs/>
          <w:iCs/>
          <w:color w:val="1F497D" w:themeColor="text2"/>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3D4A5D" w:rsidRPr="00A60AC5">
        <w:rPr>
          <w:rFonts w:cstheme="minorHAnsi"/>
          <w:bCs/>
          <w:iCs/>
          <w:color w:val="1F497D" w:themeColor="text2"/>
        </w:rPr>
        <w:t>The results of these reliability tests showed that in 206 cases (7%), numbers matched exactly on both the number of admissions and the tracking rate. In 1,869 cases (66%), the CMS data observed rate calculation minus the SNF data observed calculation was within 1%. In 2,652 cases (94%), the CMS data expected rate calculation minus the SNF data expected calculation was within 1%.</w:t>
      </w:r>
    </w:p>
    <w:p w:rsidR="009B2595" w:rsidRDefault="009B2595" w:rsidP="00FE4F00">
      <w:pPr>
        <w:autoSpaceDE w:val="0"/>
        <w:autoSpaceDN w:val="0"/>
        <w:adjustRightInd w:val="0"/>
        <w:spacing w:after="0" w:line="240" w:lineRule="auto"/>
        <w:rPr>
          <w:rFonts w:cstheme="minorHAnsi"/>
          <w:bCs/>
          <w:iCs/>
          <w:color w:val="1F497D" w:themeColor="text2"/>
        </w:rPr>
      </w:pPr>
    </w:p>
    <w:p w:rsidR="007422FD" w:rsidRPr="003D4A5D" w:rsidRDefault="00092566" w:rsidP="00FE4F00">
      <w:pPr>
        <w:autoSpaceDE w:val="0"/>
        <w:autoSpaceDN w:val="0"/>
        <w:adjustRightInd w:val="0"/>
        <w:spacing w:after="0" w:line="240" w:lineRule="auto"/>
        <w:rPr>
          <w:rFonts w:cstheme="minorHAnsi"/>
          <w:bCs/>
          <w:iCs/>
          <w:color w:val="1F497D" w:themeColor="text2"/>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90462B" w:rsidRPr="00481D43">
        <w:rPr>
          <w:rFonts w:cstheme="minorHAnsi"/>
          <w:bCs/>
          <w:iCs/>
          <w:color w:val="1F497D" w:themeColor="text2"/>
        </w:rPr>
        <w:t>MDS 3.0 data received from CMS are reliable when compared to data gathered directly from participating SNFs.  We assumed that data gathered directly from SNFs would be more accurate and complete because the facilities providing these data were paying for analytic services.</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9560F3">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B05821"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C661A2">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B05821"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C661A2">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753D2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Default="00CA06D8" w:rsidP="00DB3627">
      <w:pPr>
        <w:autoSpaceDE w:val="0"/>
        <w:autoSpaceDN w:val="0"/>
        <w:adjustRightInd w:val="0"/>
        <w:spacing w:after="0" w:line="240" w:lineRule="auto"/>
        <w:rPr>
          <w:rFonts w:cstheme="minorHAnsi"/>
        </w:rPr>
      </w:pPr>
    </w:p>
    <w:p w:rsidR="0014428E" w:rsidRDefault="00092566" w:rsidP="00E1257E">
      <w:pPr>
        <w:autoSpaceDE w:val="0"/>
        <w:autoSpaceDN w:val="0"/>
        <w:adjustRightInd w:val="0"/>
        <w:spacing w:after="0" w:line="240" w:lineRule="auto"/>
        <w:rPr>
          <w:rFonts w:cstheme="minorHAnsi"/>
          <w:bCs/>
          <w:iCs/>
          <w:color w:val="1F497D" w:themeColor="text2"/>
        </w:rPr>
      </w:pPr>
      <w:bookmarkStart w:id="11" w:name="IDX"/>
      <w:bookmarkEnd w:id="11"/>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rsidR="00414087" w:rsidRPr="00746445" w:rsidRDefault="00414087" w:rsidP="00E1257E">
      <w:pPr>
        <w:autoSpaceDE w:val="0"/>
        <w:autoSpaceDN w:val="0"/>
        <w:adjustRightInd w:val="0"/>
        <w:spacing w:after="0" w:line="240" w:lineRule="auto"/>
        <w:rPr>
          <w:rFonts w:cstheme="minorHAnsi"/>
          <w:bCs/>
          <w:iCs/>
          <w:color w:val="1F497D" w:themeColor="text2"/>
        </w:rPr>
      </w:pPr>
      <w:r w:rsidRPr="00746445">
        <w:rPr>
          <w:rFonts w:cstheme="minorHAnsi"/>
          <w:bCs/>
          <w:iCs/>
          <w:color w:val="1F497D" w:themeColor="text2"/>
        </w:rPr>
        <w:t xml:space="preserve">First, Medicare hospitalization claims were used to validate MDS 3.0 discharge assessments. Discharge records were categorized into four groups based on the values in the discharge status field: acute (if </w:t>
      </w:r>
      <w:r w:rsidRPr="00746445">
        <w:rPr>
          <w:rFonts w:cstheme="minorHAnsi"/>
          <w:bCs/>
          <w:iCs/>
          <w:color w:val="1F497D" w:themeColor="text2"/>
        </w:rPr>
        <w:lastRenderedPageBreak/>
        <w:t>acute hospital), non-acute (if psychiatric hospital or MR/DD facility), death (if deceased)</w:t>
      </w:r>
      <w:r w:rsidR="00AF44AA">
        <w:rPr>
          <w:rFonts w:cstheme="minorHAnsi"/>
          <w:bCs/>
          <w:iCs/>
          <w:color w:val="1F497D" w:themeColor="text2"/>
        </w:rPr>
        <w:t>,</w:t>
      </w:r>
      <w:r w:rsidRPr="00746445">
        <w:rPr>
          <w:rFonts w:cstheme="minorHAnsi"/>
          <w:bCs/>
          <w:iCs/>
          <w:color w:val="1F497D" w:themeColor="text2"/>
        </w:rPr>
        <w:t xml:space="preserve"> and other (if community, another </w:t>
      </w:r>
      <w:r w:rsidR="009B2595">
        <w:rPr>
          <w:rFonts w:cstheme="minorHAnsi"/>
          <w:bCs/>
          <w:iCs/>
          <w:color w:val="1F497D" w:themeColor="text2"/>
        </w:rPr>
        <w:t>SNF</w:t>
      </w:r>
      <w:r w:rsidRPr="00746445">
        <w:rPr>
          <w:rFonts w:cstheme="minorHAnsi"/>
          <w:bCs/>
          <w:iCs/>
          <w:color w:val="1F497D" w:themeColor="text2"/>
        </w:rPr>
        <w:t xml:space="preserve"> or swing bed, IRF, Hospice and other). Any hospitalization claims within ±3 days of a discharge assessment for the individual were identified and checked whether the discharge status could be verified by the Medicare claim. Verifying claims as acute (i.e. inpatient claims filed by general hospitals), outpatient and non-acute (i.e. inpatient claims filed by specialized hospitals) were grouped. Death was verified using date of death from the enrollment records.  Discharge records matching to hospital claims and death dates were examined. </w:t>
      </w:r>
    </w:p>
    <w:p w:rsidR="00414087" w:rsidRPr="00746445" w:rsidRDefault="00414087" w:rsidP="00414087">
      <w:pPr>
        <w:spacing w:before="100" w:beforeAutospacing="1" w:after="100" w:afterAutospacing="1"/>
        <w:rPr>
          <w:rFonts w:cstheme="minorHAnsi"/>
          <w:bCs/>
          <w:iCs/>
          <w:color w:val="1F497D" w:themeColor="text2"/>
        </w:rPr>
      </w:pPr>
      <w:r w:rsidRPr="00746445">
        <w:rPr>
          <w:rFonts w:cstheme="minorHAnsi"/>
          <w:bCs/>
          <w:iCs/>
          <w:color w:val="1F497D" w:themeColor="text2"/>
        </w:rPr>
        <w:t xml:space="preserve">Second, the proportion of Medicare hospital claims that had an associated MDS 3.0 discharge assessment designated as being sent to the hospital from the </w:t>
      </w:r>
      <w:r w:rsidR="001E4959">
        <w:rPr>
          <w:rFonts w:cstheme="minorHAnsi"/>
          <w:bCs/>
          <w:iCs/>
          <w:color w:val="1F497D" w:themeColor="text2"/>
        </w:rPr>
        <w:t>SNF</w:t>
      </w:r>
      <w:r w:rsidRPr="00746445">
        <w:rPr>
          <w:rFonts w:cstheme="minorHAnsi"/>
          <w:bCs/>
          <w:iCs/>
          <w:color w:val="1F497D" w:themeColor="text2"/>
        </w:rPr>
        <w:t xml:space="preserve"> were estimated. The origin location of patients based on previous MDS 3.0 discharge assessments were also identified to ensure patients had not been discharged to </w:t>
      </w:r>
      <w:r w:rsidR="00925E3E">
        <w:rPr>
          <w:rFonts w:cstheme="minorHAnsi"/>
          <w:bCs/>
          <w:iCs/>
          <w:color w:val="1F497D" w:themeColor="text2"/>
        </w:rPr>
        <w:t xml:space="preserve">a </w:t>
      </w:r>
      <w:r w:rsidR="00A805D5">
        <w:rPr>
          <w:rFonts w:cstheme="minorHAnsi"/>
          <w:bCs/>
          <w:iCs/>
          <w:color w:val="1F497D" w:themeColor="text2"/>
        </w:rPr>
        <w:t>facility</w:t>
      </w:r>
      <w:r w:rsidRPr="00746445">
        <w:rPr>
          <w:rFonts w:cstheme="minorHAnsi"/>
          <w:bCs/>
          <w:iCs/>
          <w:color w:val="1F497D" w:themeColor="text2"/>
        </w:rPr>
        <w:t xml:space="preserve"> or other places aft</w:t>
      </w:r>
      <w:r w:rsidR="001E4959">
        <w:rPr>
          <w:rFonts w:cstheme="minorHAnsi"/>
          <w:bCs/>
          <w:iCs/>
          <w:color w:val="1F497D" w:themeColor="text2"/>
        </w:rPr>
        <w:t>er SNF admission. The 30 day re</w:t>
      </w:r>
      <w:r w:rsidRPr="00746445">
        <w:rPr>
          <w:rFonts w:cstheme="minorHAnsi"/>
          <w:bCs/>
          <w:iCs/>
          <w:color w:val="1F497D" w:themeColor="text2"/>
        </w:rPr>
        <w:t>hospitalization rates were calculated using different data sources aggregating a binary variable indica</w:t>
      </w:r>
      <w:r w:rsidR="001E4959">
        <w:rPr>
          <w:rFonts w:cstheme="minorHAnsi"/>
          <w:bCs/>
          <w:iCs/>
          <w:color w:val="1F497D" w:themeColor="text2"/>
        </w:rPr>
        <w:t>ting whether the patient was re</w:t>
      </w:r>
      <w:r w:rsidRPr="00746445">
        <w:rPr>
          <w:rFonts w:cstheme="minorHAnsi"/>
          <w:bCs/>
          <w:iCs/>
          <w:color w:val="1F497D" w:themeColor="text2"/>
        </w:rPr>
        <w:t>hospitalized within 30 days of SNF admission. The rates were decomposed into three components: v</w:t>
      </w:r>
      <w:r w:rsidR="001E4959">
        <w:rPr>
          <w:rFonts w:cstheme="minorHAnsi"/>
          <w:bCs/>
          <w:iCs/>
          <w:color w:val="1F497D" w:themeColor="text2"/>
        </w:rPr>
        <w:t>erified by other source, not re</w:t>
      </w:r>
      <w:r w:rsidRPr="00746445">
        <w:rPr>
          <w:rFonts w:cstheme="minorHAnsi"/>
          <w:bCs/>
          <w:iCs/>
          <w:color w:val="1F497D" w:themeColor="text2"/>
        </w:rPr>
        <w:t xml:space="preserve">hospitalized from </w:t>
      </w:r>
      <w:r w:rsidR="001E4959">
        <w:rPr>
          <w:rFonts w:cstheme="minorHAnsi"/>
          <w:bCs/>
          <w:iCs/>
          <w:color w:val="1F497D" w:themeColor="text2"/>
        </w:rPr>
        <w:t>SNF</w:t>
      </w:r>
      <w:r w:rsidRPr="00746445">
        <w:rPr>
          <w:rFonts w:cstheme="minorHAnsi"/>
          <w:bCs/>
          <w:iCs/>
          <w:color w:val="1F497D" w:themeColor="text2"/>
        </w:rPr>
        <w:t xml:space="preserve"> and not-verifi</w:t>
      </w:r>
      <w:r w:rsidR="001E4959">
        <w:rPr>
          <w:rFonts w:cstheme="minorHAnsi"/>
          <w:bCs/>
          <w:iCs/>
          <w:color w:val="1F497D" w:themeColor="text2"/>
        </w:rPr>
        <w:t>ed.</w:t>
      </w:r>
      <w:r w:rsidRPr="00746445">
        <w:rPr>
          <w:rFonts w:cstheme="minorHAnsi"/>
          <w:bCs/>
          <w:iCs/>
          <w:color w:val="1F497D" w:themeColor="text2"/>
        </w:rPr>
        <w:t xml:space="preserve"> If an individual had multiple hospitalizations, the earlier component trumped the later components. </w:t>
      </w:r>
    </w:p>
    <w:p w:rsidR="00414087" w:rsidRPr="00746445" w:rsidRDefault="00414087" w:rsidP="00414087">
      <w:pPr>
        <w:spacing w:before="100" w:beforeAutospacing="1" w:after="100" w:afterAutospacing="1"/>
        <w:rPr>
          <w:rFonts w:cstheme="minorHAnsi"/>
          <w:bCs/>
          <w:iCs/>
          <w:color w:val="1F497D" w:themeColor="text2"/>
        </w:rPr>
      </w:pPr>
      <w:r w:rsidRPr="00746445">
        <w:rPr>
          <w:rFonts w:cstheme="minorHAnsi"/>
          <w:bCs/>
          <w:iCs/>
          <w:color w:val="1F497D" w:themeColor="text2"/>
        </w:rPr>
        <w:t xml:space="preserve">The extent to which there was systematic error (related to facility characteristics) when MDS and claims data disagreed was explored. To examine this, the fraction of hospitalization events for </w:t>
      </w:r>
      <w:r w:rsidR="00372491">
        <w:rPr>
          <w:rFonts w:cstheme="minorHAnsi"/>
          <w:bCs/>
          <w:iCs/>
          <w:color w:val="1F497D" w:themeColor="text2"/>
        </w:rPr>
        <w:t>SNFs</w:t>
      </w:r>
      <w:r w:rsidRPr="00746445">
        <w:rPr>
          <w:rFonts w:cstheme="minorHAnsi"/>
          <w:bCs/>
          <w:iCs/>
          <w:color w:val="1F497D" w:themeColor="text2"/>
        </w:rPr>
        <w:t xml:space="preserve"> that were identified by both MDS 3.0 and Medicare claims data </w:t>
      </w:r>
      <w:r w:rsidR="006A09F6">
        <w:rPr>
          <w:rFonts w:cstheme="minorHAnsi"/>
          <w:bCs/>
          <w:iCs/>
          <w:color w:val="1F497D" w:themeColor="text2"/>
        </w:rPr>
        <w:t>was</w:t>
      </w:r>
      <w:r w:rsidR="006A09F6" w:rsidRPr="00746445">
        <w:rPr>
          <w:rFonts w:cstheme="minorHAnsi"/>
          <w:bCs/>
          <w:iCs/>
          <w:color w:val="1F497D" w:themeColor="text2"/>
        </w:rPr>
        <w:t xml:space="preserve"> </w:t>
      </w:r>
      <w:r w:rsidRPr="00746445">
        <w:rPr>
          <w:rFonts w:cstheme="minorHAnsi"/>
          <w:bCs/>
          <w:iCs/>
          <w:color w:val="1F497D" w:themeColor="text2"/>
        </w:rPr>
        <w:t xml:space="preserve">calculated. The hospitalization events that originated from </w:t>
      </w:r>
      <w:r w:rsidR="00372491">
        <w:rPr>
          <w:rFonts w:cstheme="minorHAnsi"/>
          <w:bCs/>
          <w:iCs/>
          <w:color w:val="1F497D" w:themeColor="text2"/>
        </w:rPr>
        <w:t>SNFs</w:t>
      </w:r>
      <w:r w:rsidRPr="00746445">
        <w:rPr>
          <w:rFonts w:cstheme="minorHAnsi"/>
          <w:bCs/>
          <w:iCs/>
          <w:color w:val="1F497D" w:themeColor="text2"/>
        </w:rPr>
        <w:t xml:space="preserve"> and occurred within 30 days of SNF admission were included. The relationship of this variable with several </w:t>
      </w:r>
      <w:r w:rsidR="00372491">
        <w:rPr>
          <w:rFonts w:cstheme="minorHAnsi"/>
          <w:bCs/>
          <w:iCs/>
          <w:color w:val="1F497D" w:themeColor="text2"/>
        </w:rPr>
        <w:t>SNF</w:t>
      </w:r>
      <w:r w:rsidRPr="00746445">
        <w:rPr>
          <w:rFonts w:cstheme="minorHAnsi"/>
          <w:bCs/>
          <w:iCs/>
          <w:color w:val="1F497D" w:themeColor="text2"/>
        </w:rPr>
        <w:t xml:space="preserve"> characteristics, including structural characteristics from OSCAR (size, occupancy rate, availability of staffing, deficiency score) and patient composition based on MDS 2010 </w:t>
      </w:r>
      <w:r w:rsidR="00D12AB5">
        <w:rPr>
          <w:rFonts w:cstheme="minorHAnsi"/>
          <w:bCs/>
          <w:iCs/>
          <w:color w:val="1F497D" w:themeColor="text2"/>
        </w:rPr>
        <w:t>were</w:t>
      </w:r>
      <w:r w:rsidR="006A09F6" w:rsidRPr="00746445">
        <w:rPr>
          <w:rFonts w:cstheme="minorHAnsi"/>
          <w:bCs/>
          <w:iCs/>
          <w:color w:val="1F497D" w:themeColor="text2"/>
        </w:rPr>
        <w:t xml:space="preserve"> </w:t>
      </w:r>
      <w:r w:rsidRPr="00746445">
        <w:rPr>
          <w:rFonts w:cstheme="minorHAnsi"/>
          <w:bCs/>
          <w:iCs/>
          <w:color w:val="1F497D" w:themeColor="text2"/>
        </w:rPr>
        <w:t>examined.</w:t>
      </w:r>
    </w:p>
    <w:p w:rsidR="00414087" w:rsidRDefault="00372491" w:rsidP="00414087">
      <w:pPr>
        <w:spacing w:before="100" w:beforeAutospacing="1" w:after="100" w:afterAutospacing="1"/>
        <w:rPr>
          <w:rFonts w:cstheme="minorHAnsi"/>
          <w:bCs/>
          <w:iCs/>
          <w:color w:val="1F497D" w:themeColor="text2"/>
        </w:rPr>
      </w:pPr>
      <w:r>
        <w:rPr>
          <w:rFonts w:cstheme="minorHAnsi"/>
          <w:bCs/>
          <w:iCs/>
          <w:color w:val="1F497D" w:themeColor="text2"/>
        </w:rPr>
        <w:t>Finally, 30 day re</w:t>
      </w:r>
      <w:r w:rsidR="00414087" w:rsidRPr="00746445">
        <w:rPr>
          <w:rFonts w:cstheme="minorHAnsi"/>
          <w:bCs/>
          <w:iCs/>
          <w:color w:val="1F497D" w:themeColor="text2"/>
        </w:rPr>
        <w:t xml:space="preserve">hospitalization rates calculated at the </w:t>
      </w:r>
      <w:r>
        <w:rPr>
          <w:rFonts w:cstheme="minorHAnsi"/>
          <w:bCs/>
          <w:iCs/>
          <w:color w:val="1F497D" w:themeColor="text2"/>
        </w:rPr>
        <w:t>SNF</w:t>
      </w:r>
      <w:r w:rsidR="00414087" w:rsidRPr="00746445">
        <w:rPr>
          <w:rFonts w:cstheme="minorHAnsi"/>
          <w:bCs/>
          <w:iCs/>
          <w:color w:val="1F497D" w:themeColor="text2"/>
        </w:rPr>
        <w:t xml:space="preserve"> level based on acute discharge MDS 3.0 assessments with respect to rates based on Medicare hospitalization claims were plotted.</w:t>
      </w:r>
    </w:p>
    <w:p w:rsidR="00384777" w:rsidRDefault="00C661A2" w:rsidP="00414087">
      <w:pPr>
        <w:spacing w:before="100" w:beforeAutospacing="1" w:after="100" w:afterAutospacing="1"/>
        <w:rPr>
          <w:rFonts w:cstheme="minorHAnsi"/>
          <w:bCs/>
          <w:iCs/>
          <w:color w:val="1F497D" w:themeColor="text2"/>
        </w:rPr>
      </w:pPr>
      <w:r>
        <w:rPr>
          <w:rFonts w:cstheme="minorHAnsi"/>
          <w:bCs/>
          <w:iCs/>
          <w:color w:val="1F497D" w:themeColor="text2"/>
        </w:rPr>
        <w:t xml:space="preserve">We also conducted construct validity testing. We hypothesized that facilities with low rehospitalization rates would correlate with other measures of quality such as CMS’s overall five star rating system, the </w:t>
      </w:r>
      <w:r w:rsidR="00AB20DE">
        <w:rPr>
          <w:rFonts w:cstheme="minorHAnsi"/>
          <w:bCs/>
          <w:iCs/>
          <w:color w:val="1F497D" w:themeColor="text2"/>
        </w:rPr>
        <w:t xml:space="preserve">staffing </w:t>
      </w:r>
      <w:r w:rsidR="00925E3E">
        <w:rPr>
          <w:rFonts w:cstheme="minorHAnsi"/>
          <w:bCs/>
          <w:iCs/>
          <w:color w:val="1F497D" w:themeColor="text2"/>
        </w:rPr>
        <w:t xml:space="preserve">component of the </w:t>
      </w:r>
      <w:r w:rsidR="00AB20DE">
        <w:rPr>
          <w:rFonts w:cstheme="minorHAnsi"/>
          <w:bCs/>
          <w:iCs/>
          <w:color w:val="1F497D" w:themeColor="text2"/>
        </w:rPr>
        <w:t xml:space="preserve">five star rating system, the number of survey deficiencies cited by CMS during their annual onsite inspection, as well as AHCA’s quality award program based on the Baldridge program. </w:t>
      </w:r>
      <w:r w:rsidR="00384777">
        <w:rPr>
          <w:rFonts w:cstheme="minorHAnsi"/>
          <w:bCs/>
          <w:iCs/>
          <w:color w:val="1F497D" w:themeColor="text2"/>
        </w:rPr>
        <w:t xml:space="preserve">We did not test a relationship with the five star quality measure </w:t>
      </w:r>
      <w:r w:rsidR="00925E3E">
        <w:rPr>
          <w:rFonts w:cstheme="minorHAnsi"/>
          <w:bCs/>
          <w:iCs/>
          <w:color w:val="1F497D" w:themeColor="text2"/>
        </w:rPr>
        <w:t>component</w:t>
      </w:r>
      <w:r w:rsidR="00384777">
        <w:rPr>
          <w:rFonts w:cstheme="minorHAnsi"/>
          <w:bCs/>
          <w:iCs/>
          <w:color w:val="1F497D" w:themeColor="text2"/>
        </w:rPr>
        <w:t xml:space="preserve"> since nearly all of the quality measures relate to long stay residents and the </w:t>
      </w:r>
      <w:r w:rsidR="003D3DC9">
        <w:rPr>
          <w:rFonts w:cstheme="minorHAnsi"/>
          <w:bCs/>
          <w:iCs/>
          <w:color w:val="1F497D" w:themeColor="text2"/>
        </w:rPr>
        <w:t>rehospitalization</w:t>
      </w:r>
      <w:r w:rsidR="00384777">
        <w:rPr>
          <w:rFonts w:cstheme="minorHAnsi"/>
          <w:bCs/>
          <w:iCs/>
          <w:color w:val="1F497D" w:themeColor="text2"/>
        </w:rPr>
        <w:t xml:space="preserve"> measure applies to short stay residents. We did test the relationship between a facility’s rehospitalization rate and the short stay quality measure for pneumococcal vaccine (since infection is a leading cause of hospitalization and high vaccination rates also indicate a facility with a systematic process and philosophy of prevention). </w:t>
      </w:r>
    </w:p>
    <w:p w:rsidR="00925E3E" w:rsidRDefault="00AB20DE" w:rsidP="00414087">
      <w:pPr>
        <w:spacing w:before="100" w:beforeAutospacing="1" w:after="100" w:afterAutospacing="1"/>
        <w:rPr>
          <w:rFonts w:cstheme="minorHAnsi"/>
          <w:bCs/>
          <w:iCs/>
          <w:color w:val="1F497D" w:themeColor="text2"/>
        </w:rPr>
      </w:pPr>
      <w:r>
        <w:rPr>
          <w:rFonts w:cstheme="minorHAnsi"/>
          <w:bCs/>
          <w:iCs/>
          <w:color w:val="1F497D" w:themeColor="text2"/>
        </w:rPr>
        <w:t xml:space="preserve">We grouped facilities by their quality </w:t>
      </w:r>
      <w:r w:rsidR="007942B2">
        <w:rPr>
          <w:rFonts w:cstheme="minorHAnsi"/>
          <w:bCs/>
          <w:iCs/>
          <w:color w:val="1F497D" w:themeColor="text2"/>
        </w:rPr>
        <w:t>measures</w:t>
      </w:r>
      <w:r>
        <w:rPr>
          <w:rFonts w:cstheme="minorHAnsi"/>
          <w:bCs/>
          <w:iCs/>
          <w:color w:val="1F497D" w:themeColor="text2"/>
        </w:rPr>
        <w:t xml:space="preserve"> (e.g. five star rating, pneumococcal vaccination rates by quintile, </w:t>
      </w:r>
      <w:r w:rsidR="007942B2">
        <w:rPr>
          <w:rFonts w:cstheme="minorHAnsi"/>
          <w:bCs/>
          <w:iCs/>
          <w:color w:val="1F497D" w:themeColor="text2"/>
        </w:rPr>
        <w:t>and recipients</w:t>
      </w:r>
      <w:r>
        <w:rPr>
          <w:rFonts w:cstheme="minorHAnsi"/>
          <w:bCs/>
          <w:iCs/>
          <w:color w:val="1F497D" w:themeColor="text2"/>
        </w:rPr>
        <w:t xml:space="preserve"> of AHCA’s Baldrige </w:t>
      </w:r>
      <w:r w:rsidR="00450727">
        <w:rPr>
          <w:rFonts w:cstheme="minorHAnsi"/>
          <w:bCs/>
          <w:iCs/>
          <w:color w:val="1F497D" w:themeColor="text2"/>
        </w:rPr>
        <w:t xml:space="preserve">based </w:t>
      </w:r>
      <w:r>
        <w:rPr>
          <w:rFonts w:cstheme="minorHAnsi"/>
          <w:bCs/>
          <w:iCs/>
          <w:color w:val="1F497D" w:themeColor="text2"/>
        </w:rPr>
        <w:t>quality award at silver or gold level</w:t>
      </w:r>
      <w:r w:rsidR="007942B2">
        <w:rPr>
          <w:rFonts w:cstheme="minorHAnsi"/>
          <w:bCs/>
          <w:iCs/>
          <w:color w:val="1F497D" w:themeColor="text2"/>
        </w:rPr>
        <w:t xml:space="preserve">) and </w:t>
      </w:r>
      <w:r>
        <w:rPr>
          <w:rFonts w:cstheme="minorHAnsi"/>
          <w:bCs/>
          <w:iCs/>
          <w:color w:val="1F497D" w:themeColor="text2"/>
        </w:rPr>
        <w:t xml:space="preserve">calculated the rehospitalization rates for each </w:t>
      </w:r>
      <w:r w:rsidR="007942B2">
        <w:rPr>
          <w:rFonts w:cstheme="minorHAnsi"/>
          <w:bCs/>
          <w:iCs/>
          <w:color w:val="1F497D" w:themeColor="text2"/>
        </w:rPr>
        <w:t xml:space="preserve">grouping and also conducted correlation tests. We hypothesized that facilities with higher five star rating would have a lower rehospitalization for overall five star rating, the survey deficiency component and staffing component of five star. We also hypothesized that facilities </w:t>
      </w:r>
      <w:r w:rsidR="007942B2">
        <w:rPr>
          <w:rFonts w:cstheme="minorHAnsi"/>
          <w:bCs/>
          <w:iCs/>
          <w:color w:val="1F497D" w:themeColor="text2"/>
        </w:rPr>
        <w:lastRenderedPageBreak/>
        <w:t xml:space="preserve">with higher rates of pneumococcal vaccination would have lower rehospitalization rates. </w:t>
      </w:r>
      <w:r w:rsidR="001C6CD3">
        <w:rPr>
          <w:rFonts w:cstheme="minorHAnsi"/>
          <w:bCs/>
          <w:iCs/>
          <w:color w:val="1F497D" w:themeColor="text2"/>
        </w:rPr>
        <w:t>Additionally, we</w:t>
      </w:r>
      <w:r w:rsidR="00E64636">
        <w:rPr>
          <w:rFonts w:cstheme="minorHAnsi"/>
          <w:bCs/>
          <w:iCs/>
          <w:color w:val="1F497D" w:themeColor="text2"/>
        </w:rPr>
        <w:t xml:space="preserve"> hypothesized that silver or </w:t>
      </w:r>
      <w:r w:rsidR="007942B2">
        <w:rPr>
          <w:rFonts w:cstheme="minorHAnsi"/>
          <w:bCs/>
          <w:iCs/>
          <w:color w:val="1F497D" w:themeColor="text2"/>
        </w:rPr>
        <w:t xml:space="preserve">gold recipients </w:t>
      </w:r>
      <w:r w:rsidR="00925E3E">
        <w:rPr>
          <w:rFonts w:cstheme="minorHAnsi"/>
          <w:bCs/>
          <w:iCs/>
          <w:color w:val="1F497D" w:themeColor="text2"/>
        </w:rPr>
        <w:t xml:space="preserve">of the ACHA Quality Award program (based on meeting Baldrige criteria) </w:t>
      </w:r>
      <w:r w:rsidR="007942B2">
        <w:rPr>
          <w:rFonts w:cstheme="minorHAnsi"/>
          <w:bCs/>
          <w:iCs/>
          <w:color w:val="1F497D" w:themeColor="text2"/>
        </w:rPr>
        <w:t>would have lower rehospitalization rates compared to non-recipients.</w:t>
      </w:r>
    </w:p>
    <w:p w:rsidR="00414087" w:rsidRPr="00FE50D5" w:rsidRDefault="00ED0163" w:rsidP="00414087">
      <w:pPr>
        <w:spacing w:before="100" w:beforeAutospacing="1" w:after="100" w:afterAutospacing="1"/>
        <w:rPr>
          <w:rFonts w:cstheme="minorHAnsi"/>
          <w:b/>
          <w:bCs/>
          <w:iCs/>
          <w:color w:val="1F497D" w:themeColor="text2"/>
        </w:rPr>
      </w:pPr>
      <w:r>
        <w:rPr>
          <w:rFonts w:cstheme="minorHAnsi"/>
          <w:bCs/>
          <w:iCs/>
          <w:color w:val="1F497D" w:themeColor="text2"/>
        </w:rPr>
        <w:br/>
      </w:r>
      <w:r w:rsidR="00092566">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FE50D5">
        <w:rPr>
          <w:rFonts w:cstheme="minorHAnsi"/>
          <w:bCs/>
          <w:iCs/>
          <w:color w:val="1F497D" w:themeColor="text2"/>
        </w:rPr>
        <w:t>As shown in Table 3</w:t>
      </w:r>
      <w:r w:rsidR="00414087" w:rsidRPr="00746445">
        <w:rPr>
          <w:rFonts w:cstheme="minorHAnsi"/>
          <w:bCs/>
          <w:iCs/>
          <w:color w:val="1F497D" w:themeColor="text2"/>
        </w:rPr>
        <w:t xml:space="preserve">, 82.9% of MDS 3.0 discharge assessments indicating discharge location </w:t>
      </w:r>
      <w:r w:rsidR="006A09F6" w:rsidRPr="00746445">
        <w:rPr>
          <w:rFonts w:cstheme="minorHAnsi"/>
          <w:bCs/>
          <w:iCs/>
          <w:color w:val="1F497D" w:themeColor="text2"/>
        </w:rPr>
        <w:t>a</w:t>
      </w:r>
      <w:r w:rsidR="006A09F6">
        <w:rPr>
          <w:rFonts w:cstheme="minorHAnsi"/>
          <w:bCs/>
          <w:iCs/>
          <w:color w:val="1F497D" w:themeColor="text2"/>
        </w:rPr>
        <w:t>t</w:t>
      </w:r>
      <w:r w:rsidR="006A09F6" w:rsidRPr="00746445">
        <w:rPr>
          <w:rFonts w:cstheme="minorHAnsi"/>
          <w:bCs/>
          <w:iCs/>
          <w:color w:val="1F497D" w:themeColor="text2"/>
        </w:rPr>
        <w:t xml:space="preserve"> </w:t>
      </w:r>
      <w:r w:rsidR="00414087" w:rsidRPr="00746445">
        <w:rPr>
          <w:rFonts w:cstheme="minorHAnsi"/>
          <w:bCs/>
          <w:iCs/>
          <w:color w:val="1F497D" w:themeColor="text2"/>
        </w:rPr>
        <w:t>an acute care hospital could be verified with inpatient claims data.  An additional 3.7% of MDS 3.0 discharges could be verified with outpatient claims (indicating the event had been billed as an observation stay that probably lasted at least one night). Altogether, only 12.9% of MDS 3.0 discharges indicating acute hospitalization could not be verified with Medicare claims data. Since most MDS 3.0 discharge records indicating non-acute hospitalization had a corresponding acute hospital Medicare claim (63.3%), if both type</w:t>
      </w:r>
      <w:r w:rsidR="006A09F6">
        <w:rPr>
          <w:rFonts w:cstheme="minorHAnsi"/>
          <w:bCs/>
          <w:iCs/>
          <w:color w:val="1F497D" w:themeColor="text2"/>
        </w:rPr>
        <w:t>s</w:t>
      </w:r>
      <w:r w:rsidR="00414087" w:rsidRPr="00746445">
        <w:rPr>
          <w:rFonts w:cstheme="minorHAnsi"/>
          <w:bCs/>
          <w:iCs/>
          <w:color w:val="1F497D" w:themeColor="text2"/>
        </w:rPr>
        <w:t xml:space="preserve"> of MDS 3.0 hospitalizations were combined, the percentage of MDS 3.0 discharges verified by an inpatient, outpatient or non-acute hospital claim is 87%.  As sho</w:t>
      </w:r>
      <w:r w:rsidR="00BE773F">
        <w:rPr>
          <w:rFonts w:cstheme="minorHAnsi"/>
          <w:bCs/>
          <w:iCs/>
          <w:color w:val="1F497D" w:themeColor="text2"/>
        </w:rPr>
        <w:t>wn in the lower panel of Table 3</w:t>
      </w:r>
      <w:r w:rsidR="00414087" w:rsidRPr="00746445">
        <w:rPr>
          <w:rFonts w:cstheme="minorHAnsi"/>
          <w:bCs/>
          <w:iCs/>
          <w:color w:val="1F497D" w:themeColor="text2"/>
        </w:rPr>
        <w:t>, results were similar when discharge assessments were restricted to just those occurring within 30 days of SNF admission.  It should be noted that MDS 3.0 discharge records indicating that the patient was discharged dead were extremely accurate in comparison with the Medicare encounter record</w:t>
      </w:r>
      <w:r w:rsidR="006A09F6">
        <w:rPr>
          <w:rFonts w:cstheme="minorHAnsi"/>
          <w:bCs/>
          <w:iCs/>
          <w:color w:val="1F497D" w:themeColor="text2"/>
        </w:rPr>
        <w:t>,</w:t>
      </w:r>
      <w:r w:rsidR="00414087" w:rsidRPr="00746445">
        <w:rPr>
          <w:rFonts w:cstheme="minorHAnsi"/>
          <w:bCs/>
          <w:iCs/>
          <w:color w:val="1F497D" w:themeColor="text2"/>
        </w:rPr>
        <w:t xml:space="preserve"> which includes a discharge death date. This is a great improvement over the performance of the MDS 2.0 discharge record based upon published analyses from the last decade. </w:t>
      </w:r>
      <w:r>
        <w:rPr>
          <w:rFonts w:cstheme="minorHAnsi"/>
          <w:bCs/>
          <w:iCs/>
          <w:color w:val="1F497D" w:themeColor="text2"/>
        </w:rPr>
        <w:br/>
      </w:r>
      <w:r w:rsidR="00FE50D5" w:rsidRPr="00FE50D5">
        <w:rPr>
          <w:rFonts w:cstheme="minorHAnsi"/>
          <w:b/>
          <w:bCs/>
          <w:iCs/>
          <w:color w:val="1F497D" w:themeColor="text2"/>
        </w:rPr>
        <w:t>TABLE 3</w:t>
      </w:r>
      <w:r w:rsidR="00ED410B" w:rsidRPr="00FE50D5">
        <w:rPr>
          <w:rFonts w:cstheme="minorHAnsi"/>
          <w:b/>
          <w:bCs/>
          <w:iCs/>
          <w:color w:val="1F497D" w:themeColor="text2"/>
        </w:rPr>
        <w:t xml:space="preserve">.  </w:t>
      </w:r>
      <w:r w:rsidR="00FE50D5" w:rsidRPr="00FE50D5">
        <w:rPr>
          <w:rFonts w:cstheme="minorHAnsi"/>
          <w:b/>
          <w:bCs/>
          <w:iCs/>
          <w:color w:val="1F497D" w:themeColor="text2"/>
        </w:rPr>
        <w:t>Verifying MDS Discharge Records Using Inpatient and Outpatient Claims and Death Records</w:t>
      </w:r>
    </w:p>
    <w:tbl>
      <w:tblPr>
        <w:tblStyle w:val="TableGrid"/>
        <w:tblW w:w="9570" w:type="dxa"/>
        <w:jc w:val="center"/>
        <w:tblLook w:val="04A0" w:firstRow="1" w:lastRow="0" w:firstColumn="1" w:lastColumn="0" w:noHBand="0" w:noVBand="1"/>
      </w:tblPr>
      <w:tblGrid>
        <w:gridCol w:w="1542"/>
        <w:gridCol w:w="1380"/>
        <w:gridCol w:w="1040"/>
        <w:gridCol w:w="1040"/>
        <w:gridCol w:w="1040"/>
        <w:gridCol w:w="1260"/>
        <w:gridCol w:w="990"/>
        <w:gridCol w:w="1278"/>
      </w:tblGrid>
      <w:tr w:rsidR="00414087" w:rsidRPr="00746445" w:rsidTr="00D8172A">
        <w:trPr>
          <w:trHeight w:val="300"/>
          <w:jc w:val="center"/>
        </w:trPr>
        <w:tc>
          <w:tcPr>
            <w:tcW w:w="1542" w:type="dxa"/>
            <w:vMerge w:val="restart"/>
            <w:tcBorders>
              <w:top w:val="single" w:sz="4" w:space="0" w:color="auto"/>
              <w:left w:val="single" w:sz="4" w:space="0" w:color="auto"/>
              <w:bottom w:val="single" w:sz="4" w:space="0" w:color="auto"/>
              <w:right w:val="single" w:sz="4" w:space="0" w:color="auto"/>
            </w:tcBorders>
            <w:vAlign w:val="center"/>
          </w:tcPr>
          <w:p w:rsidR="00414087" w:rsidRPr="00746445" w:rsidRDefault="00414087" w:rsidP="00C12D8E">
            <w:pPr>
              <w:spacing w:before="100" w:beforeAutospacing="1" w:after="100" w:afterAutospacing="1"/>
              <w:rPr>
                <w:rFonts w:cstheme="minorHAnsi"/>
                <w:bCs/>
                <w:iCs/>
                <w:color w:val="1F497D" w:themeColor="text2"/>
              </w:rPr>
            </w:pPr>
          </w:p>
        </w:tc>
        <w:tc>
          <w:tcPr>
            <w:tcW w:w="1380" w:type="dxa"/>
            <w:vMerge w:val="restart"/>
            <w:tcBorders>
              <w:top w:val="single" w:sz="4" w:space="0" w:color="auto"/>
              <w:left w:val="single" w:sz="4" w:space="0" w:color="auto"/>
              <w:bottom w:val="single" w:sz="4" w:space="0" w:color="auto"/>
              <w:right w:val="single" w:sz="12" w:space="0" w:color="auto"/>
            </w:tcBorders>
            <w:noWrap/>
            <w:vAlign w:val="center"/>
            <w:hideMark/>
          </w:tcPr>
          <w:p w:rsidR="00414087" w:rsidRPr="00ED410B" w:rsidRDefault="00414087" w:rsidP="00C12D8E">
            <w:pPr>
              <w:spacing w:before="100" w:beforeAutospacing="1" w:after="100" w:afterAutospacing="1"/>
              <w:rPr>
                <w:rFonts w:cstheme="minorHAnsi"/>
                <w:b/>
                <w:bCs/>
                <w:iCs/>
                <w:color w:val="1F497D" w:themeColor="text2"/>
              </w:rPr>
            </w:pPr>
            <w:r w:rsidRPr="00ED410B">
              <w:rPr>
                <w:rFonts w:cstheme="minorHAnsi"/>
                <w:b/>
                <w:bCs/>
                <w:iCs/>
                <w:color w:val="1F497D" w:themeColor="text2"/>
              </w:rPr>
              <w:t>Discharge code from MDS</w:t>
            </w:r>
          </w:p>
        </w:tc>
        <w:tc>
          <w:tcPr>
            <w:tcW w:w="3120" w:type="dxa"/>
            <w:gridSpan w:val="3"/>
            <w:tcBorders>
              <w:top w:val="single" w:sz="4" w:space="0" w:color="auto"/>
              <w:left w:val="single" w:sz="12" w:space="0" w:color="auto"/>
              <w:bottom w:val="single" w:sz="4" w:space="0" w:color="auto"/>
              <w:right w:val="single" w:sz="12" w:space="0" w:color="auto"/>
            </w:tcBorders>
            <w:noWrap/>
            <w:vAlign w:val="center"/>
            <w:hideMark/>
          </w:tcPr>
          <w:p w:rsidR="00414087" w:rsidRPr="00ED410B" w:rsidRDefault="00414087" w:rsidP="00C12D8E">
            <w:pPr>
              <w:spacing w:before="100" w:beforeAutospacing="1" w:after="100" w:afterAutospacing="1"/>
              <w:rPr>
                <w:rFonts w:cstheme="minorHAnsi"/>
                <w:b/>
                <w:bCs/>
                <w:iCs/>
                <w:color w:val="1F497D" w:themeColor="text2"/>
              </w:rPr>
            </w:pPr>
            <w:r w:rsidRPr="00ED410B">
              <w:rPr>
                <w:rFonts w:cstheme="minorHAnsi"/>
                <w:b/>
                <w:bCs/>
                <w:iCs/>
                <w:color w:val="1F497D" w:themeColor="text2"/>
              </w:rPr>
              <w:t>Hospitalization from Claims Data</w:t>
            </w:r>
          </w:p>
        </w:tc>
        <w:tc>
          <w:tcPr>
            <w:tcW w:w="1260" w:type="dxa"/>
            <w:vMerge w:val="restart"/>
            <w:tcBorders>
              <w:top w:val="single" w:sz="4" w:space="0" w:color="auto"/>
              <w:left w:val="single" w:sz="12" w:space="0" w:color="auto"/>
              <w:bottom w:val="single" w:sz="4" w:space="0" w:color="auto"/>
              <w:right w:val="single" w:sz="4" w:space="0" w:color="auto"/>
            </w:tcBorders>
            <w:noWrap/>
            <w:vAlign w:val="center"/>
            <w:hideMark/>
          </w:tcPr>
          <w:p w:rsidR="00414087" w:rsidRPr="00ED410B" w:rsidRDefault="00414087" w:rsidP="00C12D8E">
            <w:pPr>
              <w:spacing w:before="100" w:beforeAutospacing="1" w:after="100" w:afterAutospacing="1"/>
              <w:rPr>
                <w:rFonts w:cstheme="minorHAnsi"/>
                <w:b/>
                <w:bCs/>
                <w:iCs/>
                <w:color w:val="1F497D" w:themeColor="text2"/>
              </w:rPr>
            </w:pPr>
            <w:r w:rsidRPr="00ED410B">
              <w:rPr>
                <w:rFonts w:cstheme="minorHAnsi"/>
                <w:b/>
                <w:bCs/>
                <w:iCs/>
                <w:color w:val="1F497D" w:themeColor="text2"/>
              </w:rPr>
              <w:t>Death from Enrollment</w:t>
            </w:r>
          </w:p>
        </w:tc>
        <w:tc>
          <w:tcPr>
            <w:tcW w:w="990" w:type="dxa"/>
            <w:vMerge w:val="restart"/>
            <w:tcBorders>
              <w:top w:val="single" w:sz="4" w:space="0" w:color="auto"/>
              <w:left w:val="single" w:sz="4" w:space="0" w:color="auto"/>
              <w:bottom w:val="single" w:sz="4" w:space="0" w:color="auto"/>
              <w:right w:val="single" w:sz="4" w:space="0" w:color="auto"/>
            </w:tcBorders>
            <w:noWrap/>
            <w:vAlign w:val="center"/>
            <w:hideMark/>
          </w:tcPr>
          <w:p w:rsidR="00414087" w:rsidRPr="00ED410B" w:rsidRDefault="00414087" w:rsidP="00C12D8E">
            <w:pPr>
              <w:spacing w:before="100" w:beforeAutospacing="1" w:after="100" w:afterAutospacing="1"/>
              <w:rPr>
                <w:rFonts w:cstheme="minorHAnsi"/>
                <w:b/>
                <w:bCs/>
                <w:iCs/>
                <w:color w:val="1F497D" w:themeColor="text2"/>
              </w:rPr>
            </w:pPr>
            <w:r w:rsidRPr="00ED410B">
              <w:rPr>
                <w:rFonts w:cstheme="minorHAnsi"/>
                <w:b/>
                <w:bCs/>
                <w:iCs/>
                <w:color w:val="1F497D" w:themeColor="text2"/>
              </w:rPr>
              <w:t>Not Verified</w:t>
            </w:r>
          </w:p>
        </w:tc>
        <w:tc>
          <w:tcPr>
            <w:tcW w:w="1278" w:type="dxa"/>
            <w:vMerge w:val="restart"/>
            <w:tcBorders>
              <w:top w:val="single" w:sz="4" w:space="0" w:color="auto"/>
              <w:left w:val="single" w:sz="4" w:space="0" w:color="auto"/>
              <w:bottom w:val="single" w:sz="4" w:space="0" w:color="auto"/>
              <w:right w:val="single" w:sz="4" w:space="0" w:color="auto"/>
            </w:tcBorders>
            <w:noWrap/>
            <w:vAlign w:val="center"/>
            <w:hideMark/>
          </w:tcPr>
          <w:p w:rsidR="00414087" w:rsidRPr="00ED410B" w:rsidRDefault="00414087" w:rsidP="00C12D8E">
            <w:pPr>
              <w:spacing w:before="100" w:beforeAutospacing="1" w:after="100" w:afterAutospacing="1"/>
              <w:rPr>
                <w:rFonts w:cstheme="minorHAnsi"/>
                <w:b/>
                <w:bCs/>
                <w:iCs/>
                <w:color w:val="1F497D" w:themeColor="text2"/>
              </w:rPr>
            </w:pPr>
            <w:r w:rsidRPr="00ED410B">
              <w:rPr>
                <w:rFonts w:cstheme="minorHAnsi"/>
                <w:b/>
                <w:bCs/>
                <w:iCs/>
                <w:color w:val="1F497D" w:themeColor="text2"/>
              </w:rPr>
              <w:t>Total Number of Discharges</w:t>
            </w:r>
          </w:p>
        </w:tc>
      </w:tr>
      <w:tr w:rsidR="00414087" w:rsidRPr="00746445" w:rsidTr="00D8172A">
        <w:trPr>
          <w:trHeight w:val="300"/>
          <w:jc w:val="center"/>
        </w:trPr>
        <w:tc>
          <w:tcPr>
            <w:tcW w:w="1542" w:type="dxa"/>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380" w:type="dxa"/>
            <w:vMerge/>
            <w:tcBorders>
              <w:top w:val="single" w:sz="4" w:space="0" w:color="auto"/>
              <w:left w:val="single" w:sz="4" w:space="0" w:color="auto"/>
              <w:bottom w:val="single" w:sz="4" w:space="0" w:color="auto"/>
              <w:right w:val="single" w:sz="12"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040" w:type="dxa"/>
            <w:tcBorders>
              <w:top w:val="single" w:sz="4" w:space="0" w:color="auto"/>
              <w:left w:val="single" w:sz="12" w:space="0" w:color="auto"/>
              <w:bottom w:val="single" w:sz="4" w:space="0" w:color="auto"/>
              <w:right w:val="single" w:sz="4" w:space="0" w:color="auto"/>
            </w:tcBorders>
            <w:noWrap/>
            <w:vAlign w:val="center"/>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Acute</w:t>
            </w:r>
          </w:p>
        </w:tc>
        <w:tc>
          <w:tcPr>
            <w:tcW w:w="1040"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8F3577" w:rsidP="00C12D8E">
            <w:pPr>
              <w:spacing w:before="100" w:beforeAutospacing="1" w:after="100" w:afterAutospacing="1"/>
              <w:rPr>
                <w:rFonts w:cstheme="minorHAnsi"/>
                <w:bCs/>
                <w:iCs/>
                <w:color w:val="1F497D" w:themeColor="text2"/>
              </w:rPr>
            </w:pPr>
            <w:r>
              <w:rPr>
                <w:rFonts w:cstheme="minorHAnsi"/>
                <w:bCs/>
                <w:iCs/>
                <w:color w:val="1F497D" w:themeColor="text2"/>
              </w:rPr>
              <w:t>Out-P</w:t>
            </w:r>
            <w:r w:rsidR="00414087" w:rsidRPr="00746445">
              <w:rPr>
                <w:rFonts w:cstheme="minorHAnsi"/>
                <w:bCs/>
                <w:iCs/>
                <w:color w:val="1F497D" w:themeColor="text2"/>
              </w:rPr>
              <w:t>atient</w:t>
            </w:r>
          </w:p>
        </w:tc>
        <w:tc>
          <w:tcPr>
            <w:tcW w:w="104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8F3577" w:rsidP="00C12D8E">
            <w:pPr>
              <w:spacing w:before="100" w:beforeAutospacing="1" w:after="100" w:afterAutospacing="1"/>
              <w:rPr>
                <w:rFonts w:cstheme="minorHAnsi"/>
                <w:bCs/>
                <w:iCs/>
                <w:color w:val="1F497D" w:themeColor="text2"/>
              </w:rPr>
            </w:pPr>
            <w:r>
              <w:rPr>
                <w:rFonts w:cstheme="minorHAnsi"/>
                <w:bCs/>
                <w:iCs/>
                <w:color w:val="1F497D" w:themeColor="text2"/>
              </w:rPr>
              <w:t>Non-A</w:t>
            </w:r>
            <w:r w:rsidR="00414087" w:rsidRPr="00746445">
              <w:rPr>
                <w:rFonts w:cstheme="minorHAnsi"/>
                <w:bCs/>
                <w:iCs/>
                <w:color w:val="1F497D" w:themeColor="text2"/>
              </w:rPr>
              <w:t>cute</w:t>
            </w:r>
          </w:p>
        </w:tc>
        <w:tc>
          <w:tcPr>
            <w:tcW w:w="1260" w:type="dxa"/>
            <w:vMerge/>
            <w:tcBorders>
              <w:top w:val="single" w:sz="4" w:space="0" w:color="auto"/>
              <w:left w:val="single" w:sz="12"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r>
      <w:tr w:rsidR="00414087" w:rsidRPr="00746445" w:rsidTr="00D8172A">
        <w:trPr>
          <w:trHeight w:val="300"/>
          <w:jc w:val="center"/>
        </w:trPr>
        <w:tc>
          <w:tcPr>
            <w:tcW w:w="1542" w:type="dxa"/>
            <w:vMerge w:val="restart"/>
            <w:tcBorders>
              <w:top w:val="single" w:sz="4" w:space="0" w:color="auto"/>
              <w:left w:val="single" w:sz="4" w:space="0" w:color="auto"/>
              <w:bottom w:val="single" w:sz="4" w:space="0" w:color="auto"/>
              <w:right w:val="single" w:sz="4" w:space="0" w:color="auto"/>
            </w:tcBorders>
            <w:vAlign w:val="center"/>
            <w:hideMark/>
          </w:tcPr>
          <w:p w:rsidR="00414087" w:rsidRPr="004D436B" w:rsidRDefault="00414087" w:rsidP="00C12D8E">
            <w:pPr>
              <w:spacing w:before="100" w:beforeAutospacing="1" w:after="100" w:afterAutospacing="1"/>
              <w:rPr>
                <w:rFonts w:cstheme="minorHAnsi"/>
                <w:b/>
                <w:bCs/>
                <w:iCs/>
                <w:color w:val="1F497D" w:themeColor="text2"/>
              </w:rPr>
            </w:pPr>
            <w:r w:rsidRPr="004D436B">
              <w:rPr>
                <w:rFonts w:cstheme="minorHAnsi"/>
                <w:b/>
                <w:bCs/>
                <w:iCs/>
                <w:color w:val="1F497D" w:themeColor="text2"/>
              </w:rPr>
              <w:t>All Discharge Records Between 1/11-11/11</w:t>
            </w:r>
          </w:p>
        </w:tc>
        <w:tc>
          <w:tcPr>
            <w:tcW w:w="138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Acute</w:t>
            </w:r>
          </w:p>
        </w:tc>
        <w:tc>
          <w:tcPr>
            <w:tcW w:w="1040" w:type="dxa"/>
            <w:tcBorders>
              <w:top w:val="single" w:sz="4" w:space="0" w:color="auto"/>
              <w:left w:val="single" w:sz="12"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82.9</w:t>
            </w:r>
          </w:p>
        </w:tc>
        <w:tc>
          <w:tcPr>
            <w:tcW w:w="1040"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3.7</w:t>
            </w:r>
          </w:p>
        </w:tc>
        <w:tc>
          <w:tcPr>
            <w:tcW w:w="104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0.5</w:t>
            </w:r>
          </w:p>
        </w:tc>
        <w:tc>
          <w:tcPr>
            <w:tcW w:w="1260" w:type="dxa"/>
            <w:tcBorders>
              <w:top w:val="single" w:sz="4" w:space="0" w:color="auto"/>
              <w:left w:val="single" w:sz="12"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990"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12.9</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404,122</w:t>
            </w:r>
          </w:p>
        </w:tc>
      </w:tr>
      <w:tr w:rsidR="00414087" w:rsidRPr="00746445" w:rsidTr="00D8172A">
        <w:trPr>
          <w:trHeight w:val="300"/>
          <w:jc w:val="center"/>
        </w:trPr>
        <w:tc>
          <w:tcPr>
            <w:tcW w:w="1542" w:type="dxa"/>
            <w:vMerge/>
            <w:tcBorders>
              <w:top w:val="single" w:sz="4" w:space="0" w:color="auto"/>
              <w:left w:val="single" w:sz="4" w:space="0" w:color="auto"/>
              <w:bottom w:val="single" w:sz="4" w:space="0" w:color="auto"/>
              <w:right w:val="single" w:sz="4" w:space="0" w:color="auto"/>
            </w:tcBorders>
            <w:vAlign w:val="center"/>
            <w:hideMark/>
          </w:tcPr>
          <w:p w:rsidR="00414087" w:rsidRPr="004D436B" w:rsidRDefault="00414087" w:rsidP="00C12D8E">
            <w:pPr>
              <w:spacing w:before="100" w:beforeAutospacing="1" w:after="100" w:afterAutospacing="1"/>
              <w:rPr>
                <w:rFonts w:cstheme="minorHAnsi"/>
                <w:b/>
                <w:bCs/>
                <w:iCs/>
                <w:color w:val="1F497D" w:themeColor="text2"/>
              </w:rPr>
            </w:pPr>
          </w:p>
        </w:tc>
        <w:tc>
          <w:tcPr>
            <w:tcW w:w="138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8F3577" w:rsidP="00C12D8E">
            <w:pPr>
              <w:spacing w:before="100" w:beforeAutospacing="1" w:after="100" w:afterAutospacing="1"/>
              <w:rPr>
                <w:rFonts w:cstheme="minorHAnsi"/>
                <w:bCs/>
                <w:iCs/>
                <w:color w:val="1F497D" w:themeColor="text2"/>
              </w:rPr>
            </w:pPr>
            <w:r>
              <w:rPr>
                <w:rFonts w:cstheme="minorHAnsi"/>
                <w:bCs/>
                <w:iCs/>
                <w:color w:val="1F497D" w:themeColor="text2"/>
              </w:rPr>
              <w:t>Non-A</w:t>
            </w:r>
            <w:r w:rsidR="00414087" w:rsidRPr="00746445">
              <w:rPr>
                <w:rFonts w:cstheme="minorHAnsi"/>
                <w:bCs/>
                <w:iCs/>
                <w:color w:val="1F497D" w:themeColor="text2"/>
              </w:rPr>
              <w:t>cute</w:t>
            </w:r>
          </w:p>
        </w:tc>
        <w:tc>
          <w:tcPr>
            <w:tcW w:w="1040" w:type="dxa"/>
            <w:tcBorders>
              <w:top w:val="single" w:sz="4" w:space="0" w:color="auto"/>
              <w:left w:val="single" w:sz="12"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63.3</w:t>
            </w:r>
          </w:p>
        </w:tc>
        <w:tc>
          <w:tcPr>
            <w:tcW w:w="1040"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1.1</w:t>
            </w:r>
          </w:p>
        </w:tc>
        <w:tc>
          <w:tcPr>
            <w:tcW w:w="104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18.4</w:t>
            </w:r>
          </w:p>
        </w:tc>
        <w:tc>
          <w:tcPr>
            <w:tcW w:w="1260" w:type="dxa"/>
            <w:tcBorders>
              <w:top w:val="single" w:sz="4" w:space="0" w:color="auto"/>
              <w:left w:val="single" w:sz="12"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990"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17.2</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9,283</w:t>
            </w:r>
          </w:p>
        </w:tc>
      </w:tr>
      <w:tr w:rsidR="00414087" w:rsidRPr="00746445" w:rsidTr="00D8172A">
        <w:trPr>
          <w:trHeight w:val="300"/>
          <w:jc w:val="center"/>
        </w:trPr>
        <w:tc>
          <w:tcPr>
            <w:tcW w:w="1542" w:type="dxa"/>
            <w:vMerge/>
            <w:tcBorders>
              <w:top w:val="single" w:sz="4" w:space="0" w:color="auto"/>
              <w:left w:val="single" w:sz="4" w:space="0" w:color="auto"/>
              <w:bottom w:val="single" w:sz="4" w:space="0" w:color="auto"/>
              <w:right w:val="single" w:sz="4" w:space="0" w:color="auto"/>
            </w:tcBorders>
            <w:vAlign w:val="center"/>
            <w:hideMark/>
          </w:tcPr>
          <w:p w:rsidR="00414087" w:rsidRPr="004D436B" w:rsidRDefault="00414087" w:rsidP="00C12D8E">
            <w:pPr>
              <w:spacing w:before="100" w:beforeAutospacing="1" w:after="100" w:afterAutospacing="1"/>
              <w:rPr>
                <w:rFonts w:cstheme="minorHAnsi"/>
                <w:b/>
                <w:bCs/>
                <w:iCs/>
                <w:color w:val="1F497D" w:themeColor="text2"/>
              </w:rPr>
            </w:pPr>
          </w:p>
        </w:tc>
        <w:tc>
          <w:tcPr>
            <w:tcW w:w="138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Dead</w:t>
            </w:r>
          </w:p>
        </w:tc>
        <w:tc>
          <w:tcPr>
            <w:tcW w:w="1040" w:type="dxa"/>
            <w:tcBorders>
              <w:top w:val="single" w:sz="4" w:space="0" w:color="auto"/>
              <w:left w:val="single" w:sz="12"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1040"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104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1260" w:type="dxa"/>
            <w:tcBorders>
              <w:top w:val="single" w:sz="4" w:space="0" w:color="auto"/>
              <w:left w:val="single" w:sz="12"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99.8</w:t>
            </w:r>
          </w:p>
        </w:tc>
        <w:tc>
          <w:tcPr>
            <w:tcW w:w="990"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0.1</w:t>
            </w:r>
          </w:p>
        </w:tc>
        <w:tc>
          <w:tcPr>
            <w:tcW w:w="1278" w:type="dxa"/>
            <w:tcBorders>
              <w:top w:val="single" w:sz="4" w:space="0" w:color="auto"/>
              <w:left w:val="single" w:sz="4" w:space="0" w:color="auto"/>
              <w:bottom w:val="single" w:sz="4"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81,220</w:t>
            </w:r>
          </w:p>
        </w:tc>
      </w:tr>
      <w:tr w:rsidR="00414087" w:rsidRPr="00746445" w:rsidTr="00D8172A">
        <w:trPr>
          <w:trHeight w:val="300"/>
          <w:jc w:val="center"/>
        </w:trPr>
        <w:tc>
          <w:tcPr>
            <w:tcW w:w="1542" w:type="dxa"/>
            <w:vMerge/>
            <w:tcBorders>
              <w:top w:val="single" w:sz="4" w:space="0" w:color="auto"/>
              <w:left w:val="single" w:sz="4" w:space="0" w:color="auto"/>
              <w:bottom w:val="single" w:sz="18" w:space="0" w:color="auto"/>
              <w:right w:val="single" w:sz="4" w:space="0" w:color="auto"/>
            </w:tcBorders>
            <w:vAlign w:val="center"/>
            <w:hideMark/>
          </w:tcPr>
          <w:p w:rsidR="00414087" w:rsidRPr="004D436B" w:rsidRDefault="00414087" w:rsidP="00C12D8E">
            <w:pPr>
              <w:spacing w:before="100" w:beforeAutospacing="1" w:after="100" w:afterAutospacing="1"/>
              <w:rPr>
                <w:rFonts w:cstheme="minorHAnsi"/>
                <w:b/>
                <w:bCs/>
                <w:iCs/>
                <w:color w:val="1F497D" w:themeColor="text2"/>
              </w:rPr>
            </w:pPr>
          </w:p>
        </w:tc>
        <w:tc>
          <w:tcPr>
            <w:tcW w:w="1380" w:type="dxa"/>
            <w:tcBorders>
              <w:top w:val="single" w:sz="4" w:space="0" w:color="auto"/>
              <w:left w:val="single" w:sz="4" w:space="0" w:color="auto"/>
              <w:bottom w:val="single" w:sz="18" w:space="0" w:color="auto"/>
              <w:right w:val="single" w:sz="12" w:space="0" w:color="auto"/>
            </w:tcBorders>
            <w:noWrap/>
            <w:vAlign w:val="center"/>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Others</w:t>
            </w:r>
          </w:p>
        </w:tc>
        <w:tc>
          <w:tcPr>
            <w:tcW w:w="1040" w:type="dxa"/>
            <w:tcBorders>
              <w:top w:val="single" w:sz="4" w:space="0" w:color="auto"/>
              <w:left w:val="single" w:sz="12" w:space="0" w:color="auto"/>
              <w:bottom w:val="single" w:sz="18"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7.9</w:t>
            </w:r>
          </w:p>
        </w:tc>
        <w:tc>
          <w:tcPr>
            <w:tcW w:w="1040" w:type="dxa"/>
            <w:tcBorders>
              <w:top w:val="single" w:sz="4" w:space="0" w:color="auto"/>
              <w:left w:val="single" w:sz="4" w:space="0" w:color="auto"/>
              <w:bottom w:val="single" w:sz="18"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1.1</w:t>
            </w:r>
          </w:p>
        </w:tc>
        <w:tc>
          <w:tcPr>
            <w:tcW w:w="1040" w:type="dxa"/>
            <w:tcBorders>
              <w:top w:val="single" w:sz="4" w:space="0" w:color="auto"/>
              <w:left w:val="single" w:sz="4" w:space="0" w:color="auto"/>
              <w:bottom w:val="single" w:sz="18" w:space="0" w:color="auto"/>
              <w:right w:val="single" w:sz="12"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0.1</w:t>
            </w:r>
          </w:p>
        </w:tc>
        <w:tc>
          <w:tcPr>
            <w:tcW w:w="1260" w:type="dxa"/>
            <w:tcBorders>
              <w:top w:val="single" w:sz="4" w:space="0" w:color="auto"/>
              <w:left w:val="single" w:sz="12" w:space="0" w:color="auto"/>
              <w:bottom w:val="single" w:sz="18"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990" w:type="dxa"/>
            <w:tcBorders>
              <w:top w:val="single" w:sz="4" w:space="0" w:color="auto"/>
              <w:left w:val="single" w:sz="4" w:space="0" w:color="auto"/>
              <w:bottom w:val="single" w:sz="18"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90.9</w:t>
            </w:r>
          </w:p>
        </w:tc>
        <w:tc>
          <w:tcPr>
            <w:tcW w:w="1278" w:type="dxa"/>
            <w:tcBorders>
              <w:top w:val="single" w:sz="4" w:space="0" w:color="auto"/>
              <w:left w:val="single" w:sz="4" w:space="0" w:color="auto"/>
              <w:bottom w:val="single" w:sz="18" w:space="0" w:color="auto"/>
              <w:right w:val="single" w:sz="4" w:space="0" w:color="auto"/>
            </w:tcBorders>
            <w:noWrap/>
            <w:vAlign w:val="center"/>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801,284</w:t>
            </w:r>
          </w:p>
        </w:tc>
      </w:tr>
      <w:tr w:rsidR="00414087" w:rsidRPr="00746445" w:rsidTr="00D8172A">
        <w:trPr>
          <w:trHeight w:val="300"/>
          <w:jc w:val="center"/>
        </w:trPr>
        <w:tc>
          <w:tcPr>
            <w:tcW w:w="1542" w:type="dxa"/>
            <w:vMerge w:val="restart"/>
            <w:tcBorders>
              <w:top w:val="single" w:sz="12" w:space="0" w:color="auto"/>
              <w:left w:val="single" w:sz="4" w:space="0" w:color="auto"/>
              <w:bottom w:val="single" w:sz="4" w:space="0" w:color="auto"/>
              <w:right w:val="single" w:sz="4" w:space="0" w:color="auto"/>
            </w:tcBorders>
            <w:vAlign w:val="center"/>
            <w:hideMark/>
          </w:tcPr>
          <w:p w:rsidR="00414087" w:rsidRPr="004D436B" w:rsidRDefault="00414087" w:rsidP="00C12D8E">
            <w:pPr>
              <w:spacing w:before="100" w:beforeAutospacing="1" w:after="100" w:afterAutospacing="1"/>
              <w:rPr>
                <w:rFonts w:cstheme="minorHAnsi"/>
                <w:b/>
                <w:bCs/>
                <w:iCs/>
                <w:color w:val="1F497D" w:themeColor="text2"/>
              </w:rPr>
            </w:pPr>
            <w:r w:rsidRPr="004D436B">
              <w:rPr>
                <w:rFonts w:cstheme="minorHAnsi"/>
                <w:b/>
                <w:bCs/>
                <w:iCs/>
                <w:color w:val="1F497D" w:themeColor="text2"/>
              </w:rPr>
              <w:t>All Discha</w:t>
            </w:r>
            <w:r w:rsidR="008F3577" w:rsidRPr="004D436B">
              <w:rPr>
                <w:rFonts w:cstheme="minorHAnsi"/>
                <w:b/>
                <w:bCs/>
                <w:iCs/>
                <w:color w:val="1F497D" w:themeColor="text2"/>
              </w:rPr>
              <w:t>rge Records w</w:t>
            </w:r>
            <w:r w:rsidRPr="004D436B">
              <w:rPr>
                <w:rFonts w:cstheme="minorHAnsi"/>
                <w:b/>
                <w:bCs/>
                <w:iCs/>
                <w:color w:val="1F497D" w:themeColor="text2"/>
              </w:rPr>
              <w:t>ithin 30 Days of SNF Admission</w:t>
            </w:r>
          </w:p>
        </w:tc>
        <w:tc>
          <w:tcPr>
            <w:tcW w:w="1380" w:type="dxa"/>
            <w:tcBorders>
              <w:top w:val="single" w:sz="12" w:space="0" w:color="auto"/>
              <w:left w:val="single" w:sz="4" w:space="0" w:color="auto"/>
              <w:bottom w:val="single" w:sz="4" w:space="0" w:color="auto"/>
              <w:right w:val="single" w:sz="12" w:space="0" w:color="auto"/>
            </w:tcBorders>
            <w:noWrap/>
            <w:vAlign w:val="center"/>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Acute</w:t>
            </w:r>
          </w:p>
        </w:tc>
        <w:tc>
          <w:tcPr>
            <w:tcW w:w="1040" w:type="dxa"/>
            <w:tcBorders>
              <w:top w:val="single" w:sz="12"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82.5</w:t>
            </w:r>
          </w:p>
        </w:tc>
        <w:tc>
          <w:tcPr>
            <w:tcW w:w="1040" w:type="dxa"/>
            <w:tcBorders>
              <w:top w:val="single" w:sz="12"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0.5</w:t>
            </w:r>
          </w:p>
        </w:tc>
        <w:tc>
          <w:tcPr>
            <w:tcW w:w="1040" w:type="dxa"/>
            <w:tcBorders>
              <w:top w:val="single" w:sz="12" w:space="0" w:color="auto"/>
              <w:left w:val="single" w:sz="4" w:space="0" w:color="auto"/>
              <w:bottom w:val="single" w:sz="4" w:space="0" w:color="auto"/>
              <w:right w:val="single" w:sz="12"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3.7</w:t>
            </w:r>
          </w:p>
        </w:tc>
        <w:tc>
          <w:tcPr>
            <w:tcW w:w="1260" w:type="dxa"/>
            <w:tcBorders>
              <w:top w:val="single" w:sz="12"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990" w:type="dxa"/>
            <w:tcBorders>
              <w:top w:val="single" w:sz="12"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13.3</w:t>
            </w:r>
          </w:p>
        </w:tc>
        <w:tc>
          <w:tcPr>
            <w:tcW w:w="1278" w:type="dxa"/>
            <w:tcBorders>
              <w:top w:val="single" w:sz="12"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216,674</w:t>
            </w:r>
          </w:p>
        </w:tc>
      </w:tr>
      <w:tr w:rsidR="00414087" w:rsidRPr="00746445" w:rsidTr="00D8172A">
        <w:trPr>
          <w:trHeight w:val="300"/>
          <w:jc w:val="center"/>
        </w:trPr>
        <w:tc>
          <w:tcPr>
            <w:tcW w:w="1542" w:type="dxa"/>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38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8F3577" w:rsidP="00C12D8E">
            <w:pPr>
              <w:spacing w:before="100" w:beforeAutospacing="1" w:after="100" w:afterAutospacing="1"/>
              <w:rPr>
                <w:rFonts w:cstheme="minorHAnsi"/>
                <w:bCs/>
                <w:iCs/>
                <w:color w:val="1F497D" w:themeColor="text2"/>
              </w:rPr>
            </w:pPr>
            <w:r>
              <w:rPr>
                <w:rFonts w:cstheme="minorHAnsi"/>
                <w:bCs/>
                <w:iCs/>
                <w:color w:val="1F497D" w:themeColor="text2"/>
              </w:rPr>
              <w:t>Non-A</w:t>
            </w:r>
            <w:r w:rsidR="00414087" w:rsidRPr="00746445">
              <w:rPr>
                <w:rFonts w:cstheme="minorHAnsi"/>
                <w:bCs/>
                <w:iCs/>
                <w:color w:val="1F497D" w:themeColor="text2"/>
              </w:rPr>
              <w:t>cute</w:t>
            </w:r>
          </w:p>
        </w:tc>
        <w:tc>
          <w:tcPr>
            <w:tcW w:w="1040" w:type="dxa"/>
            <w:tcBorders>
              <w:top w:val="single" w:sz="4"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59.2</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20.7</w:t>
            </w:r>
          </w:p>
        </w:tc>
        <w:tc>
          <w:tcPr>
            <w:tcW w:w="1040" w:type="dxa"/>
            <w:tcBorders>
              <w:top w:val="single" w:sz="4" w:space="0" w:color="auto"/>
              <w:left w:val="single" w:sz="4" w:space="0" w:color="auto"/>
              <w:bottom w:val="single" w:sz="4" w:space="0" w:color="auto"/>
              <w:right w:val="single" w:sz="12"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0.8</w:t>
            </w:r>
          </w:p>
        </w:tc>
        <w:tc>
          <w:tcPr>
            <w:tcW w:w="1260" w:type="dxa"/>
            <w:tcBorders>
              <w:top w:val="single" w:sz="4"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19.3</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4,760</w:t>
            </w:r>
          </w:p>
        </w:tc>
      </w:tr>
      <w:tr w:rsidR="00414087" w:rsidRPr="00746445" w:rsidTr="00D8172A">
        <w:trPr>
          <w:trHeight w:val="300"/>
          <w:jc w:val="center"/>
        </w:trPr>
        <w:tc>
          <w:tcPr>
            <w:tcW w:w="1542" w:type="dxa"/>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38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Dead</w:t>
            </w:r>
          </w:p>
        </w:tc>
        <w:tc>
          <w:tcPr>
            <w:tcW w:w="1040" w:type="dxa"/>
            <w:tcBorders>
              <w:top w:val="single" w:sz="4"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1040" w:type="dxa"/>
            <w:tcBorders>
              <w:top w:val="single" w:sz="4" w:space="0" w:color="auto"/>
              <w:left w:val="single" w:sz="4" w:space="0" w:color="auto"/>
              <w:bottom w:val="single" w:sz="4" w:space="0" w:color="auto"/>
              <w:right w:val="single" w:sz="12"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1260" w:type="dxa"/>
            <w:tcBorders>
              <w:top w:val="single" w:sz="4"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99.8</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0.2</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33,803</w:t>
            </w:r>
          </w:p>
        </w:tc>
      </w:tr>
      <w:tr w:rsidR="00414087" w:rsidRPr="00746445" w:rsidTr="00D8172A">
        <w:trPr>
          <w:trHeight w:val="300"/>
          <w:jc w:val="center"/>
        </w:trPr>
        <w:tc>
          <w:tcPr>
            <w:tcW w:w="1542" w:type="dxa"/>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380" w:type="dxa"/>
            <w:tcBorders>
              <w:top w:val="single" w:sz="4" w:space="0" w:color="auto"/>
              <w:left w:val="single" w:sz="4" w:space="0" w:color="auto"/>
              <w:bottom w:val="single" w:sz="4" w:space="0" w:color="auto"/>
              <w:right w:val="single" w:sz="12" w:space="0" w:color="auto"/>
            </w:tcBorders>
            <w:noWrap/>
            <w:vAlign w:val="center"/>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Others</w:t>
            </w:r>
          </w:p>
        </w:tc>
        <w:tc>
          <w:tcPr>
            <w:tcW w:w="1040" w:type="dxa"/>
            <w:tcBorders>
              <w:top w:val="single" w:sz="4"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3.5</w:t>
            </w:r>
          </w:p>
        </w:tc>
        <w:tc>
          <w:tcPr>
            <w:tcW w:w="104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0.1</w:t>
            </w:r>
          </w:p>
        </w:tc>
        <w:tc>
          <w:tcPr>
            <w:tcW w:w="1040" w:type="dxa"/>
            <w:tcBorders>
              <w:top w:val="single" w:sz="4" w:space="0" w:color="auto"/>
              <w:left w:val="single" w:sz="4" w:space="0" w:color="auto"/>
              <w:bottom w:val="single" w:sz="4" w:space="0" w:color="auto"/>
              <w:right w:val="single" w:sz="12"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0.6</w:t>
            </w:r>
          </w:p>
        </w:tc>
        <w:tc>
          <w:tcPr>
            <w:tcW w:w="1260" w:type="dxa"/>
            <w:tcBorders>
              <w:top w:val="single" w:sz="4" w:space="0" w:color="auto"/>
              <w:left w:val="single" w:sz="12"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0.0</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95.8</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470,370</w:t>
            </w:r>
          </w:p>
        </w:tc>
      </w:tr>
    </w:tbl>
    <w:p w:rsidR="00F51329" w:rsidRDefault="00414087" w:rsidP="00414087">
      <w:pPr>
        <w:spacing w:before="100" w:beforeAutospacing="1" w:after="100" w:afterAutospacing="1"/>
        <w:rPr>
          <w:rFonts w:cstheme="minorHAnsi"/>
          <w:bCs/>
          <w:iCs/>
          <w:color w:val="1F497D" w:themeColor="text2"/>
        </w:rPr>
      </w:pPr>
      <w:r w:rsidRPr="00746445">
        <w:rPr>
          <w:rFonts w:cstheme="minorHAnsi"/>
          <w:bCs/>
          <w:iCs/>
          <w:color w:val="1F497D" w:themeColor="text2"/>
        </w:rPr>
        <w:t>Ta</w:t>
      </w:r>
      <w:r w:rsidR="00FE50D5">
        <w:rPr>
          <w:rFonts w:cstheme="minorHAnsi"/>
          <w:bCs/>
          <w:iCs/>
          <w:color w:val="1F497D" w:themeColor="text2"/>
        </w:rPr>
        <w:t>ble 4</w:t>
      </w:r>
      <w:r w:rsidR="00AC6474">
        <w:rPr>
          <w:rFonts w:cstheme="minorHAnsi"/>
          <w:bCs/>
          <w:iCs/>
          <w:color w:val="1F497D" w:themeColor="text2"/>
        </w:rPr>
        <w:t xml:space="preserve"> below shows the 30 day rehospitalization rates</w:t>
      </w:r>
      <w:r w:rsidRPr="00746445">
        <w:rPr>
          <w:rFonts w:cstheme="minorHAnsi"/>
          <w:bCs/>
          <w:iCs/>
          <w:color w:val="1F497D" w:themeColor="text2"/>
        </w:rPr>
        <w:t xml:space="preserve"> calculated using the different data sources as well as the proportion of these that can be verified using the alternate data source </w:t>
      </w:r>
      <w:r w:rsidR="006A09F6">
        <w:rPr>
          <w:rFonts w:cstheme="minorHAnsi"/>
          <w:bCs/>
          <w:iCs/>
          <w:color w:val="1F497D" w:themeColor="text2"/>
        </w:rPr>
        <w:t>(</w:t>
      </w:r>
      <w:r w:rsidRPr="00746445">
        <w:rPr>
          <w:rFonts w:cstheme="minorHAnsi"/>
          <w:bCs/>
          <w:iCs/>
          <w:color w:val="1F497D" w:themeColor="text2"/>
        </w:rPr>
        <w:t>e.g. MDS discharge r</w:t>
      </w:r>
      <w:r w:rsidR="00AC6474">
        <w:rPr>
          <w:rFonts w:cstheme="minorHAnsi"/>
          <w:bCs/>
          <w:iCs/>
          <w:color w:val="1F497D" w:themeColor="text2"/>
        </w:rPr>
        <w:t>ecords vs. Medicare claims). Reh</w:t>
      </w:r>
      <w:r w:rsidRPr="00746445">
        <w:rPr>
          <w:rFonts w:cstheme="minorHAnsi"/>
          <w:bCs/>
          <w:iCs/>
          <w:color w:val="1F497D" w:themeColor="text2"/>
        </w:rPr>
        <w:t>ospitalization rates based upon the MDS, whether including non-acute events or not, are lower than those relying upon Medicare claims. At least part of this is attributable to</w:t>
      </w:r>
      <w:r w:rsidR="00ED410B">
        <w:rPr>
          <w:rFonts w:cstheme="minorHAnsi"/>
          <w:bCs/>
          <w:iCs/>
          <w:color w:val="1F497D" w:themeColor="text2"/>
        </w:rPr>
        <w:t xml:space="preserve"> </w:t>
      </w:r>
      <w:r w:rsidRPr="00746445">
        <w:rPr>
          <w:rFonts w:cstheme="minorHAnsi"/>
          <w:bCs/>
          <w:iCs/>
          <w:color w:val="1F497D" w:themeColor="text2"/>
        </w:rPr>
        <w:t>the fact that the Medicare claim is tr</w:t>
      </w:r>
      <w:r w:rsidR="00ED410B">
        <w:rPr>
          <w:rFonts w:cstheme="minorHAnsi"/>
          <w:bCs/>
          <w:iCs/>
          <w:color w:val="1F497D" w:themeColor="text2"/>
        </w:rPr>
        <w:t>uly a 30 day re</w:t>
      </w:r>
      <w:r w:rsidRPr="00746445">
        <w:rPr>
          <w:rFonts w:cstheme="minorHAnsi"/>
          <w:bCs/>
          <w:iCs/>
          <w:color w:val="1F497D" w:themeColor="text2"/>
        </w:rPr>
        <w:t>hospitalization rate regardless of whether the patient had been disch</w:t>
      </w:r>
      <w:r w:rsidR="00ED410B">
        <w:rPr>
          <w:rFonts w:cstheme="minorHAnsi"/>
          <w:bCs/>
          <w:iCs/>
          <w:color w:val="1F497D" w:themeColor="text2"/>
        </w:rPr>
        <w:t xml:space="preserve">arged from the hospital or not; </w:t>
      </w:r>
      <w:r w:rsidRPr="00746445">
        <w:rPr>
          <w:rFonts w:cstheme="minorHAnsi"/>
          <w:bCs/>
          <w:iCs/>
          <w:color w:val="1F497D" w:themeColor="text2"/>
        </w:rPr>
        <w:t>whereas</w:t>
      </w:r>
      <w:r w:rsidR="00ED410B">
        <w:rPr>
          <w:rFonts w:cstheme="minorHAnsi"/>
          <w:bCs/>
          <w:iCs/>
          <w:color w:val="1F497D" w:themeColor="text2"/>
        </w:rPr>
        <w:t>,</w:t>
      </w:r>
      <w:r w:rsidRPr="00746445">
        <w:rPr>
          <w:rFonts w:cstheme="minorHAnsi"/>
          <w:bCs/>
          <w:iCs/>
          <w:color w:val="1F497D" w:themeColor="text2"/>
        </w:rPr>
        <w:t xml:space="preserve"> the MDS discharge refers only to transfers directly from </w:t>
      </w:r>
      <w:r w:rsidR="00F51329">
        <w:rPr>
          <w:rFonts w:cstheme="minorHAnsi"/>
          <w:bCs/>
          <w:iCs/>
          <w:color w:val="1F497D" w:themeColor="text2"/>
        </w:rPr>
        <w:t>the SNF</w:t>
      </w:r>
      <w:r w:rsidRPr="00746445">
        <w:rPr>
          <w:rFonts w:cstheme="minorHAnsi"/>
          <w:bCs/>
          <w:iCs/>
          <w:color w:val="1F497D" w:themeColor="text2"/>
        </w:rPr>
        <w:t xml:space="preserve"> that occurred within 30 days of admission from the hospital.  For example, of the 19.77 acute hospitalization rate measured by the presence of a Medicare inpatient acute hospital claim, </w:t>
      </w:r>
      <w:r w:rsidRPr="00746445">
        <w:rPr>
          <w:rFonts w:cstheme="minorHAnsi"/>
          <w:bCs/>
          <w:iCs/>
          <w:color w:val="1F497D" w:themeColor="text2"/>
        </w:rPr>
        <w:lastRenderedPageBreak/>
        <w:t xml:space="preserve">the rate would be 15.81 if measured only from an MDS discharge directly from the </w:t>
      </w:r>
      <w:r w:rsidR="00ED410B">
        <w:rPr>
          <w:rFonts w:cstheme="minorHAnsi"/>
          <w:bCs/>
          <w:iCs/>
          <w:color w:val="1F497D" w:themeColor="text2"/>
        </w:rPr>
        <w:t>SNF</w:t>
      </w:r>
      <w:r w:rsidRPr="00746445">
        <w:rPr>
          <w:rFonts w:cstheme="minorHAnsi"/>
          <w:bCs/>
          <w:iCs/>
          <w:color w:val="1F497D" w:themeColor="text2"/>
        </w:rPr>
        <w:t xml:space="preserve">. However, 3.35 of the 19.77 were hospitalizations that occurred before 30 days but AFTER the patient was discharged from the </w:t>
      </w:r>
      <w:r w:rsidR="00ED410B">
        <w:rPr>
          <w:rFonts w:cstheme="minorHAnsi"/>
          <w:bCs/>
          <w:iCs/>
          <w:color w:val="1F497D" w:themeColor="text2"/>
        </w:rPr>
        <w:t>SNF</w:t>
      </w:r>
      <w:r w:rsidRPr="00746445">
        <w:rPr>
          <w:rFonts w:cstheme="minorHAnsi"/>
          <w:bCs/>
          <w:iCs/>
          <w:color w:val="1F497D" w:themeColor="text2"/>
        </w:rPr>
        <w:t xml:space="preserve"> to another location, often </w:t>
      </w:r>
      <w:r w:rsidR="00A805D5">
        <w:rPr>
          <w:rFonts w:cstheme="minorHAnsi"/>
          <w:bCs/>
          <w:iCs/>
          <w:color w:val="1F497D" w:themeColor="text2"/>
        </w:rPr>
        <w:t>facility</w:t>
      </w:r>
      <w:r w:rsidRPr="00746445">
        <w:rPr>
          <w:rFonts w:cstheme="minorHAnsi"/>
          <w:bCs/>
          <w:iCs/>
          <w:color w:val="1F497D" w:themeColor="text2"/>
        </w:rPr>
        <w:t>, meaning that the unexplained differential in the Medicare claims based rate and the MDS based rate is only .61, or about 3 percent.  Adding all the other sources of Medicare claims to the pool (including outpat</w:t>
      </w:r>
      <w:r w:rsidR="00F51329">
        <w:rPr>
          <w:rFonts w:cstheme="minorHAnsi"/>
          <w:bCs/>
          <w:iCs/>
          <w:color w:val="1F497D" w:themeColor="text2"/>
        </w:rPr>
        <w:t xml:space="preserve">ient observation stays), the 30 </w:t>
      </w:r>
      <w:r w:rsidRPr="00746445">
        <w:rPr>
          <w:rFonts w:cstheme="minorHAnsi"/>
          <w:bCs/>
          <w:iCs/>
          <w:color w:val="1F497D" w:themeColor="text2"/>
        </w:rPr>
        <w:t>day rehospitalization rate is higher at 21.11, but the proportion unaccounted for is still very small.  The bottom two rows begin with the MDS based measures and ask how frequently they are confirmed by Medicare claims.  In this instance, whether we combine the acute and non-acute or look only at them independently, 2.16 to 2.23, or just under 12%, of the difference is unexplained.</w:t>
      </w:r>
    </w:p>
    <w:p w:rsidR="00414087" w:rsidRPr="00372491" w:rsidRDefault="00FE50D5" w:rsidP="00414087">
      <w:pPr>
        <w:spacing w:before="100" w:beforeAutospacing="1" w:after="100" w:afterAutospacing="1"/>
        <w:rPr>
          <w:rFonts w:cstheme="minorHAnsi"/>
          <w:bCs/>
          <w:iCs/>
          <w:color w:val="1F497D" w:themeColor="text2"/>
        </w:rPr>
      </w:pPr>
      <w:r>
        <w:rPr>
          <w:rFonts w:cstheme="minorHAnsi"/>
          <w:b/>
          <w:bCs/>
          <w:iCs/>
          <w:color w:val="1F497D" w:themeColor="text2"/>
        </w:rPr>
        <w:t>Table 4</w:t>
      </w:r>
      <w:r w:rsidRPr="00FE50D5">
        <w:rPr>
          <w:rFonts w:cstheme="minorHAnsi"/>
          <w:b/>
          <w:bCs/>
          <w:iCs/>
          <w:color w:val="1F497D" w:themeColor="text2"/>
        </w:rPr>
        <w:t>. 30 Day Rehospitalization Rate Based Upon Different Data Sources</w:t>
      </w:r>
    </w:p>
    <w:tbl>
      <w:tblPr>
        <w:tblStyle w:val="TableGrid"/>
        <w:tblW w:w="0" w:type="auto"/>
        <w:jc w:val="center"/>
        <w:tblLook w:val="04A0" w:firstRow="1" w:lastRow="0" w:firstColumn="1" w:lastColumn="0" w:noHBand="0" w:noVBand="1"/>
      </w:tblPr>
      <w:tblGrid>
        <w:gridCol w:w="3832"/>
        <w:gridCol w:w="1803"/>
        <w:gridCol w:w="988"/>
        <w:gridCol w:w="1386"/>
        <w:gridCol w:w="1567"/>
      </w:tblGrid>
      <w:tr w:rsidR="00414087" w:rsidRPr="00746445" w:rsidTr="00D8172A">
        <w:trPr>
          <w:jc w:val="center"/>
        </w:trPr>
        <w:tc>
          <w:tcPr>
            <w:tcW w:w="3888" w:type="dxa"/>
            <w:tcBorders>
              <w:top w:val="single" w:sz="4" w:space="0" w:color="auto"/>
              <w:left w:val="single" w:sz="4" w:space="0" w:color="auto"/>
              <w:bottom w:val="single" w:sz="4" w:space="0" w:color="auto"/>
              <w:right w:val="single" w:sz="4" w:space="0" w:color="auto"/>
            </w:tcBorders>
            <w:hideMark/>
          </w:tcPr>
          <w:p w:rsidR="00414087" w:rsidRPr="00ED410B" w:rsidRDefault="00414087" w:rsidP="00ED410B">
            <w:pPr>
              <w:spacing w:before="100" w:beforeAutospacing="1" w:after="100" w:afterAutospacing="1"/>
              <w:jc w:val="center"/>
              <w:rPr>
                <w:rFonts w:cstheme="minorHAnsi"/>
                <w:b/>
                <w:bCs/>
                <w:iCs/>
                <w:color w:val="1F497D" w:themeColor="text2"/>
              </w:rPr>
            </w:pPr>
            <w:r w:rsidRPr="00ED410B">
              <w:rPr>
                <w:rFonts w:cstheme="minorHAnsi"/>
                <w:b/>
                <w:bCs/>
                <w:iCs/>
                <w:color w:val="1F497D" w:themeColor="text2"/>
              </w:rPr>
              <w:t>Source</w:t>
            </w:r>
          </w:p>
        </w:tc>
        <w:tc>
          <w:tcPr>
            <w:tcW w:w="1710" w:type="dxa"/>
            <w:tcBorders>
              <w:top w:val="single" w:sz="4" w:space="0" w:color="auto"/>
              <w:left w:val="single" w:sz="4" w:space="0" w:color="auto"/>
              <w:bottom w:val="single" w:sz="4" w:space="0" w:color="auto"/>
              <w:right w:val="single" w:sz="12" w:space="0" w:color="auto"/>
            </w:tcBorders>
            <w:hideMark/>
          </w:tcPr>
          <w:p w:rsidR="00414087" w:rsidRPr="00ED410B" w:rsidRDefault="00ED410B" w:rsidP="00ED410B">
            <w:pPr>
              <w:spacing w:before="100" w:beforeAutospacing="1" w:after="100" w:afterAutospacing="1"/>
              <w:jc w:val="center"/>
              <w:rPr>
                <w:rFonts w:cstheme="minorHAnsi"/>
                <w:b/>
                <w:bCs/>
                <w:iCs/>
                <w:color w:val="1F497D" w:themeColor="text2"/>
              </w:rPr>
            </w:pPr>
            <w:r w:rsidRPr="00ED410B">
              <w:rPr>
                <w:rFonts w:cstheme="minorHAnsi"/>
                <w:b/>
                <w:bCs/>
                <w:iCs/>
                <w:color w:val="1F497D" w:themeColor="text2"/>
              </w:rPr>
              <w:t>30 day Reh</w:t>
            </w:r>
            <w:r w:rsidR="00414087" w:rsidRPr="00ED410B">
              <w:rPr>
                <w:rFonts w:cstheme="minorHAnsi"/>
                <w:b/>
                <w:bCs/>
                <w:iCs/>
                <w:color w:val="1F497D" w:themeColor="text2"/>
              </w:rPr>
              <w:t>ospitalization Rate</w:t>
            </w:r>
          </w:p>
        </w:tc>
        <w:tc>
          <w:tcPr>
            <w:tcW w:w="3978" w:type="dxa"/>
            <w:gridSpan w:val="3"/>
            <w:tcBorders>
              <w:top w:val="single" w:sz="4" w:space="0" w:color="auto"/>
              <w:left w:val="single" w:sz="12" w:space="0" w:color="auto"/>
              <w:bottom w:val="single" w:sz="4" w:space="0" w:color="auto"/>
              <w:right w:val="single" w:sz="4" w:space="0" w:color="auto"/>
            </w:tcBorders>
            <w:hideMark/>
          </w:tcPr>
          <w:p w:rsidR="00414087" w:rsidRPr="00D8172A" w:rsidRDefault="00ED410B" w:rsidP="00ED410B">
            <w:pPr>
              <w:spacing w:before="100" w:beforeAutospacing="1" w:after="100" w:afterAutospacing="1"/>
              <w:jc w:val="center"/>
              <w:rPr>
                <w:rFonts w:cstheme="minorHAnsi"/>
                <w:b/>
                <w:bCs/>
                <w:iCs/>
                <w:color w:val="1F497D" w:themeColor="text2"/>
              </w:rPr>
            </w:pPr>
            <w:r w:rsidRPr="00D8172A">
              <w:rPr>
                <w:rFonts w:cstheme="minorHAnsi"/>
                <w:b/>
                <w:bCs/>
                <w:iCs/>
                <w:color w:val="1F497D" w:themeColor="text2"/>
              </w:rPr>
              <w:t>Re</w:t>
            </w:r>
            <w:r w:rsidR="00414087" w:rsidRPr="00D8172A">
              <w:rPr>
                <w:rFonts w:cstheme="minorHAnsi"/>
                <w:b/>
                <w:bCs/>
                <w:iCs/>
                <w:color w:val="1F497D" w:themeColor="text2"/>
              </w:rPr>
              <w:t>hospitalization Rate Decomposed by Verification from Other Source</w:t>
            </w:r>
          </w:p>
        </w:tc>
      </w:tr>
      <w:tr w:rsidR="00414087" w:rsidRPr="00746445" w:rsidTr="00925E3E">
        <w:trPr>
          <w:jc w:val="center"/>
        </w:trPr>
        <w:tc>
          <w:tcPr>
            <w:tcW w:w="3888" w:type="dxa"/>
            <w:tcBorders>
              <w:top w:val="single" w:sz="4" w:space="0" w:color="auto"/>
              <w:left w:val="single" w:sz="4" w:space="0" w:color="auto"/>
              <w:bottom w:val="single" w:sz="4" w:space="0" w:color="auto"/>
              <w:right w:val="single" w:sz="4" w:space="0" w:color="auto"/>
            </w:tcBorders>
          </w:tcPr>
          <w:p w:rsidR="00414087" w:rsidRPr="00746445" w:rsidRDefault="00414087" w:rsidP="00C12D8E">
            <w:pPr>
              <w:spacing w:before="100" w:beforeAutospacing="1" w:after="100" w:afterAutospacing="1"/>
              <w:rPr>
                <w:rFonts w:cstheme="minorHAnsi"/>
                <w:bCs/>
                <w:iCs/>
                <w:color w:val="1F497D" w:themeColor="text2"/>
              </w:rPr>
            </w:pPr>
          </w:p>
        </w:tc>
        <w:tc>
          <w:tcPr>
            <w:tcW w:w="1710" w:type="dxa"/>
            <w:tcBorders>
              <w:top w:val="single" w:sz="4" w:space="0" w:color="auto"/>
              <w:left w:val="single" w:sz="4" w:space="0" w:color="auto"/>
              <w:bottom w:val="single" w:sz="4" w:space="0" w:color="auto"/>
              <w:right w:val="single" w:sz="12" w:space="0" w:color="auto"/>
            </w:tcBorders>
            <w:vAlign w:val="center"/>
          </w:tcPr>
          <w:p w:rsidR="00414087" w:rsidRPr="00746445" w:rsidRDefault="00414087" w:rsidP="00925E3E">
            <w:pPr>
              <w:spacing w:before="100" w:beforeAutospacing="1" w:after="100" w:afterAutospacing="1"/>
              <w:jc w:val="center"/>
              <w:rPr>
                <w:rFonts w:cstheme="minorHAnsi"/>
                <w:bCs/>
                <w:iCs/>
                <w:color w:val="1F497D" w:themeColor="text2"/>
              </w:rPr>
            </w:pPr>
          </w:p>
        </w:tc>
        <w:tc>
          <w:tcPr>
            <w:tcW w:w="990" w:type="dxa"/>
            <w:tcBorders>
              <w:top w:val="single" w:sz="4" w:space="0" w:color="auto"/>
              <w:left w:val="single" w:sz="12" w:space="0" w:color="auto"/>
              <w:bottom w:val="single" w:sz="4" w:space="0" w:color="auto"/>
              <w:right w:val="single" w:sz="4" w:space="0" w:color="auto"/>
            </w:tcBorders>
            <w:vAlign w:val="center"/>
            <w:hideMark/>
          </w:tcPr>
          <w:p w:rsidR="00414087" w:rsidRPr="00D8172A" w:rsidRDefault="00414087" w:rsidP="00925E3E">
            <w:pPr>
              <w:spacing w:before="100" w:beforeAutospacing="1" w:after="100" w:afterAutospacing="1"/>
              <w:jc w:val="center"/>
              <w:rPr>
                <w:rFonts w:cstheme="minorHAnsi"/>
                <w:bCs/>
                <w:iCs/>
                <w:color w:val="1F497D" w:themeColor="text2"/>
              </w:rPr>
            </w:pPr>
            <w:r w:rsidRPr="00D8172A">
              <w:rPr>
                <w:rFonts w:cstheme="minorHAnsi"/>
                <w:bCs/>
                <w:iCs/>
                <w:color w:val="1F497D" w:themeColor="text2"/>
              </w:rPr>
              <w:t>Verified</w:t>
            </w:r>
          </w:p>
        </w:tc>
        <w:tc>
          <w:tcPr>
            <w:tcW w:w="140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 xml:space="preserve">Not from </w:t>
            </w:r>
            <w:r>
              <w:rPr>
                <w:rFonts w:cstheme="minorHAnsi"/>
                <w:bCs/>
                <w:iCs/>
                <w:color w:val="1F497D" w:themeColor="text2"/>
              </w:rPr>
              <w:t>SNF</w:t>
            </w:r>
          </w:p>
        </w:tc>
        <w:tc>
          <w:tcPr>
            <w:tcW w:w="158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Non-verified</w:t>
            </w:r>
          </w:p>
        </w:tc>
      </w:tr>
      <w:tr w:rsidR="00414087" w:rsidRPr="00746445" w:rsidTr="00925E3E">
        <w:trPr>
          <w:jc w:val="center"/>
        </w:trPr>
        <w:tc>
          <w:tcPr>
            <w:tcW w:w="3888" w:type="dxa"/>
            <w:tcBorders>
              <w:top w:val="single" w:sz="4" w:space="0" w:color="auto"/>
              <w:left w:val="single" w:sz="4" w:space="0" w:color="auto"/>
              <w:bottom w:val="single" w:sz="4" w:space="0" w:color="auto"/>
              <w:right w:val="single" w:sz="4" w:space="0" w:color="auto"/>
            </w:tcBorders>
            <w:hideMark/>
          </w:tcPr>
          <w:p w:rsidR="00414087" w:rsidRPr="004D436B" w:rsidRDefault="00414087" w:rsidP="00C12D8E">
            <w:pPr>
              <w:spacing w:before="100" w:beforeAutospacing="1" w:after="100" w:afterAutospacing="1"/>
              <w:rPr>
                <w:rFonts w:cstheme="minorHAnsi"/>
                <w:b/>
                <w:bCs/>
                <w:iCs/>
                <w:color w:val="1F497D" w:themeColor="text2"/>
              </w:rPr>
            </w:pPr>
            <w:r w:rsidRPr="004D436B">
              <w:rPr>
                <w:rFonts w:cstheme="minorHAnsi"/>
                <w:b/>
                <w:bCs/>
                <w:iCs/>
                <w:color w:val="1F497D" w:themeColor="text2"/>
              </w:rPr>
              <w:t>Acute Hospitalization (Medicare Inpatient Claims)</w:t>
            </w:r>
          </w:p>
        </w:tc>
        <w:tc>
          <w:tcPr>
            <w:tcW w:w="1710" w:type="dxa"/>
            <w:tcBorders>
              <w:top w:val="single" w:sz="4" w:space="0" w:color="auto"/>
              <w:left w:val="single" w:sz="4" w:space="0" w:color="auto"/>
              <w:bottom w:val="single" w:sz="4" w:space="0" w:color="auto"/>
              <w:right w:val="single" w:sz="12"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19.77</w:t>
            </w:r>
          </w:p>
        </w:tc>
        <w:tc>
          <w:tcPr>
            <w:tcW w:w="990" w:type="dxa"/>
            <w:tcBorders>
              <w:top w:val="single" w:sz="4" w:space="0" w:color="auto"/>
              <w:left w:val="single" w:sz="12" w:space="0" w:color="auto"/>
              <w:bottom w:val="single" w:sz="4" w:space="0" w:color="auto"/>
              <w:right w:val="single" w:sz="4" w:space="0" w:color="auto"/>
            </w:tcBorders>
            <w:vAlign w:val="center"/>
            <w:hideMark/>
          </w:tcPr>
          <w:p w:rsidR="00414087" w:rsidRPr="00D8172A" w:rsidRDefault="00414087" w:rsidP="00925E3E">
            <w:pPr>
              <w:spacing w:before="100" w:beforeAutospacing="1" w:after="100" w:afterAutospacing="1"/>
              <w:jc w:val="center"/>
              <w:rPr>
                <w:rFonts w:cstheme="minorHAnsi"/>
                <w:bCs/>
                <w:iCs/>
                <w:color w:val="1F497D" w:themeColor="text2"/>
              </w:rPr>
            </w:pPr>
            <w:r w:rsidRPr="00D8172A">
              <w:rPr>
                <w:rFonts w:cstheme="minorHAnsi"/>
                <w:bCs/>
                <w:iCs/>
                <w:color w:val="1F497D" w:themeColor="text2"/>
              </w:rPr>
              <w:t>15.81</w:t>
            </w:r>
          </w:p>
        </w:tc>
        <w:tc>
          <w:tcPr>
            <w:tcW w:w="140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925E3E" w:rsidP="00925E3E">
            <w:pPr>
              <w:spacing w:before="100" w:beforeAutospacing="1" w:after="100" w:afterAutospacing="1"/>
              <w:jc w:val="center"/>
              <w:rPr>
                <w:rFonts w:cstheme="minorHAnsi"/>
                <w:bCs/>
                <w:iCs/>
                <w:color w:val="1F497D" w:themeColor="text2"/>
              </w:rPr>
            </w:pPr>
            <w:r>
              <w:rPr>
                <w:rFonts w:cstheme="minorHAnsi"/>
                <w:bCs/>
                <w:iCs/>
                <w:color w:val="1F497D" w:themeColor="text2"/>
              </w:rPr>
              <w:t xml:space="preserve">  </w:t>
            </w:r>
            <w:r w:rsidR="00414087" w:rsidRPr="00746445">
              <w:rPr>
                <w:rFonts w:cstheme="minorHAnsi"/>
                <w:bCs/>
                <w:iCs/>
                <w:color w:val="1F497D" w:themeColor="text2"/>
              </w:rPr>
              <w:t>3.35</w:t>
            </w:r>
          </w:p>
        </w:tc>
        <w:tc>
          <w:tcPr>
            <w:tcW w:w="158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0.61</w:t>
            </w:r>
          </w:p>
        </w:tc>
      </w:tr>
      <w:tr w:rsidR="00414087" w:rsidRPr="00746445" w:rsidTr="00925E3E">
        <w:trPr>
          <w:jc w:val="center"/>
        </w:trPr>
        <w:tc>
          <w:tcPr>
            <w:tcW w:w="3888" w:type="dxa"/>
            <w:tcBorders>
              <w:top w:val="single" w:sz="4" w:space="0" w:color="auto"/>
              <w:left w:val="single" w:sz="4" w:space="0" w:color="auto"/>
              <w:bottom w:val="single" w:sz="4" w:space="0" w:color="auto"/>
              <w:right w:val="single" w:sz="4" w:space="0" w:color="auto"/>
            </w:tcBorders>
            <w:hideMark/>
          </w:tcPr>
          <w:p w:rsidR="00414087" w:rsidRPr="004D436B" w:rsidRDefault="00414087" w:rsidP="00C12D8E">
            <w:pPr>
              <w:spacing w:before="100" w:beforeAutospacing="1" w:after="100" w:afterAutospacing="1"/>
              <w:rPr>
                <w:rFonts w:cstheme="minorHAnsi"/>
                <w:b/>
                <w:bCs/>
                <w:iCs/>
                <w:color w:val="1F497D" w:themeColor="text2"/>
              </w:rPr>
            </w:pPr>
            <w:r w:rsidRPr="004D436B">
              <w:rPr>
                <w:rFonts w:cstheme="minorHAnsi"/>
                <w:b/>
                <w:bCs/>
                <w:iCs/>
                <w:color w:val="1F497D" w:themeColor="text2"/>
              </w:rPr>
              <w:t xml:space="preserve">Any Hospitalization (Medicare Inpatient, Outpatient and Chronic Hospital Claims) </w:t>
            </w:r>
          </w:p>
        </w:tc>
        <w:tc>
          <w:tcPr>
            <w:tcW w:w="1710" w:type="dxa"/>
            <w:tcBorders>
              <w:top w:val="single" w:sz="4" w:space="0" w:color="auto"/>
              <w:left w:val="single" w:sz="4" w:space="0" w:color="auto"/>
              <w:bottom w:val="single" w:sz="4" w:space="0" w:color="auto"/>
              <w:right w:val="single" w:sz="12"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21.11</w:t>
            </w:r>
          </w:p>
        </w:tc>
        <w:tc>
          <w:tcPr>
            <w:tcW w:w="990" w:type="dxa"/>
            <w:tcBorders>
              <w:top w:val="single" w:sz="4" w:space="0" w:color="auto"/>
              <w:left w:val="single" w:sz="12" w:space="0" w:color="auto"/>
              <w:bottom w:val="single" w:sz="4" w:space="0" w:color="auto"/>
              <w:right w:val="single" w:sz="4" w:space="0" w:color="auto"/>
            </w:tcBorders>
            <w:vAlign w:val="center"/>
            <w:hideMark/>
          </w:tcPr>
          <w:p w:rsidR="00414087" w:rsidRPr="00D8172A" w:rsidRDefault="00414087" w:rsidP="00925E3E">
            <w:pPr>
              <w:spacing w:before="100" w:beforeAutospacing="1" w:after="100" w:afterAutospacing="1"/>
              <w:jc w:val="center"/>
              <w:rPr>
                <w:rFonts w:cstheme="minorHAnsi"/>
                <w:bCs/>
                <w:iCs/>
                <w:color w:val="1F497D" w:themeColor="text2"/>
              </w:rPr>
            </w:pPr>
            <w:r w:rsidRPr="00D8172A">
              <w:rPr>
                <w:rFonts w:cstheme="minorHAnsi"/>
                <w:bCs/>
                <w:iCs/>
                <w:color w:val="1F497D" w:themeColor="text2"/>
              </w:rPr>
              <w:t>16.69</w:t>
            </w:r>
          </w:p>
        </w:tc>
        <w:tc>
          <w:tcPr>
            <w:tcW w:w="140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3.8</w:t>
            </w:r>
          </w:p>
        </w:tc>
        <w:tc>
          <w:tcPr>
            <w:tcW w:w="158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0.62</w:t>
            </w:r>
          </w:p>
        </w:tc>
      </w:tr>
      <w:tr w:rsidR="00414087" w:rsidRPr="00746445" w:rsidTr="00925E3E">
        <w:trPr>
          <w:jc w:val="center"/>
        </w:trPr>
        <w:tc>
          <w:tcPr>
            <w:tcW w:w="3888" w:type="dxa"/>
            <w:tcBorders>
              <w:top w:val="single" w:sz="4" w:space="0" w:color="auto"/>
              <w:left w:val="single" w:sz="4" w:space="0" w:color="auto"/>
              <w:bottom w:val="single" w:sz="4" w:space="0" w:color="auto"/>
              <w:right w:val="single" w:sz="4" w:space="0" w:color="auto"/>
            </w:tcBorders>
            <w:hideMark/>
          </w:tcPr>
          <w:p w:rsidR="00414087" w:rsidRPr="004D436B" w:rsidRDefault="00414087" w:rsidP="00C12D8E">
            <w:pPr>
              <w:spacing w:before="100" w:beforeAutospacing="1" w:after="100" w:afterAutospacing="1"/>
              <w:rPr>
                <w:rFonts w:cstheme="minorHAnsi"/>
                <w:b/>
                <w:bCs/>
                <w:iCs/>
                <w:color w:val="1F497D" w:themeColor="text2"/>
              </w:rPr>
            </w:pPr>
            <w:r w:rsidRPr="004D436B">
              <w:rPr>
                <w:rFonts w:cstheme="minorHAnsi"/>
                <w:b/>
                <w:bCs/>
                <w:iCs/>
                <w:color w:val="1F497D" w:themeColor="text2"/>
              </w:rPr>
              <w:t>Acute Hospitalization (MDS Discharge)</w:t>
            </w:r>
          </w:p>
        </w:tc>
        <w:tc>
          <w:tcPr>
            <w:tcW w:w="1710" w:type="dxa"/>
            <w:tcBorders>
              <w:top w:val="single" w:sz="4" w:space="0" w:color="auto"/>
              <w:left w:val="single" w:sz="4" w:space="0" w:color="auto"/>
              <w:bottom w:val="single" w:sz="4" w:space="0" w:color="auto"/>
              <w:right w:val="single" w:sz="12"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18.37</w:t>
            </w:r>
          </w:p>
        </w:tc>
        <w:tc>
          <w:tcPr>
            <w:tcW w:w="990" w:type="dxa"/>
            <w:tcBorders>
              <w:top w:val="single" w:sz="4" w:space="0" w:color="auto"/>
              <w:left w:val="single" w:sz="12" w:space="0" w:color="auto"/>
              <w:bottom w:val="single" w:sz="4" w:space="0" w:color="auto"/>
              <w:right w:val="single" w:sz="4" w:space="0" w:color="auto"/>
            </w:tcBorders>
            <w:vAlign w:val="center"/>
            <w:hideMark/>
          </w:tcPr>
          <w:p w:rsidR="00414087" w:rsidRPr="00D8172A" w:rsidRDefault="00414087" w:rsidP="00925E3E">
            <w:pPr>
              <w:spacing w:before="100" w:beforeAutospacing="1" w:after="100" w:afterAutospacing="1"/>
              <w:jc w:val="center"/>
              <w:rPr>
                <w:rFonts w:cstheme="minorHAnsi"/>
                <w:bCs/>
                <w:iCs/>
                <w:color w:val="1F497D" w:themeColor="text2"/>
              </w:rPr>
            </w:pPr>
            <w:r w:rsidRPr="00D8172A">
              <w:rPr>
                <w:rFonts w:cstheme="minorHAnsi"/>
                <w:bCs/>
                <w:iCs/>
                <w:color w:val="1F497D" w:themeColor="text2"/>
              </w:rPr>
              <w:t>16.21</w:t>
            </w:r>
          </w:p>
        </w:tc>
        <w:tc>
          <w:tcPr>
            <w:tcW w:w="1404" w:type="dxa"/>
            <w:tcBorders>
              <w:top w:val="single" w:sz="4" w:space="0" w:color="auto"/>
              <w:left w:val="single" w:sz="4" w:space="0" w:color="auto"/>
              <w:bottom w:val="single" w:sz="4" w:space="0" w:color="auto"/>
              <w:right w:val="single" w:sz="4" w:space="0" w:color="auto"/>
            </w:tcBorders>
            <w:vAlign w:val="center"/>
          </w:tcPr>
          <w:p w:rsidR="00414087" w:rsidRPr="00746445" w:rsidRDefault="00414087" w:rsidP="00925E3E">
            <w:pPr>
              <w:spacing w:before="100" w:beforeAutospacing="1" w:after="100" w:afterAutospacing="1"/>
              <w:jc w:val="center"/>
              <w:rPr>
                <w:rFonts w:cstheme="minorHAnsi"/>
                <w:bCs/>
                <w:iCs/>
                <w:color w:val="1F497D" w:themeColor="text2"/>
              </w:rPr>
            </w:pPr>
          </w:p>
        </w:tc>
        <w:tc>
          <w:tcPr>
            <w:tcW w:w="158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2.16</w:t>
            </w:r>
          </w:p>
        </w:tc>
      </w:tr>
      <w:tr w:rsidR="00414087" w:rsidRPr="00746445" w:rsidTr="00925E3E">
        <w:trPr>
          <w:jc w:val="center"/>
        </w:trPr>
        <w:tc>
          <w:tcPr>
            <w:tcW w:w="3888" w:type="dxa"/>
            <w:tcBorders>
              <w:top w:val="single" w:sz="4" w:space="0" w:color="auto"/>
              <w:left w:val="single" w:sz="4" w:space="0" w:color="auto"/>
              <w:bottom w:val="single" w:sz="4" w:space="0" w:color="auto"/>
              <w:right w:val="single" w:sz="4" w:space="0" w:color="auto"/>
            </w:tcBorders>
            <w:hideMark/>
          </w:tcPr>
          <w:p w:rsidR="00414087" w:rsidRPr="004D436B" w:rsidRDefault="00414087" w:rsidP="00C12D8E">
            <w:pPr>
              <w:spacing w:before="100" w:beforeAutospacing="1" w:after="100" w:afterAutospacing="1"/>
              <w:rPr>
                <w:rFonts w:cstheme="minorHAnsi"/>
                <w:b/>
                <w:bCs/>
                <w:iCs/>
                <w:color w:val="1F497D" w:themeColor="text2"/>
              </w:rPr>
            </w:pPr>
            <w:r w:rsidRPr="004D436B">
              <w:rPr>
                <w:rFonts w:cstheme="minorHAnsi"/>
                <w:b/>
                <w:bCs/>
                <w:iCs/>
                <w:color w:val="1F497D" w:themeColor="text2"/>
              </w:rPr>
              <w:t>Any Hospitalization (MDS Discharge)</w:t>
            </w:r>
          </w:p>
        </w:tc>
        <w:tc>
          <w:tcPr>
            <w:tcW w:w="1710" w:type="dxa"/>
            <w:tcBorders>
              <w:top w:val="single" w:sz="4" w:space="0" w:color="auto"/>
              <w:left w:val="single" w:sz="4" w:space="0" w:color="auto"/>
              <w:bottom w:val="single" w:sz="4" w:space="0" w:color="auto"/>
              <w:right w:val="single" w:sz="12"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18.77</w:t>
            </w:r>
          </w:p>
        </w:tc>
        <w:tc>
          <w:tcPr>
            <w:tcW w:w="990" w:type="dxa"/>
            <w:tcBorders>
              <w:top w:val="single" w:sz="4" w:space="0" w:color="auto"/>
              <w:left w:val="single" w:sz="12" w:space="0" w:color="auto"/>
              <w:bottom w:val="single" w:sz="4" w:space="0" w:color="auto"/>
              <w:right w:val="single" w:sz="4" w:space="0" w:color="auto"/>
            </w:tcBorders>
            <w:vAlign w:val="center"/>
            <w:hideMark/>
          </w:tcPr>
          <w:p w:rsidR="00414087" w:rsidRPr="00D8172A" w:rsidRDefault="00414087" w:rsidP="00925E3E">
            <w:pPr>
              <w:spacing w:before="100" w:beforeAutospacing="1" w:after="100" w:afterAutospacing="1"/>
              <w:jc w:val="center"/>
              <w:rPr>
                <w:rFonts w:cstheme="minorHAnsi"/>
                <w:bCs/>
                <w:iCs/>
                <w:color w:val="1F497D" w:themeColor="text2"/>
              </w:rPr>
            </w:pPr>
            <w:r w:rsidRPr="00D8172A">
              <w:rPr>
                <w:rFonts w:cstheme="minorHAnsi"/>
                <w:bCs/>
                <w:iCs/>
                <w:color w:val="1F497D" w:themeColor="text2"/>
              </w:rPr>
              <w:t>16.54</w:t>
            </w:r>
          </w:p>
        </w:tc>
        <w:tc>
          <w:tcPr>
            <w:tcW w:w="1404" w:type="dxa"/>
            <w:tcBorders>
              <w:top w:val="single" w:sz="4" w:space="0" w:color="auto"/>
              <w:left w:val="single" w:sz="4" w:space="0" w:color="auto"/>
              <w:bottom w:val="single" w:sz="4" w:space="0" w:color="auto"/>
              <w:right w:val="single" w:sz="4" w:space="0" w:color="auto"/>
            </w:tcBorders>
            <w:vAlign w:val="center"/>
          </w:tcPr>
          <w:p w:rsidR="00414087" w:rsidRPr="00746445" w:rsidRDefault="00414087" w:rsidP="00925E3E">
            <w:pPr>
              <w:spacing w:before="100" w:beforeAutospacing="1" w:after="100" w:afterAutospacing="1"/>
              <w:jc w:val="center"/>
              <w:rPr>
                <w:rFonts w:cstheme="minorHAnsi"/>
                <w:bCs/>
                <w:iCs/>
                <w:color w:val="1F497D" w:themeColor="text2"/>
              </w:rPr>
            </w:pPr>
          </w:p>
        </w:tc>
        <w:tc>
          <w:tcPr>
            <w:tcW w:w="1584" w:type="dxa"/>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925E3E">
            <w:pPr>
              <w:spacing w:before="100" w:beforeAutospacing="1" w:after="100" w:afterAutospacing="1"/>
              <w:jc w:val="center"/>
              <w:rPr>
                <w:rFonts w:cstheme="minorHAnsi"/>
                <w:bCs/>
                <w:iCs/>
                <w:color w:val="1F497D" w:themeColor="text2"/>
              </w:rPr>
            </w:pPr>
            <w:r w:rsidRPr="00746445">
              <w:rPr>
                <w:rFonts w:cstheme="minorHAnsi"/>
                <w:bCs/>
                <w:iCs/>
                <w:color w:val="1F497D" w:themeColor="text2"/>
              </w:rPr>
              <w:t>2.23</w:t>
            </w:r>
          </w:p>
        </w:tc>
      </w:tr>
    </w:tbl>
    <w:p w:rsidR="00414087" w:rsidRPr="00F51329" w:rsidRDefault="00FE50D5" w:rsidP="00414087">
      <w:pPr>
        <w:spacing w:before="100" w:beforeAutospacing="1" w:after="100" w:afterAutospacing="1"/>
        <w:rPr>
          <w:rFonts w:cstheme="minorHAnsi"/>
          <w:bCs/>
          <w:iCs/>
          <w:color w:val="1F497D" w:themeColor="text2"/>
        </w:rPr>
      </w:pPr>
      <w:r>
        <w:rPr>
          <w:rFonts w:cstheme="minorHAnsi"/>
          <w:bCs/>
          <w:iCs/>
          <w:color w:val="1F497D" w:themeColor="text2"/>
        </w:rPr>
        <w:t xml:space="preserve">As shown in Table 5 </w:t>
      </w:r>
      <w:r w:rsidR="00414087" w:rsidRPr="00746445">
        <w:rPr>
          <w:rFonts w:cstheme="minorHAnsi"/>
          <w:bCs/>
          <w:iCs/>
          <w:color w:val="1F497D" w:themeColor="text2"/>
        </w:rPr>
        <w:t xml:space="preserve">below, after excluding Medicare claims for those individuals with prior MDS records indicating discharge from the nursing </w:t>
      </w:r>
      <w:r w:rsidR="00A805D5">
        <w:rPr>
          <w:rFonts w:cstheme="minorHAnsi"/>
          <w:bCs/>
          <w:iCs/>
          <w:color w:val="1F497D" w:themeColor="text2"/>
        </w:rPr>
        <w:t>facility</w:t>
      </w:r>
      <w:r w:rsidR="00414087" w:rsidRPr="00746445">
        <w:rPr>
          <w:rFonts w:cstheme="minorHAnsi"/>
          <w:bCs/>
          <w:iCs/>
          <w:color w:val="1F497D" w:themeColor="text2"/>
        </w:rPr>
        <w:t xml:space="preserve"> to </w:t>
      </w:r>
      <w:r w:rsidR="00A805D5">
        <w:rPr>
          <w:rFonts w:cstheme="minorHAnsi"/>
          <w:bCs/>
          <w:iCs/>
          <w:color w:val="1F497D" w:themeColor="text2"/>
        </w:rPr>
        <w:t>facility</w:t>
      </w:r>
      <w:r w:rsidR="00414087" w:rsidRPr="00746445">
        <w:rPr>
          <w:rFonts w:cstheme="minorHAnsi"/>
          <w:bCs/>
          <w:iCs/>
          <w:color w:val="1F497D" w:themeColor="text2"/>
        </w:rPr>
        <w:t xml:space="preserve"> or another location, 93% of Medicare hospitalization claims taking place within 30 days of SNF admission could be verified with MDS discharge records.  Another 1.5% had MDS discharge records indicating discharge to a non-acute location and 5.6% did not have an MDS discharge assessment.  This suggests that, relative to Medicare claims data, the MDS dischar</w:t>
      </w:r>
      <w:r w:rsidR="00ED0163">
        <w:rPr>
          <w:rFonts w:cstheme="minorHAnsi"/>
          <w:bCs/>
          <w:iCs/>
          <w:color w:val="1F497D" w:themeColor="text2"/>
        </w:rPr>
        <w:t>ge record is about 94% accurate.</w:t>
      </w:r>
      <w:r w:rsidR="00ED0163">
        <w:rPr>
          <w:rFonts w:cstheme="minorHAnsi"/>
          <w:bCs/>
          <w:iCs/>
          <w:color w:val="1F497D" w:themeColor="text2"/>
        </w:rPr>
        <w:br/>
      </w:r>
      <w:r w:rsidRPr="00FE50D5">
        <w:rPr>
          <w:rFonts w:cstheme="minorHAnsi"/>
          <w:b/>
          <w:bCs/>
          <w:iCs/>
          <w:color w:val="1F497D" w:themeColor="text2"/>
        </w:rPr>
        <w:t xml:space="preserve">Table 5. Verifying Medicare Hospitalization Claims Using </w:t>
      </w:r>
      <w:r>
        <w:rPr>
          <w:rFonts w:cstheme="minorHAnsi"/>
          <w:b/>
          <w:bCs/>
          <w:iCs/>
          <w:color w:val="1F497D" w:themeColor="text2"/>
        </w:rPr>
        <w:t>MDS</w:t>
      </w:r>
      <w:r w:rsidRPr="00FE50D5">
        <w:rPr>
          <w:rFonts w:cstheme="minorHAnsi"/>
          <w:b/>
          <w:bCs/>
          <w:iCs/>
          <w:color w:val="1F497D" w:themeColor="text2"/>
        </w:rPr>
        <w:t xml:space="preserve"> Discharge Records</w:t>
      </w:r>
    </w:p>
    <w:tbl>
      <w:tblPr>
        <w:tblStyle w:val="TableGrid"/>
        <w:tblW w:w="9558" w:type="dxa"/>
        <w:jc w:val="center"/>
        <w:tblLook w:val="04A0" w:firstRow="1" w:lastRow="0" w:firstColumn="1" w:lastColumn="0" w:noHBand="0" w:noVBand="1"/>
      </w:tblPr>
      <w:tblGrid>
        <w:gridCol w:w="1908"/>
        <w:gridCol w:w="1260"/>
        <w:gridCol w:w="990"/>
        <w:gridCol w:w="1530"/>
        <w:gridCol w:w="1260"/>
        <w:gridCol w:w="1260"/>
        <w:gridCol w:w="1350"/>
      </w:tblGrid>
      <w:tr w:rsidR="00414087" w:rsidRPr="00746445" w:rsidTr="00C12D8E">
        <w:trPr>
          <w:trHeight w:val="300"/>
          <w:jc w:val="center"/>
        </w:trPr>
        <w:tc>
          <w:tcPr>
            <w:tcW w:w="1908" w:type="dxa"/>
            <w:vMerge w:val="restart"/>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p>
        </w:tc>
        <w:tc>
          <w:tcPr>
            <w:tcW w:w="1260" w:type="dxa"/>
            <w:vMerge w:val="restart"/>
            <w:tcBorders>
              <w:top w:val="single" w:sz="4" w:space="0" w:color="auto"/>
              <w:left w:val="single" w:sz="4" w:space="0" w:color="auto"/>
              <w:bottom w:val="single" w:sz="4" w:space="0" w:color="auto"/>
              <w:right w:val="single" w:sz="4" w:space="0" w:color="auto"/>
            </w:tcBorders>
            <w:noWrap/>
            <w:hideMark/>
          </w:tcPr>
          <w:p w:rsidR="00414087" w:rsidRPr="003E38F9" w:rsidRDefault="00414087" w:rsidP="00C12D8E">
            <w:pPr>
              <w:spacing w:before="100" w:beforeAutospacing="1" w:after="100" w:afterAutospacing="1"/>
              <w:rPr>
                <w:rFonts w:cstheme="minorHAnsi"/>
                <w:b/>
                <w:bCs/>
                <w:iCs/>
                <w:color w:val="1F497D" w:themeColor="text2"/>
              </w:rPr>
            </w:pPr>
            <w:r w:rsidRPr="003E38F9">
              <w:rPr>
                <w:rFonts w:cstheme="minorHAnsi"/>
                <w:b/>
                <w:bCs/>
                <w:iCs/>
                <w:color w:val="1F497D" w:themeColor="text2"/>
              </w:rPr>
              <w:t>Type of Claims</w:t>
            </w:r>
          </w:p>
        </w:tc>
        <w:tc>
          <w:tcPr>
            <w:tcW w:w="990" w:type="dxa"/>
            <w:vMerge w:val="restart"/>
            <w:tcBorders>
              <w:top w:val="single" w:sz="4" w:space="0" w:color="auto"/>
              <w:left w:val="single" w:sz="4" w:space="0" w:color="auto"/>
              <w:bottom w:val="single" w:sz="4" w:space="0" w:color="auto"/>
              <w:right w:val="single" w:sz="4" w:space="0" w:color="auto"/>
            </w:tcBorders>
            <w:noWrap/>
            <w:hideMark/>
          </w:tcPr>
          <w:p w:rsidR="00414087" w:rsidRPr="003E38F9" w:rsidRDefault="00414087" w:rsidP="00C12D8E">
            <w:pPr>
              <w:spacing w:before="100" w:beforeAutospacing="1" w:after="100" w:afterAutospacing="1"/>
              <w:rPr>
                <w:rFonts w:cstheme="minorHAnsi"/>
                <w:b/>
                <w:bCs/>
                <w:iCs/>
                <w:color w:val="1F497D" w:themeColor="text2"/>
              </w:rPr>
            </w:pPr>
            <w:r w:rsidRPr="003E38F9">
              <w:rPr>
                <w:rFonts w:cstheme="minorHAnsi"/>
                <w:b/>
                <w:bCs/>
                <w:iCs/>
                <w:color w:val="1F497D" w:themeColor="text2"/>
              </w:rPr>
              <w:t>Total</w:t>
            </w:r>
          </w:p>
        </w:tc>
        <w:tc>
          <w:tcPr>
            <w:tcW w:w="1530" w:type="dxa"/>
            <w:vMerge w:val="restart"/>
            <w:tcBorders>
              <w:top w:val="single" w:sz="4" w:space="0" w:color="auto"/>
              <w:left w:val="single" w:sz="4" w:space="0" w:color="auto"/>
              <w:bottom w:val="single" w:sz="4" w:space="0" w:color="auto"/>
              <w:right w:val="single" w:sz="4" w:space="0" w:color="auto"/>
            </w:tcBorders>
            <w:noWrap/>
            <w:hideMark/>
          </w:tcPr>
          <w:p w:rsidR="00414087" w:rsidRPr="003E38F9" w:rsidRDefault="0045220A" w:rsidP="00C12D8E">
            <w:pPr>
              <w:spacing w:before="100" w:beforeAutospacing="1" w:after="100" w:afterAutospacing="1"/>
              <w:rPr>
                <w:rFonts w:cstheme="minorHAnsi"/>
                <w:b/>
                <w:bCs/>
                <w:iCs/>
                <w:color w:val="1F497D" w:themeColor="text2"/>
              </w:rPr>
            </w:pPr>
            <w:r>
              <w:rPr>
                <w:rFonts w:cstheme="minorHAnsi"/>
                <w:b/>
                <w:bCs/>
                <w:iCs/>
                <w:color w:val="1F497D" w:themeColor="text2"/>
              </w:rPr>
              <w:t>% of Claims Identified as n</w:t>
            </w:r>
            <w:r w:rsidR="00414087" w:rsidRPr="003E38F9">
              <w:rPr>
                <w:rFonts w:cstheme="minorHAnsi"/>
                <w:b/>
                <w:bCs/>
                <w:iCs/>
                <w:color w:val="1F497D" w:themeColor="text2"/>
              </w:rPr>
              <w:t>ot from SNF</w:t>
            </w:r>
          </w:p>
        </w:tc>
        <w:tc>
          <w:tcPr>
            <w:tcW w:w="3870" w:type="dxa"/>
            <w:gridSpan w:val="3"/>
            <w:tcBorders>
              <w:top w:val="single" w:sz="4" w:space="0" w:color="auto"/>
              <w:left w:val="single" w:sz="4" w:space="0" w:color="auto"/>
              <w:bottom w:val="single" w:sz="4" w:space="0" w:color="auto"/>
              <w:right w:val="single" w:sz="4" w:space="0" w:color="auto"/>
            </w:tcBorders>
            <w:noWrap/>
            <w:hideMark/>
          </w:tcPr>
          <w:p w:rsidR="00414087" w:rsidRPr="003E38F9" w:rsidRDefault="00414087" w:rsidP="00C12D8E">
            <w:pPr>
              <w:spacing w:before="100" w:beforeAutospacing="1" w:after="100" w:afterAutospacing="1"/>
              <w:rPr>
                <w:rFonts w:cstheme="minorHAnsi"/>
                <w:b/>
                <w:bCs/>
                <w:iCs/>
                <w:color w:val="1F497D" w:themeColor="text2"/>
              </w:rPr>
            </w:pPr>
            <w:r w:rsidRPr="003E38F9">
              <w:rPr>
                <w:rFonts w:cstheme="minorHAnsi"/>
                <w:b/>
                <w:bCs/>
                <w:iCs/>
                <w:color w:val="1F497D" w:themeColor="text2"/>
              </w:rPr>
              <w:t>% of Claims that are Identified as from SNF Verified by MDS Records</w:t>
            </w:r>
          </w:p>
        </w:tc>
      </w:tr>
      <w:tr w:rsidR="00414087" w:rsidRPr="00746445" w:rsidTr="00C12D8E">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260" w:type="dxa"/>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Acute</w:t>
            </w:r>
          </w:p>
        </w:tc>
        <w:tc>
          <w:tcPr>
            <w:tcW w:w="1260" w:type="dxa"/>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Non-Acute</w:t>
            </w:r>
          </w:p>
        </w:tc>
        <w:tc>
          <w:tcPr>
            <w:tcW w:w="1350" w:type="dxa"/>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Not verified</w:t>
            </w:r>
          </w:p>
        </w:tc>
      </w:tr>
      <w:tr w:rsidR="00414087" w:rsidRPr="00746445" w:rsidTr="00C12D8E">
        <w:trPr>
          <w:trHeight w:val="260"/>
          <w:jc w:val="center"/>
        </w:trPr>
        <w:tc>
          <w:tcPr>
            <w:tcW w:w="1908" w:type="dxa"/>
            <w:vMerge w:val="restart"/>
            <w:tcBorders>
              <w:top w:val="single" w:sz="4" w:space="0" w:color="auto"/>
              <w:left w:val="single" w:sz="4" w:space="0" w:color="auto"/>
              <w:bottom w:val="single" w:sz="4" w:space="0" w:color="auto"/>
              <w:right w:val="single" w:sz="4" w:space="0" w:color="auto"/>
            </w:tcBorders>
            <w:noWrap/>
            <w:hideMark/>
          </w:tcPr>
          <w:p w:rsidR="00414087" w:rsidRPr="004D436B" w:rsidRDefault="00414087" w:rsidP="00C12D8E">
            <w:pPr>
              <w:spacing w:before="100" w:beforeAutospacing="1" w:after="100" w:afterAutospacing="1"/>
              <w:rPr>
                <w:rFonts w:cstheme="minorHAnsi"/>
                <w:b/>
                <w:bCs/>
                <w:iCs/>
                <w:color w:val="1F497D" w:themeColor="text2"/>
              </w:rPr>
            </w:pPr>
            <w:r w:rsidRPr="004D436B">
              <w:rPr>
                <w:rFonts w:cstheme="minorHAnsi"/>
                <w:b/>
                <w:bCs/>
                <w:iCs/>
                <w:color w:val="1F497D" w:themeColor="text2"/>
              </w:rPr>
              <w:t>All Hospitalization Claims within 30 Days of SNF Admission</w:t>
            </w:r>
          </w:p>
        </w:tc>
        <w:tc>
          <w:tcPr>
            <w:tcW w:w="1260" w:type="dxa"/>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Acute</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 xml:space="preserve"> 241,559</w:t>
            </w:r>
          </w:p>
        </w:tc>
        <w:tc>
          <w:tcPr>
            <w:tcW w:w="153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20.2</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93.0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1.5</w:t>
            </w:r>
          </w:p>
        </w:tc>
        <w:tc>
          <w:tcPr>
            <w:tcW w:w="135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5.6</w:t>
            </w:r>
          </w:p>
        </w:tc>
      </w:tr>
      <w:tr w:rsidR="00414087" w:rsidRPr="00746445" w:rsidTr="00C12D8E">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260" w:type="dxa"/>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Non-acute</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15,439</w:t>
            </w:r>
          </w:p>
        </w:tc>
        <w:tc>
          <w:tcPr>
            <w:tcW w:w="153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39.1</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90.2</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0.5</w:t>
            </w:r>
          </w:p>
        </w:tc>
        <w:tc>
          <w:tcPr>
            <w:tcW w:w="135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9.3</w:t>
            </w:r>
          </w:p>
        </w:tc>
      </w:tr>
      <w:tr w:rsidR="00414087" w:rsidRPr="00746445" w:rsidTr="00C12D8E">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260" w:type="dxa"/>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Out patient</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7,173</w:t>
            </w:r>
          </w:p>
        </w:tc>
        <w:tc>
          <w:tcPr>
            <w:tcW w:w="153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63.8</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46.7</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38.2</w:t>
            </w:r>
          </w:p>
        </w:tc>
        <w:tc>
          <w:tcPr>
            <w:tcW w:w="135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15.0</w:t>
            </w:r>
          </w:p>
        </w:tc>
      </w:tr>
      <w:tr w:rsidR="00414087" w:rsidRPr="00746445" w:rsidTr="00C12D8E">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4087" w:rsidRPr="00746445" w:rsidRDefault="00414087" w:rsidP="00C12D8E">
            <w:pPr>
              <w:spacing w:before="100" w:beforeAutospacing="1" w:after="100" w:afterAutospacing="1"/>
              <w:rPr>
                <w:rFonts w:cstheme="minorHAnsi"/>
                <w:bCs/>
                <w:iCs/>
                <w:color w:val="1F497D" w:themeColor="text2"/>
              </w:rPr>
            </w:pPr>
          </w:p>
        </w:tc>
        <w:tc>
          <w:tcPr>
            <w:tcW w:w="1260" w:type="dxa"/>
            <w:tcBorders>
              <w:top w:val="single" w:sz="4" w:space="0" w:color="auto"/>
              <w:left w:val="single" w:sz="4" w:space="0" w:color="auto"/>
              <w:bottom w:val="single" w:sz="4" w:space="0" w:color="auto"/>
              <w:right w:val="single" w:sz="4" w:space="0" w:color="auto"/>
            </w:tcBorders>
            <w:noWrap/>
            <w:hideMark/>
          </w:tcPr>
          <w:p w:rsidR="00414087" w:rsidRPr="00746445" w:rsidRDefault="00414087" w:rsidP="00C12D8E">
            <w:pPr>
              <w:spacing w:before="100" w:beforeAutospacing="1" w:after="100" w:afterAutospacing="1"/>
              <w:rPr>
                <w:rFonts w:cstheme="minorHAnsi"/>
                <w:bCs/>
                <w:iCs/>
                <w:color w:val="1F497D" w:themeColor="text2"/>
              </w:rPr>
            </w:pPr>
            <w:r w:rsidRPr="00746445">
              <w:rPr>
                <w:rFonts w:cstheme="minorHAnsi"/>
                <w:bCs/>
                <w:iCs/>
                <w:color w:val="1F497D" w:themeColor="text2"/>
              </w:rPr>
              <w:t>All</w:t>
            </w:r>
          </w:p>
        </w:tc>
        <w:tc>
          <w:tcPr>
            <w:tcW w:w="99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264,171</w:t>
            </w:r>
          </w:p>
        </w:tc>
        <w:tc>
          <w:tcPr>
            <w:tcW w:w="153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22.5</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92.2</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1.9</w:t>
            </w:r>
          </w:p>
        </w:tc>
        <w:tc>
          <w:tcPr>
            <w:tcW w:w="1350" w:type="dxa"/>
            <w:tcBorders>
              <w:top w:val="single" w:sz="4" w:space="0" w:color="auto"/>
              <w:left w:val="single" w:sz="4" w:space="0" w:color="auto"/>
              <w:bottom w:val="single" w:sz="4" w:space="0" w:color="auto"/>
              <w:right w:val="single" w:sz="4" w:space="0" w:color="auto"/>
            </w:tcBorders>
            <w:noWrap/>
            <w:vAlign w:val="bottom"/>
            <w:hideMark/>
          </w:tcPr>
          <w:p w:rsidR="00414087" w:rsidRPr="00746445" w:rsidRDefault="00414087" w:rsidP="00FE50D5">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5.9</w:t>
            </w:r>
          </w:p>
        </w:tc>
      </w:tr>
    </w:tbl>
    <w:p w:rsidR="00F51329" w:rsidRDefault="00414087" w:rsidP="00414087">
      <w:pPr>
        <w:spacing w:before="100" w:beforeAutospacing="1" w:after="100" w:afterAutospacing="1"/>
        <w:rPr>
          <w:rFonts w:cstheme="minorHAnsi"/>
          <w:bCs/>
          <w:iCs/>
          <w:color w:val="1F497D" w:themeColor="text2"/>
        </w:rPr>
      </w:pPr>
      <w:r w:rsidRPr="00746445">
        <w:rPr>
          <w:rFonts w:cstheme="minorHAnsi"/>
          <w:bCs/>
          <w:iCs/>
          <w:color w:val="1F497D" w:themeColor="text2"/>
        </w:rPr>
        <w:t xml:space="preserve">In order to </w:t>
      </w:r>
      <w:r w:rsidR="003E38F9">
        <w:rPr>
          <w:rFonts w:cstheme="minorHAnsi"/>
          <w:bCs/>
          <w:iCs/>
          <w:color w:val="1F497D" w:themeColor="text2"/>
        </w:rPr>
        <w:t xml:space="preserve">determine whether SNFs </w:t>
      </w:r>
      <w:r w:rsidRPr="00746445">
        <w:rPr>
          <w:rFonts w:cstheme="minorHAnsi"/>
          <w:bCs/>
          <w:iCs/>
          <w:color w:val="1F497D" w:themeColor="text2"/>
        </w:rPr>
        <w:t xml:space="preserve">with certain characteristics were more or less likely to have submitted discharge records on their patients that were “errors” relative to the “gold standard” of Medicare claims, we calculated the percentage of all MDS discharge records reported that corresponded </w:t>
      </w:r>
      <w:r w:rsidRPr="00746445">
        <w:rPr>
          <w:rFonts w:cstheme="minorHAnsi"/>
          <w:bCs/>
          <w:iCs/>
          <w:color w:val="1F497D" w:themeColor="text2"/>
        </w:rPr>
        <w:lastRenderedPageBreak/>
        <w:t>to a Medicare claim (either i</w:t>
      </w:r>
      <w:r w:rsidR="00FE50D5">
        <w:rPr>
          <w:rFonts w:cstheme="minorHAnsi"/>
          <w:bCs/>
          <w:iCs/>
          <w:color w:val="1F497D" w:themeColor="text2"/>
        </w:rPr>
        <w:t>npatient or outpatient). Table 6</w:t>
      </w:r>
      <w:r w:rsidRPr="00746445">
        <w:rPr>
          <w:rFonts w:cstheme="minorHAnsi"/>
          <w:bCs/>
          <w:iCs/>
          <w:color w:val="1F497D" w:themeColor="text2"/>
        </w:rPr>
        <w:t xml:space="preserve"> below presents the marginal effect of a one unit change in the explanatory variable on the facility “accuracy” rate. The facility characteristics generally have no relationship to the measurement performance as can be seen by t-statistics smaller than 2.0.   The only variables that are marginally significant are the proportion of minority patients in the facility and even these are very small effects. </w:t>
      </w:r>
    </w:p>
    <w:p w:rsidR="00414087" w:rsidRPr="00372491" w:rsidRDefault="00FE50D5" w:rsidP="00414087">
      <w:pPr>
        <w:spacing w:before="100" w:beforeAutospacing="1" w:after="100" w:afterAutospacing="1"/>
        <w:rPr>
          <w:rFonts w:cstheme="minorHAnsi"/>
          <w:bCs/>
          <w:iCs/>
          <w:color w:val="1F497D" w:themeColor="text2"/>
        </w:rPr>
      </w:pPr>
      <w:r>
        <w:rPr>
          <w:rFonts w:cstheme="minorHAnsi"/>
          <w:b/>
          <w:bCs/>
          <w:iCs/>
          <w:color w:val="1F497D" w:themeColor="text2"/>
        </w:rPr>
        <w:t>Table 6. Linear Regression of Fraction o</w:t>
      </w:r>
      <w:r w:rsidRPr="00FE50D5">
        <w:rPr>
          <w:rFonts w:cstheme="minorHAnsi"/>
          <w:b/>
          <w:bCs/>
          <w:iCs/>
          <w:color w:val="1F497D" w:themeColor="text2"/>
        </w:rPr>
        <w:t xml:space="preserve">f Hospitalization Events Identified From Both </w:t>
      </w:r>
      <w:r>
        <w:rPr>
          <w:rFonts w:cstheme="minorHAnsi"/>
          <w:b/>
          <w:bCs/>
          <w:iCs/>
          <w:color w:val="1F497D" w:themeColor="text2"/>
        </w:rPr>
        <w:t>MDS and Medicare Claims onto SNF</w:t>
      </w:r>
      <w:r w:rsidRPr="00FE50D5">
        <w:rPr>
          <w:rFonts w:cstheme="minorHAnsi"/>
          <w:b/>
          <w:bCs/>
          <w:iCs/>
          <w:color w:val="1F497D" w:themeColor="text2"/>
        </w:rPr>
        <w:t xml:space="preserve"> Characteristics</w:t>
      </w:r>
    </w:p>
    <w:tbl>
      <w:tblPr>
        <w:tblW w:w="0" w:type="auto"/>
        <w:tblCellMar>
          <w:left w:w="0" w:type="dxa"/>
          <w:right w:w="0" w:type="dxa"/>
        </w:tblCellMar>
        <w:tblLook w:val="04A0" w:firstRow="1" w:lastRow="0" w:firstColumn="1" w:lastColumn="0" w:noHBand="0" w:noVBand="1"/>
      </w:tblPr>
      <w:tblGrid>
        <w:gridCol w:w="4200"/>
        <w:gridCol w:w="1206"/>
        <w:gridCol w:w="1161"/>
        <w:gridCol w:w="1217"/>
        <w:gridCol w:w="1217"/>
      </w:tblGrid>
      <w:tr w:rsidR="00B75500" w:rsidRPr="00B75500" w:rsidTr="00B75500">
        <w:trPr>
          <w:trHeight w:hRule="exact" w:val="288"/>
        </w:trPr>
        <w:tc>
          <w:tcPr>
            <w:tcW w:w="0" w:type="auto"/>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center"/>
              <w:rPr>
                <w:rFonts w:eastAsiaTheme="minorHAnsi"/>
                <w:b/>
                <w:color w:val="1F497D" w:themeColor="text2"/>
              </w:rPr>
            </w:pPr>
            <w:r w:rsidRPr="00B75500">
              <w:rPr>
                <w:b/>
                <w:color w:val="1F497D" w:themeColor="text2"/>
              </w:rPr>
              <w:t>Independent variables</w:t>
            </w:r>
          </w:p>
        </w:tc>
        <w:tc>
          <w:tcPr>
            <w:tcW w:w="0" w:type="auto"/>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center"/>
              <w:rPr>
                <w:rFonts w:eastAsiaTheme="minorHAnsi"/>
                <w:b/>
                <w:color w:val="1F497D" w:themeColor="text2"/>
              </w:rPr>
            </w:pPr>
            <w:r w:rsidRPr="00B75500">
              <w:rPr>
                <w:b/>
                <w:color w:val="1F497D" w:themeColor="text2"/>
              </w:rPr>
              <w:t>Coefficient</w:t>
            </w:r>
          </w:p>
        </w:tc>
        <w:tc>
          <w:tcPr>
            <w:tcW w:w="0" w:type="auto"/>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center"/>
              <w:rPr>
                <w:rFonts w:eastAsiaTheme="minorHAnsi"/>
                <w:b/>
                <w:color w:val="1F497D" w:themeColor="text2"/>
              </w:rPr>
            </w:pPr>
            <w:r w:rsidRPr="00B75500">
              <w:rPr>
                <w:b/>
                <w:color w:val="1F497D" w:themeColor="text2"/>
              </w:rPr>
              <w:t>t-statistics</w:t>
            </w:r>
          </w:p>
        </w:tc>
        <w:tc>
          <w:tcPr>
            <w:tcW w:w="0" w:type="auto"/>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center"/>
              <w:rPr>
                <w:rFonts w:eastAsiaTheme="minorHAnsi"/>
                <w:b/>
                <w:color w:val="1F497D" w:themeColor="text2"/>
              </w:rPr>
            </w:pPr>
            <w:r w:rsidRPr="00B75500">
              <w:rPr>
                <w:b/>
                <w:color w:val="1F497D" w:themeColor="text2"/>
              </w:rPr>
              <w:t>95% Confidence Interval</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Pr>
                <w:color w:val="1F497D" w:themeColor="text2"/>
              </w:rPr>
              <w:t>Current Health D</w:t>
            </w:r>
            <w:r w:rsidRPr="00B75500">
              <w:rPr>
                <w:color w:val="1F497D" w:themeColor="text2"/>
              </w:rPr>
              <w:t>eficiencies</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-0.051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-1.14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-0.14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0.038</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Pr>
                <w:color w:val="1F497D" w:themeColor="text2"/>
              </w:rPr>
              <w:t>Best-Guess Total Beds in F</w:t>
            </w:r>
            <w:r w:rsidRPr="00B75500">
              <w:rPr>
                <w:color w:val="1F497D" w:themeColor="text2"/>
              </w:rPr>
              <w:t>acility</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3.27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0.004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0.017</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 xml:space="preserve">% Medicaid </w:t>
            </w:r>
            <w:r>
              <w:rPr>
                <w:color w:val="1F497D" w:themeColor="text2"/>
              </w:rPr>
              <w:t>as Primary P</w:t>
            </w:r>
            <w:r w:rsidRPr="00B75500">
              <w:rPr>
                <w:color w:val="1F497D" w:themeColor="text2"/>
              </w:rPr>
              <w:t>ayer</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0.025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1.76</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-0.004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0.054</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Pr>
                <w:color w:val="1F497D" w:themeColor="text2"/>
              </w:rPr>
              <w:t xml:space="preserve">Part of a Chain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0.543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1.33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-0.28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1.366</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Pr>
                <w:color w:val="1F497D" w:themeColor="text2"/>
              </w:rPr>
              <w:t xml:space="preserve">For-Profit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-0.519</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-1.27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-1.337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0.299</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Pr>
                <w:color w:val="1F497D" w:themeColor="text2"/>
              </w:rPr>
              <w:t xml:space="preserve">Hospital Based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0.248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-1.394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1.89</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Pr>
                <w:color w:val="1F497D" w:themeColor="text2"/>
              </w:rPr>
              <w:t>Resident Acuity I</w:t>
            </w:r>
            <w:r w:rsidRPr="00B75500">
              <w:rPr>
                <w:color w:val="1F497D" w:themeColor="text2"/>
              </w:rPr>
              <w:t>ndex</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-0.184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-1.58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-0.418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0.05</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Any Physician E</w:t>
            </w:r>
            <w:r w:rsidR="00B75500" w:rsidRPr="00B75500">
              <w:rPr>
                <w:color w:val="1F497D" w:themeColor="text2"/>
              </w:rPr>
              <w:t>xtender FTEs</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-0.031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-0.12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-0.53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0.469</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Ratio of RN to total nurse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0.673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0.45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-2.342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3.688</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Total direct Care Hours per Day per R</w:t>
            </w:r>
            <w:r w:rsidR="00B75500" w:rsidRPr="00B75500">
              <w:rPr>
                <w:color w:val="1F497D" w:themeColor="text2"/>
              </w:rPr>
              <w:t>esident</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-0.043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-0.35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-0.293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0.206</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Weighted Deficiency (all) S</w:t>
            </w:r>
            <w:r w:rsidR="00B75500" w:rsidRPr="00B75500">
              <w:rPr>
                <w:color w:val="1F497D" w:themeColor="text2"/>
              </w:rPr>
              <w:t>core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-0.003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-0.92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0.004</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Percent O</w:t>
            </w:r>
            <w:r w:rsidR="00B75500" w:rsidRPr="00B75500">
              <w:rPr>
                <w:color w:val="1F497D" w:themeColor="text2"/>
              </w:rPr>
              <w:t>ccupancy</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0.033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2.25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0.004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0.062</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 of Admissions C</w:t>
            </w:r>
            <w:r w:rsidR="00B75500" w:rsidRPr="00B75500">
              <w:rPr>
                <w:color w:val="1F497D" w:themeColor="text2"/>
              </w:rPr>
              <w:t>lassified "Low Care"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0.012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0.27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0.104</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 of Admissions from Acute H</w:t>
            </w:r>
            <w:r w:rsidR="00B75500" w:rsidRPr="00B75500">
              <w:rPr>
                <w:color w:val="1F497D" w:themeColor="text2"/>
              </w:rPr>
              <w:t>ospital</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0.012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0.84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-0.017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0.042</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 of Admissions Fe</w:t>
            </w:r>
            <w:r w:rsidR="00B75500" w:rsidRPr="00B75500">
              <w:rPr>
                <w:color w:val="1F497D" w:themeColor="text2"/>
              </w:rPr>
              <w:t>male</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0.029</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1.55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-0.009</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0.066</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 of Admissions B</w:t>
            </w:r>
            <w:r w:rsidR="00B75500" w:rsidRPr="00B75500">
              <w:rPr>
                <w:color w:val="1F497D" w:themeColor="text2"/>
              </w:rPr>
              <w:t>lack</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-0.055</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-3.96</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-0.083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-0.027</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 of A</w:t>
            </w:r>
            <w:r w:rsidR="00B75500" w:rsidRPr="00B75500">
              <w:rPr>
                <w:color w:val="1F497D" w:themeColor="text2"/>
              </w:rPr>
              <w:t>dmissions Hispanic</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-0.068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-3.14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-0.112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-0.025</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 of Annual Admissions per B</w:t>
            </w:r>
            <w:r w:rsidR="00B75500" w:rsidRPr="00B75500">
              <w:rPr>
                <w:color w:val="1F497D" w:themeColor="text2"/>
              </w:rPr>
              <w:t>ed</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-0.104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-1.31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-0.264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0.056</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 Hospitalizations per Resident Y</w:t>
            </w:r>
            <w:r w:rsidR="00B75500" w:rsidRPr="00B75500">
              <w:rPr>
                <w:color w:val="1F497D" w:themeColor="text2"/>
              </w:rPr>
              <w:t>ear</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0.422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1.08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-0.362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1.205</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Mean RUGS (512) Value Across R</w:t>
            </w:r>
            <w:r w:rsidR="00B75500" w:rsidRPr="00B75500">
              <w:rPr>
                <w:color w:val="1F497D" w:themeColor="text2"/>
              </w:rPr>
              <w:t>esidents</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6.417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3.32</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2.531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10.303</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Mean Age at Assessment Across R</w:t>
            </w:r>
            <w:r w:rsidR="00B75500" w:rsidRPr="00B75500">
              <w:rPr>
                <w:color w:val="1F497D" w:themeColor="text2"/>
              </w:rPr>
              <w:t>esidents</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0.083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1.94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-0.003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0.168</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Constant</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65.177</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11.73</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54.008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76.346</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N</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13684</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 </w:t>
            </w: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R-squared</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0.0121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jc w:val="right"/>
              <w:rPr>
                <w:rFonts w:eastAsia="Times New Roman"/>
                <w:color w:val="1F497D" w:themeColor="text2"/>
              </w:rPr>
            </w:pP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jc w:val="right"/>
              <w:rPr>
                <w:rFonts w:eastAsia="Times New Roman"/>
                <w:color w:val="1F497D" w:themeColor="text2"/>
              </w:rPr>
            </w:pP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jc w:val="right"/>
              <w:rPr>
                <w:rFonts w:eastAsia="Times New Roman"/>
                <w:color w:val="1F497D" w:themeColor="text2"/>
              </w:rPr>
            </w:pPr>
          </w:p>
        </w:tc>
      </w:tr>
      <w:tr w:rsidR="00B75500" w:rsidRPr="00B75500" w:rsidTr="00B75500">
        <w:trPr>
          <w:trHeight w:hRule="exact" w:val="288"/>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B75500" w:rsidRPr="00B75500" w:rsidRDefault="00AC4210" w:rsidP="00B75500">
            <w:pPr>
              <w:spacing w:before="100" w:beforeAutospacing="1"/>
              <w:jc w:val="right"/>
              <w:rPr>
                <w:rFonts w:eastAsiaTheme="minorHAnsi"/>
                <w:color w:val="1F497D" w:themeColor="text2"/>
              </w:rPr>
            </w:pPr>
            <w:r>
              <w:rPr>
                <w:color w:val="1F497D" w:themeColor="text2"/>
              </w:rPr>
              <w:t>Joint Test of S</w:t>
            </w:r>
            <w:r w:rsidR="00B75500" w:rsidRPr="00B75500">
              <w:rPr>
                <w:color w:val="1F497D" w:themeColor="text2"/>
              </w:rPr>
              <w:t>ignificance F( 21,48)</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7.11</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 </w:t>
            </w:r>
          </w:p>
        </w:tc>
        <w:tc>
          <w:tcPr>
            <w:tcW w:w="0" w:type="auto"/>
            <w:tcBorders>
              <w:top w:val="nil"/>
              <w:left w:val="nil"/>
              <w:bottom w:val="single" w:sz="8" w:space="0" w:color="auto"/>
              <w:right w:val="single" w:sz="8" w:space="0" w:color="auto"/>
            </w:tcBorders>
            <w:noWrap/>
            <w:tcMar>
              <w:top w:w="0" w:type="dxa"/>
              <w:left w:w="108" w:type="dxa"/>
              <w:bottom w:w="0" w:type="dxa"/>
              <w:right w:w="108" w:type="dxa"/>
            </w:tcMar>
            <w:hideMark/>
          </w:tcPr>
          <w:p w:rsidR="00B75500" w:rsidRPr="00B75500" w:rsidRDefault="00B75500" w:rsidP="00B75500">
            <w:pPr>
              <w:spacing w:before="100" w:beforeAutospacing="1"/>
              <w:jc w:val="right"/>
              <w:rPr>
                <w:rFonts w:eastAsiaTheme="minorHAnsi"/>
                <w:color w:val="1F497D" w:themeColor="text2"/>
              </w:rPr>
            </w:pPr>
            <w:r w:rsidRPr="00B75500">
              <w:rPr>
                <w:color w:val="1F497D" w:themeColor="text2"/>
              </w:rPr>
              <w:t> </w:t>
            </w:r>
          </w:p>
        </w:tc>
      </w:tr>
    </w:tbl>
    <w:p w:rsidR="00B75500" w:rsidRDefault="00B75500" w:rsidP="00414087">
      <w:pPr>
        <w:spacing w:before="100" w:beforeAutospacing="1" w:after="100" w:afterAutospacing="1"/>
        <w:rPr>
          <w:rFonts w:cstheme="minorHAnsi"/>
          <w:bCs/>
          <w:iCs/>
          <w:color w:val="1F497D" w:themeColor="text2"/>
        </w:rPr>
      </w:pPr>
    </w:p>
    <w:p w:rsidR="00B75500" w:rsidRDefault="00B75500" w:rsidP="00414087">
      <w:pPr>
        <w:spacing w:before="100" w:beforeAutospacing="1" w:after="100" w:afterAutospacing="1"/>
        <w:rPr>
          <w:rFonts w:cstheme="minorHAnsi"/>
          <w:bCs/>
          <w:iCs/>
          <w:color w:val="1F497D" w:themeColor="text2"/>
        </w:rPr>
      </w:pPr>
    </w:p>
    <w:p w:rsidR="00B75500" w:rsidRDefault="00B75500" w:rsidP="00414087">
      <w:pPr>
        <w:spacing w:before="100" w:beforeAutospacing="1" w:after="100" w:afterAutospacing="1"/>
        <w:rPr>
          <w:rFonts w:cstheme="minorHAnsi"/>
          <w:bCs/>
          <w:iCs/>
          <w:color w:val="1F497D" w:themeColor="text2"/>
        </w:rPr>
      </w:pPr>
    </w:p>
    <w:p w:rsidR="00B75500" w:rsidRDefault="00B75500" w:rsidP="00414087">
      <w:pPr>
        <w:spacing w:before="100" w:beforeAutospacing="1" w:after="100" w:afterAutospacing="1"/>
        <w:rPr>
          <w:rFonts w:cstheme="minorHAnsi"/>
          <w:bCs/>
          <w:iCs/>
          <w:color w:val="1F497D" w:themeColor="text2"/>
        </w:rPr>
      </w:pPr>
    </w:p>
    <w:p w:rsidR="00B75500" w:rsidRDefault="00414087" w:rsidP="00414087">
      <w:pPr>
        <w:spacing w:before="100" w:beforeAutospacing="1" w:after="100" w:afterAutospacing="1"/>
        <w:rPr>
          <w:rFonts w:cstheme="minorHAnsi"/>
          <w:bCs/>
          <w:iCs/>
          <w:color w:val="1F497D" w:themeColor="text2"/>
        </w:rPr>
      </w:pPr>
      <w:r w:rsidRPr="00746445">
        <w:rPr>
          <w:rFonts w:cstheme="minorHAnsi"/>
          <w:bCs/>
          <w:iCs/>
          <w:color w:val="1F497D" w:themeColor="text2"/>
        </w:rPr>
        <w:lastRenderedPageBreak/>
        <w:t xml:space="preserve">Finally, as shown in Figure 1 below, we compared facility level 30 day rehospitalization rates using MDS and Medicare claims data.  </w:t>
      </w:r>
    </w:p>
    <w:p w:rsidR="00414087" w:rsidRPr="00B75500" w:rsidRDefault="00FE50D5" w:rsidP="00414087">
      <w:pPr>
        <w:spacing w:before="100" w:beforeAutospacing="1" w:after="100" w:afterAutospacing="1"/>
        <w:rPr>
          <w:rFonts w:cstheme="minorHAnsi"/>
          <w:bCs/>
          <w:iCs/>
          <w:color w:val="1F497D" w:themeColor="text2"/>
        </w:rPr>
      </w:pPr>
      <w:r>
        <w:rPr>
          <w:rFonts w:cstheme="minorHAnsi"/>
          <w:b/>
          <w:bCs/>
          <w:iCs/>
          <w:color w:val="1F497D" w:themeColor="text2"/>
        </w:rPr>
        <w:t>FIGURE</w:t>
      </w:r>
      <w:r w:rsidR="00414087" w:rsidRPr="00FE50D5">
        <w:rPr>
          <w:rFonts w:cstheme="minorHAnsi"/>
          <w:b/>
          <w:bCs/>
          <w:iCs/>
          <w:color w:val="1F497D" w:themeColor="text2"/>
        </w:rPr>
        <w:t xml:space="preserve"> 1. </w:t>
      </w:r>
      <w:r>
        <w:rPr>
          <w:rFonts w:cstheme="minorHAnsi"/>
          <w:b/>
          <w:bCs/>
          <w:iCs/>
          <w:color w:val="1F497D" w:themeColor="text2"/>
        </w:rPr>
        <w:t xml:space="preserve">30 </w:t>
      </w:r>
      <w:r w:rsidRPr="00FE50D5">
        <w:rPr>
          <w:rFonts w:cstheme="minorHAnsi"/>
          <w:b/>
          <w:bCs/>
          <w:iCs/>
          <w:color w:val="1F497D" w:themeColor="text2"/>
        </w:rPr>
        <w:t>Day Reho</w:t>
      </w:r>
      <w:r>
        <w:rPr>
          <w:rFonts w:cstheme="minorHAnsi"/>
          <w:b/>
          <w:bCs/>
          <w:iCs/>
          <w:color w:val="1F497D" w:themeColor="text2"/>
        </w:rPr>
        <w:t>spitalization Rates Calculated from Medicare Claims a</w:t>
      </w:r>
      <w:r w:rsidRPr="00FE50D5">
        <w:rPr>
          <w:rFonts w:cstheme="minorHAnsi"/>
          <w:b/>
          <w:bCs/>
          <w:iCs/>
          <w:color w:val="1F497D" w:themeColor="text2"/>
        </w:rPr>
        <w:t xml:space="preserve">nd </w:t>
      </w:r>
      <w:r>
        <w:rPr>
          <w:rFonts w:cstheme="minorHAnsi"/>
          <w:b/>
          <w:bCs/>
          <w:iCs/>
          <w:color w:val="1F497D" w:themeColor="text2"/>
        </w:rPr>
        <w:t>MDS</w:t>
      </w:r>
    </w:p>
    <w:p w:rsidR="00414087" w:rsidRDefault="00414087" w:rsidP="00414087">
      <w:pPr>
        <w:spacing w:before="100" w:beforeAutospacing="1" w:after="100" w:afterAutospacing="1"/>
        <w:rPr>
          <w:rFonts w:cstheme="minorHAnsi"/>
          <w:bCs/>
          <w:iCs/>
          <w:color w:val="1F497D" w:themeColor="text2"/>
        </w:rPr>
      </w:pPr>
      <w:r w:rsidRPr="00746445">
        <w:rPr>
          <w:rFonts w:cstheme="minorHAnsi"/>
          <w:bCs/>
          <w:iCs/>
          <w:noProof/>
          <w:color w:val="1F497D" w:themeColor="text2"/>
        </w:rPr>
        <w:drawing>
          <wp:inline distT="0" distB="0" distL="0" distR="0" wp14:anchorId="041EA6B5" wp14:editId="26EE18C4">
            <wp:extent cx="4434128" cy="2713939"/>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40147" cy="2717623"/>
                    </a:xfrm>
                    <a:prstGeom prst="rect">
                      <a:avLst/>
                    </a:prstGeom>
                    <a:noFill/>
                    <a:ln>
                      <a:noFill/>
                    </a:ln>
                  </pic:spPr>
                </pic:pic>
              </a:graphicData>
            </a:graphic>
          </wp:inline>
        </w:drawing>
      </w:r>
    </w:p>
    <w:p w:rsidR="007942B2" w:rsidRDefault="003C0AFB" w:rsidP="00414087">
      <w:pPr>
        <w:spacing w:before="100" w:beforeAutospacing="1" w:after="100" w:afterAutospacing="1"/>
        <w:rPr>
          <w:rFonts w:cstheme="minorHAnsi"/>
          <w:bCs/>
          <w:iCs/>
          <w:color w:val="1F497D" w:themeColor="text2"/>
        </w:rPr>
      </w:pPr>
      <w:r w:rsidRPr="003E38F9">
        <w:rPr>
          <w:rFonts w:cstheme="minorHAnsi"/>
          <w:bCs/>
          <w:iCs/>
          <w:color w:val="1F497D" w:themeColor="text2"/>
        </w:rPr>
        <w:t xml:space="preserve">With respect to the relationship of rehospitalization rate and five Star rating, we found a consistent inverse relationship between the rehospitalization rate and the overall five star rating, health inspection component of five star staff, the nurse staffing level (see Table </w:t>
      </w:r>
      <w:r>
        <w:rPr>
          <w:rFonts w:cstheme="minorHAnsi"/>
          <w:bCs/>
          <w:iCs/>
          <w:color w:val="1F497D" w:themeColor="text2"/>
        </w:rPr>
        <w:t>7.A</w:t>
      </w:r>
      <w:r w:rsidRPr="003E38F9">
        <w:rPr>
          <w:rFonts w:cstheme="minorHAnsi"/>
          <w:bCs/>
          <w:iCs/>
          <w:color w:val="1F497D" w:themeColor="text2"/>
        </w:rPr>
        <w:t xml:space="preserve">, </w:t>
      </w:r>
      <w:r>
        <w:rPr>
          <w:rFonts w:cstheme="minorHAnsi"/>
          <w:bCs/>
          <w:iCs/>
          <w:color w:val="1F497D" w:themeColor="text2"/>
        </w:rPr>
        <w:t>7.B</w:t>
      </w:r>
      <w:r w:rsidRPr="003E38F9">
        <w:rPr>
          <w:rFonts w:cstheme="minorHAnsi"/>
          <w:bCs/>
          <w:iCs/>
          <w:color w:val="1F497D" w:themeColor="text2"/>
        </w:rPr>
        <w:t xml:space="preserve">, and </w:t>
      </w:r>
      <w:r>
        <w:rPr>
          <w:rFonts w:cstheme="minorHAnsi"/>
          <w:bCs/>
          <w:iCs/>
          <w:color w:val="1F497D" w:themeColor="text2"/>
        </w:rPr>
        <w:t>7.C</w:t>
      </w:r>
      <w:r w:rsidRPr="003E38F9">
        <w:rPr>
          <w:rFonts w:cstheme="minorHAnsi"/>
          <w:bCs/>
          <w:iCs/>
          <w:color w:val="1F497D" w:themeColor="text2"/>
        </w:rPr>
        <w:t xml:space="preserve"> below). The correlation coefficient for each table were </w:t>
      </w:r>
      <w:r w:rsidRPr="003E38F9">
        <w:rPr>
          <w:rFonts w:ascii="Arial" w:hAnsi="Arial" w:cs="Arial"/>
          <w:color w:val="1F497D" w:themeColor="text2"/>
          <w:sz w:val="20"/>
          <w:szCs w:val="20"/>
        </w:rPr>
        <w:t xml:space="preserve">-0.15739, </w:t>
      </w:r>
      <w:r w:rsidRPr="003E38F9">
        <w:rPr>
          <w:rFonts w:cstheme="minorHAnsi"/>
          <w:bCs/>
          <w:iCs/>
          <w:color w:val="1F497D" w:themeColor="text2"/>
        </w:rPr>
        <w:t xml:space="preserve">-0.13402, </w:t>
      </w:r>
      <w:r w:rsidRPr="003E38F9">
        <w:rPr>
          <w:rFonts w:ascii="Arial" w:hAnsi="Arial" w:cs="Arial"/>
          <w:color w:val="1F497D" w:themeColor="text2"/>
          <w:sz w:val="20"/>
          <w:szCs w:val="20"/>
        </w:rPr>
        <w:t xml:space="preserve">-0.17274 </w:t>
      </w:r>
      <w:r w:rsidRPr="003E38F9">
        <w:rPr>
          <w:rFonts w:cstheme="minorHAnsi"/>
          <w:bCs/>
          <w:iCs/>
          <w:color w:val="1F497D" w:themeColor="text2"/>
        </w:rPr>
        <w:t>respectively; all p &lt;0.0001.</w:t>
      </w:r>
    </w:p>
    <w:tbl>
      <w:tblPr>
        <w:tblStyle w:val="TableGrid"/>
        <w:tblpPr w:leftFromText="180" w:rightFromText="180" w:vertAnchor="text" w:horzAnchor="margin" w:tblpY="443"/>
        <w:tblW w:w="8106" w:type="dxa"/>
        <w:tblLook w:val="04A0" w:firstRow="1" w:lastRow="0" w:firstColumn="1" w:lastColumn="0" w:noHBand="0" w:noVBand="1"/>
      </w:tblPr>
      <w:tblGrid>
        <w:gridCol w:w="2487"/>
        <w:gridCol w:w="5619"/>
      </w:tblGrid>
      <w:tr w:rsidR="003C0AFB" w:rsidRPr="003E38F9" w:rsidTr="00F51329">
        <w:trPr>
          <w:trHeight w:val="307"/>
        </w:trPr>
        <w:tc>
          <w:tcPr>
            <w:tcW w:w="2487" w:type="dxa"/>
            <w:noWrap/>
            <w:hideMark/>
          </w:tcPr>
          <w:p w:rsidR="003C0AFB" w:rsidRPr="003E38F9" w:rsidRDefault="003C0AFB" w:rsidP="00F51329">
            <w:pPr>
              <w:rPr>
                <w:rFonts w:ascii="Calibri" w:eastAsia="Times New Roman" w:hAnsi="Calibri" w:cs="Calibri"/>
                <w:b/>
                <w:bCs/>
                <w:color w:val="1F497D" w:themeColor="text2"/>
              </w:rPr>
            </w:pPr>
            <w:r w:rsidRPr="003E38F9">
              <w:rPr>
                <w:rFonts w:ascii="Calibri" w:eastAsia="Times New Roman" w:hAnsi="Calibri" w:cs="Calibri"/>
                <w:b/>
                <w:bCs/>
                <w:color w:val="1F497D" w:themeColor="text2"/>
              </w:rPr>
              <w:t xml:space="preserve">Overall </w:t>
            </w:r>
            <w:r w:rsidR="00F51329">
              <w:rPr>
                <w:rFonts w:ascii="Calibri" w:eastAsia="Times New Roman" w:hAnsi="Calibri" w:cs="Calibri"/>
                <w:b/>
                <w:bCs/>
                <w:color w:val="1F497D" w:themeColor="text2"/>
              </w:rPr>
              <w:t>Five</w:t>
            </w:r>
            <w:r>
              <w:rPr>
                <w:rFonts w:ascii="Calibri" w:eastAsia="Times New Roman" w:hAnsi="Calibri" w:cs="Calibri"/>
                <w:b/>
                <w:bCs/>
                <w:color w:val="1F497D" w:themeColor="text2"/>
              </w:rPr>
              <w:t xml:space="preserve"> Star</w:t>
            </w:r>
            <w:r w:rsidRPr="003E38F9">
              <w:rPr>
                <w:rFonts w:ascii="Calibri" w:eastAsia="Times New Roman" w:hAnsi="Calibri" w:cs="Calibri"/>
                <w:b/>
                <w:bCs/>
                <w:color w:val="1F497D" w:themeColor="text2"/>
              </w:rPr>
              <w:t xml:space="preserve"> Rating</w:t>
            </w:r>
          </w:p>
        </w:tc>
        <w:tc>
          <w:tcPr>
            <w:tcW w:w="5619" w:type="dxa"/>
            <w:noWrap/>
            <w:hideMark/>
          </w:tcPr>
          <w:p w:rsidR="003C0AFB" w:rsidRPr="003E38F9" w:rsidRDefault="003C0AFB" w:rsidP="003C0AFB">
            <w:pPr>
              <w:rPr>
                <w:rFonts w:ascii="Calibri" w:eastAsia="Times New Roman" w:hAnsi="Calibri" w:cs="Calibri"/>
                <w:b/>
                <w:bCs/>
                <w:color w:val="1F497D" w:themeColor="text2"/>
              </w:rPr>
            </w:pPr>
            <w:r>
              <w:rPr>
                <w:rFonts w:ascii="Calibri" w:eastAsia="Times New Roman" w:hAnsi="Calibri" w:cs="Calibri"/>
                <w:b/>
                <w:bCs/>
                <w:color w:val="1F497D" w:themeColor="text2"/>
              </w:rPr>
              <w:t>2</w:t>
            </w:r>
            <w:r w:rsidRPr="003C0AFB">
              <w:rPr>
                <w:rFonts w:ascii="Calibri" w:eastAsia="Times New Roman" w:hAnsi="Calibri" w:cs="Calibri"/>
                <w:b/>
                <w:bCs/>
                <w:color w:val="1F497D" w:themeColor="text2"/>
                <w:vertAlign w:val="superscript"/>
              </w:rPr>
              <w:t>nd</w:t>
            </w:r>
            <w:r>
              <w:rPr>
                <w:rFonts w:ascii="Calibri" w:eastAsia="Times New Roman" w:hAnsi="Calibri" w:cs="Calibri"/>
                <w:b/>
                <w:bCs/>
                <w:color w:val="1F497D" w:themeColor="text2"/>
              </w:rPr>
              <w:t xml:space="preserve"> Quarter Risk Adjusted Rehospitalization Rate </w:t>
            </w:r>
          </w:p>
        </w:tc>
      </w:tr>
      <w:tr w:rsidR="003C0AFB" w:rsidRPr="003E38F9" w:rsidTr="00925E3E">
        <w:trPr>
          <w:trHeight w:val="307"/>
        </w:trPr>
        <w:tc>
          <w:tcPr>
            <w:tcW w:w="2487" w:type="dxa"/>
            <w:noWrap/>
            <w:hideMark/>
          </w:tcPr>
          <w:p w:rsidR="003C0AFB" w:rsidRPr="003E38F9" w:rsidRDefault="003C0AFB" w:rsidP="003C0AF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w:t>
            </w:r>
          </w:p>
        </w:tc>
        <w:tc>
          <w:tcPr>
            <w:tcW w:w="5619" w:type="dxa"/>
            <w:noWrap/>
            <w:vAlign w:val="center"/>
            <w:hideMark/>
          </w:tcPr>
          <w:p w:rsidR="003C0AFB" w:rsidRPr="003E38F9" w:rsidRDefault="003C0AFB"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19.0</w:t>
            </w:r>
          </w:p>
        </w:tc>
      </w:tr>
      <w:tr w:rsidR="003C0AFB" w:rsidRPr="003E38F9" w:rsidTr="00925E3E">
        <w:trPr>
          <w:trHeight w:val="307"/>
        </w:trPr>
        <w:tc>
          <w:tcPr>
            <w:tcW w:w="2487" w:type="dxa"/>
            <w:noWrap/>
            <w:hideMark/>
          </w:tcPr>
          <w:p w:rsidR="003C0AFB" w:rsidRPr="003E38F9" w:rsidRDefault="003C0AFB" w:rsidP="003C0AF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2</w:t>
            </w:r>
          </w:p>
        </w:tc>
        <w:tc>
          <w:tcPr>
            <w:tcW w:w="5619" w:type="dxa"/>
            <w:noWrap/>
            <w:vAlign w:val="center"/>
            <w:hideMark/>
          </w:tcPr>
          <w:p w:rsidR="003C0AFB" w:rsidRPr="003E38F9" w:rsidRDefault="003C0AFB"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18.3</w:t>
            </w:r>
          </w:p>
        </w:tc>
      </w:tr>
      <w:tr w:rsidR="003C0AFB" w:rsidRPr="003E38F9" w:rsidTr="00925E3E">
        <w:trPr>
          <w:trHeight w:val="307"/>
        </w:trPr>
        <w:tc>
          <w:tcPr>
            <w:tcW w:w="2487" w:type="dxa"/>
            <w:noWrap/>
            <w:hideMark/>
          </w:tcPr>
          <w:p w:rsidR="003C0AFB" w:rsidRPr="003E38F9" w:rsidRDefault="003C0AFB" w:rsidP="003C0AF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3</w:t>
            </w:r>
          </w:p>
        </w:tc>
        <w:tc>
          <w:tcPr>
            <w:tcW w:w="5619" w:type="dxa"/>
            <w:noWrap/>
            <w:vAlign w:val="center"/>
            <w:hideMark/>
          </w:tcPr>
          <w:p w:rsidR="003C0AFB" w:rsidRPr="003E38F9" w:rsidRDefault="003C0AFB"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17.9</w:t>
            </w:r>
          </w:p>
        </w:tc>
      </w:tr>
      <w:tr w:rsidR="003C0AFB" w:rsidRPr="003E38F9" w:rsidTr="00925E3E">
        <w:trPr>
          <w:trHeight w:val="307"/>
        </w:trPr>
        <w:tc>
          <w:tcPr>
            <w:tcW w:w="2487" w:type="dxa"/>
            <w:noWrap/>
            <w:hideMark/>
          </w:tcPr>
          <w:p w:rsidR="003C0AFB" w:rsidRPr="003E38F9" w:rsidRDefault="003C0AFB" w:rsidP="003C0AF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4</w:t>
            </w:r>
          </w:p>
        </w:tc>
        <w:tc>
          <w:tcPr>
            <w:tcW w:w="5619" w:type="dxa"/>
            <w:noWrap/>
            <w:vAlign w:val="center"/>
            <w:hideMark/>
          </w:tcPr>
          <w:p w:rsidR="003C0AFB" w:rsidRPr="003E38F9" w:rsidRDefault="003C0AFB"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17.3</w:t>
            </w:r>
          </w:p>
        </w:tc>
      </w:tr>
      <w:tr w:rsidR="003C0AFB" w:rsidRPr="003E38F9" w:rsidTr="00925E3E">
        <w:trPr>
          <w:trHeight w:val="307"/>
        </w:trPr>
        <w:tc>
          <w:tcPr>
            <w:tcW w:w="2487" w:type="dxa"/>
            <w:noWrap/>
            <w:hideMark/>
          </w:tcPr>
          <w:p w:rsidR="003C0AFB" w:rsidRPr="003E38F9" w:rsidRDefault="003C0AFB" w:rsidP="003C0AF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5</w:t>
            </w:r>
          </w:p>
        </w:tc>
        <w:tc>
          <w:tcPr>
            <w:tcW w:w="5619" w:type="dxa"/>
            <w:noWrap/>
            <w:vAlign w:val="center"/>
            <w:hideMark/>
          </w:tcPr>
          <w:p w:rsidR="003C0AFB" w:rsidRPr="003E38F9" w:rsidRDefault="003C0AFB"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16.4</w:t>
            </w:r>
          </w:p>
        </w:tc>
      </w:tr>
    </w:tbl>
    <w:p w:rsidR="003C0AFB" w:rsidRDefault="003C0AFB" w:rsidP="00414087">
      <w:pPr>
        <w:spacing w:before="100" w:beforeAutospacing="1" w:after="100" w:afterAutospacing="1"/>
        <w:rPr>
          <w:rFonts w:ascii="Calibri" w:eastAsia="Times New Roman" w:hAnsi="Calibri" w:cs="Calibri"/>
          <w:b/>
          <w:bCs/>
          <w:color w:val="1F497D" w:themeColor="text2"/>
        </w:rPr>
      </w:pPr>
      <w:r w:rsidRPr="003C0AFB">
        <w:rPr>
          <w:rFonts w:ascii="Calibri" w:eastAsia="Times New Roman" w:hAnsi="Calibri" w:cs="Calibri"/>
          <w:b/>
          <w:bCs/>
          <w:color w:val="1F497D" w:themeColor="text2"/>
        </w:rPr>
        <w:t>TABLE 7.A. Average Rehosp</w:t>
      </w:r>
      <w:r>
        <w:rPr>
          <w:rFonts w:ascii="Calibri" w:eastAsia="Times New Roman" w:hAnsi="Calibri" w:cs="Calibri"/>
          <w:b/>
          <w:bCs/>
          <w:color w:val="1F497D" w:themeColor="text2"/>
        </w:rPr>
        <w:t>italization Rate b</w:t>
      </w:r>
      <w:r w:rsidRPr="003C0AFB">
        <w:rPr>
          <w:rFonts w:ascii="Calibri" w:eastAsia="Times New Roman" w:hAnsi="Calibri" w:cs="Calibri"/>
          <w:b/>
          <w:bCs/>
          <w:color w:val="1F497D" w:themeColor="text2"/>
        </w:rPr>
        <w:t xml:space="preserve">y Overall </w:t>
      </w:r>
      <w:r w:rsidR="00F51329">
        <w:rPr>
          <w:rFonts w:ascii="Calibri" w:eastAsia="Times New Roman" w:hAnsi="Calibri" w:cs="Calibri"/>
          <w:b/>
          <w:bCs/>
          <w:color w:val="1F497D" w:themeColor="text2"/>
        </w:rPr>
        <w:t>Five</w:t>
      </w:r>
      <w:r w:rsidRPr="003C0AFB">
        <w:rPr>
          <w:rFonts w:ascii="Calibri" w:eastAsia="Times New Roman" w:hAnsi="Calibri" w:cs="Calibri"/>
          <w:b/>
          <w:bCs/>
          <w:color w:val="1F497D" w:themeColor="text2"/>
        </w:rPr>
        <w:t xml:space="preserve"> Star Rating</w:t>
      </w:r>
      <w:r>
        <w:rPr>
          <w:rFonts w:ascii="Calibri" w:eastAsia="Times New Roman" w:hAnsi="Calibri" w:cs="Calibri"/>
          <w:b/>
          <w:bCs/>
          <w:color w:val="1F497D" w:themeColor="text2"/>
        </w:rPr>
        <w:br/>
      </w:r>
    </w:p>
    <w:p w:rsidR="003C0AFB" w:rsidRDefault="003C0AFB" w:rsidP="00414087">
      <w:pPr>
        <w:spacing w:before="100" w:beforeAutospacing="1" w:after="100" w:afterAutospacing="1"/>
        <w:rPr>
          <w:rFonts w:ascii="Calibri" w:eastAsia="Times New Roman" w:hAnsi="Calibri" w:cs="Calibri"/>
          <w:b/>
          <w:bCs/>
          <w:color w:val="1F497D" w:themeColor="text2"/>
        </w:rPr>
      </w:pPr>
    </w:p>
    <w:p w:rsidR="003C0AFB" w:rsidRDefault="003C0AFB" w:rsidP="00414087">
      <w:pPr>
        <w:spacing w:before="100" w:beforeAutospacing="1" w:after="100" w:afterAutospacing="1"/>
        <w:rPr>
          <w:rFonts w:ascii="Calibri" w:eastAsia="Times New Roman" w:hAnsi="Calibri" w:cs="Calibri"/>
          <w:b/>
          <w:bCs/>
          <w:color w:val="1F497D" w:themeColor="text2"/>
        </w:rPr>
      </w:pPr>
    </w:p>
    <w:p w:rsidR="003C0AFB" w:rsidRDefault="003C0AFB" w:rsidP="00414087">
      <w:pPr>
        <w:spacing w:before="100" w:beforeAutospacing="1" w:after="100" w:afterAutospacing="1"/>
        <w:rPr>
          <w:rFonts w:ascii="Calibri" w:eastAsia="Times New Roman" w:hAnsi="Calibri" w:cs="Calibri"/>
          <w:b/>
          <w:bCs/>
          <w:color w:val="1F497D" w:themeColor="text2"/>
        </w:rPr>
      </w:pPr>
    </w:p>
    <w:p w:rsidR="003C0AFB" w:rsidRPr="003C0AFB" w:rsidRDefault="003C0AFB" w:rsidP="003C0AFB">
      <w:pPr>
        <w:spacing w:after="0" w:line="240" w:lineRule="auto"/>
        <w:rPr>
          <w:rFonts w:ascii="Calibri" w:eastAsia="Times New Roman" w:hAnsi="Calibri" w:cs="Calibri"/>
          <w:b/>
          <w:bCs/>
          <w:color w:val="1F497D" w:themeColor="text2"/>
        </w:rPr>
      </w:pPr>
      <w:r w:rsidRPr="003C0AFB">
        <w:rPr>
          <w:rFonts w:ascii="Calibri" w:eastAsia="Times New Roman" w:hAnsi="Calibri" w:cs="Calibri"/>
          <w:b/>
          <w:bCs/>
          <w:color w:val="1F497D" w:themeColor="text2"/>
        </w:rPr>
        <w:t>TABLE 7.B Average Rehosp</w:t>
      </w:r>
      <w:r>
        <w:rPr>
          <w:rFonts w:ascii="Calibri" w:eastAsia="Times New Roman" w:hAnsi="Calibri" w:cs="Calibri"/>
          <w:b/>
          <w:bCs/>
          <w:color w:val="1F497D" w:themeColor="text2"/>
        </w:rPr>
        <w:t>italization Rate by CMS</w:t>
      </w:r>
      <w:r w:rsidRPr="003C0AFB">
        <w:rPr>
          <w:rFonts w:ascii="Calibri" w:eastAsia="Times New Roman" w:hAnsi="Calibri" w:cs="Calibri"/>
          <w:b/>
          <w:bCs/>
          <w:color w:val="1F497D" w:themeColor="text2"/>
        </w:rPr>
        <w:t xml:space="preserve">’s Health Inspections </w:t>
      </w:r>
      <w:r w:rsidR="00F51329">
        <w:rPr>
          <w:rFonts w:ascii="Calibri" w:eastAsia="Times New Roman" w:hAnsi="Calibri" w:cs="Calibri"/>
          <w:b/>
          <w:bCs/>
          <w:color w:val="1F497D" w:themeColor="text2"/>
        </w:rPr>
        <w:t>Five</w:t>
      </w:r>
      <w:r w:rsidRPr="003C0AFB">
        <w:rPr>
          <w:rFonts w:ascii="Calibri" w:eastAsia="Times New Roman" w:hAnsi="Calibri" w:cs="Calibri"/>
          <w:b/>
          <w:bCs/>
          <w:color w:val="1F497D" w:themeColor="text2"/>
        </w:rPr>
        <w:t xml:space="preserve"> Star Rating</w:t>
      </w:r>
    </w:p>
    <w:tbl>
      <w:tblPr>
        <w:tblStyle w:val="TableGrid"/>
        <w:tblW w:w="8166" w:type="dxa"/>
        <w:tblLook w:val="04A0" w:firstRow="1" w:lastRow="0" w:firstColumn="1" w:lastColumn="0" w:noHBand="0" w:noVBand="1"/>
      </w:tblPr>
      <w:tblGrid>
        <w:gridCol w:w="2505"/>
        <w:gridCol w:w="5661"/>
      </w:tblGrid>
      <w:tr w:rsidR="00B15459" w:rsidRPr="003E38F9" w:rsidTr="00F51329">
        <w:trPr>
          <w:trHeight w:val="312"/>
        </w:trPr>
        <w:tc>
          <w:tcPr>
            <w:tcW w:w="2505" w:type="dxa"/>
            <w:noWrap/>
            <w:hideMark/>
          </w:tcPr>
          <w:p w:rsidR="00B15459" w:rsidRPr="003E38F9" w:rsidRDefault="00B15459" w:rsidP="00F51329">
            <w:pPr>
              <w:rPr>
                <w:rFonts w:ascii="Calibri" w:eastAsia="Times New Roman" w:hAnsi="Calibri" w:cs="Calibri"/>
                <w:b/>
                <w:bCs/>
                <w:color w:val="1F497D" w:themeColor="text2"/>
              </w:rPr>
            </w:pPr>
            <w:r>
              <w:rPr>
                <w:rFonts w:ascii="Calibri" w:eastAsia="Times New Roman" w:hAnsi="Calibri" w:cs="Calibri"/>
                <w:b/>
                <w:bCs/>
                <w:color w:val="1F497D" w:themeColor="text2"/>
              </w:rPr>
              <w:t>Health Inspection Rating on</w:t>
            </w:r>
            <w:r w:rsidRPr="003E38F9">
              <w:rPr>
                <w:rFonts w:ascii="Calibri" w:eastAsia="Times New Roman" w:hAnsi="Calibri" w:cs="Calibri"/>
                <w:b/>
                <w:bCs/>
                <w:color w:val="1F497D" w:themeColor="text2"/>
              </w:rPr>
              <w:t xml:space="preserve"> </w:t>
            </w:r>
            <w:r w:rsidR="00F51329">
              <w:rPr>
                <w:rFonts w:ascii="Calibri" w:eastAsia="Times New Roman" w:hAnsi="Calibri" w:cs="Calibri"/>
                <w:b/>
                <w:bCs/>
                <w:color w:val="1F497D" w:themeColor="text2"/>
              </w:rPr>
              <w:t>Five</w:t>
            </w:r>
            <w:r>
              <w:rPr>
                <w:rFonts w:ascii="Calibri" w:eastAsia="Times New Roman" w:hAnsi="Calibri" w:cs="Calibri"/>
                <w:b/>
                <w:bCs/>
                <w:color w:val="1F497D" w:themeColor="text2"/>
              </w:rPr>
              <w:t xml:space="preserve"> Star</w:t>
            </w:r>
            <w:r w:rsidRPr="003E38F9">
              <w:rPr>
                <w:rFonts w:ascii="Calibri" w:eastAsia="Times New Roman" w:hAnsi="Calibri" w:cs="Calibri"/>
                <w:b/>
                <w:bCs/>
                <w:color w:val="1F497D" w:themeColor="text2"/>
              </w:rPr>
              <w:t xml:space="preserve"> </w:t>
            </w:r>
          </w:p>
        </w:tc>
        <w:tc>
          <w:tcPr>
            <w:tcW w:w="5661" w:type="dxa"/>
            <w:noWrap/>
            <w:hideMark/>
          </w:tcPr>
          <w:p w:rsidR="00B15459" w:rsidRPr="003E38F9" w:rsidRDefault="00B15459" w:rsidP="004D436B">
            <w:pPr>
              <w:rPr>
                <w:rFonts w:ascii="Calibri" w:eastAsia="Times New Roman" w:hAnsi="Calibri" w:cs="Calibri"/>
                <w:b/>
                <w:bCs/>
                <w:color w:val="1F497D" w:themeColor="text2"/>
              </w:rPr>
            </w:pPr>
            <w:r>
              <w:rPr>
                <w:rFonts w:ascii="Calibri" w:eastAsia="Times New Roman" w:hAnsi="Calibri" w:cs="Calibri"/>
                <w:b/>
                <w:bCs/>
                <w:color w:val="1F497D" w:themeColor="text2"/>
              </w:rPr>
              <w:t>2</w:t>
            </w:r>
            <w:r w:rsidRPr="003C0AFB">
              <w:rPr>
                <w:rFonts w:ascii="Calibri" w:eastAsia="Times New Roman" w:hAnsi="Calibri" w:cs="Calibri"/>
                <w:b/>
                <w:bCs/>
                <w:color w:val="1F497D" w:themeColor="text2"/>
                <w:vertAlign w:val="superscript"/>
              </w:rPr>
              <w:t>nd</w:t>
            </w:r>
            <w:r>
              <w:rPr>
                <w:rFonts w:ascii="Calibri" w:eastAsia="Times New Roman" w:hAnsi="Calibri" w:cs="Calibri"/>
                <w:b/>
                <w:bCs/>
                <w:color w:val="1F497D" w:themeColor="text2"/>
              </w:rPr>
              <w:t xml:space="preserve"> Quarter Risk Adjusted Rehospitalization Rate </w:t>
            </w:r>
          </w:p>
        </w:tc>
      </w:tr>
      <w:tr w:rsidR="00B15459" w:rsidRPr="003E38F9" w:rsidTr="00925E3E">
        <w:trPr>
          <w:trHeight w:val="312"/>
        </w:trPr>
        <w:tc>
          <w:tcPr>
            <w:tcW w:w="2505"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w:t>
            </w:r>
          </w:p>
        </w:tc>
        <w:tc>
          <w:tcPr>
            <w:tcW w:w="5661"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18.6</w:t>
            </w:r>
          </w:p>
        </w:tc>
      </w:tr>
      <w:tr w:rsidR="00B15459" w:rsidRPr="003E38F9" w:rsidTr="00925E3E">
        <w:trPr>
          <w:trHeight w:val="312"/>
        </w:trPr>
        <w:tc>
          <w:tcPr>
            <w:tcW w:w="2505"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2</w:t>
            </w:r>
          </w:p>
        </w:tc>
        <w:tc>
          <w:tcPr>
            <w:tcW w:w="5661"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18.0</w:t>
            </w:r>
          </w:p>
        </w:tc>
      </w:tr>
      <w:tr w:rsidR="00B15459" w:rsidRPr="003E38F9" w:rsidTr="00925E3E">
        <w:trPr>
          <w:trHeight w:val="312"/>
        </w:trPr>
        <w:tc>
          <w:tcPr>
            <w:tcW w:w="2505"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3</w:t>
            </w:r>
          </w:p>
        </w:tc>
        <w:tc>
          <w:tcPr>
            <w:tcW w:w="5661"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17.6</w:t>
            </w:r>
          </w:p>
        </w:tc>
      </w:tr>
      <w:tr w:rsidR="00B15459" w:rsidRPr="003E38F9" w:rsidTr="00925E3E">
        <w:trPr>
          <w:trHeight w:val="312"/>
        </w:trPr>
        <w:tc>
          <w:tcPr>
            <w:tcW w:w="2505"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4</w:t>
            </w:r>
          </w:p>
        </w:tc>
        <w:tc>
          <w:tcPr>
            <w:tcW w:w="5661"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17.0</w:t>
            </w:r>
          </w:p>
        </w:tc>
      </w:tr>
      <w:tr w:rsidR="00B15459" w:rsidRPr="003E38F9" w:rsidTr="00925E3E">
        <w:trPr>
          <w:trHeight w:val="312"/>
        </w:trPr>
        <w:tc>
          <w:tcPr>
            <w:tcW w:w="2505"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5</w:t>
            </w:r>
          </w:p>
        </w:tc>
        <w:tc>
          <w:tcPr>
            <w:tcW w:w="5661"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16.2</w:t>
            </w:r>
          </w:p>
        </w:tc>
      </w:tr>
    </w:tbl>
    <w:p w:rsidR="00323853" w:rsidRDefault="00B15459" w:rsidP="00414087">
      <w:pPr>
        <w:spacing w:before="100" w:beforeAutospacing="1" w:after="100" w:afterAutospacing="1"/>
        <w:rPr>
          <w:rFonts w:ascii="Calibri" w:eastAsia="Times New Roman" w:hAnsi="Calibri" w:cs="Calibri"/>
          <w:b/>
          <w:bCs/>
          <w:color w:val="1F497D" w:themeColor="text2"/>
        </w:rPr>
      </w:pPr>
      <w:r w:rsidRPr="00B15459">
        <w:rPr>
          <w:rFonts w:ascii="Calibri" w:eastAsia="Times New Roman" w:hAnsi="Calibri" w:cs="Calibri"/>
          <w:b/>
          <w:bCs/>
          <w:color w:val="1F497D" w:themeColor="text2"/>
        </w:rPr>
        <w:lastRenderedPageBreak/>
        <w:t>TABLE 7.C Average Rehosp</w:t>
      </w:r>
      <w:r>
        <w:rPr>
          <w:rFonts w:ascii="Calibri" w:eastAsia="Times New Roman" w:hAnsi="Calibri" w:cs="Calibri"/>
          <w:b/>
          <w:bCs/>
          <w:color w:val="1F497D" w:themeColor="text2"/>
        </w:rPr>
        <w:t>italization Rate b</w:t>
      </w:r>
      <w:r w:rsidRPr="00B15459">
        <w:rPr>
          <w:rFonts w:ascii="Calibri" w:eastAsia="Times New Roman" w:hAnsi="Calibri" w:cs="Calibri"/>
          <w:b/>
          <w:bCs/>
          <w:color w:val="1F497D" w:themeColor="text2"/>
        </w:rPr>
        <w:t>y Nurse Staffing</w:t>
      </w:r>
      <w:r w:rsidR="00F51329">
        <w:rPr>
          <w:rFonts w:ascii="Calibri" w:eastAsia="Times New Roman" w:hAnsi="Calibri" w:cs="Calibri"/>
          <w:b/>
          <w:bCs/>
          <w:color w:val="1F497D" w:themeColor="text2"/>
        </w:rPr>
        <w:t xml:space="preserve"> Five</w:t>
      </w:r>
      <w:r w:rsidR="00323853">
        <w:rPr>
          <w:rFonts w:ascii="Calibri" w:eastAsia="Times New Roman" w:hAnsi="Calibri" w:cs="Calibri"/>
          <w:b/>
          <w:bCs/>
          <w:color w:val="1F497D" w:themeColor="text2"/>
        </w:rPr>
        <w:t xml:space="preserve"> Star Rating</w:t>
      </w:r>
    </w:p>
    <w:tbl>
      <w:tblPr>
        <w:tblStyle w:val="TableGrid"/>
        <w:tblW w:w="8009" w:type="dxa"/>
        <w:tblLook w:val="04A0" w:firstRow="1" w:lastRow="0" w:firstColumn="1" w:lastColumn="0" w:noHBand="0" w:noVBand="1"/>
      </w:tblPr>
      <w:tblGrid>
        <w:gridCol w:w="2457"/>
        <w:gridCol w:w="5552"/>
      </w:tblGrid>
      <w:tr w:rsidR="00B15459" w:rsidRPr="003E38F9" w:rsidTr="00F51329">
        <w:trPr>
          <w:trHeight w:val="304"/>
        </w:trPr>
        <w:tc>
          <w:tcPr>
            <w:tcW w:w="2457" w:type="dxa"/>
            <w:noWrap/>
            <w:hideMark/>
          </w:tcPr>
          <w:p w:rsidR="00B15459" w:rsidRPr="003E38F9" w:rsidRDefault="00B15459" w:rsidP="00F51329">
            <w:pPr>
              <w:rPr>
                <w:rFonts w:ascii="Calibri" w:eastAsia="Times New Roman" w:hAnsi="Calibri" w:cs="Calibri"/>
                <w:b/>
                <w:bCs/>
                <w:color w:val="1F497D" w:themeColor="text2"/>
              </w:rPr>
            </w:pPr>
            <w:r>
              <w:rPr>
                <w:rFonts w:ascii="Calibri" w:eastAsia="Times New Roman" w:hAnsi="Calibri" w:cs="Calibri"/>
                <w:b/>
                <w:bCs/>
                <w:color w:val="1F497D" w:themeColor="text2"/>
              </w:rPr>
              <w:t>Nurse Staffing Rating on</w:t>
            </w:r>
            <w:r w:rsidRPr="003E38F9">
              <w:rPr>
                <w:rFonts w:ascii="Calibri" w:eastAsia="Times New Roman" w:hAnsi="Calibri" w:cs="Calibri"/>
                <w:b/>
                <w:bCs/>
                <w:color w:val="1F497D" w:themeColor="text2"/>
              </w:rPr>
              <w:t xml:space="preserve"> </w:t>
            </w:r>
            <w:r w:rsidR="00F51329">
              <w:rPr>
                <w:rFonts w:ascii="Calibri" w:eastAsia="Times New Roman" w:hAnsi="Calibri" w:cs="Calibri"/>
                <w:b/>
                <w:bCs/>
                <w:color w:val="1F497D" w:themeColor="text2"/>
              </w:rPr>
              <w:t>Five</w:t>
            </w:r>
            <w:r>
              <w:rPr>
                <w:rFonts w:ascii="Calibri" w:eastAsia="Times New Roman" w:hAnsi="Calibri" w:cs="Calibri"/>
                <w:b/>
                <w:bCs/>
                <w:color w:val="1F497D" w:themeColor="text2"/>
              </w:rPr>
              <w:t xml:space="preserve"> Star</w:t>
            </w:r>
            <w:r w:rsidRPr="003E38F9">
              <w:rPr>
                <w:rFonts w:ascii="Calibri" w:eastAsia="Times New Roman" w:hAnsi="Calibri" w:cs="Calibri"/>
                <w:b/>
                <w:bCs/>
                <w:color w:val="1F497D" w:themeColor="text2"/>
              </w:rPr>
              <w:t xml:space="preserve"> </w:t>
            </w:r>
          </w:p>
        </w:tc>
        <w:tc>
          <w:tcPr>
            <w:tcW w:w="5552" w:type="dxa"/>
            <w:noWrap/>
            <w:hideMark/>
          </w:tcPr>
          <w:p w:rsidR="00B15459" w:rsidRPr="003E38F9" w:rsidRDefault="00B15459" w:rsidP="004D436B">
            <w:pPr>
              <w:rPr>
                <w:rFonts w:ascii="Calibri" w:eastAsia="Times New Roman" w:hAnsi="Calibri" w:cs="Calibri"/>
                <w:b/>
                <w:bCs/>
                <w:color w:val="1F497D" w:themeColor="text2"/>
              </w:rPr>
            </w:pPr>
            <w:r>
              <w:rPr>
                <w:rFonts w:ascii="Calibri" w:eastAsia="Times New Roman" w:hAnsi="Calibri" w:cs="Calibri"/>
                <w:b/>
                <w:bCs/>
                <w:color w:val="1F497D" w:themeColor="text2"/>
              </w:rPr>
              <w:t>2</w:t>
            </w:r>
            <w:r w:rsidRPr="003C0AFB">
              <w:rPr>
                <w:rFonts w:ascii="Calibri" w:eastAsia="Times New Roman" w:hAnsi="Calibri" w:cs="Calibri"/>
                <w:b/>
                <w:bCs/>
                <w:color w:val="1F497D" w:themeColor="text2"/>
                <w:vertAlign w:val="superscript"/>
              </w:rPr>
              <w:t>nd</w:t>
            </w:r>
            <w:r>
              <w:rPr>
                <w:rFonts w:ascii="Calibri" w:eastAsia="Times New Roman" w:hAnsi="Calibri" w:cs="Calibri"/>
                <w:b/>
                <w:bCs/>
                <w:color w:val="1F497D" w:themeColor="text2"/>
              </w:rPr>
              <w:t xml:space="preserve"> Quarter Risk Adjusted Rehospitalization Rate </w:t>
            </w:r>
          </w:p>
        </w:tc>
      </w:tr>
      <w:tr w:rsidR="00B15459" w:rsidRPr="003E38F9" w:rsidTr="00925E3E">
        <w:trPr>
          <w:trHeight w:val="304"/>
        </w:trPr>
        <w:tc>
          <w:tcPr>
            <w:tcW w:w="2457"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w:t>
            </w:r>
          </w:p>
        </w:tc>
        <w:tc>
          <w:tcPr>
            <w:tcW w:w="5552"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19.0</w:t>
            </w:r>
          </w:p>
        </w:tc>
      </w:tr>
      <w:tr w:rsidR="00B15459" w:rsidRPr="003E38F9" w:rsidTr="00925E3E">
        <w:trPr>
          <w:trHeight w:val="304"/>
        </w:trPr>
        <w:tc>
          <w:tcPr>
            <w:tcW w:w="2457"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2</w:t>
            </w:r>
          </w:p>
        </w:tc>
        <w:tc>
          <w:tcPr>
            <w:tcW w:w="5552"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18.5</w:t>
            </w:r>
          </w:p>
        </w:tc>
      </w:tr>
      <w:tr w:rsidR="00B15459" w:rsidRPr="003E38F9" w:rsidTr="00925E3E">
        <w:trPr>
          <w:trHeight w:val="304"/>
        </w:trPr>
        <w:tc>
          <w:tcPr>
            <w:tcW w:w="2457"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3</w:t>
            </w:r>
          </w:p>
        </w:tc>
        <w:tc>
          <w:tcPr>
            <w:tcW w:w="5552"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18.0</w:t>
            </w:r>
          </w:p>
        </w:tc>
      </w:tr>
      <w:tr w:rsidR="00B15459" w:rsidRPr="003E38F9" w:rsidTr="00925E3E">
        <w:trPr>
          <w:trHeight w:val="304"/>
        </w:trPr>
        <w:tc>
          <w:tcPr>
            <w:tcW w:w="2457"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4</w:t>
            </w:r>
          </w:p>
        </w:tc>
        <w:tc>
          <w:tcPr>
            <w:tcW w:w="5552"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17.2</w:t>
            </w:r>
          </w:p>
        </w:tc>
      </w:tr>
      <w:tr w:rsidR="00B15459" w:rsidRPr="003E38F9" w:rsidTr="00925E3E">
        <w:trPr>
          <w:trHeight w:val="304"/>
        </w:trPr>
        <w:tc>
          <w:tcPr>
            <w:tcW w:w="2457" w:type="dxa"/>
            <w:noWrap/>
            <w:hideMark/>
          </w:tcPr>
          <w:p w:rsidR="00B15459" w:rsidRPr="003E38F9" w:rsidRDefault="00B15459" w:rsidP="004D436B">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5</w:t>
            </w:r>
          </w:p>
        </w:tc>
        <w:tc>
          <w:tcPr>
            <w:tcW w:w="5552" w:type="dxa"/>
            <w:noWrap/>
            <w:vAlign w:val="center"/>
            <w:hideMark/>
          </w:tcPr>
          <w:p w:rsidR="00B15459" w:rsidRPr="003E38F9" w:rsidRDefault="00B15459" w:rsidP="00925E3E">
            <w:pPr>
              <w:jc w:val="center"/>
              <w:rPr>
                <w:rFonts w:ascii="Calibri" w:eastAsia="Times New Roman" w:hAnsi="Calibri" w:cs="Calibri"/>
                <w:color w:val="1F497D" w:themeColor="text2"/>
              </w:rPr>
            </w:pPr>
            <w:r w:rsidRPr="003E38F9">
              <w:rPr>
                <w:rFonts w:ascii="Calibri" w:eastAsia="Times New Roman" w:hAnsi="Calibri" w:cs="Calibri"/>
                <w:color w:val="1F497D" w:themeColor="text2"/>
              </w:rPr>
              <w:t>15.2</w:t>
            </w:r>
          </w:p>
        </w:tc>
      </w:tr>
    </w:tbl>
    <w:p w:rsidR="00983BBD" w:rsidRPr="003E38F9" w:rsidRDefault="00983BBD" w:rsidP="00B365AD">
      <w:pPr>
        <w:tabs>
          <w:tab w:val="left" w:pos="2617"/>
        </w:tabs>
        <w:spacing w:before="100" w:beforeAutospacing="1" w:after="100" w:afterAutospacing="1"/>
        <w:rPr>
          <w:rFonts w:eastAsia="Times New Roman" w:cstheme="minorHAnsi"/>
          <w:color w:val="1F497D" w:themeColor="text2"/>
        </w:rPr>
      </w:pPr>
      <w:r w:rsidRPr="003E38F9">
        <w:rPr>
          <w:rFonts w:cstheme="minorHAnsi"/>
          <w:bCs/>
          <w:iCs/>
          <w:color w:val="1F497D" w:themeColor="text2"/>
        </w:rPr>
        <w:t xml:space="preserve">With respect to </w:t>
      </w:r>
      <w:r w:rsidR="00323853">
        <w:rPr>
          <w:rFonts w:cstheme="minorHAnsi"/>
          <w:bCs/>
          <w:iCs/>
          <w:color w:val="1F497D" w:themeColor="text2"/>
        </w:rPr>
        <w:t xml:space="preserve">the </w:t>
      </w:r>
      <w:r w:rsidRPr="003E38F9">
        <w:rPr>
          <w:rFonts w:cstheme="minorHAnsi"/>
          <w:bCs/>
          <w:iCs/>
          <w:color w:val="1F497D" w:themeColor="text2"/>
        </w:rPr>
        <w:t xml:space="preserve">short stay quality measure for pneumococcal vaccination rates; we found </w:t>
      </w:r>
      <w:r w:rsidR="004038F9" w:rsidRPr="003E38F9">
        <w:rPr>
          <w:rFonts w:cstheme="minorHAnsi"/>
          <w:bCs/>
          <w:iCs/>
          <w:color w:val="1F497D" w:themeColor="text2"/>
        </w:rPr>
        <w:t>an</w:t>
      </w:r>
      <w:r w:rsidRPr="003E38F9">
        <w:rPr>
          <w:rFonts w:cstheme="minorHAnsi"/>
          <w:bCs/>
          <w:iCs/>
          <w:color w:val="1F497D" w:themeColor="text2"/>
        </w:rPr>
        <w:t xml:space="preserve"> inverse correlation, </w:t>
      </w:r>
      <w:r w:rsidRPr="003E38F9">
        <w:rPr>
          <w:rFonts w:eastAsia="Times New Roman" w:cstheme="minorHAnsi"/>
          <w:color w:val="1F497D" w:themeColor="text2"/>
        </w:rPr>
        <w:t>-0.15916 P&lt;0.0001 with a facility’s rehospitalization rate. In other words</w:t>
      </w:r>
      <w:r w:rsidR="006A09F6" w:rsidRPr="003E38F9">
        <w:rPr>
          <w:rFonts w:eastAsia="Times New Roman" w:cstheme="minorHAnsi"/>
          <w:color w:val="1F497D" w:themeColor="text2"/>
        </w:rPr>
        <w:t>,</w:t>
      </w:r>
      <w:r w:rsidRPr="003E38F9">
        <w:rPr>
          <w:rFonts w:eastAsia="Times New Roman" w:cstheme="minorHAnsi"/>
          <w:color w:val="1F497D" w:themeColor="text2"/>
        </w:rPr>
        <w:t xml:space="preserve"> the higher the vaccination rate, the lower the rehospitalization rate. </w:t>
      </w:r>
    </w:p>
    <w:p w:rsidR="00983BBD" w:rsidRDefault="00983BBD" w:rsidP="00983BBD">
      <w:pPr>
        <w:rPr>
          <w:rFonts w:eastAsia="Times New Roman" w:cstheme="minorHAnsi"/>
          <w:color w:val="1F497D" w:themeColor="text2"/>
        </w:rPr>
      </w:pPr>
      <w:r w:rsidRPr="003E38F9">
        <w:rPr>
          <w:rFonts w:eastAsia="Times New Roman" w:cstheme="minorHAnsi"/>
          <w:color w:val="1F497D" w:themeColor="text2"/>
        </w:rPr>
        <w:t>With respect to the relationship between a facility’s rehospitalization rate and being a recipient of AHCA’ Baldridge</w:t>
      </w:r>
      <w:r w:rsidR="003E38F9">
        <w:rPr>
          <w:rFonts w:eastAsia="Times New Roman" w:cstheme="minorHAnsi"/>
          <w:color w:val="1F497D" w:themeColor="text2"/>
        </w:rPr>
        <w:t xml:space="preserve"> based</w:t>
      </w:r>
      <w:r w:rsidRPr="003E38F9">
        <w:rPr>
          <w:rFonts w:eastAsia="Times New Roman" w:cstheme="minorHAnsi"/>
          <w:color w:val="1F497D" w:themeColor="text2"/>
        </w:rPr>
        <w:t xml:space="preserve"> award, silver/gold recipients have significantly lower rehospitalization rates compared to non-AHCA member recipients (17.8 vs 18.3 in </w:t>
      </w:r>
      <w:r w:rsidR="008E7A9F" w:rsidRPr="003E38F9">
        <w:rPr>
          <w:rFonts w:eastAsia="Times New Roman" w:cstheme="minorHAnsi"/>
          <w:color w:val="1F497D" w:themeColor="text2"/>
        </w:rPr>
        <w:t>2011 Q4, p&lt;0.01). This difference persisted 18 months later in 20</w:t>
      </w:r>
      <w:r w:rsidR="00746CF7">
        <w:rPr>
          <w:rFonts w:eastAsia="Times New Roman" w:cstheme="minorHAnsi"/>
          <w:color w:val="1F497D" w:themeColor="text2"/>
        </w:rPr>
        <w:t>1</w:t>
      </w:r>
      <w:r w:rsidR="008E7A9F" w:rsidRPr="003E38F9">
        <w:rPr>
          <w:rFonts w:eastAsia="Times New Roman" w:cstheme="minorHAnsi"/>
          <w:color w:val="1F497D" w:themeColor="text2"/>
        </w:rPr>
        <w:t xml:space="preserve">3 Q2 data (17.2 vs 17.7, p&lt;0.01). </w:t>
      </w:r>
    </w:p>
    <w:p w:rsidR="00BB4C45" w:rsidRDefault="00BB4C45" w:rsidP="00BB4C45">
      <w:pPr>
        <w:rPr>
          <w:rFonts w:eastAsia="Times New Roman" w:cstheme="minorHAnsi"/>
          <w:b/>
          <w:color w:val="1F497D" w:themeColor="text2"/>
        </w:rPr>
      </w:pPr>
      <w:r>
        <w:rPr>
          <w:noProof/>
        </w:rPr>
        <w:drawing>
          <wp:anchor distT="0" distB="0" distL="114300" distR="114300" simplePos="0" relativeHeight="251659264" behindDoc="0" locked="0" layoutInCell="1" allowOverlap="1" wp14:anchorId="0ACC9A58" wp14:editId="6649CE66">
            <wp:simplePos x="0" y="0"/>
            <wp:positionH relativeFrom="column">
              <wp:posOffset>45720</wp:posOffset>
            </wp:positionH>
            <wp:positionV relativeFrom="paragraph">
              <wp:posOffset>596900</wp:posOffset>
            </wp:positionV>
            <wp:extent cx="5732145" cy="2435225"/>
            <wp:effectExtent l="0" t="0" r="0" b="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ED0163">
        <w:rPr>
          <w:rFonts w:eastAsia="Times New Roman" w:cstheme="minorHAnsi"/>
          <w:color w:val="1F497D" w:themeColor="text2"/>
        </w:rPr>
        <w:t>The measure also detects change over time and has a normal distribution as shown below.</w:t>
      </w:r>
      <w:r w:rsidR="00ED0163">
        <w:rPr>
          <w:rFonts w:eastAsia="Times New Roman" w:cstheme="minorHAnsi"/>
          <w:color w:val="1F497D" w:themeColor="text2"/>
        </w:rPr>
        <w:br/>
      </w:r>
      <w:r w:rsidR="00924568">
        <w:rPr>
          <w:rFonts w:eastAsia="Times New Roman" w:cstheme="minorHAnsi"/>
          <w:b/>
          <w:color w:val="1F497D" w:themeColor="text2"/>
        </w:rPr>
        <w:t>FIGURE 2</w:t>
      </w:r>
      <w:r w:rsidR="004038F9" w:rsidRPr="004038F9">
        <w:rPr>
          <w:rFonts w:eastAsia="Times New Roman" w:cstheme="minorHAnsi"/>
          <w:b/>
          <w:color w:val="1F497D" w:themeColor="text2"/>
        </w:rPr>
        <w:t>.</w:t>
      </w:r>
      <w:r w:rsidR="00924568">
        <w:rPr>
          <w:rFonts w:eastAsia="Times New Roman" w:cstheme="minorHAnsi"/>
          <w:b/>
          <w:color w:val="1F497D" w:themeColor="text2"/>
        </w:rPr>
        <w:t xml:space="preserve"> </w:t>
      </w:r>
      <w:r w:rsidR="004038F9" w:rsidRPr="004038F9">
        <w:rPr>
          <w:rFonts w:eastAsia="Times New Roman" w:cstheme="minorHAnsi"/>
          <w:b/>
          <w:color w:val="1F497D" w:themeColor="text2"/>
        </w:rPr>
        <w:t>National Risk Adjusted Rehospitalization Rates</w:t>
      </w:r>
    </w:p>
    <w:p w:rsidR="00414087" w:rsidRPr="00746445" w:rsidRDefault="00323853" w:rsidP="00BB4C45">
      <w:pPr>
        <w:rPr>
          <w:rFonts w:cstheme="minorHAnsi"/>
          <w:bCs/>
          <w:iCs/>
          <w:color w:val="1F497D" w:themeColor="text2"/>
        </w:rPr>
      </w:pPr>
      <w:r>
        <w:rPr>
          <w:rFonts w:cstheme="minorHAnsi"/>
          <w:bCs/>
          <w:iCs/>
          <w:color w:val="1F497D" w:themeColor="text2"/>
        </w:rPr>
        <w:t xml:space="preserve">As hypothesized the rehospitalization measure was correlated with other measures of quality. This supports using the rehospitalization measure as a measure of a SNF’s quality of care. </w:t>
      </w:r>
      <w:r>
        <w:rPr>
          <w:rFonts w:cstheme="minorHAnsi"/>
          <w:bCs/>
          <w:iCs/>
          <w:color w:val="1F497D" w:themeColor="text2"/>
        </w:rPr>
        <w:br/>
      </w:r>
      <w:r w:rsidR="00BB4C45">
        <w:rPr>
          <w:rFonts w:cstheme="minorHAnsi"/>
          <w:b/>
          <w:bCs/>
        </w:rPr>
        <w:br/>
      </w:r>
      <w:r w:rsidR="00414087">
        <w:rPr>
          <w:rFonts w:cstheme="minorHAnsi"/>
          <w:b/>
          <w:bCs/>
        </w:rPr>
        <w:t>2</w:t>
      </w:r>
      <w:r w:rsidR="00092566">
        <w:rPr>
          <w:rFonts w:cstheme="minorHAnsi"/>
          <w:b/>
          <w:bCs/>
        </w:rPr>
        <w:t>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414087" w:rsidRPr="00746445">
        <w:rPr>
          <w:rFonts w:cstheme="minorHAnsi"/>
          <w:bCs/>
          <w:iCs/>
          <w:color w:val="1F497D" w:themeColor="text2"/>
        </w:rPr>
        <w:t xml:space="preserve">In summary, the results suggest that the MDS 3.0 and Medicare claims correspond over 90%, depending upon how one collapses the types of hospitalization. As importantly, our analyses of the facility factors related to non-correspondence between MDS and Medicare claims strongly suggest that what we </w:t>
      </w:r>
      <w:r w:rsidR="00414087" w:rsidRPr="00746445">
        <w:rPr>
          <w:rFonts w:cstheme="minorHAnsi"/>
          <w:bCs/>
          <w:iCs/>
          <w:color w:val="1F497D" w:themeColor="text2"/>
        </w:rPr>
        <w:lastRenderedPageBreak/>
        <w:t>observe is truly “random error”, suggesting that an MDS based measure is a good surrogate for a Medicare claims based measure</w:t>
      </w:r>
      <w:r>
        <w:rPr>
          <w:rFonts w:cstheme="minorHAnsi"/>
          <w:bCs/>
          <w:iCs/>
          <w:color w:val="1F497D" w:themeColor="text2"/>
        </w:rPr>
        <w:t>.</w:t>
      </w:r>
      <w:r w:rsidR="00414087" w:rsidRPr="00746445">
        <w:rPr>
          <w:rFonts w:cstheme="minorHAnsi"/>
          <w:bCs/>
          <w:iCs/>
          <w:color w:val="1F497D" w:themeColor="text2"/>
        </w:rPr>
        <w:t xml:space="preserve"> </w:t>
      </w:r>
      <w:r>
        <w:rPr>
          <w:rFonts w:cstheme="minorHAnsi"/>
          <w:bCs/>
          <w:iCs/>
          <w:color w:val="1F497D" w:themeColor="text2"/>
        </w:rPr>
        <w:t>The MDS based measure</w:t>
      </w:r>
      <w:r w:rsidR="00414087" w:rsidRPr="00746445">
        <w:rPr>
          <w:rFonts w:cstheme="minorHAnsi"/>
          <w:bCs/>
          <w:iCs/>
          <w:color w:val="1F497D" w:themeColor="text2"/>
        </w:rPr>
        <w:t xml:space="preserve"> has the added advantage of being much </w:t>
      </w:r>
      <w:r w:rsidRPr="00746445">
        <w:rPr>
          <w:rFonts w:cstheme="minorHAnsi"/>
          <w:bCs/>
          <w:iCs/>
          <w:color w:val="1F497D" w:themeColor="text2"/>
        </w:rPr>
        <w:t>timelier</w:t>
      </w:r>
      <w:r w:rsidR="00414087" w:rsidRPr="00746445">
        <w:rPr>
          <w:rFonts w:cstheme="minorHAnsi"/>
          <w:bCs/>
          <w:iCs/>
          <w:color w:val="1F497D" w:themeColor="text2"/>
        </w:rPr>
        <w:t>, includes Medicare advantage and even non-Medicare patients and clearly includes hospitalizations that are billed as “Observation Days</w:t>
      </w:r>
      <w:r w:rsidR="006A09F6">
        <w:rPr>
          <w:rFonts w:cstheme="minorHAnsi"/>
          <w:bCs/>
          <w:iCs/>
          <w:color w:val="1F497D" w:themeColor="text2"/>
        </w:rPr>
        <w:t>,</w:t>
      </w:r>
      <w:r w:rsidR="00414087" w:rsidRPr="00746445">
        <w:rPr>
          <w:rFonts w:cstheme="minorHAnsi"/>
          <w:bCs/>
          <w:iCs/>
          <w:color w:val="1F497D" w:themeColor="text2"/>
        </w:rPr>
        <w:t>” which would be missed with a Medicare inpatient claims based measure.</w:t>
      </w:r>
    </w:p>
    <w:p w:rsidR="00B365AD" w:rsidRPr="00323853" w:rsidRDefault="00CE3444" w:rsidP="00414087">
      <w:pPr>
        <w:spacing w:before="100" w:beforeAutospacing="1" w:after="100" w:afterAutospacing="1"/>
        <w:rPr>
          <w:rFonts w:cstheme="minorHAnsi"/>
          <w:bCs/>
          <w:iCs/>
          <w:color w:val="1F497D" w:themeColor="text2"/>
        </w:rPr>
      </w:pPr>
      <w:r>
        <w:rPr>
          <w:rFonts w:cstheme="minorHAnsi"/>
          <w:bCs/>
          <w:iCs/>
          <w:color w:val="1F497D" w:themeColor="text2"/>
        </w:rPr>
        <w:t xml:space="preserve">While the team did not specifically conduct analysis on the MDS the validity </w:t>
      </w:r>
      <w:r w:rsidR="006A09F6">
        <w:rPr>
          <w:rFonts w:cstheme="minorHAnsi"/>
          <w:bCs/>
          <w:iCs/>
          <w:color w:val="1F497D" w:themeColor="text2"/>
        </w:rPr>
        <w:t xml:space="preserve">of </w:t>
      </w:r>
      <w:r>
        <w:rPr>
          <w:rFonts w:cstheme="minorHAnsi"/>
          <w:bCs/>
          <w:iCs/>
          <w:color w:val="1F497D" w:themeColor="text2"/>
        </w:rPr>
        <w:t>this tool has been confirmed by previous analyses presented in peer reviewed literature</w:t>
      </w:r>
      <w:r w:rsidR="008D337B">
        <w:rPr>
          <w:rFonts w:cstheme="minorHAnsi"/>
          <w:bCs/>
          <w:iCs/>
          <w:color w:val="1F497D" w:themeColor="text2"/>
        </w:rPr>
        <w:t xml:space="preserve"> (list of citations provided below)</w:t>
      </w:r>
      <w:r>
        <w:rPr>
          <w:rFonts w:cstheme="minorHAnsi"/>
          <w:bCs/>
          <w:iCs/>
          <w:color w:val="1F497D" w:themeColor="text2"/>
        </w:rPr>
        <w:t xml:space="preserve">. Notably, </w:t>
      </w:r>
      <w:r w:rsidR="00380A53">
        <w:rPr>
          <w:rFonts w:cstheme="minorHAnsi"/>
          <w:bCs/>
          <w:iCs/>
          <w:color w:val="1F497D" w:themeColor="text2"/>
        </w:rPr>
        <w:t>Saliba and Buchanan (2008) found that the MDS 3.0 is reliable and valid. Validity of the instrument was determined by comparing items to established gold standards or other related items and scales.</w:t>
      </w:r>
      <w:r w:rsidR="004508F8">
        <w:rPr>
          <w:rFonts w:cstheme="minorHAnsi"/>
          <w:bCs/>
          <w:iCs/>
          <w:color w:val="1F497D" w:themeColor="text2"/>
        </w:rPr>
        <w:t xml:space="preserve"> MDS 3.0</w:t>
      </w:r>
      <w:r w:rsidR="00380A53">
        <w:rPr>
          <w:rFonts w:cstheme="minorHAnsi"/>
          <w:bCs/>
          <w:iCs/>
          <w:color w:val="1F497D" w:themeColor="text2"/>
        </w:rPr>
        <w:t xml:space="preserve"> </w:t>
      </w:r>
      <w:r w:rsidR="004508F8">
        <w:rPr>
          <w:rFonts w:cstheme="minorHAnsi"/>
          <w:bCs/>
          <w:iCs/>
          <w:color w:val="1F497D" w:themeColor="text2"/>
        </w:rPr>
        <w:t xml:space="preserve">cognitive, depression and behavioral items </w:t>
      </w:r>
      <w:r w:rsidR="00323853">
        <w:rPr>
          <w:rFonts w:cstheme="minorHAnsi"/>
          <w:bCs/>
          <w:iCs/>
          <w:color w:val="1F497D" w:themeColor="text2"/>
        </w:rPr>
        <w:t>have</w:t>
      </w:r>
      <w:r w:rsidR="004508F8">
        <w:rPr>
          <w:rFonts w:cstheme="minorHAnsi"/>
          <w:bCs/>
          <w:iCs/>
          <w:color w:val="1F497D" w:themeColor="text2"/>
        </w:rPr>
        <w:t xml:space="preserve"> a higher level of correlation with the comparison groups than did MDS 2.0 items. Eighty one percent of the nurses sampled also strongly agreed or agreed that the MDS 3.0 was clinically relevant and 89 percent strongly agreed or agreed that the MDS 3.0 items provide a more accurate report of the resident’s characteristics. </w:t>
      </w:r>
      <w:r w:rsidR="00323853">
        <w:rPr>
          <w:rFonts w:cstheme="minorHAnsi"/>
          <w:bCs/>
          <w:iCs/>
          <w:color w:val="1F497D" w:themeColor="text2"/>
        </w:rPr>
        <w:br/>
      </w:r>
      <w:r w:rsidR="00ED0163">
        <w:rPr>
          <w:rFonts w:cstheme="minorHAnsi"/>
          <w:bCs/>
          <w:iCs/>
          <w:color w:val="1F497D" w:themeColor="text2"/>
        </w:rPr>
        <w:br/>
      </w:r>
      <w:r w:rsidR="00B365AD" w:rsidRPr="00CD6806">
        <w:rPr>
          <w:rFonts w:cstheme="minorHAnsi"/>
          <w:bCs/>
          <w:iCs/>
          <w:color w:val="1F497D" w:themeColor="text2"/>
        </w:rPr>
        <w:t xml:space="preserve">Saliba , D., &amp; Buchanan, J. (2008). Development &amp; validation of a revised nursing </w:t>
      </w:r>
      <w:r w:rsidR="00B365AD">
        <w:rPr>
          <w:rFonts w:cstheme="minorHAnsi"/>
          <w:bCs/>
          <w:iCs/>
          <w:color w:val="1F497D" w:themeColor="text2"/>
        </w:rPr>
        <w:t>facility</w:t>
      </w:r>
      <w:r w:rsidR="00B365AD" w:rsidRPr="00CD6806">
        <w:rPr>
          <w:rFonts w:cstheme="minorHAnsi"/>
          <w:bCs/>
          <w:iCs/>
          <w:color w:val="1F497D" w:themeColor="text2"/>
        </w:rPr>
        <w:t xml:space="preserve"> assessment tool: MDS 3.0. </w:t>
      </w:r>
      <w:r w:rsidR="00B365AD" w:rsidRPr="00CD6806">
        <w:rPr>
          <w:rFonts w:cstheme="minorHAnsi"/>
          <w:bCs/>
          <w:i/>
          <w:iCs/>
          <w:color w:val="1F497D" w:themeColor="text2"/>
        </w:rPr>
        <w:t>Rand Health Corporation</w:t>
      </w:r>
      <w:r w:rsidR="00B365AD" w:rsidRPr="00CD6806">
        <w:rPr>
          <w:rFonts w:cstheme="minorHAnsi"/>
          <w:bCs/>
          <w:color w:val="1F497D" w:themeColor="text2"/>
        </w:rPr>
        <w:t xml:space="preserve">. </w:t>
      </w:r>
    </w:p>
    <w:p w:rsidR="00B365AD" w:rsidRDefault="00B365AD" w:rsidP="00414087">
      <w:pPr>
        <w:spacing w:before="100" w:beforeAutospacing="1" w:after="100" w:afterAutospacing="1"/>
        <w:rPr>
          <w:rFonts w:cstheme="minorHAnsi"/>
          <w:bCs/>
          <w:iCs/>
          <w:color w:val="1F497D" w:themeColor="text2"/>
        </w:rPr>
      </w:pPr>
      <w:r>
        <w:rPr>
          <w:rFonts w:cstheme="minorHAnsi"/>
          <w:bCs/>
          <w:iCs/>
          <w:color w:val="1F497D" w:themeColor="text2"/>
        </w:rPr>
        <w:t xml:space="preserve">Saliba, D. &amp; Buchanan, J. (2012). Making the investment count: Revision of the minimum data set for nursing </w:t>
      </w:r>
      <w:r w:rsidR="00B05821">
        <w:rPr>
          <w:rFonts w:cstheme="minorHAnsi"/>
          <w:bCs/>
          <w:iCs/>
          <w:color w:val="1F497D" w:themeColor="text2"/>
        </w:rPr>
        <w:t>homes</w:t>
      </w:r>
      <w:r>
        <w:rPr>
          <w:rFonts w:cstheme="minorHAnsi"/>
          <w:bCs/>
          <w:iCs/>
          <w:color w:val="1F497D" w:themeColor="text2"/>
        </w:rPr>
        <w:t xml:space="preserve">, MDS 3.0. </w:t>
      </w:r>
      <w:r>
        <w:rPr>
          <w:rFonts w:cstheme="minorHAnsi"/>
          <w:bCs/>
          <w:i/>
          <w:iCs/>
          <w:color w:val="1F497D" w:themeColor="text2"/>
        </w:rPr>
        <w:t>J Am Med Dir Assoc</w:t>
      </w:r>
      <w:r>
        <w:rPr>
          <w:rFonts w:cstheme="minorHAnsi"/>
          <w:bCs/>
          <w:iCs/>
          <w:color w:val="1F497D" w:themeColor="text2"/>
        </w:rPr>
        <w:t xml:space="preserve">. 13(7), 602-610. </w:t>
      </w:r>
    </w:p>
    <w:p w:rsidR="00B365AD" w:rsidRDefault="00B365AD" w:rsidP="00414087">
      <w:pPr>
        <w:spacing w:before="100" w:beforeAutospacing="1" w:after="100" w:afterAutospacing="1"/>
        <w:rPr>
          <w:rFonts w:cstheme="minorHAnsi"/>
          <w:bCs/>
          <w:iCs/>
          <w:color w:val="1F497D" w:themeColor="text2"/>
        </w:rPr>
      </w:pPr>
      <w:r>
        <w:rPr>
          <w:rFonts w:cstheme="minorHAnsi"/>
          <w:bCs/>
          <w:iCs/>
          <w:color w:val="1F497D" w:themeColor="text2"/>
        </w:rPr>
        <w:t xml:space="preserve">Saliba, D., Buchanan, J., Eldelen, M.O., Streim, J., Ouslander, J., Berlowitz, D., &amp; Chodosh, J. (2012). MDS 3.0: Brief interview for mental status. </w:t>
      </w:r>
      <w:r>
        <w:rPr>
          <w:rFonts w:cstheme="minorHAnsi"/>
          <w:bCs/>
          <w:i/>
          <w:iCs/>
          <w:color w:val="1F497D" w:themeColor="text2"/>
        </w:rPr>
        <w:t xml:space="preserve">J Am Med Dir Assoc. </w:t>
      </w:r>
      <w:r>
        <w:rPr>
          <w:rFonts w:cstheme="minorHAnsi"/>
          <w:bCs/>
          <w:iCs/>
          <w:color w:val="1F497D" w:themeColor="text2"/>
        </w:rPr>
        <w:t xml:space="preserve">13(7), 611-617. </w:t>
      </w:r>
    </w:p>
    <w:p w:rsidR="00B365AD" w:rsidRDefault="00B365AD" w:rsidP="00414087">
      <w:pPr>
        <w:spacing w:before="100" w:beforeAutospacing="1" w:after="100" w:afterAutospacing="1"/>
        <w:rPr>
          <w:rFonts w:cstheme="minorHAnsi"/>
          <w:bCs/>
          <w:iCs/>
          <w:color w:val="1F497D" w:themeColor="text2"/>
        </w:rPr>
      </w:pPr>
      <w:r>
        <w:rPr>
          <w:rFonts w:cstheme="minorHAnsi"/>
          <w:bCs/>
          <w:iCs/>
          <w:color w:val="1F497D" w:themeColor="text2"/>
        </w:rPr>
        <w:t xml:space="preserve">Saliba, D., DeFilippo, S., Edelen, M.O., Kroenke, K., Buchanan, J., &amp; Streim, J. (2012) Testing the PHQ-9 interview and observational versions (PHQ-9 OV) for MDS 3.0. </w:t>
      </w:r>
      <w:r>
        <w:rPr>
          <w:rFonts w:cstheme="minorHAnsi"/>
          <w:bCs/>
          <w:i/>
          <w:iCs/>
          <w:color w:val="1F497D" w:themeColor="text2"/>
        </w:rPr>
        <w:t>J Am Dir Assoc.</w:t>
      </w:r>
      <w:r>
        <w:rPr>
          <w:rFonts w:cstheme="minorHAnsi"/>
          <w:bCs/>
          <w:iCs/>
          <w:color w:val="1F497D" w:themeColor="text2"/>
        </w:rPr>
        <w:t xml:space="preserve"> 13(7), 618-625. </w:t>
      </w:r>
    </w:p>
    <w:p w:rsidR="00B365AD" w:rsidRPr="00DB7AF4" w:rsidRDefault="00B365AD" w:rsidP="00414087">
      <w:pPr>
        <w:spacing w:before="100" w:beforeAutospacing="1" w:after="100" w:afterAutospacing="1"/>
        <w:rPr>
          <w:rFonts w:cstheme="minorHAnsi"/>
          <w:bCs/>
          <w:iCs/>
          <w:color w:val="1F497D" w:themeColor="text2"/>
        </w:rPr>
      </w:pPr>
      <w:r>
        <w:rPr>
          <w:rFonts w:cstheme="minorHAnsi"/>
          <w:bCs/>
          <w:iCs/>
          <w:color w:val="1F497D" w:themeColor="text2"/>
        </w:rPr>
        <w:t>Saliba, D., Jones, M., Streim, J., Ouslander, J., Berlowitz, D., &amp; Buchanan, J. (2012) Overview of significant changes in the minim</w:t>
      </w:r>
      <w:r w:rsidR="00D81C62">
        <w:rPr>
          <w:rFonts w:cstheme="minorHAnsi"/>
          <w:bCs/>
          <w:iCs/>
          <w:color w:val="1F497D" w:themeColor="text2"/>
        </w:rPr>
        <w:t>um data set for nursing facilities</w:t>
      </w:r>
      <w:r>
        <w:rPr>
          <w:rFonts w:cstheme="minorHAnsi"/>
          <w:bCs/>
          <w:iCs/>
          <w:color w:val="1F497D" w:themeColor="text2"/>
        </w:rPr>
        <w:t xml:space="preserve"> version 3.0. </w:t>
      </w:r>
      <w:r>
        <w:rPr>
          <w:rFonts w:cstheme="minorHAnsi"/>
          <w:bCs/>
          <w:i/>
          <w:iCs/>
          <w:color w:val="1F497D" w:themeColor="text2"/>
        </w:rPr>
        <w:t>J Am Dir Assoc</w:t>
      </w:r>
      <w:r>
        <w:rPr>
          <w:rFonts w:cstheme="minorHAnsi"/>
          <w:bCs/>
          <w:iCs/>
          <w:color w:val="1F497D" w:themeColor="text2"/>
        </w:rPr>
        <w:t xml:space="preserve">. 13(7), 595-601. </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414087" w:rsidRPr="00746445" w:rsidRDefault="00092566" w:rsidP="00414087">
      <w:pPr>
        <w:spacing w:before="100" w:beforeAutospacing="1" w:after="100" w:afterAutospacing="1"/>
        <w:rPr>
          <w:rFonts w:cstheme="minorHAnsi"/>
          <w:bCs/>
          <w:iCs/>
          <w:color w:val="1F497D" w:themeColor="text2"/>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r w:rsidR="00414087" w:rsidRPr="00746445">
        <w:rPr>
          <w:rFonts w:cstheme="minorHAnsi"/>
          <w:bCs/>
          <w:iCs/>
          <w:color w:val="1F497D" w:themeColor="text2"/>
        </w:rPr>
        <w:t xml:space="preserve">We included all Medicare/Medicaid certified </w:t>
      </w:r>
      <w:r w:rsidR="00B365AD">
        <w:rPr>
          <w:rFonts w:cstheme="minorHAnsi"/>
          <w:bCs/>
          <w:iCs/>
          <w:color w:val="1F497D" w:themeColor="text2"/>
        </w:rPr>
        <w:t>SNFs</w:t>
      </w:r>
      <w:r w:rsidR="00414087" w:rsidRPr="00746445">
        <w:rPr>
          <w:rFonts w:cstheme="minorHAnsi"/>
          <w:bCs/>
          <w:iCs/>
          <w:color w:val="1F497D" w:themeColor="text2"/>
        </w:rPr>
        <w:t xml:space="preserve"> in the US that were present from January 2011 through September 2012, except 85 facilities which could not be stratified into our categories due to extreme changes in the number of admission</w:t>
      </w:r>
      <w:r w:rsidR="006A09F6">
        <w:rPr>
          <w:rFonts w:cstheme="minorHAnsi"/>
          <w:bCs/>
          <w:iCs/>
          <w:color w:val="1F497D" w:themeColor="text2"/>
        </w:rPr>
        <w:t>s</w:t>
      </w:r>
      <w:r w:rsidR="00513332">
        <w:rPr>
          <w:rFonts w:cstheme="minorHAnsi"/>
          <w:bCs/>
          <w:iCs/>
          <w:color w:val="1F497D" w:themeColor="text2"/>
        </w:rPr>
        <w:t xml:space="preserve">.  The final sample included </w:t>
      </w:r>
      <w:r w:rsidR="00414087" w:rsidRPr="00746445">
        <w:rPr>
          <w:rFonts w:cstheme="minorHAnsi"/>
          <w:bCs/>
          <w:iCs/>
          <w:color w:val="1F497D" w:themeColor="text2"/>
        </w:rPr>
        <w:t>15,546</w:t>
      </w:r>
      <w:r w:rsidR="00513332">
        <w:rPr>
          <w:rFonts w:cstheme="minorHAnsi"/>
          <w:bCs/>
          <w:iCs/>
          <w:color w:val="1F497D" w:themeColor="text2"/>
        </w:rPr>
        <w:t xml:space="preserve"> SNFs</w:t>
      </w:r>
      <w:r w:rsidR="00414087" w:rsidRPr="00746445">
        <w:rPr>
          <w:rFonts w:cstheme="minorHAnsi"/>
          <w:bCs/>
          <w:iCs/>
          <w:color w:val="1F497D" w:themeColor="text2"/>
        </w:rPr>
        <w:t>.</w:t>
      </w:r>
    </w:p>
    <w:p w:rsidR="00414087" w:rsidRPr="00746445" w:rsidRDefault="00414087" w:rsidP="00414087">
      <w:pPr>
        <w:spacing w:before="100" w:beforeAutospacing="1" w:after="100" w:afterAutospacing="1"/>
        <w:rPr>
          <w:rFonts w:cstheme="minorHAnsi"/>
          <w:bCs/>
          <w:iCs/>
          <w:color w:val="1F497D" w:themeColor="text2"/>
        </w:rPr>
      </w:pPr>
      <w:r w:rsidRPr="00746445">
        <w:rPr>
          <w:rFonts w:cstheme="minorHAnsi"/>
          <w:bCs/>
          <w:iCs/>
          <w:color w:val="1F497D" w:themeColor="text2"/>
        </w:rPr>
        <w:lastRenderedPageBreak/>
        <w:t xml:space="preserve">Variation in the number of admissions from hospitals to a </w:t>
      </w:r>
      <w:r w:rsidR="0028277E">
        <w:rPr>
          <w:rFonts w:cstheme="minorHAnsi"/>
          <w:bCs/>
          <w:iCs/>
          <w:color w:val="1F497D" w:themeColor="text2"/>
        </w:rPr>
        <w:t>SNF</w:t>
      </w:r>
      <w:r w:rsidRPr="00746445">
        <w:rPr>
          <w:rFonts w:cstheme="minorHAnsi"/>
          <w:bCs/>
          <w:iCs/>
          <w:color w:val="1F497D" w:themeColor="text2"/>
        </w:rPr>
        <w:t xml:space="preserve"> from one time period to the next is expected to affect the </w:t>
      </w:r>
      <w:r w:rsidR="0028277E">
        <w:rPr>
          <w:rFonts w:cstheme="minorHAnsi"/>
          <w:bCs/>
          <w:iCs/>
          <w:color w:val="1F497D" w:themeColor="text2"/>
        </w:rPr>
        <w:t>SNF’s</w:t>
      </w:r>
      <w:r w:rsidR="00513332">
        <w:rPr>
          <w:rFonts w:cstheme="minorHAnsi"/>
          <w:bCs/>
          <w:iCs/>
          <w:color w:val="1F497D" w:themeColor="text2"/>
        </w:rPr>
        <w:t xml:space="preserve"> re</w:t>
      </w:r>
      <w:r w:rsidRPr="00746445">
        <w:rPr>
          <w:rFonts w:cstheme="minorHAnsi"/>
          <w:bCs/>
          <w:iCs/>
          <w:color w:val="1F497D" w:themeColor="text2"/>
        </w:rPr>
        <w:t xml:space="preserve">hospitalization rates.  The fewer the number of admissions, the more volatile these changes in rates will be.  Due to this we have decided to exclude </w:t>
      </w:r>
      <w:r w:rsidR="003E38F9">
        <w:rPr>
          <w:rFonts w:cstheme="minorHAnsi"/>
          <w:bCs/>
          <w:iCs/>
          <w:color w:val="1F497D" w:themeColor="text2"/>
        </w:rPr>
        <w:t>SNFs</w:t>
      </w:r>
      <w:r w:rsidRPr="00746445">
        <w:rPr>
          <w:rFonts w:cstheme="minorHAnsi"/>
          <w:bCs/>
          <w:iCs/>
          <w:color w:val="1F497D" w:themeColor="text2"/>
        </w:rPr>
        <w:t xml:space="preserve"> with fewer than 30 admissions from hospitals during any 12 month</w:t>
      </w:r>
      <w:r w:rsidR="0028277E">
        <w:rPr>
          <w:rFonts w:cstheme="minorHAnsi"/>
          <w:bCs/>
          <w:iCs/>
          <w:color w:val="1F497D" w:themeColor="text2"/>
        </w:rPr>
        <w:t xml:space="preserve"> period from our re</w:t>
      </w:r>
      <w:r w:rsidRPr="00746445">
        <w:rPr>
          <w:rFonts w:cstheme="minorHAnsi"/>
          <w:bCs/>
          <w:iCs/>
          <w:color w:val="1F497D" w:themeColor="text2"/>
        </w:rPr>
        <w:t>hospital</w:t>
      </w:r>
      <w:r w:rsidR="0028277E">
        <w:rPr>
          <w:rFonts w:cstheme="minorHAnsi"/>
          <w:bCs/>
          <w:iCs/>
          <w:color w:val="1F497D" w:themeColor="text2"/>
        </w:rPr>
        <w:t>ization rate reporting. (Note: w</w:t>
      </w:r>
      <w:r w:rsidRPr="00746445">
        <w:rPr>
          <w:rFonts w:cstheme="minorHAnsi"/>
          <w:bCs/>
          <w:iCs/>
          <w:color w:val="1F497D" w:themeColor="text2"/>
        </w:rPr>
        <w:t xml:space="preserve">hile rates for the excluded facilities are </w:t>
      </w:r>
      <w:r w:rsidR="0028277E">
        <w:rPr>
          <w:rFonts w:cstheme="minorHAnsi"/>
          <w:bCs/>
          <w:iCs/>
          <w:color w:val="1F497D" w:themeColor="text2"/>
        </w:rPr>
        <w:t>not reported, admissions and re</w:t>
      </w:r>
      <w:r w:rsidRPr="00746445">
        <w:rPr>
          <w:rFonts w:cstheme="minorHAnsi"/>
          <w:bCs/>
          <w:iCs/>
          <w:color w:val="1F497D" w:themeColor="text2"/>
        </w:rPr>
        <w:t>hospitalizations from these facilities are used to calculate the national rate used in the calculation of the adjusted re</w:t>
      </w:r>
      <w:r w:rsidR="00844955">
        <w:rPr>
          <w:rFonts w:cstheme="minorHAnsi"/>
          <w:bCs/>
          <w:iCs/>
          <w:color w:val="1F497D" w:themeColor="text2"/>
        </w:rPr>
        <w:t xml:space="preserve">hospitalization rate). </w:t>
      </w:r>
      <w:r w:rsidRPr="00746445">
        <w:rPr>
          <w:rFonts w:cstheme="minorHAnsi"/>
          <w:bCs/>
          <w:iCs/>
          <w:color w:val="1F497D" w:themeColor="text2"/>
        </w:rPr>
        <w:t xml:space="preserve"> </w:t>
      </w:r>
    </w:p>
    <w:p w:rsidR="00844955" w:rsidRDefault="00414087" w:rsidP="00ED0163">
      <w:pPr>
        <w:autoSpaceDE w:val="0"/>
        <w:autoSpaceDN w:val="0"/>
        <w:adjustRightInd w:val="0"/>
        <w:spacing w:after="0" w:line="240" w:lineRule="auto"/>
        <w:rPr>
          <w:rFonts w:cstheme="minorHAnsi"/>
          <w:bCs/>
          <w:iCs/>
          <w:color w:val="1F497D" w:themeColor="text2"/>
        </w:rPr>
      </w:pPr>
      <w:r w:rsidRPr="00746445">
        <w:rPr>
          <w:rFonts w:cstheme="minorHAnsi"/>
          <w:bCs/>
          <w:iCs/>
          <w:color w:val="1F497D" w:themeColor="text2"/>
        </w:rPr>
        <w:t xml:space="preserve">To test this decision we stratified </w:t>
      </w:r>
      <w:r w:rsidR="003E38F9">
        <w:rPr>
          <w:rFonts w:cstheme="minorHAnsi"/>
          <w:bCs/>
          <w:iCs/>
          <w:color w:val="1F497D" w:themeColor="text2"/>
        </w:rPr>
        <w:t>SNFs</w:t>
      </w:r>
      <w:r w:rsidRPr="00746445">
        <w:rPr>
          <w:rFonts w:cstheme="minorHAnsi"/>
          <w:bCs/>
          <w:iCs/>
          <w:color w:val="1F497D" w:themeColor="text2"/>
        </w:rPr>
        <w:t xml:space="preserve"> based on their average number of admissions over four 12 month periods (Jan 11 to Dec 11, Apr 11 to Mar 12, July 11 to June 12 and Oct 11 to Sept 12).  </w:t>
      </w:r>
      <w:r w:rsidR="00844955">
        <w:rPr>
          <w:rFonts w:cstheme="minorHAnsi"/>
          <w:bCs/>
          <w:iCs/>
          <w:color w:val="1F497D" w:themeColor="text2"/>
        </w:rPr>
        <w:t>SNFs</w:t>
      </w:r>
      <w:r w:rsidRPr="00746445">
        <w:rPr>
          <w:rFonts w:cstheme="minorHAnsi"/>
          <w:bCs/>
          <w:iCs/>
          <w:color w:val="1F497D" w:themeColor="text2"/>
        </w:rPr>
        <w:t xml:space="preserve"> were stratified into four groups based on their average number of admissions: 1) those with fewer than 30 admissions, 2) 30-50 admissions, 3) 50-100 admissions, and 4) &gt;100 admissions from hospital each year. We then co</w:t>
      </w:r>
      <w:r w:rsidR="00844955">
        <w:rPr>
          <w:rFonts w:cstheme="minorHAnsi"/>
          <w:bCs/>
          <w:iCs/>
          <w:color w:val="1F497D" w:themeColor="text2"/>
        </w:rPr>
        <w:t>mpared the average change in re</w:t>
      </w:r>
      <w:r w:rsidRPr="00746445">
        <w:rPr>
          <w:rFonts w:cstheme="minorHAnsi"/>
          <w:bCs/>
          <w:iCs/>
          <w:color w:val="1F497D" w:themeColor="text2"/>
        </w:rPr>
        <w:t xml:space="preserve">hospitalization rates from 12 month period to 12 month period across the four groups.  </w:t>
      </w:r>
    </w:p>
    <w:p w:rsidR="00B365AD" w:rsidRPr="00B15459" w:rsidRDefault="00ED0163" w:rsidP="00ED0163">
      <w:pPr>
        <w:autoSpaceDE w:val="0"/>
        <w:autoSpaceDN w:val="0"/>
        <w:adjustRightInd w:val="0"/>
        <w:spacing w:after="0" w:line="240" w:lineRule="auto"/>
        <w:rPr>
          <w:rFonts w:cstheme="minorHAnsi"/>
          <w:b/>
          <w:bCs/>
          <w:iCs/>
          <w:color w:val="1F497D" w:themeColor="text2"/>
        </w:rPr>
      </w:pPr>
      <w:r>
        <w:rPr>
          <w:rFonts w:cstheme="minorHAnsi"/>
          <w:bCs/>
          <w:iCs/>
          <w:color w:val="1F497D" w:themeColor="text2"/>
        </w:rPr>
        <w:br/>
      </w:r>
      <w:r w:rsidR="00092566">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414087" w:rsidRPr="00746445">
        <w:rPr>
          <w:rFonts w:cstheme="minorHAnsi"/>
          <w:bCs/>
          <w:iCs/>
          <w:color w:val="1F497D" w:themeColor="text2"/>
        </w:rPr>
        <w:t>As expected, the average change in rates decreased as the number of admissions increased.  This is shown in the table below.</w:t>
      </w:r>
      <w:r w:rsidR="00924568">
        <w:rPr>
          <w:rFonts w:cstheme="minorHAnsi"/>
          <w:bCs/>
          <w:iCs/>
          <w:color w:val="1F497D" w:themeColor="text2"/>
        </w:rPr>
        <w:br/>
      </w:r>
      <w:r w:rsidR="00B15459" w:rsidRPr="00B15459">
        <w:rPr>
          <w:rFonts w:cstheme="minorHAnsi"/>
          <w:b/>
          <w:bCs/>
          <w:iCs/>
          <w:color w:val="1F497D" w:themeColor="text2"/>
        </w:rPr>
        <w:t>TABLE 8</w:t>
      </w:r>
      <w:r w:rsidR="00B365AD" w:rsidRPr="00B15459">
        <w:rPr>
          <w:rFonts w:cstheme="minorHAnsi"/>
          <w:b/>
          <w:bCs/>
          <w:iCs/>
          <w:color w:val="1F497D" w:themeColor="text2"/>
        </w:rPr>
        <w:t xml:space="preserve">. </w:t>
      </w:r>
      <w:r w:rsidR="00746CF7">
        <w:rPr>
          <w:rFonts w:cstheme="minorHAnsi"/>
          <w:b/>
          <w:bCs/>
          <w:iCs/>
          <w:color w:val="1F497D" w:themeColor="text2"/>
        </w:rPr>
        <w:t>Change in Rates Quarter to Quarter Stratified by Number Admissions to a SNF</w:t>
      </w:r>
    </w:p>
    <w:tbl>
      <w:tblPr>
        <w:tblStyle w:val="TableGrid"/>
        <w:tblW w:w="0" w:type="auto"/>
        <w:shd w:val="clear" w:color="auto" w:fill="FFFFFF" w:themeFill="background1"/>
        <w:tblLook w:val="04A0" w:firstRow="1" w:lastRow="0" w:firstColumn="1" w:lastColumn="0" w:noHBand="0" w:noVBand="1"/>
      </w:tblPr>
      <w:tblGrid>
        <w:gridCol w:w="2107"/>
        <w:gridCol w:w="1427"/>
        <w:gridCol w:w="1759"/>
        <w:gridCol w:w="980"/>
        <w:gridCol w:w="980"/>
        <w:gridCol w:w="1148"/>
      </w:tblGrid>
      <w:tr w:rsidR="00414087" w:rsidRPr="00746445" w:rsidTr="00784054">
        <w:tc>
          <w:tcPr>
            <w:tcW w:w="0" w:type="auto"/>
            <w:shd w:val="clear" w:color="auto" w:fill="FFFFFF" w:themeFill="background1"/>
            <w:hideMark/>
          </w:tcPr>
          <w:p w:rsidR="00414087" w:rsidRPr="005400A4" w:rsidRDefault="00414087"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Category</w:t>
            </w:r>
          </w:p>
        </w:tc>
        <w:tc>
          <w:tcPr>
            <w:tcW w:w="0" w:type="auto"/>
            <w:shd w:val="clear" w:color="auto" w:fill="FFFFFF" w:themeFill="background1"/>
            <w:hideMark/>
          </w:tcPr>
          <w:p w:rsidR="00414087" w:rsidRPr="005400A4" w:rsidRDefault="005400A4"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Observations</w:t>
            </w:r>
          </w:p>
        </w:tc>
        <w:tc>
          <w:tcPr>
            <w:tcW w:w="0" w:type="auto"/>
            <w:shd w:val="clear" w:color="auto" w:fill="FFFFFF" w:themeFill="background1"/>
            <w:hideMark/>
          </w:tcPr>
          <w:p w:rsidR="00414087" w:rsidRPr="005400A4" w:rsidRDefault="00414087"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Variable</w:t>
            </w:r>
          </w:p>
        </w:tc>
        <w:tc>
          <w:tcPr>
            <w:tcW w:w="0" w:type="auto"/>
            <w:shd w:val="clear" w:color="auto" w:fill="FFFFFF" w:themeFill="background1"/>
            <w:hideMark/>
          </w:tcPr>
          <w:p w:rsidR="00414087" w:rsidRPr="005400A4" w:rsidRDefault="00414087"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Mean</w:t>
            </w:r>
          </w:p>
        </w:tc>
        <w:tc>
          <w:tcPr>
            <w:tcW w:w="0" w:type="auto"/>
            <w:shd w:val="clear" w:color="auto" w:fill="FFFFFF" w:themeFill="background1"/>
            <w:hideMark/>
          </w:tcPr>
          <w:p w:rsidR="00414087" w:rsidRPr="005400A4" w:rsidRDefault="005400A4"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 xml:space="preserve">S.D. </w:t>
            </w:r>
          </w:p>
        </w:tc>
        <w:tc>
          <w:tcPr>
            <w:tcW w:w="0" w:type="auto"/>
            <w:shd w:val="clear" w:color="auto" w:fill="FFFFFF" w:themeFill="background1"/>
            <w:hideMark/>
          </w:tcPr>
          <w:p w:rsidR="00414087" w:rsidRPr="005400A4" w:rsidRDefault="00414087"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Maximum</w:t>
            </w:r>
          </w:p>
        </w:tc>
      </w:tr>
      <w:tr w:rsidR="00414087" w:rsidRPr="00746445" w:rsidTr="00784054">
        <w:tc>
          <w:tcPr>
            <w:tcW w:w="0" w:type="auto"/>
            <w:shd w:val="clear" w:color="auto" w:fill="FFFFFF" w:themeFill="background1"/>
            <w:hideMark/>
          </w:tcPr>
          <w:p w:rsidR="00414087" w:rsidRPr="005400A4" w:rsidRDefault="00414087"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Average&lt;30</w:t>
            </w:r>
          </w:p>
          <w:p w:rsidR="00414087" w:rsidRPr="005400A4" w:rsidRDefault="00414087" w:rsidP="00C12D8E">
            <w:pPr>
              <w:spacing w:before="100" w:beforeAutospacing="1" w:after="100" w:afterAutospacing="1"/>
              <w:rPr>
                <w:rFonts w:cstheme="minorHAnsi"/>
                <w:b/>
                <w:bCs/>
                <w:iCs/>
                <w:color w:val="1F497D" w:themeColor="text2"/>
              </w:rPr>
            </w:pPr>
          </w:p>
        </w:tc>
        <w:tc>
          <w:tcPr>
            <w:tcW w:w="0" w:type="auto"/>
            <w:shd w:val="clear" w:color="auto" w:fill="FFFFFF" w:themeFill="background1"/>
            <w:hideMark/>
          </w:tcPr>
          <w:p w:rsidR="00414087" w:rsidRPr="00746445" w:rsidRDefault="00414087" w:rsidP="005400A4">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1589</w:t>
            </w:r>
          </w:p>
        </w:tc>
        <w:tc>
          <w:tcPr>
            <w:tcW w:w="0" w:type="auto"/>
            <w:shd w:val="clear" w:color="auto" w:fill="FFFFFF" w:themeFill="background1"/>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1543"/>
            </w:tblGrid>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adjust_rate_Q1</w:t>
                  </w:r>
                </w:p>
              </w:tc>
            </w:tr>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changeQ21</w:t>
                  </w:r>
                </w:p>
              </w:tc>
            </w:tr>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changeQ32</w:t>
                  </w:r>
                </w:p>
              </w:tc>
            </w:tr>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changeQ43</w:t>
                  </w:r>
                </w:p>
              </w:tc>
            </w:tr>
          </w:tbl>
          <w:p w:rsidR="00414087" w:rsidRPr="00746445" w:rsidRDefault="00414087"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414087" w:rsidRPr="00746445" w:rsidTr="00C12D8E">
              <w:trPr>
                <w:tblCellSpacing w:w="0" w:type="dxa"/>
                <w:jc w:val="right"/>
              </w:trPr>
              <w:tc>
                <w:tcPr>
                  <w:tcW w:w="0" w:type="auto"/>
                  <w:hideMark/>
                </w:tcPr>
                <w:p w:rsidR="00414087" w:rsidRPr="00746445" w:rsidRDefault="00520D41" w:rsidP="00B82C55">
                  <w:pPr>
                    <w:spacing w:before="100" w:beforeAutospacing="1" w:after="100" w:afterAutospacing="1" w:line="240" w:lineRule="auto"/>
                    <w:jc w:val="right"/>
                    <w:rPr>
                      <w:rFonts w:cstheme="minorHAnsi"/>
                      <w:bCs/>
                      <w:iCs/>
                      <w:color w:val="1F497D" w:themeColor="text2"/>
                    </w:rPr>
                  </w:pPr>
                  <w:r>
                    <w:rPr>
                      <w:rFonts w:cstheme="minorHAnsi"/>
                      <w:bCs/>
                      <w:iCs/>
                      <w:color w:val="1F497D" w:themeColor="text2"/>
                    </w:rPr>
                    <w:t>0.1314</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0.0531</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0.0574</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0.056</w:t>
                  </w:r>
                  <w:r w:rsidR="00520D41">
                    <w:rPr>
                      <w:rFonts w:cstheme="minorHAnsi"/>
                      <w:bCs/>
                      <w:iCs/>
                      <w:color w:val="1F497D" w:themeColor="text2"/>
                    </w:rPr>
                    <w:t>7</w:t>
                  </w:r>
                </w:p>
              </w:tc>
            </w:tr>
          </w:tbl>
          <w:p w:rsidR="00414087" w:rsidRPr="00746445" w:rsidRDefault="00414087" w:rsidP="00B82C55">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0.1632</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0.0887</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0.150</w:t>
                  </w:r>
                  <w:r w:rsidR="00B82C55">
                    <w:rPr>
                      <w:rFonts w:cstheme="minorHAnsi"/>
                      <w:bCs/>
                      <w:iCs/>
                      <w:color w:val="1F497D" w:themeColor="text2"/>
                    </w:rPr>
                    <w:t>9</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0.161</w:t>
                  </w:r>
                  <w:r w:rsidR="00B82C55">
                    <w:rPr>
                      <w:rFonts w:cstheme="minorHAnsi"/>
                      <w:bCs/>
                      <w:iCs/>
                      <w:color w:val="1F497D" w:themeColor="text2"/>
                    </w:rPr>
                    <w:t>9</w:t>
                  </w:r>
                </w:p>
              </w:tc>
            </w:tr>
          </w:tbl>
          <w:p w:rsidR="00414087" w:rsidRPr="00746445" w:rsidRDefault="00414087"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3857"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414087" w:rsidRPr="00746445" w:rsidTr="008D4F4B">
              <w:trPr>
                <w:tblCellSpacing w:w="0" w:type="dxa"/>
                <w:jc w:val="right"/>
              </w:trPr>
              <w:tc>
                <w:tcPr>
                  <w:tcW w:w="5000" w:type="pct"/>
                  <w:hideMark/>
                </w:tcPr>
                <w:p w:rsidR="00414087" w:rsidRPr="00746445"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2.7674</w:t>
                  </w:r>
                </w:p>
              </w:tc>
            </w:tr>
            <w:tr w:rsidR="00414087" w:rsidRPr="00746445" w:rsidTr="008D4F4B">
              <w:trPr>
                <w:tblCellSpacing w:w="0" w:type="dxa"/>
                <w:jc w:val="right"/>
              </w:trPr>
              <w:tc>
                <w:tcPr>
                  <w:tcW w:w="5000" w:type="pct"/>
                  <w:hideMark/>
                </w:tcPr>
                <w:p w:rsidR="00414087" w:rsidRPr="00746445"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1.0841</w:t>
                  </w:r>
                </w:p>
              </w:tc>
            </w:tr>
            <w:tr w:rsidR="00414087" w:rsidRPr="00746445" w:rsidTr="008D4F4B">
              <w:trPr>
                <w:tblCellSpacing w:w="0" w:type="dxa"/>
                <w:jc w:val="right"/>
              </w:trPr>
              <w:tc>
                <w:tcPr>
                  <w:tcW w:w="5000" w:type="pct"/>
                  <w:hideMark/>
                </w:tcPr>
                <w:p w:rsidR="00414087" w:rsidRPr="00746445"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4.392</w:t>
                  </w:r>
                  <w:r w:rsidR="008D4F4B">
                    <w:rPr>
                      <w:rFonts w:cstheme="minorHAnsi"/>
                      <w:bCs/>
                      <w:iCs/>
                      <w:color w:val="1F497D" w:themeColor="text2"/>
                    </w:rPr>
                    <w:t>6</w:t>
                  </w:r>
                </w:p>
              </w:tc>
            </w:tr>
            <w:tr w:rsidR="00414087" w:rsidRPr="00746445" w:rsidTr="008D4F4B">
              <w:trPr>
                <w:tblCellSpacing w:w="0" w:type="dxa"/>
                <w:jc w:val="right"/>
              </w:trPr>
              <w:tc>
                <w:tcPr>
                  <w:tcW w:w="5000" w:type="pct"/>
                  <w:hideMark/>
                </w:tcPr>
                <w:p w:rsidR="00414087" w:rsidRPr="00746445"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4.4453</w:t>
                  </w:r>
                </w:p>
              </w:tc>
            </w:tr>
          </w:tbl>
          <w:p w:rsidR="00414087" w:rsidRPr="00746445" w:rsidRDefault="00414087" w:rsidP="005400A4">
            <w:pPr>
              <w:spacing w:before="100" w:beforeAutospacing="1" w:after="100" w:afterAutospacing="1"/>
              <w:jc w:val="right"/>
              <w:rPr>
                <w:rFonts w:cstheme="minorHAnsi"/>
                <w:bCs/>
                <w:iCs/>
                <w:color w:val="1F497D" w:themeColor="text2"/>
              </w:rPr>
            </w:pPr>
          </w:p>
        </w:tc>
      </w:tr>
      <w:tr w:rsidR="00414087" w:rsidRPr="00746445" w:rsidTr="00784054">
        <w:tc>
          <w:tcPr>
            <w:tcW w:w="0" w:type="auto"/>
            <w:shd w:val="clear" w:color="auto" w:fill="FFFFFF" w:themeFill="background1"/>
            <w:hideMark/>
          </w:tcPr>
          <w:p w:rsidR="00414087" w:rsidRPr="005400A4" w:rsidRDefault="00414087"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Average&gt;=30 &amp; &lt;50</w:t>
            </w:r>
          </w:p>
        </w:tc>
        <w:tc>
          <w:tcPr>
            <w:tcW w:w="0" w:type="auto"/>
            <w:shd w:val="clear" w:color="auto" w:fill="FFFFFF" w:themeFill="background1"/>
            <w:hideMark/>
          </w:tcPr>
          <w:p w:rsidR="00414087" w:rsidRPr="00746445" w:rsidRDefault="00414087" w:rsidP="005400A4">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1220</w:t>
            </w:r>
          </w:p>
        </w:tc>
        <w:tc>
          <w:tcPr>
            <w:tcW w:w="0" w:type="auto"/>
            <w:shd w:val="clear" w:color="auto" w:fill="FFFFFF" w:themeFill="background1"/>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1543"/>
            </w:tblGrid>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adjust_rate_Q1</w:t>
                  </w:r>
                </w:p>
              </w:tc>
            </w:tr>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changeQ21</w:t>
                  </w:r>
                </w:p>
              </w:tc>
            </w:tr>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changeQ32</w:t>
                  </w:r>
                </w:p>
              </w:tc>
            </w:tr>
            <w:tr w:rsidR="00414087" w:rsidRPr="00746445" w:rsidTr="00C12D8E">
              <w:trPr>
                <w:tblCellSpacing w:w="0" w:type="dxa"/>
              </w:trPr>
              <w:tc>
                <w:tcPr>
                  <w:tcW w:w="0" w:type="auto"/>
                  <w:hideMark/>
                </w:tcPr>
                <w:p w:rsidR="00414087" w:rsidRPr="00746445" w:rsidRDefault="00414087"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changeQ43</w:t>
                  </w:r>
                </w:p>
              </w:tc>
            </w:tr>
          </w:tbl>
          <w:p w:rsidR="00414087" w:rsidRPr="00746445" w:rsidRDefault="00414087"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0.153</w:t>
                  </w:r>
                  <w:r w:rsidR="005400A4">
                    <w:rPr>
                      <w:rFonts w:cstheme="minorHAnsi"/>
                      <w:bCs/>
                      <w:iCs/>
                      <w:color w:val="1F497D" w:themeColor="text2"/>
                    </w:rPr>
                    <w:t>3</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0.032</w:t>
                  </w:r>
                  <w:r w:rsidR="005400A4">
                    <w:rPr>
                      <w:rFonts w:cstheme="minorHAnsi"/>
                      <w:bCs/>
                      <w:iCs/>
                      <w:color w:val="1F497D" w:themeColor="text2"/>
                    </w:rPr>
                    <w:t>5</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0.0309</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0.0298</w:t>
                  </w:r>
                </w:p>
              </w:tc>
            </w:tr>
          </w:tbl>
          <w:p w:rsidR="00414087" w:rsidRPr="00746445" w:rsidRDefault="00414087" w:rsidP="00B82C55">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0.07</w:t>
                  </w:r>
                  <w:r w:rsidR="00B82C55">
                    <w:rPr>
                      <w:rFonts w:cstheme="minorHAnsi"/>
                      <w:bCs/>
                      <w:iCs/>
                      <w:color w:val="1F497D" w:themeColor="text2"/>
                    </w:rPr>
                    <w:t>30</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0.027</w:t>
                  </w:r>
                  <w:r w:rsidR="00B82C55">
                    <w:rPr>
                      <w:rFonts w:cstheme="minorHAnsi"/>
                      <w:bCs/>
                      <w:iCs/>
                      <w:color w:val="1F497D" w:themeColor="text2"/>
                    </w:rPr>
                    <w:t>6</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0.026</w:t>
                  </w:r>
                  <w:r w:rsidR="00B82C55">
                    <w:rPr>
                      <w:rFonts w:cstheme="minorHAnsi"/>
                      <w:bCs/>
                      <w:iCs/>
                      <w:color w:val="1F497D" w:themeColor="text2"/>
                    </w:rPr>
                    <w:t>9</w:t>
                  </w:r>
                </w:p>
              </w:tc>
            </w:tr>
            <w:tr w:rsidR="00414087" w:rsidRPr="00746445" w:rsidTr="00C12D8E">
              <w:trPr>
                <w:tblCellSpacing w:w="0" w:type="dxa"/>
                <w:jc w:val="right"/>
              </w:trPr>
              <w:tc>
                <w:tcPr>
                  <w:tcW w:w="0" w:type="auto"/>
                  <w:hideMark/>
                </w:tcPr>
                <w:p w:rsidR="00414087" w:rsidRPr="00746445" w:rsidRDefault="00414087"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w:t>
                  </w:r>
                  <w:r w:rsidR="00B82C55">
                    <w:rPr>
                      <w:rFonts w:cstheme="minorHAnsi"/>
                      <w:bCs/>
                      <w:iCs/>
                      <w:color w:val="1F497D" w:themeColor="text2"/>
                    </w:rPr>
                    <w:t>60</w:t>
                  </w:r>
                </w:p>
              </w:tc>
            </w:tr>
          </w:tbl>
          <w:p w:rsidR="00414087" w:rsidRPr="00746445" w:rsidRDefault="00414087"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932"/>
            </w:tblGrid>
            <w:tr w:rsidR="00414087" w:rsidRPr="00746445" w:rsidTr="00C12D8E">
              <w:trPr>
                <w:tblCellSpacing w:w="0" w:type="dxa"/>
                <w:jc w:val="right"/>
              </w:trPr>
              <w:tc>
                <w:tcPr>
                  <w:tcW w:w="0" w:type="auto"/>
                  <w:hideMark/>
                </w:tcPr>
                <w:p w:rsidR="00414087" w:rsidRPr="00746445"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0.5444</w:t>
                  </w:r>
                </w:p>
              </w:tc>
            </w:tr>
            <w:tr w:rsidR="00414087" w:rsidRPr="00746445" w:rsidTr="00C12D8E">
              <w:trPr>
                <w:tblCellSpacing w:w="0" w:type="dxa"/>
                <w:jc w:val="right"/>
              </w:trPr>
              <w:tc>
                <w:tcPr>
                  <w:tcW w:w="0" w:type="auto"/>
                  <w:hideMark/>
                </w:tcPr>
                <w:p w:rsidR="00414087" w:rsidRPr="00746445"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0.207</w:t>
                  </w:r>
                  <w:r w:rsidR="008D4F4B">
                    <w:rPr>
                      <w:rFonts w:cstheme="minorHAnsi"/>
                      <w:bCs/>
                      <w:iCs/>
                      <w:color w:val="1F497D" w:themeColor="text2"/>
                    </w:rPr>
                    <w:t>6</w:t>
                  </w:r>
                </w:p>
              </w:tc>
            </w:tr>
            <w:tr w:rsidR="00414087" w:rsidRPr="00746445" w:rsidTr="00C12D8E">
              <w:trPr>
                <w:tblCellSpacing w:w="0" w:type="dxa"/>
                <w:jc w:val="right"/>
              </w:trPr>
              <w:tc>
                <w:tcPr>
                  <w:tcW w:w="0" w:type="auto"/>
                  <w:hideMark/>
                </w:tcPr>
                <w:p w:rsidR="00414087" w:rsidRPr="00746445"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0.2359</w:t>
                  </w:r>
                </w:p>
              </w:tc>
            </w:tr>
            <w:tr w:rsidR="00414087" w:rsidRPr="00746445" w:rsidTr="00C12D8E">
              <w:trPr>
                <w:tblCellSpacing w:w="0" w:type="dxa"/>
                <w:jc w:val="right"/>
              </w:trPr>
              <w:tc>
                <w:tcPr>
                  <w:tcW w:w="0" w:type="auto"/>
                  <w:hideMark/>
                </w:tcPr>
                <w:p w:rsidR="00414087" w:rsidRDefault="00414087"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0.1691</w:t>
                  </w:r>
                </w:p>
                <w:p w:rsidR="00BB4C45" w:rsidRDefault="00BB4C45" w:rsidP="008D4F4B">
                  <w:pPr>
                    <w:spacing w:before="100" w:beforeAutospacing="1" w:after="100" w:afterAutospacing="1" w:line="240" w:lineRule="auto"/>
                    <w:jc w:val="right"/>
                    <w:rPr>
                      <w:rFonts w:cstheme="minorHAnsi"/>
                      <w:bCs/>
                      <w:iCs/>
                      <w:color w:val="1F497D" w:themeColor="text2"/>
                    </w:rPr>
                  </w:pPr>
                </w:p>
                <w:p w:rsidR="00BB4C45" w:rsidRPr="00746445" w:rsidRDefault="00BB4C45" w:rsidP="008D4F4B">
                  <w:pPr>
                    <w:spacing w:before="100" w:beforeAutospacing="1" w:after="100" w:afterAutospacing="1" w:line="240" w:lineRule="auto"/>
                    <w:jc w:val="right"/>
                    <w:rPr>
                      <w:rFonts w:cstheme="minorHAnsi"/>
                      <w:bCs/>
                      <w:iCs/>
                      <w:color w:val="1F497D" w:themeColor="text2"/>
                    </w:rPr>
                  </w:pPr>
                </w:p>
              </w:tc>
            </w:tr>
          </w:tbl>
          <w:p w:rsidR="00414087" w:rsidRPr="00746445" w:rsidRDefault="00414087" w:rsidP="005400A4">
            <w:pPr>
              <w:spacing w:before="100" w:beforeAutospacing="1" w:after="100" w:afterAutospacing="1"/>
              <w:jc w:val="right"/>
              <w:rPr>
                <w:rFonts w:cstheme="minorHAnsi"/>
                <w:bCs/>
                <w:iCs/>
                <w:color w:val="1F497D" w:themeColor="text2"/>
              </w:rPr>
            </w:pPr>
          </w:p>
        </w:tc>
      </w:tr>
      <w:tr w:rsidR="00BB4C45" w:rsidRPr="00746445" w:rsidTr="00784054">
        <w:tc>
          <w:tcPr>
            <w:tcW w:w="0" w:type="auto"/>
            <w:shd w:val="clear" w:color="auto" w:fill="FFFFFF" w:themeFill="background1"/>
            <w:hideMark/>
          </w:tcPr>
          <w:p w:rsidR="00BB4C45" w:rsidRPr="005400A4" w:rsidRDefault="00BB4C45"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Average&gt;=50 &amp; &lt;100</w:t>
            </w:r>
          </w:p>
        </w:tc>
        <w:tc>
          <w:tcPr>
            <w:tcW w:w="0" w:type="auto"/>
            <w:shd w:val="clear" w:color="auto" w:fill="FFFFFF" w:themeFill="background1"/>
            <w:hideMark/>
          </w:tcPr>
          <w:p w:rsidR="00BB4C45" w:rsidRPr="00746445" w:rsidRDefault="00BB4C45" w:rsidP="005400A4">
            <w:pPr>
              <w:spacing w:before="100" w:beforeAutospacing="1" w:after="100" w:afterAutospacing="1"/>
              <w:jc w:val="right"/>
              <w:rPr>
                <w:rFonts w:cstheme="minorHAnsi"/>
                <w:bCs/>
                <w:iCs/>
                <w:color w:val="1F497D" w:themeColor="text2"/>
              </w:rPr>
            </w:pPr>
            <w:r w:rsidRPr="00746445">
              <w:rPr>
                <w:rFonts w:cstheme="minorHAnsi"/>
                <w:bCs/>
                <w:iCs/>
                <w:color w:val="1F497D" w:themeColor="text2"/>
              </w:rPr>
              <w:t>2830</w:t>
            </w:r>
          </w:p>
        </w:tc>
        <w:tc>
          <w:tcPr>
            <w:tcW w:w="0" w:type="auto"/>
            <w:shd w:val="clear" w:color="auto" w:fill="FFFFFF" w:themeFill="background1"/>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1543"/>
            </w:tblGrid>
            <w:tr w:rsidR="00BB4C45" w:rsidRPr="00746445" w:rsidTr="00C12D8E">
              <w:trPr>
                <w:tblCellSpacing w:w="0" w:type="dxa"/>
              </w:trPr>
              <w:tc>
                <w:tcPr>
                  <w:tcW w:w="0" w:type="auto"/>
                  <w:hideMark/>
                </w:tcPr>
                <w:p w:rsidR="00BB4C45" w:rsidRPr="00746445" w:rsidRDefault="00BB4C45"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adjust_rate_Q1</w:t>
                  </w:r>
                </w:p>
              </w:tc>
            </w:tr>
            <w:tr w:rsidR="00BB4C45" w:rsidRPr="00746445" w:rsidTr="00C12D8E">
              <w:trPr>
                <w:tblCellSpacing w:w="0" w:type="dxa"/>
              </w:trPr>
              <w:tc>
                <w:tcPr>
                  <w:tcW w:w="0" w:type="auto"/>
                  <w:hideMark/>
                </w:tcPr>
                <w:p w:rsidR="00BB4C45" w:rsidRPr="00746445" w:rsidRDefault="00BB4C45"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changeQ21</w:t>
                  </w:r>
                </w:p>
              </w:tc>
            </w:tr>
            <w:tr w:rsidR="00BB4C45" w:rsidRPr="00746445" w:rsidTr="00C12D8E">
              <w:trPr>
                <w:tblCellSpacing w:w="0" w:type="dxa"/>
              </w:trPr>
              <w:tc>
                <w:tcPr>
                  <w:tcW w:w="0" w:type="auto"/>
                  <w:hideMark/>
                </w:tcPr>
                <w:p w:rsidR="00BB4C45" w:rsidRPr="00746445" w:rsidRDefault="00BB4C45"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changeQ32</w:t>
                  </w:r>
                </w:p>
              </w:tc>
            </w:tr>
            <w:tr w:rsidR="00BB4C45" w:rsidRPr="00746445" w:rsidTr="00C12D8E">
              <w:trPr>
                <w:tblCellSpacing w:w="0" w:type="dxa"/>
              </w:trPr>
              <w:tc>
                <w:tcPr>
                  <w:tcW w:w="0" w:type="auto"/>
                  <w:hideMark/>
                </w:tcPr>
                <w:p w:rsidR="00BB4C45" w:rsidRPr="00746445" w:rsidRDefault="00BB4C45"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changeQ43</w:t>
                  </w:r>
                </w:p>
              </w:tc>
            </w:tr>
          </w:tbl>
          <w:p w:rsidR="00BB4C45" w:rsidRPr="00746445" w:rsidRDefault="00BB4C45"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BB4C45" w:rsidRPr="00746445" w:rsidTr="00C12D8E">
              <w:trPr>
                <w:tblCellSpacing w:w="0" w:type="dxa"/>
                <w:jc w:val="right"/>
              </w:trPr>
              <w:tc>
                <w:tcPr>
                  <w:tcW w:w="0" w:type="auto"/>
                  <w:hideMark/>
                </w:tcPr>
                <w:p w:rsidR="00BB4C45" w:rsidRPr="00746445" w:rsidRDefault="00BB4C45"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0.171</w:t>
                  </w:r>
                  <w:r>
                    <w:rPr>
                      <w:rFonts w:cstheme="minorHAnsi"/>
                      <w:bCs/>
                      <w:iCs/>
                      <w:color w:val="1F497D" w:themeColor="text2"/>
                    </w:rPr>
                    <w:t>7</w:t>
                  </w:r>
                </w:p>
              </w:tc>
            </w:tr>
            <w:tr w:rsidR="00BB4C45" w:rsidRPr="00746445" w:rsidTr="00C12D8E">
              <w:trPr>
                <w:tblCellSpacing w:w="0" w:type="dxa"/>
                <w:jc w:val="right"/>
              </w:trPr>
              <w:tc>
                <w:tcPr>
                  <w:tcW w:w="0" w:type="auto"/>
                  <w:hideMark/>
                </w:tcPr>
                <w:p w:rsidR="00BB4C45" w:rsidRPr="00746445" w:rsidRDefault="00BB4C45"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0.026</w:t>
                  </w:r>
                  <w:r>
                    <w:rPr>
                      <w:rFonts w:cstheme="minorHAnsi"/>
                      <w:bCs/>
                      <w:iCs/>
                      <w:color w:val="1F497D" w:themeColor="text2"/>
                    </w:rPr>
                    <w:t>7</w:t>
                  </w:r>
                </w:p>
              </w:tc>
            </w:tr>
            <w:tr w:rsidR="00BB4C45" w:rsidRPr="00746445" w:rsidTr="00C12D8E">
              <w:trPr>
                <w:tblCellSpacing w:w="0" w:type="dxa"/>
                <w:jc w:val="right"/>
              </w:trPr>
              <w:tc>
                <w:tcPr>
                  <w:tcW w:w="0" w:type="auto"/>
                  <w:hideMark/>
                </w:tcPr>
                <w:p w:rsidR="00BB4C45" w:rsidRPr="00746445" w:rsidRDefault="00BB4C45"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0.024</w:t>
                  </w:r>
                  <w:r>
                    <w:rPr>
                      <w:rFonts w:cstheme="minorHAnsi"/>
                      <w:bCs/>
                      <w:iCs/>
                      <w:color w:val="1F497D" w:themeColor="text2"/>
                    </w:rPr>
                    <w:t>8</w:t>
                  </w:r>
                </w:p>
              </w:tc>
            </w:tr>
            <w:tr w:rsidR="00BB4C45" w:rsidRPr="00746445" w:rsidTr="00C12D8E">
              <w:trPr>
                <w:tblCellSpacing w:w="0" w:type="dxa"/>
                <w:jc w:val="right"/>
              </w:trPr>
              <w:tc>
                <w:tcPr>
                  <w:tcW w:w="0" w:type="auto"/>
                  <w:hideMark/>
                </w:tcPr>
                <w:p w:rsidR="00BB4C45" w:rsidRPr="00746445" w:rsidRDefault="00BB4C45"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0.0241</w:t>
                  </w:r>
                </w:p>
              </w:tc>
            </w:tr>
          </w:tbl>
          <w:p w:rsidR="00BB4C45" w:rsidRPr="00746445" w:rsidRDefault="00BB4C45" w:rsidP="00B82C55">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4631"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BB4C45" w:rsidRPr="00746445" w:rsidTr="008D4F4B">
              <w:trPr>
                <w:tblCellSpacing w:w="0" w:type="dxa"/>
                <w:jc w:val="right"/>
              </w:trPr>
              <w:tc>
                <w:tcPr>
                  <w:tcW w:w="5000" w:type="pct"/>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0.0615</w:t>
                  </w:r>
                </w:p>
              </w:tc>
            </w:tr>
            <w:tr w:rsidR="00BB4C45" w:rsidRPr="00746445" w:rsidTr="008D4F4B">
              <w:trPr>
                <w:tblCellSpacing w:w="0" w:type="dxa"/>
                <w:jc w:val="right"/>
              </w:trPr>
              <w:tc>
                <w:tcPr>
                  <w:tcW w:w="5000" w:type="pct"/>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0.0216</w:t>
                  </w:r>
                </w:p>
              </w:tc>
            </w:tr>
            <w:tr w:rsidR="00BB4C45" w:rsidRPr="00746445" w:rsidTr="008D4F4B">
              <w:trPr>
                <w:tblCellSpacing w:w="0" w:type="dxa"/>
                <w:jc w:val="right"/>
              </w:trPr>
              <w:tc>
                <w:tcPr>
                  <w:tcW w:w="5000" w:type="pct"/>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0.019</w:t>
                  </w:r>
                  <w:r>
                    <w:rPr>
                      <w:rFonts w:cstheme="minorHAnsi"/>
                      <w:bCs/>
                      <w:iCs/>
                      <w:color w:val="1F497D" w:themeColor="text2"/>
                    </w:rPr>
                    <w:t>7</w:t>
                  </w:r>
                </w:p>
              </w:tc>
            </w:tr>
            <w:tr w:rsidR="00BB4C45" w:rsidRPr="00746445" w:rsidTr="008D4F4B">
              <w:trPr>
                <w:tblCellSpacing w:w="0" w:type="dxa"/>
                <w:jc w:val="right"/>
              </w:trPr>
              <w:tc>
                <w:tcPr>
                  <w:tcW w:w="5000" w:type="pct"/>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0.020</w:t>
                  </w:r>
                  <w:r>
                    <w:rPr>
                      <w:rFonts w:cstheme="minorHAnsi"/>
                      <w:bCs/>
                      <w:iCs/>
                      <w:color w:val="1F497D" w:themeColor="text2"/>
                    </w:rPr>
                    <w:t>2</w:t>
                  </w:r>
                </w:p>
              </w:tc>
            </w:tr>
          </w:tbl>
          <w:p w:rsidR="00BB4C45" w:rsidRPr="00746445" w:rsidRDefault="00BB4C45"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932"/>
            </w:tblGrid>
            <w:tr w:rsidR="00BB4C45" w:rsidRPr="00746445" w:rsidTr="00C12D8E">
              <w:trPr>
                <w:tblCellSpacing w:w="0" w:type="dxa"/>
                <w:jc w:val="right"/>
              </w:trPr>
              <w:tc>
                <w:tcPr>
                  <w:tcW w:w="0" w:type="auto"/>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0.4769</w:t>
                  </w:r>
                </w:p>
              </w:tc>
            </w:tr>
            <w:tr w:rsidR="00BB4C45" w:rsidRPr="00746445" w:rsidTr="00C12D8E">
              <w:trPr>
                <w:tblCellSpacing w:w="0" w:type="dxa"/>
                <w:jc w:val="right"/>
              </w:trPr>
              <w:tc>
                <w:tcPr>
                  <w:tcW w:w="0" w:type="auto"/>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0.153</w:t>
                  </w:r>
                  <w:r>
                    <w:rPr>
                      <w:rFonts w:cstheme="minorHAnsi"/>
                      <w:bCs/>
                      <w:iCs/>
                      <w:color w:val="1F497D" w:themeColor="text2"/>
                    </w:rPr>
                    <w:t>9</w:t>
                  </w:r>
                </w:p>
              </w:tc>
            </w:tr>
            <w:tr w:rsidR="00BB4C45" w:rsidRPr="00746445" w:rsidTr="00C12D8E">
              <w:trPr>
                <w:tblCellSpacing w:w="0" w:type="dxa"/>
                <w:jc w:val="right"/>
              </w:trPr>
              <w:tc>
                <w:tcPr>
                  <w:tcW w:w="0" w:type="auto"/>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0.131</w:t>
                  </w:r>
                  <w:r>
                    <w:rPr>
                      <w:rFonts w:cstheme="minorHAnsi"/>
                      <w:bCs/>
                      <w:iCs/>
                      <w:color w:val="1F497D" w:themeColor="text2"/>
                    </w:rPr>
                    <w:t>6</w:t>
                  </w:r>
                </w:p>
              </w:tc>
            </w:tr>
            <w:tr w:rsidR="00BB4C45" w:rsidRPr="00746445" w:rsidTr="00C12D8E">
              <w:trPr>
                <w:tblCellSpacing w:w="0" w:type="dxa"/>
                <w:jc w:val="right"/>
              </w:trPr>
              <w:tc>
                <w:tcPr>
                  <w:tcW w:w="0" w:type="auto"/>
                  <w:hideMark/>
                </w:tcPr>
                <w:p w:rsidR="00BB4C45" w:rsidRPr="00746445" w:rsidRDefault="00BB4C45"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0.16</w:t>
                  </w:r>
                  <w:r>
                    <w:rPr>
                      <w:rFonts w:cstheme="minorHAnsi"/>
                      <w:bCs/>
                      <w:iCs/>
                      <w:color w:val="1F497D" w:themeColor="text2"/>
                    </w:rPr>
                    <w:t>90</w:t>
                  </w:r>
                </w:p>
              </w:tc>
            </w:tr>
            <w:tr w:rsidR="00BB4C45" w:rsidRPr="00746445" w:rsidTr="00C12D8E">
              <w:trPr>
                <w:tblCellSpacing w:w="0" w:type="dxa"/>
                <w:jc w:val="right"/>
              </w:trPr>
              <w:tc>
                <w:tcPr>
                  <w:tcW w:w="0" w:type="auto"/>
                </w:tcPr>
                <w:p w:rsidR="00BB4C45" w:rsidRPr="00746445" w:rsidRDefault="00BB4C45" w:rsidP="008D4F4B">
                  <w:pPr>
                    <w:spacing w:before="100" w:beforeAutospacing="1" w:after="100" w:afterAutospacing="1" w:line="240" w:lineRule="auto"/>
                    <w:jc w:val="right"/>
                    <w:rPr>
                      <w:rFonts w:cstheme="minorHAnsi"/>
                      <w:bCs/>
                      <w:iCs/>
                      <w:color w:val="1F497D" w:themeColor="text2"/>
                    </w:rPr>
                  </w:pPr>
                </w:p>
              </w:tc>
            </w:tr>
          </w:tbl>
          <w:p w:rsidR="00BB4C45" w:rsidRPr="00746445" w:rsidRDefault="00BB4C45" w:rsidP="005400A4">
            <w:pPr>
              <w:spacing w:before="100" w:beforeAutospacing="1" w:after="100" w:afterAutospacing="1"/>
              <w:jc w:val="right"/>
              <w:rPr>
                <w:rFonts w:cstheme="minorHAnsi"/>
                <w:bCs/>
                <w:iCs/>
                <w:color w:val="1F497D" w:themeColor="text2"/>
              </w:rPr>
            </w:pPr>
          </w:p>
        </w:tc>
      </w:tr>
      <w:tr w:rsidR="00B75500" w:rsidRPr="00746445" w:rsidTr="00B75500">
        <w:trPr>
          <w:trHeight w:val="440"/>
        </w:trPr>
        <w:tc>
          <w:tcPr>
            <w:tcW w:w="0" w:type="auto"/>
            <w:shd w:val="clear" w:color="auto" w:fill="FFFFFF" w:themeFill="background1"/>
          </w:tcPr>
          <w:p w:rsidR="00B75500" w:rsidRPr="005400A4" w:rsidRDefault="00B75500" w:rsidP="007F4EB8">
            <w:pPr>
              <w:spacing w:before="100" w:beforeAutospacing="1" w:after="100" w:afterAutospacing="1"/>
              <w:rPr>
                <w:rFonts w:cstheme="minorHAnsi"/>
                <w:b/>
                <w:bCs/>
                <w:iCs/>
                <w:color w:val="1F497D" w:themeColor="text2"/>
              </w:rPr>
            </w:pPr>
            <w:r w:rsidRPr="005400A4">
              <w:rPr>
                <w:rFonts w:cstheme="minorHAnsi"/>
                <w:b/>
                <w:bCs/>
                <w:iCs/>
                <w:color w:val="1F497D" w:themeColor="text2"/>
              </w:rPr>
              <w:lastRenderedPageBreak/>
              <w:t>Category</w:t>
            </w:r>
          </w:p>
        </w:tc>
        <w:tc>
          <w:tcPr>
            <w:tcW w:w="0" w:type="auto"/>
            <w:shd w:val="clear" w:color="auto" w:fill="FFFFFF" w:themeFill="background1"/>
          </w:tcPr>
          <w:p w:rsidR="00B75500" w:rsidRPr="005400A4" w:rsidRDefault="00B75500" w:rsidP="007F4EB8">
            <w:pPr>
              <w:spacing w:before="100" w:beforeAutospacing="1" w:after="100" w:afterAutospacing="1"/>
              <w:rPr>
                <w:rFonts w:cstheme="minorHAnsi"/>
                <w:b/>
                <w:bCs/>
                <w:iCs/>
                <w:color w:val="1F497D" w:themeColor="text2"/>
              </w:rPr>
            </w:pPr>
            <w:r w:rsidRPr="005400A4">
              <w:rPr>
                <w:rFonts w:cstheme="minorHAnsi"/>
                <w:b/>
                <w:bCs/>
                <w:iCs/>
                <w:color w:val="1F497D" w:themeColor="text2"/>
              </w:rPr>
              <w:t>Observations</w:t>
            </w:r>
          </w:p>
        </w:tc>
        <w:tc>
          <w:tcPr>
            <w:tcW w:w="0" w:type="auto"/>
            <w:shd w:val="clear" w:color="auto" w:fill="FFFFFF" w:themeFill="background1"/>
          </w:tcPr>
          <w:p w:rsidR="00B75500" w:rsidRPr="005400A4" w:rsidRDefault="00B75500" w:rsidP="007F4EB8">
            <w:pPr>
              <w:spacing w:before="100" w:beforeAutospacing="1" w:after="100" w:afterAutospacing="1"/>
              <w:rPr>
                <w:rFonts w:cstheme="minorHAnsi"/>
                <w:b/>
                <w:bCs/>
                <w:iCs/>
                <w:color w:val="1F497D" w:themeColor="text2"/>
              </w:rPr>
            </w:pPr>
            <w:r w:rsidRPr="005400A4">
              <w:rPr>
                <w:rFonts w:cstheme="minorHAnsi"/>
                <w:b/>
                <w:bCs/>
                <w:iCs/>
                <w:color w:val="1F497D" w:themeColor="text2"/>
              </w:rPr>
              <w:t>Variable</w:t>
            </w:r>
          </w:p>
        </w:tc>
        <w:tc>
          <w:tcPr>
            <w:tcW w:w="0" w:type="auto"/>
            <w:shd w:val="clear" w:color="auto" w:fill="FFFFFF" w:themeFill="background1"/>
          </w:tcPr>
          <w:p w:rsidR="00B75500" w:rsidRPr="005400A4" w:rsidRDefault="00B75500" w:rsidP="007F4EB8">
            <w:pPr>
              <w:spacing w:before="100" w:beforeAutospacing="1" w:after="100" w:afterAutospacing="1"/>
              <w:rPr>
                <w:rFonts w:cstheme="minorHAnsi"/>
                <w:b/>
                <w:bCs/>
                <w:iCs/>
                <w:color w:val="1F497D" w:themeColor="text2"/>
              </w:rPr>
            </w:pPr>
            <w:r w:rsidRPr="005400A4">
              <w:rPr>
                <w:rFonts w:cstheme="minorHAnsi"/>
                <w:b/>
                <w:bCs/>
                <w:iCs/>
                <w:color w:val="1F497D" w:themeColor="text2"/>
              </w:rPr>
              <w:t>Mean</w:t>
            </w:r>
          </w:p>
        </w:tc>
        <w:tc>
          <w:tcPr>
            <w:tcW w:w="0" w:type="auto"/>
            <w:shd w:val="clear" w:color="auto" w:fill="FFFFFF" w:themeFill="background1"/>
          </w:tcPr>
          <w:p w:rsidR="00B75500" w:rsidRPr="005400A4" w:rsidRDefault="00B75500" w:rsidP="007F4EB8">
            <w:pPr>
              <w:spacing w:before="100" w:beforeAutospacing="1" w:after="100" w:afterAutospacing="1"/>
              <w:rPr>
                <w:rFonts w:cstheme="minorHAnsi"/>
                <w:b/>
                <w:bCs/>
                <w:iCs/>
                <w:color w:val="1F497D" w:themeColor="text2"/>
              </w:rPr>
            </w:pPr>
            <w:r w:rsidRPr="005400A4">
              <w:rPr>
                <w:rFonts w:cstheme="minorHAnsi"/>
                <w:b/>
                <w:bCs/>
                <w:iCs/>
                <w:color w:val="1F497D" w:themeColor="text2"/>
              </w:rPr>
              <w:t xml:space="preserve">S.D. </w:t>
            </w:r>
          </w:p>
        </w:tc>
        <w:tc>
          <w:tcPr>
            <w:tcW w:w="0" w:type="auto"/>
            <w:shd w:val="clear" w:color="auto" w:fill="FFFFFF" w:themeFill="background1"/>
          </w:tcPr>
          <w:p w:rsidR="00B75500" w:rsidRPr="005400A4" w:rsidRDefault="00B75500" w:rsidP="007F4EB8">
            <w:pPr>
              <w:spacing w:before="100" w:beforeAutospacing="1" w:after="100" w:afterAutospacing="1"/>
              <w:rPr>
                <w:rFonts w:cstheme="minorHAnsi"/>
                <w:b/>
                <w:bCs/>
                <w:iCs/>
                <w:color w:val="1F497D" w:themeColor="text2"/>
              </w:rPr>
            </w:pPr>
            <w:r w:rsidRPr="005400A4">
              <w:rPr>
                <w:rFonts w:cstheme="minorHAnsi"/>
                <w:b/>
                <w:bCs/>
                <w:iCs/>
                <w:color w:val="1F497D" w:themeColor="text2"/>
              </w:rPr>
              <w:t>Maximum</w:t>
            </w:r>
          </w:p>
        </w:tc>
      </w:tr>
      <w:tr w:rsidR="00B75500" w:rsidRPr="00746445" w:rsidTr="00784054">
        <w:trPr>
          <w:trHeight w:val="1827"/>
        </w:trPr>
        <w:tc>
          <w:tcPr>
            <w:tcW w:w="0" w:type="auto"/>
            <w:shd w:val="clear" w:color="auto" w:fill="FFFFFF" w:themeFill="background1"/>
            <w:hideMark/>
          </w:tcPr>
          <w:p w:rsidR="00B75500" w:rsidRPr="005400A4" w:rsidRDefault="00B75500" w:rsidP="00C12D8E">
            <w:pPr>
              <w:spacing w:before="100" w:beforeAutospacing="1" w:after="100" w:afterAutospacing="1"/>
              <w:rPr>
                <w:rFonts w:cstheme="minorHAnsi"/>
                <w:b/>
                <w:bCs/>
                <w:iCs/>
                <w:color w:val="1F497D" w:themeColor="text2"/>
              </w:rPr>
            </w:pPr>
            <w:r w:rsidRPr="005400A4">
              <w:rPr>
                <w:rFonts w:cstheme="minorHAnsi"/>
                <w:b/>
                <w:bCs/>
                <w:iCs/>
                <w:color w:val="1F497D" w:themeColor="text2"/>
              </w:rPr>
              <w:t>Average&gt;=100</w:t>
            </w: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1211"/>
            </w:tblGrid>
            <w:tr w:rsidR="00B75500" w:rsidRPr="00746445" w:rsidTr="00C12D8E">
              <w:trPr>
                <w:tblCellSpacing w:w="0" w:type="dxa"/>
                <w:jc w:val="right"/>
              </w:trPr>
              <w:tc>
                <w:tcPr>
                  <w:tcW w:w="0" w:type="auto"/>
                  <w:hideMark/>
                </w:tcPr>
                <w:p w:rsidR="00B75500" w:rsidRPr="00746445" w:rsidRDefault="00B75500"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9822</w:t>
                  </w:r>
                </w:p>
              </w:tc>
            </w:tr>
          </w:tbl>
          <w:p w:rsidR="00B75500" w:rsidRPr="00746445" w:rsidRDefault="00B75500"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1543"/>
            </w:tblGrid>
            <w:tr w:rsidR="00B75500" w:rsidRPr="00746445" w:rsidTr="00C12D8E">
              <w:trPr>
                <w:tblCellSpacing w:w="0" w:type="dxa"/>
              </w:trPr>
              <w:tc>
                <w:tcPr>
                  <w:tcW w:w="0" w:type="auto"/>
                  <w:hideMark/>
                </w:tcPr>
                <w:p w:rsidR="00B75500" w:rsidRPr="00746445" w:rsidRDefault="00B75500"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adjust_rate_Q1</w:t>
                  </w:r>
                </w:p>
              </w:tc>
            </w:tr>
            <w:tr w:rsidR="00B75500" w:rsidRPr="00746445" w:rsidTr="00C12D8E">
              <w:trPr>
                <w:tblCellSpacing w:w="0" w:type="dxa"/>
              </w:trPr>
              <w:tc>
                <w:tcPr>
                  <w:tcW w:w="0" w:type="auto"/>
                  <w:hideMark/>
                </w:tcPr>
                <w:p w:rsidR="00B75500" w:rsidRPr="00746445" w:rsidRDefault="00B75500"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changeQ21</w:t>
                  </w:r>
                </w:p>
              </w:tc>
            </w:tr>
            <w:tr w:rsidR="00B75500" w:rsidRPr="00746445" w:rsidTr="00C12D8E">
              <w:trPr>
                <w:tblCellSpacing w:w="0" w:type="dxa"/>
              </w:trPr>
              <w:tc>
                <w:tcPr>
                  <w:tcW w:w="0" w:type="auto"/>
                  <w:hideMark/>
                </w:tcPr>
                <w:p w:rsidR="00B75500" w:rsidRPr="00746445" w:rsidRDefault="00B75500"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changeQ32</w:t>
                  </w:r>
                </w:p>
              </w:tc>
            </w:tr>
            <w:tr w:rsidR="00B75500" w:rsidRPr="00746445" w:rsidTr="00C12D8E">
              <w:trPr>
                <w:tblCellSpacing w:w="0" w:type="dxa"/>
              </w:trPr>
              <w:tc>
                <w:tcPr>
                  <w:tcW w:w="0" w:type="auto"/>
                  <w:hideMark/>
                </w:tcPr>
                <w:p w:rsidR="00B75500" w:rsidRPr="00746445" w:rsidRDefault="00B75500" w:rsidP="005400A4">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changeQ43</w:t>
                  </w:r>
                </w:p>
              </w:tc>
            </w:tr>
          </w:tbl>
          <w:p w:rsidR="00B75500" w:rsidRPr="00746445" w:rsidRDefault="00B75500"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B75500" w:rsidRPr="00746445" w:rsidTr="00C12D8E">
              <w:trPr>
                <w:tblCellSpacing w:w="0" w:type="dxa"/>
                <w:jc w:val="right"/>
              </w:trPr>
              <w:tc>
                <w:tcPr>
                  <w:tcW w:w="0" w:type="auto"/>
                  <w:hideMark/>
                </w:tcPr>
                <w:p w:rsidR="00B75500" w:rsidRPr="00746445" w:rsidRDefault="00B75500"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0.186</w:t>
                  </w:r>
                  <w:r>
                    <w:rPr>
                      <w:rFonts w:cstheme="minorHAnsi"/>
                      <w:bCs/>
                      <w:iCs/>
                      <w:color w:val="1F497D" w:themeColor="text2"/>
                    </w:rPr>
                    <w:t>2</w:t>
                  </w:r>
                </w:p>
              </w:tc>
            </w:tr>
            <w:tr w:rsidR="00B75500" w:rsidRPr="00746445" w:rsidTr="00C12D8E">
              <w:trPr>
                <w:tblCellSpacing w:w="0" w:type="dxa"/>
                <w:jc w:val="right"/>
              </w:trPr>
              <w:tc>
                <w:tcPr>
                  <w:tcW w:w="0" w:type="auto"/>
                  <w:hideMark/>
                </w:tcPr>
                <w:p w:rsidR="00B75500" w:rsidRPr="00746445" w:rsidRDefault="00B75500"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0.0160</w:t>
                  </w:r>
                </w:p>
              </w:tc>
            </w:tr>
            <w:tr w:rsidR="00B75500" w:rsidRPr="00746445" w:rsidTr="00C12D8E">
              <w:trPr>
                <w:tblCellSpacing w:w="0" w:type="dxa"/>
                <w:jc w:val="right"/>
              </w:trPr>
              <w:tc>
                <w:tcPr>
                  <w:tcW w:w="0" w:type="auto"/>
                  <w:hideMark/>
                </w:tcPr>
                <w:p w:rsidR="00B75500" w:rsidRPr="00746445" w:rsidRDefault="00B75500"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0.015</w:t>
                  </w:r>
                  <w:r>
                    <w:rPr>
                      <w:rFonts w:cstheme="minorHAnsi"/>
                      <w:bCs/>
                      <w:iCs/>
                      <w:color w:val="1F497D" w:themeColor="text2"/>
                    </w:rPr>
                    <w:t>3</w:t>
                  </w:r>
                </w:p>
              </w:tc>
            </w:tr>
            <w:tr w:rsidR="00B75500" w:rsidRPr="00746445" w:rsidTr="00C12D8E">
              <w:trPr>
                <w:tblCellSpacing w:w="0" w:type="dxa"/>
                <w:jc w:val="right"/>
              </w:trPr>
              <w:tc>
                <w:tcPr>
                  <w:tcW w:w="0" w:type="auto"/>
                  <w:hideMark/>
                </w:tcPr>
                <w:p w:rsidR="00B75500" w:rsidRPr="00746445" w:rsidRDefault="00B75500" w:rsidP="00B82C55">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0.014</w:t>
                  </w:r>
                  <w:r>
                    <w:rPr>
                      <w:rFonts w:cstheme="minorHAnsi"/>
                      <w:bCs/>
                      <w:iCs/>
                      <w:color w:val="1F497D" w:themeColor="text2"/>
                    </w:rPr>
                    <w:t>9</w:t>
                  </w:r>
                </w:p>
              </w:tc>
            </w:tr>
          </w:tbl>
          <w:p w:rsidR="00B75500" w:rsidRPr="00746445" w:rsidRDefault="00B75500" w:rsidP="00B82C55">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764"/>
            </w:tblGrid>
            <w:tr w:rsidR="00B75500" w:rsidRPr="00746445" w:rsidTr="00C12D8E">
              <w:trPr>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0.051</w:t>
                  </w:r>
                  <w:r>
                    <w:rPr>
                      <w:rFonts w:cstheme="minorHAnsi"/>
                      <w:bCs/>
                      <w:iCs/>
                      <w:color w:val="1F497D" w:themeColor="text2"/>
                    </w:rPr>
                    <w:t>9</w:t>
                  </w:r>
                </w:p>
              </w:tc>
            </w:tr>
            <w:tr w:rsidR="00B75500" w:rsidRPr="00746445" w:rsidTr="00C12D8E">
              <w:trPr>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0.0132</w:t>
                  </w:r>
                </w:p>
              </w:tc>
            </w:tr>
            <w:tr w:rsidR="00B75500" w:rsidRPr="00746445" w:rsidTr="00C12D8E">
              <w:trPr>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0.0126</w:t>
                  </w:r>
                </w:p>
              </w:tc>
            </w:tr>
            <w:tr w:rsidR="00B75500" w:rsidRPr="00746445" w:rsidTr="00C12D8E">
              <w:trPr>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0.0126</w:t>
                  </w:r>
                </w:p>
              </w:tc>
            </w:tr>
          </w:tbl>
          <w:p w:rsidR="00B75500" w:rsidRPr="00746445" w:rsidRDefault="00B75500" w:rsidP="005400A4">
            <w:pPr>
              <w:spacing w:before="100" w:beforeAutospacing="1" w:after="100" w:afterAutospacing="1"/>
              <w:jc w:val="right"/>
              <w:rPr>
                <w:rFonts w:cstheme="minorHAnsi"/>
                <w:bCs/>
                <w:iCs/>
                <w:color w:val="1F497D" w:themeColor="text2"/>
              </w:rPr>
            </w:pPr>
          </w:p>
        </w:tc>
        <w:tc>
          <w:tcPr>
            <w:tcW w:w="0" w:type="auto"/>
            <w:shd w:val="clear" w:color="auto" w:fill="FFFFFF" w:themeFill="background1"/>
            <w:hideMark/>
          </w:tcPr>
          <w:tbl>
            <w:tblPr>
              <w:tblW w:w="5000" w:type="pct"/>
              <w:jc w:val="right"/>
              <w:tblCellSpacing w:w="0" w:type="dxa"/>
              <w:tblCellMar>
                <w:top w:w="75" w:type="dxa"/>
                <w:left w:w="75" w:type="dxa"/>
                <w:bottom w:w="75" w:type="dxa"/>
                <w:right w:w="75" w:type="dxa"/>
              </w:tblCellMar>
              <w:tblLook w:val="04A0" w:firstRow="1" w:lastRow="0" w:firstColumn="1" w:lastColumn="0" w:noHBand="0" w:noVBand="1"/>
            </w:tblPr>
            <w:tblGrid>
              <w:gridCol w:w="932"/>
            </w:tblGrid>
            <w:tr w:rsidR="00B75500" w:rsidRPr="00746445" w:rsidTr="00C12D8E">
              <w:trPr>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0.4528</w:t>
                  </w:r>
                </w:p>
              </w:tc>
            </w:tr>
            <w:tr w:rsidR="00B75500" w:rsidRPr="00746445" w:rsidTr="00C12D8E">
              <w:trPr>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0.1132</w:t>
                  </w:r>
                </w:p>
              </w:tc>
            </w:tr>
            <w:tr w:rsidR="00B75500" w:rsidRPr="00746445" w:rsidTr="00C12D8E">
              <w:trPr>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0.113</w:t>
                  </w:r>
                  <w:r>
                    <w:rPr>
                      <w:rFonts w:cstheme="minorHAnsi"/>
                      <w:bCs/>
                      <w:iCs/>
                      <w:color w:val="1F497D" w:themeColor="text2"/>
                    </w:rPr>
                    <w:t>3</w:t>
                  </w:r>
                </w:p>
              </w:tc>
            </w:tr>
            <w:tr w:rsidR="00B75500" w:rsidRPr="00746445" w:rsidTr="00C12D8E">
              <w:trPr>
                <w:trHeight w:val="501"/>
                <w:tblCellSpacing w:w="0" w:type="dxa"/>
                <w:jc w:val="right"/>
              </w:trPr>
              <w:tc>
                <w:tcPr>
                  <w:tcW w:w="0" w:type="auto"/>
                  <w:hideMark/>
                </w:tcPr>
                <w:p w:rsidR="00B75500" w:rsidRPr="00746445" w:rsidRDefault="00B75500" w:rsidP="008D4F4B">
                  <w:pPr>
                    <w:spacing w:before="100" w:beforeAutospacing="1" w:after="100" w:afterAutospacing="1" w:line="240" w:lineRule="auto"/>
                    <w:jc w:val="right"/>
                    <w:rPr>
                      <w:rFonts w:cstheme="minorHAnsi"/>
                      <w:bCs/>
                      <w:iCs/>
                      <w:color w:val="1F497D" w:themeColor="text2"/>
                    </w:rPr>
                  </w:pPr>
                  <w:r w:rsidRPr="00746445">
                    <w:rPr>
                      <w:rFonts w:cstheme="minorHAnsi"/>
                      <w:bCs/>
                      <w:iCs/>
                      <w:color w:val="1F497D" w:themeColor="text2"/>
                    </w:rPr>
                    <w:t>0.1056</w:t>
                  </w:r>
                </w:p>
              </w:tc>
            </w:tr>
          </w:tbl>
          <w:p w:rsidR="00B75500" w:rsidRPr="00746445" w:rsidRDefault="00B75500" w:rsidP="005400A4">
            <w:pPr>
              <w:spacing w:before="100" w:beforeAutospacing="1" w:after="100" w:afterAutospacing="1"/>
              <w:jc w:val="right"/>
              <w:rPr>
                <w:rFonts w:cstheme="minorHAnsi"/>
                <w:bCs/>
                <w:iCs/>
                <w:color w:val="1F497D" w:themeColor="text2"/>
              </w:rPr>
            </w:pPr>
          </w:p>
        </w:tc>
      </w:tr>
    </w:tbl>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844955">
        <w:rPr>
          <w:rFonts w:cstheme="minorHAnsi"/>
          <w:bCs/>
          <w:iCs/>
          <w:color w:val="1F497D" w:themeColor="text2"/>
        </w:rPr>
        <w:t>The results show t</w:t>
      </w:r>
      <w:r w:rsidR="00243ADC" w:rsidRPr="00243ADC">
        <w:rPr>
          <w:rFonts w:cstheme="minorHAnsi"/>
          <w:bCs/>
          <w:iCs/>
          <w:color w:val="1F497D" w:themeColor="text2"/>
        </w:rPr>
        <w:t xml:space="preserve">he average change decreased as the </w:t>
      </w:r>
      <w:r w:rsidR="00243ADC">
        <w:rPr>
          <w:rFonts w:cstheme="minorHAnsi"/>
          <w:bCs/>
          <w:iCs/>
          <w:color w:val="1F497D" w:themeColor="text2"/>
        </w:rPr>
        <w:t xml:space="preserve">number of admissions increased </w:t>
      </w:r>
      <w:r w:rsidR="007B21C6">
        <w:rPr>
          <w:rFonts w:cstheme="minorHAnsi"/>
          <w:bCs/>
          <w:iCs/>
          <w:color w:val="1F497D" w:themeColor="text2"/>
        </w:rPr>
        <w:t>mostly below 30 admissions per year compared to those &gt; than 30 admissions a year</w:t>
      </w:r>
      <w:r w:rsidR="00844955">
        <w:rPr>
          <w:rFonts w:cstheme="minorHAnsi"/>
          <w:bCs/>
          <w:iCs/>
          <w:color w:val="1F497D" w:themeColor="text2"/>
        </w:rPr>
        <w:t>. This</w:t>
      </w:r>
      <w:r w:rsidR="007B21C6">
        <w:rPr>
          <w:rFonts w:cstheme="minorHAnsi"/>
          <w:bCs/>
          <w:iCs/>
          <w:color w:val="1F497D" w:themeColor="text2"/>
        </w:rPr>
        <w:t xml:space="preserve"> </w:t>
      </w:r>
      <w:r w:rsidR="00243ADC">
        <w:rPr>
          <w:rFonts w:cstheme="minorHAnsi"/>
          <w:bCs/>
          <w:iCs/>
          <w:color w:val="1F497D" w:themeColor="text2"/>
        </w:rPr>
        <w:t xml:space="preserve">validates the decision to </w:t>
      </w:r>
      <w:r w:rsidR="00243ADC" w:rsidRPr="00746445">
        <w:rPr>
          <w:rFonts w:cstheme="minorHAnsi"/>
          <w:bCs/>
          <w:iCs/>
          <w:color w:val="1F497D" w:themeColor="text2"/>
        </w:rPr>
        <w:t xml:space="preserve">exclude </w:t>
      </w:r>
      <w:r w:rsidR="00B365AD">
        <w:rPr>
          <w:rFonts w:cstheme="minorHAnsi"/>
          <w:bCs/>
          <w:iCs/>
          <w:color w:val="1F497D" w:themeColor="text2"/>
        </w:rPr>
        <w:t>SNFs</w:t>
      </w:r>
      <w:r w:rsidR="00243ADC" w:rsidRPr="00746445">
        <w:rPr>
          <w:rFonts w:cstheme="minorHAnsi"/>
          <w:bCs/>
          <w:iCs/>
          <w:color w:val="1F497D" w:themeColor="text2"/>
        </w:rPr>
        <w:t xml:space="preserve"> with fewer than 30 admissions from hospitals during </w:t>
      </w:r>
      <w:r w:rsidR="00844955">
        <w:rPr>
          <w:rFonts w:cstheme="minorHAnsi"/>
          <w:bCs/>
          <w:iCs/>
          <w:color w:val="1F497D" w:themeColor="text2"/>
        </w:rPr>
        <w:t>any 12 month period from our re</w:t>
      </w:r>
      <w:r w:rsidR="00243ADC" w:rsidRPr="00746445">
        <w:rPr>
          <w:rFonts w:cstheme="minorHAnsi"/>
          <w:bCs/>
          <w:iCs/>
          <w:color w:val="1F497D" w:themeColor="text2"/>
        </w:rPr>
        <w:t>hospitalization rate reporting.</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243ADC">
        <w:rPr>
          <w:rFonts w:cstheme="minorHAnsi"/>
          <w:b/>
          <w:bCs/>
        </w:rPr>
        <w:t>2b4. RISK ADJUSTMENT/STRATIFICATION FOR OUTCOME OR RESOURCE USE MEASURES</w:t>
      </w:r>
      <w:r w:rsidRPr="00243ADC">
        <w:rPr>
          <w:rFonts w:cstheme="minorHAnsi"/>
          <w:bCs/>
        </w:rPr>
        <w:br/>
      </w:r>
      <w:r w:rsidR="00AC1D8E" w:rsidRPr="00243ADC">
        <w:rPr>
          <w:rFonts w:cstheme="minorHAnsi"/>
          <w:b/>
          <w:bCs/>
          <w:i/>
        </w:rPr>
        <w:t>If not an intermediate or health outcome</w:t>
      </w:r>
      <w:r w:rsidR="00127C06" w:rsidRPr="00243ADC">
        <w:rPr>
          <w:rFonts w:cstheme="minorHAnsi"/>
          <w:b/>
          <w:bCs/>
          <w:i/>
        </w:rPr>
        <w:t>,</w:t>
      </w:r>
      <w:r w:rsidR="00AC1D8E" w:rsidRPr="00243ADC">
        <w:rPr>
          <w:rFonts w:cstheme="minorHAnsi"/>
          <w:b/>
          <w:bCs/>
          <w:i/>
        </w:rPr>
        <w:t xml:space="preserve"> </w:t>
      </w:r>
      <w:r w:rsidR="00127C06" w:rsidRPr="00243ADC">
        <w:rPr>
          <w:rFonts w:cstheme="minorHAnsi"/>
          <w:b/>
          <w:bCs/>
          <w:i/>
        </w:rPr>
        <w:t xml:space="preserve">or PRO-PM, </w:t>
      </w:r>
      <w:r w:rsidR="00AC1D8E" w:rsidRPr="00243ADC">
        <w:rPr>
          <w:rFonts w:cstheme="minorHAnsi"/>
          <w:b/>
          <w:bCs/>
          <w:i/>
        </w:rPr>
        <w:t xml:space="preserve">or resource use measure, </w:t>
      </w:r>
      <w:r w:rsidR="00BE592D" w:rsidRPr="00243ADC">
        <w:rPr>
          <w:rFonts w:cstheme="minorHAnsi"/>
          <w:b/>
          <w:bCs/>
          <w:i/>
        </w:rPr>
        <w:t xml:space="preserve">skip to section </w:t>
      </w:r>
      <w:hyperlink w:anchor="section2b5" w:history="1">
        <w:r w:rsidR="00BE592D" w:rsidRPr="00243ADC">
          <w:rPr>
            <w:rStyle w:val="Hyperlink"/>
            <w:rFonts w:cstheme="minorHAnsi"/>
            <w:b/>
            <w:bCs/>
            <w:i/>
          </w:rPr>
          <w:t>2b5</w:t>
        </w:r>
      </w:hyperlink>
      <w:r w:rsidR="00BE592D" w:rsidRPr="00243ADC">
        <w:rPr>
          <w:rFonts w:cstheme="minorHAnsi"/>
          <w:b/>
          <w:bCs/>
          <w:i/>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B05821"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B05821"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414087">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414087">
            <w:rPr>
              <w:rStyle w:val="Style4"/>
              <w:u w:val="none"/>
            </w:rPr>
            <w:t>33</w:t>
          </w:r>
        </w:sdtContent>
      </w:sdt>
      <w:r w:rsidR="00E562C0" w:rsidRPr="006F22A5">
        <w:rPr>
          <w:rStyle w:val="Style4"/>
          <w:u w:val="none"/>
        </w:rPr>
        <w:t xml:space="preserve"> </w:t>
      </w:r>
      <w:r w:rsidR="00743E46" w:rsidRPr="005232D6">
        <w:rPr>
          <w:rFonts w:cstheme="minorHAnsi"/>
          <w:b/>
          <w:bCs/>
        </w:rPr>
        <w:t>risk factors</w:t>
      </w:r>
    </w:p>
    <w:p w:rsidR="00743E46" w:rsidRPr="005232D6" w:rsidRDefault="00B05821"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B05821"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414087" w:rsidRPr="00414087">
        <w:rPr>
          <w:rFonts w:cstheme="minorHAnsi"/>
          <w:bCs/>
          <w:iCs/>
          <w:color w:val="1F497D" w:themeColor="text2"/>
        </w:rPr>
        <w:t>N/A</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AF597A" w:rsidRDefault="00092566" w:rsidP="00AF597A">
      <w:pPr>
        <w:rPr>
          <w:rFonts w:cstheme="minorHAnsi"/>
          <w:bCs/>
          <w:iCs/>
          <w:color w:val="1F497D" w:themeColor="text2"/>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r w:rsidR="00AF597A">
        <w:rPr>
          <w:rFonts w:cstheme="minorHAnsi"/>
          <w:bCs/>
          <w:iCs/>
          <w:color w:val="1F497D" w:themeColor="text2"/>
        </w:rPr>
        <w:t xml:space="preserve">A bootstrap analysis as well as a stability analysis on the variables was conducted. </w:t>
      </w:r>
    </w:p>
    <w:p w:rsidR="00AF597A" w:rsidRPr="009E2E2F" w:rsidRDefault="00AF597A" w:rsidP="00AF597A">
      <w:pPr>
        <w:rPr>
          <w:rFonts w:cstheme="minorHAnsi"/>
          <w:bCs/>
          <w:iCs/>
          <w:color w:val="1F497D" w:themeColor="text2"/>
        </w:rPr>
      </w:pPr>
      <w:r w:rsidRPr="009E2E2F">
        <w:rPr>
          <w:rFonts w:cstheme="minorHAnsi"/>
          <w:bCs/>
          <w:iCs/>
          <w:color w:val="1F497D" w:themeColor="text2"/>
        </w:rPr>
        <w:t xml:space="preserve">We performed a bootstrap analysis of the coefficients for </w:t>
      </w:r>
      <w:r>
        <w:rPr>
          <w:rFonts w:cstheme="minorHAnsi"/>
          <w:bCs/>
          <w:iCs/>
          <w:color w:val="1F497D" w:themeColor="text2"/>
        </w:rPr>
        <w:t>PointRight OnPoint</w:t>
      </w:r>
      <w:r w:rsidRPr="009E2E2F">
        <w:rPr>
          <w:rFonts w:cstheme="minorHAnsi"/>
          <w:bCs/>
          <w:iCs/>
          <w:color w:val="1F497D" w:themeColor="text2"/>
        </w:rPr>
        <w:t>-30 in the following way: We began with a</w:t>
      </w:r>
      <w:r>
        <w:rPr>
          <w:rFonts w:ascii="Arial" w:hAnsi="Arial"/>
        </w:rPr>
        <w:t xml:space="preserve"> </w:t>
      </w:r>
      <w:r w:rsidRPr="009E2E2F">
        <w:rPr>
          <w:rFonts w:cstheme="minorHAnsi"/>
          <w:bCs/>
          <w:iCs/>
          <w:color w:val="1F497D" w:themeColor="text2"/>
        </w:rPr>
        <w:t xml:space="preserve">sample of 585,572 admissions to SNFs from acute care hospitals with admission dates in CY2011.  Data were used if the SNF involved had a discharge assessment completion rate of 95% or higher.  We calculated the coefficients of the </w:t>
      </w:r>
      <w:r>
        <w:rPr>
          <w:rFonts w:cstheme="minorHAnsi"/>
          <w:bCs/>
          <w:iCs/>
          <w:color w:val="1F497D" w:themeColor="text2"/>
        </w:rPr>
        <w:t>PointRight OnPoint</w:t>
      </w:r>
      <w:r w:rsidRPr="009E2E2F">
        <w:rPr>
          <w:rFonts w:cstheme="minorHAnsi"/>
          <w:bCs/>
          <w:iCs/>
          <w:color w:val="1F497D" w:themeColor="text2"/>
        </w:rPr>
        <w:t>-30 logistic regression model on 1000 subsamples of 292,786 admissions</w:t>
      </w:r>
      <w:r w:rsidR="006973DF">
        <w:rPr>
          <w:rFonts w:cstheme="minorHAnsi"/>
          <w:bCs/>
          <w:iCs/>
          <w:color w:val="1F497D" w:themeColor="text2"/>
        </w:rPr>
        <w:t>. T</w:t>
      </w:r>
      <w:r w:rsidRPr="009E2E2F">
        <w:rPr>
          <w:rFonts w:cstheme="minorHAnsi"/>
          <w:bCs/>
          <w:iCs/>
          <w:color w:val="1F497D" w:themeColor="text2"/>
        </w:rPr>
        <w:t xml:space="preserve">he distributions for each of the coefficients are displayed in the following table </w:t>
      </w:r>
      <w:r w:rsidR="00986530">
        <w:rPr>
          <w:rFonts w:cstheme="minorHAnsi"/>
          <w:bCs/>
          <w:iCs/>
          <w:color w:val="1F497D" w:themeColor="text2"/>
        </w:rPr>
        <w:t>(Table 9)</w:t>
      </w:r>
      <w:r w:rsidR="007B21C6">
        <w:rPr>
          <w:rFonts w:cstheme="minorHAnsi"/>
          <w:bCs/>
          <w:iCs/>
          <w:color w:val="1F497D" w:themeColor="text2"/>
        </w:rPr>
        <w:t xml:space="preserve"> </w:t>
      </w:r>
      <w:r w:rsidRPr="009E2E2F">
        <w:rPr>
          <w:rFonts w:cstheme="minorHAnsi"/>
          <w:bCs/>
          <w:iCs/>
          <w:color w:val="1F497D" w:themeColor="text2"/>
        </w:rPr>
        <w:t xml:space="preserve">and compared with the coefficients used in the </w:t>
      </w:r>
      <w:r>
        <w:rPr>
          <w:rFonts w:cstheme="minorHAnsi"/>
          <w:bCs/>
          <w:iCs/>
          <w:color w:val="1F497D" w:themeColor="text2"/>
        </w:rPr>
        <w:t>PointRight OnPoint</w:t>
      </w:r>
      <w:r w:rsidRPr="009E2E2F">
        <w:rPr>
          <w:rFonts w:cstheme="minorHAnsi"/>
          <w:bCs/>
          <w:iCs/>
          <w:color w:val="1F497D" w:themeColor="text2"/>
        </w:rPr>
        <w:t xml:space="preserve">-30 model, which was developed using a slightly different sample comprising 600,000 admissions to SNFs.  </w:t>
      </w:r>
    </w:p>
    <w:p w:rsidR="006973DF" w:rsidRDefault="00AF597A" w:rsidP="00AF597A">
      <w:pPr>
        <w:rPr>
          <w:rFonts w:cstheme="minorHAnsi"/>
          <w:bCs/>
          <w:iCs/>
          <w:color w:val="1F497D" w:themeColor="text2"/>
        </w:rPr>
      </w:pPr>
      <w:r w:rsidRPr="009E2E2F">
        <w:rPr>
          <w:rFonts w:cstheme="minorHAnsi"/>
          <w:bCs/>
          <w:iCs/>
          <w:color w:val="1F497D" w:themeColor="text2"/>
        </w:rPr>
        <w:lastRenderedPageBreak/>
        <w:t xml:space="preserve">The </w:t>
      </w:r>
      <w:r>
        <w:rPr>
          <w:rFonts w:cstheme="minorHAnsi"/>
          <w:bCs/>
          <w:iCs/>
          <w:color w:val="1F497D" w:themeColor="text2"/>
        </w:rPr>
        <w:t>PointRight OnPoint</w:t>
      </w:r>
      <w:r w:rsidRPr="009E2E2F">
        <w:rPr>
          <w:rFonts w:cstheme="minorHAnsi"/>
          <w:bCs/>
          <w:iCs/>
          <w:color w:val="1F497D" w:themeColor="text2"/>
        </w:rPr>
        <w:t xml:space="preserve">-30 model is based on the assumption that its independent variables rarely change between the day of admission and the </w:t>
      </w:r>
      <w:r w:rsidR="006973DF">
        <w:rPr>
          <w:rFonts w:cstheme="minorHAnsi"/>
          <w:bCs/>
          <w:iCs/>
          <w:color w:val="1F497D" w:themeColor="text2"/>
        </w:rPr>
        <w:t>assessment reference date</w:t>
      </w:r>
      <w:r w:rsidRPr="009E2E2F">
        <w:rPr>
          <w:rFonts w:cstheme="minorHAnsi"/>
          <w:bCs/>
          <w:iCs/>
          <w:color w:val="1F497D" w:themeColor="text2"/>
        </w:rPr>
        <w:t xml:space="preserve"> of the first MDS assessment.  While we cannot assess this directly we can look at the change from the first to the second PPS assessment of Medicare patients who remain in the facility long enough for two assessments.  Typically this will be the change from day 7 to day 14 of a post-acute stay.  This provides a rough estimate of variable stability.  Table </w:t>
      </w:r>
      <w:r w:rsidR="00986530">
        <w:rPr>
          <w:rFonts w:cstheme="minorHAnsi"/>
          <w:bCs/>
          <w:iCs/>
          <w:color w:val="1F497D" w:themeColor="text2"/>
        </w:rPr>
        <w:t>10</w:t>
      </w:r>
      <w:r w:rsidRPr="009E2E2F">
        <w:rPr>
          <w:rFonts w:cstheme="minorHAnsi"/>
          <w:bCs/>
          <w:iCs/>
          <w:color w:val="1F497D" w:themeColor="text2"/>
        </w:rPr>
        <w:t xml:space="preserve"> shows the rates of change between assessments that were 7 days apart (N= 203,386).  Note that only four variables show rates of change – usually in the direction of improvement – of greater than 10%.  These variables are those for cognitive impairment, total bowel incontinence, two-person assist, and continued oxygen therapy.  For </w:t>
      </w:r>
      <w:r w:rsidR="006973DF">
        <w:rPr>
          <w:rFonts w:cstheme="minorHAnsi"/>
          <w:bCs/>
          <w:iCs/>
          <w:color w:val="1F497D" w:themeColor="text2"/>
        </w:rPr>
        <w:t>these</w:t>
      </w:r>
      <w:r w:rsidRPr="009E2E2F">
        <w:rPr>
          <w:rFonts w:cstheme="minorHAnsi"/>
          <w:bCs/>
          <w:iCs/>
          <w:color w:val="1F497D" w:themeColor="text2"/>
        </w:rPr>
        <w:t xml:space="preserve"> four variables the table shows the prevalence of 1s in the model building sample and the coefficient in the </w:t>
      </w:r>
      <w:r>
        <w:rPr>
          <w:rFonts w:cstheme="minorHAnsi"/>
          <w:bCs/>
          <w:iCs/>
          <w:color w:val="1F497D" w:themeColor="text2"/>
        </w:rPr>
        <w:t>PointRight OnPoint</w:t>
      </w:r>
      <w:r w:rsidRPr="009E2E2F">
        <w:rPr>
          <w:rFonts w:cstheme="minorHAnsi"/>
          <w:bCs/>
          <w:iCs/>
          <w:color w:val="1F497D" w:themeColor="text2"/>
        </w:rPr>
        <w:t>-30 model.  Considering all of the facts</w:t>
      </w:r>
      <w:r w:rsidR="006A09F6">
        <w:rPr>
          <w:rFonts w:cstheme="minorHAnsi"/>
          <w:bCs/>
          <w:iCs/>
          <w:color w:val="1F497D" w:themeColor="text2"/>
        </w:rPr>
        <w:t>,</w:t>
      </w:r>
      <w:r w:rsidRPr="009E2E2F">
        <w:rPr>
          <w:rFonts w:cstheme="minorHAnsi"/>
          <w:bCs/>
          <w:iCs/>
          <w:color w:val="1F497D" w:themeColor="text2"/>
        </w:rPr>
        <w:t xml:space="preserve"> it appears that facility-level estimates of expected readmission rates are unlikely to be affected greatly by variable instability. When the </w:t>
      </w:r>
      <w:r>
        <w:rPr>
          <w:rFonts w:cstheme="minorHAnsi"/>
          <w:bCs/>
          <w:iCs/>
          <w:color w:val="1F497D" w:themeColor="text2"/>
        </w:rPr>
        <w:t>PointRight OnPoint</w:t>
      </w:r>
      <w:r w:rsidRPr="009E2E2F">
        <w:rPr>
          <w:rFonts w:cstheme="minorHAnsi"/>
          <w:bCs/>
          <w:iCs/>
          <w:color w:val="1F497D" w:themeColor="text2"/>
        </w:rPr>
        <w:t xml:space="preserve">-30 model is applied to data collected on the day of admission it will slightly overestimate the expected risk, because some patients with values of 1 on the least stable IVs will become </w:t>
      </w:r>
      <w:r w:rsidR="00B05821" w:rsidRPr="009E2E2F">
        <w:rPr>
          <w:rFonts w:cstheme="minorHAnsi"/>
          <w:bCs/>
          <w:iCs/>
          <w:color w:val="1F497D" w:themeColor="text2"/>
        </w:rPr>
        <w:t>zeroes</w:t>
      </w:r>
      <w:r w:rsidRPr="009E2E2F">
        <w:rPr>
          <w:rFonts w:cstheme="minorHAnsi"/>
          <w:bCs/>
          <w:iCs/>
          <w:color w:val="1F497D" w:themeColor="text2"/>
        </w:rPr>
        <w:t xml:space="preserve"> by the d</w:t>
      </w:r>
      <w:r w:rsidR="00ED0163">
        <w:rPr>
          <w:rFonts w:cstheme="minorHAnsi"/>
          <w:bCs/>
          <w:iCs/>
          <w:color w:val="1F497D" w:themeColor="text2"/>
        </w:rPr>
        <w:t>ay of the first MDS assessment.</w:t>
      </w:r>
    </w:p>
    <w:p w:rsidR="00AF597A" w:rsidRDefault="00ED0163" w:rsidP="00AF597A">
      <w:pPr>
        <w:rPr>
          <w:rFonts w:cstheme="minorHAnsi"/>
          <w:bCs/>
          <w:iCs/>
          <w:color w:val="1F497D" w:themeColor="text2"/>
        </w:rPr>
      </w:pPr>
      <w:r>
        <w:rPr>
          <w:rFonts w:cstheme="minorHAnsi"/>
          <w:bCs/>
          <w:iCs/>
          <w:color w:val="1F497D" w:themeColor="text2"/>
        </w:rPr>
        <w:br/>
      </w:r>
      <w:r w:rsidR="00092566">
        <w:rPr>
          <w:rFonts w:cstheme="minorHAnsi"/>
          <w:b/>
          <w:bCs/>
        </w:rPr>
        <w:t xml:space="preserve">2b4.4. </w:t>
      </w:r>
      <w:r w:rsidR="00092566" w:rsidRPr="00A25024">
        <w:rPr>
          <w:rFonts w:cstheme="minorHAnsi"/>
          <w:b/>
          <w:bCs/>
        </w:rPr>
        <w:t>What were the statistical results of the analyses used to select risk factors?</w:t>
      </w:r>
      <w:r w:rsidR="00001D73">
        <w:rPr>
          <w:rFonts w:cstheme="minorHAnsi"/>
          <w:b/>
          <w:bCs/>
        </w:rPr>
        <w:br/>
      </w:r>
      <w:r w:rsidR="00AF597A">
        <w:rPr>
          <w:rFonts w:cstheme="minorHAnsi"/>
          <w:bCs/>
          <w:iCs/>
          <w:color w:val="1F497D" w:themeColor="text2"/>
        </w:rPr>
        <w:t xml:space="preserve">Bootstrap: </w:t>
      </w:r>
    </w:p>
    <w:p w:rsidR="00AF597A" w:rsidRDefault="00B15459" w:rsidP="00AF597A">
      <w:pPr>
        <w:rPr>
          <w:rFonts w:cstheme="minorHAnsi"/>
          <w:bCs/>
          <w:iCs/>
          <w:color w:val="1F497D" w:themeColor="text2"/>
        </w:rPr>
      </w:pPr>
      <w:r>
        <w:rPr>
          <w:rFonts w:cstheme="minorHAnsi"/>
          <w:bCs/>
          <w:iCs/>
          <w:color w:val="1F497D" w:themeColor="text2"/>
        </w:rPr>
        <w:t>Table 9</w:t>
      </w:r>
      <w:r w:rsidR="00AF597A" w:rsidRPr="009E2E2F">
        <w:rPr>
          <w:rFonts w:cstheme="minorHAnsi"/>
          <w:bCs/>
          <w:iCs/>
          <w:color w:val="1F497D" w:themeColor="text2"/>
        </w:rPr>
        <w:t xml:space="preserve"> shows the difference between the </w:t>
      </w:r>
      <w:r w:rsidR="00AF597A">
        <w:rPr>
          <w:rFonts w:cstheme="minorHAnsi"/>
          <w:bCs/>
          <w:iCs/>
          <w:color w:val="1F497D" w:themeColor="text2"/>
        </w:rPr>
        <w:t>PointRight OnPoint</w:t>
      </w:r>
      <w:r w:rsidR="00AF597A" w:rsidRPr="009E2E2F">
        <w:rPr>
          <w:rFonts w:cstheme="minorHAnsi"/>
          <w:bCs/>
          <w:iCs/>
          <w:color w:val="1F497D" w:themeColor="text2"/>
        </w:rPr>
        <w:t xml:space="preserve">-30 coefficients and the mean coefficients from the bootstrap analysis, expressed as actual values, </w:t>
      </w:r>
      <w:r w:rsidR="006973DF">
        <w:rPr>
          <w:rFonts w:cstheme="minorHAnsi"/>
          <w:bCs/>
          <w:iCs/>
          <w:color w:val="1F497D" w:themeColor="text2"/>
        </w:rPr>
        <w:t>standard deviation (S.D.)</w:t>
      </w:r>
      <w:r w:rsidR="00AF597A" w:rsidRPr="009E2E2F">
        <w:rPr>
          <w:rFonts w:cstheme="minorHAnsi"/>
          <w:bCs/>
          <w:iCs/>
          <w:color w:val="1F497D" w:themeColor="text2"/>
        </w:rPr>
        <w:t xml:space="preserve"> and percentage.  It is evident that only a few variables have more than 10% variation from the bootstrap mean;  for those variables the absolute value and/or the number of standard deviations is clinically acceptable.</w:t>
      </w:r>
    </w:p>
    <w:p w:rsidR="00AF597A" w:rsidRPr="00B15459" w:rsidRDefault="00B15459" w:rsidP="00AF597A">
      <w:pPr>
        <w:rPr>
          <w:rFonts w:cstheme="minorHAnsi"/>
          <w:b/>
          <w:bCs/>
          <w:iCs/>
          <w:color w:val="1F497D" w:themeColor="text2"/>
        </w:rPr>
      </w:pPr>
      <w:r w:rsidRPr="00B15459">
        <w:rPr>
          <w:rFonts w:cstheme="minorHAnsi"/>
          <w:b/>
          <w:bCs/>
          <w:iCs/>
          <w:color w:val="1F497D" w:themeColor="text2"/>
        </w:rPr>
        <w:t>TABLE 9</w:t>
      </w:r>
      <w:r w:rsidR="00B365AD" w:rsidRPr="00B15459">
        <w:rPr>
          <w:rFonts w:cstheme="minorHAnsi"/>
          <w:b/>
          <w:bCs/>
          <w:iCs/>
          <w:color w:val="1F497D" w:themeColor="text2"/>
        </w:rPr>
        <w:t xml:space="preserve">. </w:t>
      </w:r>
      <w:r w:rsidRPr="00B15459">
        <w:rPr>
          <w:rFonts w:cstheme="minorHAnsi"/>
          <w:b/>
          <w:bCs/>
          <w:iCs/>
          <w:color w:val="1F497D" w:themeColor="text2"/>
        </w:rPr>
        <w:t>Pointright On</w:t>
      </w:r>
      <w:r>
        <w:rPr>
          <w:rFonts w:cstheme="minorHAnsi"/>
          <w:b/>
          <w:bCs/>
          <w:iCs/>
          <w:color w:val="1F497D" w:themeColor="text2"/>
        </w:rPr>
        <w:t>point-30 Coefficients Compared with Mean f</w:t>
      </w:r>
      <w:r w:rsidRPr="00B15459">
        <w:rPr>
          <w:rFonts w:cstheme="minorHAnsi"/>
          <w:b/>
          <w:bCs/>
          <w:iCs/>
          <w:color w:val="1F497D" w:themeColor="text2"/>
        </w:rPr>
        <w:t>rom Bootstrap Sampling</w:t>
      </w:r>
    </w:p>
    <w:tbl>
      <w:tblPr>
        <w:tblStyle w:val="TableGrid"/>
        <w:tblW w:w="9828" w:type="dxa"/>
        <w:tblLook w:val="04A0" w:firstRow="1" w:lastRow="0" w:firstColumn="1" w:lastColumn="0" w:noHBand="0" w:noVBand="1"/>
      </w:tblPr>
      <w:tblGrid>
        <w:gridCol w:w="1524"/>
        <w:gridCol w:w="1559"/>
        <w:gridCol w:w="1280"/>
        <w:gridCol w:w="1233"/>
        <w:gridCol w:w="725"/>
        <w:gridCol w:w="1169"/>
        <w:gridCol w:w="1169"/>
        <w:gridCol w:w="1169"/>
      </w:tblGrid>
      <w:tr w:rsidR="00AF597A" w:rsidRPr="00A03656" w:rsidTr="00034FD7">
        <w:trPr>
          <w:trHeight w:val="890"/>
        </w:trPr>
        <w:tc>
          <w:tcPr>
            <w:tcW w:w="1524" w:type="dxa"/>
            <w:hideMark/>
          </w:tcPr>
          <w:p w:rsidR="00AF597A" w:rsidRPr="00B365AD" w:rsidRDefault="00AF597A" w:rsidP="008F399D">
            <w:pPr>
              <w:jc w:val="center"/>
              <w:rPr>
                <w:rFonts w:eastAsia="Times New Roman" w:cs="Arial"/>
                <w:b/>
                <w:bCs/>
                <w:color w:val="1F497D" w:themeColor="text2"/>
              </w:rPr>
            </w:pPr>
            <w:r w:rsidRPr="00B365AD">
              <w:rPr>
                <w:rFonts w:eastAsia="Times New Roman" w:cs="Arial"/>
                <w:b/>
                <w:bCs/>
                <w:color w:val="1F497D" w:themeColor="text2"/>
              </w:rPr>
              <w:t>Variable Type</w:t>
            </w:r>
          </w:p>
        </w:tc>
        <w:tc>
          <w:tcPr>
            <w:tcW w:w="1559" w:type="dxa"/>
            <w:hideMark/>
          </w:tcPr>
          <w:p w:rsidR="00AF597A" w:rsidRPr="00B365AD" w:rsidRDefault="00AF597A" w:rsidP="008F399D">
            <w:pPr>
              <w:jc w:val="center"/>
              <w:rPr>
                <w:rFonts w:eastAsia="Times New Roman" w:cs="Arial"/>
                <w:b/>
                <w:bCs/>
                <w:color w:val="1F497D" w:themeColor="text2"/>
              </w:rPr>
            </w:pPr>
            <w:r w:rsidRPr="00B365AD">
              <w:rPr>
                <w:rFonts w:eastAsia="Times New Roman" w:cs="Arial"/>
                <w:b/>
                <w:bCs/>
                <w:color w:val="1F497D" w:themeColor="text2"/>
              </w:rPr>
              <w:t>Independent Variable</w:t>
            </w:r>
          </w:p>
        </w:tc>
        <w:tc>
          <w:tcPr>
            <w:tcW w:w="1280" w:type="dxa"/>
            <w:hideMark/>
          </w:tcPr>
          <w:p w:rsidR="00AF597A" w:rsidRPr="00B365AD" w:rsidRDefault="00AF597A" w:rsidP="008F399D">
            <w:pPr>
              <w:jc w:val="center"/>
              <w:rPr>
                <w:rFonts w:eastAsia="Times New Roman" w:cs="Arial"/>
                <w:b/>
                <w:bCs/>
                <w:color w:val="1F497D" w:themeColor="text2"/>
              </w:rPr>
            </w:pPr>
            <w:r w:rsidRPr="00B365AD">
              <w:rPr>
                <w:rFonts w:eastAsia="Times New Roman" w:cs="Arial"/>
                <w:b/>
                <w:bCs/>
                <w:color w:val="1F497D" w:themeColor="text2"/>
              </w:rPr>
              <w:t>PointRight OnPoint-30 Coefficient</w:t>
            </w:r>
          </w:p>
        </w:tc>
        <w:tc>
          <w:tcPr>
            <w:tcW w:w="1233" w:type="dxa"/>
            <w:hideMark/>
          </w:tcPr>
          <w:p w:rsidR="00AF597A" w:rsidRPr="00B365AD" w:rsidRDefault="00AF597A" w:rsidP="008F399D">
            <w:pPr>
              <w:jc w:val="center"/>
              <w:rPr>
                <w:rFonts w:eastAsia="Times New Roman" w:cs="Arial"/>
                <w:b/>
                <w:bCs/>
                <w:color w:val="1F497D" w:themeColor="text2"/>
              </w:rPr>
            </w:pPr>
            <w:r w:rsidRPr="00B365AD">
              <w:rPr>
                <w:rFonts w:eastAsia="Times New Roman" w:cs="Arial"/>
                <w:b/>
                <w:bCs/>
                <w:color w:val="1F497D" w:themeColor="text2"/>
              </w:rPr>
              <w:t>Bootstrap Mean</w:t>
            </w:r>
          </w:p>
        </w:tc>
        <w:tc>
          <w:tcPr>
            <w:tcW w:w="725" w:type="dxa"/>
            <w:hideMark/>
          </w:tcPr>
          <w:p w:rsidR="00AF597A" w:rsidRPr="00B365AD" w:rsidRDefault="00AF597A" w:rsidP="008F399D">
            <w:pPr>
              <w:jc w:val="center"/>
              <w:rPr>
                <w:rFonts w:eastAsia="Times New Roman" w:cs="Arial"/>
                <w:b/>
                <w:bCs/>
                <w:color w:val="1F497D" w:themeColor="text2"/>
              </w:rPr>
            </w:pPr>
            <w:r w:rsidRPr="00B365AD">
              <w:rPr>
                <w:rFonts w:eastAsia="Times New Roman" w:cs="Arial"/>
                <w:b/>
                <w:bCs/>
                <w:color w:val="1F497D" w:themeColor="text2"/>
              </w:rPr>
              <w:t>S.D.</w:t>
            </w:r>
          </w:p>
        </w:tc>
        <w:tc>
          <w:tcPr>
            <w:tcW w:w="1169" w:type="dxa"/>
            <w:hideMark/>
          </w:tcPr>
          <w:p w:rsidR="00AF597A" w:rsidRPr="00B365AD" w:rsidRDefault="00AF597A" w:rsidP="008F399D">
            <w:pPr>
              <w:rPr>
                <w:rFonts w:eastAsia="Times New Roman" w:cs="Arial"/>
                <w:b/>
                <w:bCs/>
                <w:color w:val="1F497D" w:themeColor="text2"/>
              </w:rPr>
            </w:pPr>
            <w:r w:rsidRPr="00B365AD">
              <w:rPr>
                <w:rFonts w:eastAsia="Times New Roman" w:cs="Arial"/>
                <w:b/>
                <w:bCs/>
                <w:color w:val="1F497D" w:themeColor="text2"/>
              </w:rPr>
              <w:t>Difference</w:t>
            </w:r>
          </w:p>
        </w:tc>
        <w:tc>
          <w:tcPr>
            <w:tcW w:w="1169" w:type="dxa"/>
            <w:hideMark/>
          </w:tcPr>
          <w:p w:rsidR="00AF597A" w:rsidRPr="00B365AD" w:rsidRDefault="00AF597A" w:rsidP="008F399D">
            <w:pPr>
              <w:jc w:val="center"/>
              <w:rPr>
                <w:rFonts w:eastAsia="Times New Roman" w:cs="Arial"/>
                <w:b/>
                <w:bCs/>
                <w:color w:val="1F497D" w:themeColor="text2"/>
              </w:rPr>
            </w:pPr>
            <w:r w:rsidRPr="00B365AD">
              <w:rPr>
                <w:rFonts w:eastAsia="Times New Roman" w:cs="Arial"/>
                <w:b/>
                <w:bCs/>
                <w:color w:val="1F497D" w:themeColor="text2"/>
              </w:rPr>
              <w:t>Difference in S.D.</w:t>
            </w:r>
          </w:p>
        </w:tc>
        <w:tc>
          <w:tcPr>
            <w:tcW w:w="1169" w:type="dxa"/>
            <w:hideMark/>
          </w:tcPr>
          <w:p w:rsidR="00AF597A" w:rsidRPr="00B365AD" w:rsidRDefault="00AF597A" w:rsidP="008F399D">
            <w:pPr>
              <w:jc w:val="center"/>
              <w:rPr>
                <w:rFonts w:eastAsia="Times New Roman" w:cs="Arial"/>
                <w:b/>
                <w:bCs/>
                <w:color w:val="1F497D" w:themeColor="text2"/>
              </w:rPr>
            </w:pPr>
            <w:r w:rsidRPr="00B365AD">
              <w:rPr>
                <w:rFonts w:eastAsia="Times New Roman" w:cs="Arial"/>
                <w:b/>
                <w:bCs/>
                <w:color w:val="1F497D" w:themeColor="text2"/>
              </w:rPr>
              <w:t>Difference in %</w:t>
            </w:r>
          </w:p>
        </w:tc>
      </w:tr>
      <w:tr w:rsidR="00AF597A" w:rsidRPr="00A03656" w:rsidTr="00034FD7">
        <w:trPr>
          <w:trHeight w:val="350"/>
        </w:trPr>
        <w:tc>
          <w:tcPr>
            <w:tcW w:w="1524" w:type="dxa"/>
            <w:hideMark/>
          </w:tcPr>
          <w:p w:rsidR="00AF597A" w:rsidRPr="00794D8C" w:rsidRDefault="00AF597A" w:rsidP="008F399D">
            <w:pPr>
              <w:jc w:val="center"/>
              <w:rPr>
                <w:rFonts w:eastAsia="Times New Roman" w:cs="Arial"/>
                <w:b/>
                <w:bCs/>
                <w:color w:val="1F497D" w:themeColor="text2"/>
              </w:rPr>
            </w:pPr>
            <w:r w:rsidRPr="00794D8C">
              <w:rPr>
                <w:rFonts w:eastAsia="Times New Roman" w:cs="Arial"/>
                <w:b/>
                <w:bCs/>
                <w:color w:val="1F497D" w:themeColor="text2"/>
              </w:rPr>
              <w:t>Intercept</w:t>
            </w:r>
          </w:p>
        </w:tc>
        <w:tc>
          <w:tcPr>
            <w:tcW w:w="1559" w:type="dxa"/>
            <w:noWrap/>
            <w:hideMark/>
          </w:tcPr>
          <w:p w:rsidR="00AF597A" w:rsidRPr="00794D8C" w:rsidRDefault="00AF597A" w:rsidP="008F399D">
            <w:pPr>
              <w:rPr>
                <w:rFonts w:eastAsia="Times New Roman" w:cs="Arial"/>
                <w:color w:val="1F497D" w:themeColor="text2"/>
              </w:rPr>
            </w:pPr>
            <w:r w:rsidRPr="00794D8C">
              <w:rPr>
                <w:rFonts w:eastAsia="Times New Roman" w:cs="Arial"/>
                <w:color w:val="1F497D" w:themeColor="text2"/>
              </w:rPr>
              <w:t>Intercept</w:t>
            </w:r>
          </w:p>
        </w:tc>
        <w:tc>
          <w:tcPr>
            <w:tcW w:w="1280"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-2.825</w:t>
            </w:r>
          </w:p>
        </w:tc>
        <w:tc>
          <w:tcPr>
            <w:tcW w:w="1233"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-2.819</w:t>
            </w:r>
          </w:p>
        </w:tc>
        <w:tc>
          <w:tcPr>
            <w:tcW w:w="725"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0.019</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-0.006</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-0.32</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0.2%</w:t>
            </w:r>
          </w:p>
        </w:tc>
      </w:tr>
      <w:tr w:rsidR="00AF597A" w:rsidRPr="00A03656" w:rsidTr="00034FD7">
        <w:trPr>
          <w:trHeight w:val="620"/>
        </w:trPr>
        <w:tc>
          <w:tcPr>
            <w:tcW w:w="1524" w:type="dxa"/>
            <w:hideMark/>
          </w:tcPr>
          <w:p w:rsidR="00AF597A" w:rsidRPr="00794D8C" w:rsidRDefault="00AF597A" w:rsidP="008F399D">
            <w:pPr>
              <w:jc w:val="center"/>
              <w:rPr>
                <w:rFonts w:eastAsia="Times New Roman" w:cs="Arial"/>
                <w:b/>
                <w:bCs/>
                <w:color w:val="1F497D" w:themeColor="text2"/>
              </w:rPr>
            </w:pPr>
            <w:r w:rsidRPr="00794D8C">
              <w:rPr>
                <w:rFonts w:eastAsia="Times New Roman" w:cs="Arial"/>
                <w:b/>
                <w:bCs/>
                <w:color w:val="1F497D" w:themeColor="text2"/>
              </w:rPr>
              <w:t>Type of Admission</w:t>
            </w:r>
          </w:p>
        </w:tc>
        <w:tc>
          <w:tcPr>
            <w:tcW w:w="1559" w:type="dxa"/>
            <w:noWrap/>
            <w:hideMark/>
          </w:tcPr>
          <w:p w:rsidR="00AF597A" w:rsidRPr="00794D8C" w:rsidRDefault="00AF597A" w:rsidP="008F399D">
            <w:pPr>
              <w:rPr>
                <w:rFonts w:eastAsia="Times New Roman" w:cs="Arial"/>
                <w:color w:val="1F497D" w:themeColor="text2"/>
              </w:rPr>
            </w:pPr>
            <w:r w:rsidRPr="00794D8C">
              <w:rPr>
                <w:rFonts w:eastAsia="Times New Roman" w:cs="Arial"/>
                <w:color w:val="1F497D" w:themeColor="text2"/>
              </w:rPr>
              <w:t>Medicare</w:t>
            </w:r>
          </w:p>
        </w:tc>
        <w:tc>
          <w:tcPr>
            <w:tcW w:w="1280"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0.554</w:t>
            </w:r>
          </w:p>
        </w:tc>
        <w:tc>
          <w:tcPr>
            <w:tcW w:w="1233"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0.555</w:t>
            </w:r>
          </w:p>
        </w:tc>
        <w:tc>
          <w:tcPr>
            <w:tcW w:w="725"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0.015</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0.000</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-0.03</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-0.1%</w:t>
            </w:r>
          </w:p>
        </w:tc>
      </w:tr>
      <w:tr w:rsidR="00AF597A" w:rsidRPr="00A03656" w:rsidTr="00034FD7">
        <w:trPr>
          <w:trHeight w:val="565"/>
        </w:trPr>
        <w:tc>
          <w:tcPr>
            <w:tcW w:w="1524" w:type="dxa"/>
            <w:hideMark/>
          </w:tcPr>
          <w:p w:rsidR="00AF597A" w:rsidRPr="00794D8C" w:rsidRDefault="00AF597A" w:rsidP="008F399D">
            <w:pPr>
              <w:jc w:val="center"/>
              <w:rPr>
                <w:rFonts w:eastAsia="Times New Roman" w:cs="Arial"/>
                <w:b/>
                <w:bCs/>
                <w:color w:val="1F497D" w:themeColor="text2"/>
              </w:rPr>
            </w:pPr>
          </w:p>
        </w:tc>
        <w:tc>
          <w:tcPr>
            <w:tcW w:w="1559" w:type="dxa"/>
            <w:noWrap/>
            <w:hideMark/>
          </w:tcPr>
          <w:p w:rsidR="00AF597A" w:rsidRPr="00794D8C" w:rsidRDefault="00AF597A" w:rsidP="008F399D">
            <w:pPr>
              <w:rPr>
                <w:rFonts w:eastAsia="Times New Roman" w:cs="Arial"/>
                <w:color w:val="1F497D" w:themeColor="text2"/>
              </w:rPr>
            </w:pPr>
            <w:r w:rsidRPr="00794D8C">
              <w:rPr>
                <w:rFonts w:eastAsia="Times New Roman" w:cs="Arial"/>
                <w:color w:val="1F497D" w:themeColor="text2"/>
              </w:rPr>
              <w:t>Re-entry</w:t>
            </w:r>
          </w:p>
        </w:tc>
        <w:tc>
          <w:tcPr>
            <w:tcW w:w="1280"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0.140</w:t>
            </w:r>
          </w:p>
        </w:tc>
        <w:tc>
          <w:tcPr>
            <w:tcW w:w="1233"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0.125</w:t>
            </w:r>
          </w:p>
        </w:tc>
        <w:tc>
          <w:tcPr>
            <w:tcW w:w="725"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0.011</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0.015</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1.30</w:t>
            </w:r>
          </w:p>
        </w:tc>
        <w:tc>
          <w:tcPr>
            <w:tcW w:w="1169" w:type="dxa"/>
            <w:noWrap/>
            <w:hideMark/>
          </w:tcPr>
          <w:p w:rsidR="00AF597A" w:rsidRPr="00794D8C" w:rsidRDefault="00AF597A" w:rsidP="008F399D">
            <w:pPr>
              <w:jc w:val="right"/>
              <w:rPr>
                <w:rFonts w:eastAsia="Times New Roman" w:cs="Arial"/>
                <w:color w:val="1F497D" w:themeColor="text2"/>
              </w:rPr>
            </w:pPr>
            <w:r w:rsidRPr="00794D8C">
              <w:rPr>
                <w:rFonts w:eastAsia="Times New Roman" w:cs="Arial"/>
                <w:color w:val="1F497D" w:themeColor="text2"/>
              </w:rPr>
              <w:t>10.6%</w:t>
            </w:r>
          </w:p>
        </w:tc>
      </w:tr>
      <w:tr w:rsidR="00BB4C45" w:rsidRPr="00A03656" w:rsidTr="00034FD7">
        <w:trPr>
          <w:trHeight w:val="323"/>
        </w:trPr>
        <w:tc>
          <w:tcPr>
            <w:tcW w:w="1524" w:type="dxa"/>
            <w:hideMark/>
          </w:tcPr>
          <w:p w:rsidR="00BB4C45" w:rsidRPr="00794D8C" w:rsidRDefault="00BB4C45" w:rsidP="008F399D">
            <w:pPr>
              <w:jc w:val="center"/>
              <w:rPr>
                <w:rFonts w:eastAsia="Times New Roman" w:cs="Arial"/>
                <w:b/>
                <w:bCs/>
                <w:color w:val="1F497D" w:themeColor="text2"/>
              </w:rPr>
            </w:pPr>
            <w:r w:rsidRPr="00794D8C">
              <w:rPr>
                <w:rFonts w:eastAsia="Times New Roman" w:cs="Arial"/>
                <w:b/>
                <w:bCs/>
                <w:color w:val="1F497D" w:themeColor="text2"/>
              </w:rPr>
              <w:t>Demographics</w:t>
            </w:r>
          </w:p>
        </w:tc>
        <w:tc>
          <w:tcPr>
            <w:tcW w:w="1559" w:type="dxa"/>
            <w:noWrap/>
            <w:hideMark/>
          </w:tcPr>
          <w:p w:rsidR="00BB4C45" w:rsidRPr="00794D8C" w:rsidRDefault="00BB4C45" w:rsidP="008F399D">
            <w:pPr>
              <w:rPr>
                <w:rFonts w:eastAsia="Times New Roman" w:cs="Arial"/>
                <w:color w:val="1F497D" w:themeColor="text2"/>
              </w:rPr>
            </w:pPr>
            <w:r w:rsidRPr="00794D8C">
              <w:rPr>
                <w:rFonts w:eastAsia="Times New Roman" w:cs="Arial"/>
                <w:color w:val="1F497D" w:themeColor="text2"/>
              </w:rPr>
              <w:t>Male</w:t>
            </w:r>
          </w:p>
        </w:tc>
        <w:tc>
          <w:tcPr>
            <w:tcW w:w="1280"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0.162</w:t>
            </w:r>
          </w:p>
        </w:tc>
        <w:tc>
          <w:tcPr>
            <w:tcW w:w="1233"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0.158</w:t>
            </w:r>
          </w:p>
        </w:tc>
        <w:tc>
          <w:tcPr>
            <w:tcW w:w="725"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0.010</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0.005</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0.48</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2.9%</w:t>
            </w:r>
          </w:p>
        </w:tc>
      </w:tr>
      <w:tr w:rsidR="00BB4C45" w:rsidRPr="00A03656" w:rsidTr="00034FD7">
        <w:trPr>
          <w:trHeight w:val="565"/>
        </w:trPr>
        <w:tc>
          <w:tcPr>
            <w:tcW w:w="1524" w:type="dxa"/>
            <w:hideMark/>
          </w:tcPr>
          <w:p w:rsidR="00BB4C45" w:rsidRPr="00794D8C" w:rsidRDefault="00BB4C45" w:rsidP="008F399D">
            <w:pPr>
              <w:jc w:val="center"/>
              <w:rPr>
                <w:rFonts w:eastAsia="Times New Roman" w:cs="Arial"/>
                <w:b/>
                <w:bCs/>
                <w:color w:val="1F497D" w:themeColor="text2"/>
              </w:rPr>
            </w:pPr>
          </w:p>
        </w:tc>
        <w:tc>
          <w:tcPr>
            <w:tcW w:w="1559" w:type="dxa"/>
            <w:noWrap/>
            <w:hideMark/>
          </w:tcPr>
          <w:p w:rsidR="00BB4C45" w:rsidRPr="00794D8C" w:rsidRDefault="00BB4C45" w:rsidP="008F399D">
            <w:pPr>
              <w:rPr>
                <w:rFonts w:eastAsia="Times New Roman" w:cs="Arial"/>
                <w:color w:val="1F497D" w:themeColor="text2"/>
              </w:rPr>
            </w:pPr>
            <w:r w:rsidRPr="00794D8C">
              <w:rPr>
                <w:rFonts w:eastAsia="Times New Roman" w:cs="Arial"/>
                <w:color w:val="1F497D" w:themeColor="text2"/>
              </w:rPr>
              <w:t>Age Under 65</w:t>
            </w:r>
          </w:p>
        </w:tc>
        <w:tc>
          <w:tcPr>
            <w:tcW w:w="1280"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0.177</w:t>
            </w:r>
          </w:p>
        </w:tc>
        <w:tc>
          <w:tcPr>
            <w:tcW w:w="1233"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0.177</w:t>
            </w:r>
          </w:p>
        </w:tc>
        <w:tc>
          <w:tcPr>
            <w:tcW w:w="725"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0.013</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0.000</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0.02</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0.2%</w:t>
            </w:r>
          </w:p>
        </w:tc>
      </w:tr>
      <w:tr w:rsidR="00BB4C45" w:rsidRPr="00A03656" w:rsidTr="00034FD7">
        <w:trPr>
          <w:trHeight w:val="314"/>
        </w:trPr>
        <w:tc>
          <w:tcPr>
            <w:tcW w:w="1524" w:type="dxa"/>
            <w:hideMark/>
          </w:tcPr>
          <w:p w:rsidR="00BB4C45" w:rsidRPr="00794D8C" w:rsidRDefault="00BB4C45" w:rsidP="008F399D">
            <w:pPr>
              <w:jc w:val="center"/>
              <w:rPr>
                <w:rFonts w:eastAsia="Times New Roman" w:cs="Arial"/>
                <w:b/>
                <w:bCs/>
                <w:color w:val="1F497D" w:themeColor="text2"/>
              </w:rPr>
            </w:pPr>
            <w:r w:rsidRPr="00794D8C">
              <w:rPr>
                <w:rFonts w:eastAsia="Times New Roman" w:cs="Arial"/>
                <w:b/>
                <w:bCs/>
                <w:color w:val="1F497D" w:themeColor="text2"/>
              </w:rPr>
              <w:t>Diagnoses</w:t>
            </w:r>
          </w:p>
        </w:tc>
        <w:tc>
          <w:tcPr>
            <w:tcW w:w="1559" w:type="dxa"/>
            <w:noWrap/>
            <w:hideMark/>
          </w:tcPr>
          <w:p w:rsidR="00BB4C45" w:rsidRPr="00794D8C" w:rsidRDefault="00BB4C45" w:rsidP="008F399D">
            <w:pPr>
              <w:rPr>
                <w:rFonts w:eastAsia="Times New Roman" w:cs="Arial"/>
                <w:color w:val="1F497D" w:themeColor="text2"/>
              </w:rPr>
            </w:pPr>
            <w:r w:rsidRPr="00794D8C">
              <w:rPr>
                <w:rFonts w:eastAsia="Times New Roman" w:cs="Arial"/>
                <w:color w:val="1F497D" w:themeColor="text2"/>
              </w:rPr>
              <w:t>Anemia</w:t>
            </w:r>
          </w:p>
        </w:tc>
        <w:tc>
          <w:tcPr>
            <w:tcW w:w="1280"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0.092</w:t>
            </w:r>
          </w:p>
        </w:tc>
        <w:tc>
          <w:tcPr>
            <w:tcW w:w="1233"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0.092</w:t>
            </w:r>
          </w:p>
        </w:tc>
        <w:tc>
          <w:tcPr>
            <w:tcW w:w="725"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0.010</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0.000</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0.02</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0.2%</w:t>
            </w:r>
          </w:p>
        </w:tc>
      </w:tr>
      <w:tr w:rsidR="00BB4C45" w:rsidRPr="00A03656" w:rsidTr="00034FD7">
        <w:trPr>
          <w:trHeight w:val="260"/>
        </w:trPr>
        <w:tc>
          <w:tcPr>
            <w:tcW w:w="1524" w:type="dxa"/>
            <w:hideMark/>
          </w:tcPr>
          <w:p w:rsidR="00BB4C45" w:rsidRPr="00794D8C" w:rsidRDefault="00BB4C45" w:rsidP="008F399D">
            <w:pPr>
              <w:jc w:val="center"/>
              <w:rPr>
                <w:rFonts w:eastAsia="Times New Roman" w:cs="Arial"/>
                <w:b/>
                <w:bCs/>
                <w:color w:val="1F497D" w:themeColor="text2"/>
              </w:rPr>
            </w:pPr>
          </w:p>
        </w:tc>
        <w:tc>
          <w:tcPr>
            <w:tcW w:w="1559" w:type="dxa"/>
            <w:noWrap/>
            <w:hideMark/>
          </w:tcPr>
          <w:p w:rsidR="00BB4C45" w:rsidRPr="00794D8C" w:rsidRDefault="00BB4C45" w:rsidP="008F399D">
            <w:pPr>
              <w:rPr>
                <w:rFonts w:eastAsia="Times New Roman" w:cs="Arial"/>
                <w:color w:val="1F497D" w:themeColor="text2"/>
              </w:rPr>
            </w:pPr>
            <w:r w:rsidRPr="00794D8C">
              <w:rPr>
                <w:rFonts w:eastAsia="Times New Roman" w:cs="Arial"/>
                <w:color w:val="1F497D" w:themeColor="text2"/>
              </w:rPr>
              <w:t>Asthma</w:t>
            </w:r>
          </w:p>
        </w:tc>
        <w:tc>
          <w:tcPr>
            <w:tcW w:w="1280"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0.103</w:t>
            </w:r>
          </w:p>
        </w:tc>
        <w:tc>
          <w:tcPr>
            <w:tcW w:w="1233"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0.105</w:t>
            </w:r>
          </w:p>
        </w:tc>
        <w:tc>
          <w:tcPr>
            <w:tcW w:w="725"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0.011</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-0.002</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-0.16</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-1.7%</w:t>
            </w:r>
          </w:p>
        </w:tc>
      </w:tr>
      <w:tr w:rsidR="00BB4C45" w:rsidRPr="00A03656" w:rsidTr="00034FD7">
        <w:trPr>
          <w:trHeight w:val="565"/>
        </w:trPr>
        <w:tc>
          <w:tcPr>
            <w:tcW w:w="1524" w:type="dxa"/>
            <w:hideMark/>
          </w:tcPr>
          <w:p w:rsidR="00BB4C45" w:rsidRPr="00794D8C" w:rsidRDefault="00BB4C45" w:rsidP="008F399D">
            <w:pPr>
              <w:jc w:val="center"/>
              <w:rPr>
                <w:rFonts w:eastAsia="Times New Roman" w:cs="Arial"/>
                <w:b/>
                <w:bCs/>
                <w:color w:val="1F497D" w:themeColor="text2"/>
              </w:rPr>
            </w:pPr>
          </w:p>
        </w:tc>
        <w:tc>
          <w:tcPr>
            <w:tcW w:w="1559" w:type="dxa"/>
            <w:noWrap/>
            <w:hideMark/>
          </w:tcPr>
          <w:p w:rsidR="00BB4C45" w:rsidRPr="00794D8C" w:rsidRDefault="00BB4C45" w:rsidP="008F399D">
            <w:pPr>
              <w:rPr>
                <w:rFonts w:eastAsia="Times New Roman" w:cs="Arial"/>
                <w:color w:val="1F497D" w:themeColor="text2"/>
              </w:rPr>
            </w:pPr>
            <w:r w:rsidRPr="00794D8C">
              <w:rPr>
                <w:rFonts w:eastAsia="Times New Roman" w:cs="Arial"/>
                <w:color w:val="1F497D" w:themeColor="text2"/>
              </w:rPr>
              <w:t>Diabetes Mellitus</w:t>
            </w:r>
          </w:p>
        </w:tc>
        <w:tc>
          <w:tcPr>
            <w:tcW w:w="1280"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0.046</w:t>
            </w:r>
          </w:p>
        </w:tc>
        <w:tc>
          <w:tcPr>
            <w:tcW w:w="1233"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0.062</w:t>
            </w:r>
          </w:p>
        </w:tc>
        <w:tc>
          <w:tcPr>
            <w:tcW w:w="725"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0.014</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-0.016</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-1.15</w:t>
            </w:r>
          </w:p>
        </w:tc>
        <w:tc>
          <w:tcPr>
            <w:tcW w:w="1169" w:type="dxa"/>
            <w:noWrap/>
            <w:hideMark/>
          </w:tcPr>
          <w:p w:rsidR="00BB4C45" w:rsidRPr="00794D8C" w:rsidRDefault="00BB4C45" w:rsidP="008F399D">
            <w:pPr>
              <w:jc w:val="right"/>
              <w:rPr>
                <w:rFonts w:eastAsia="Times New Roman" w:cs="Arial"/>
                <w:color w:val="1F497D" w:themeColor="text2"/>
              </w:rPr>
            </w:pPr>
            <w:r w:rsidRPr="00794D8C">
              <w:rPr>
                <w:rFonts w:eastAsia="Times New Roman" w:cs="Arial"/>
                <w:color w:val="1F497D" w:themeColor="text2"/>
              </w:rPr>
              <w:t>-34.6%</w:t>
            </w:r>
          </w:p>
        </w:tc>
      </w:tr>
      <w:tr w:rsidR="00B75500" w:rsidRPr="00A03656" w:rsidTr="00034FD7">
        <w:trPr>
          <w:trHeight w:val="565"/>
        </w:trPr>
        <w:tc>
          <w:tcPr>
            <w:tcW w:w="1524" w:type="dxa"/>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lastRenderedPageBreak/>
              <w:t>Variable Type</w:t>
            </w:r>
          </w:p>
        </w:tc>
        <w:tc>
          <w:tcPr>
            <w:tcW w:w="1559"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Independent Variable</w:t>
            </w:r>
          </w:p>
        </w:tc>
        <w:tc>
          <w:tcPr>
            <w:tcW w:w="1280"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PointRight OnPoint-30 Coefficient</w:t>
            </w:r>
          </w:p>
        </w:tc>
        <w:tc>
          <w:tcPr>
            <w:tcW w:w="1233"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Bootstrap Mean</w:t>
            </w:r>
          </w:p>
        </w:tc>
        <w:tc>
          <w:tcPr>
            <w:tcW w:w="725"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S.D.</w:t>
            </w:r>
          </w:p>
        </w:tc>
        <w:tc>
          <w:tcPr>
            <w:tcW w:w="1169" w:type="dxa"/>
            <w:noWrap/>
          </w:tcPr>
          <w:p w:rsidR="00B75500" w:rsidRPr="00B365AD" w:rsidRDefault="00B75500" w:rsidP="007F4EB8">
            <w:pPr>
              <w:rPr>
                <w:rFonts w:eastAsia="Times New Roman" w:cs="Arial"/>
                <w:b/>
                <w:bCs/>
                <w:color w:val="1F497D" w:themeColor="text2"/>
              </w:rPr>
            </w:pPr>
            <w:r w:rsidRPr="00B365AD">
              <w:rPr>
                <w:rFonts w:eastAsia="Times New Roman" w:cs="Arial"/>
                <w:b/>
                <w:bCs/>
                <w:color w:val="1F497D" w:themeColor="text2"/>
              </w:rPr>
              <w:t>Difference</w:t>
            </w:r>
          </w:p>
        </w:tc>
        <w:tc>
          <w:tcPr>
            <w:tcW w:w="1169"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Difference in S.D.</w:t>
            </w:r>
          </w:p>
        </w:tc>
        <w:tc>
          <w:tcPr>
            <w:tcW w:w="1169"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Difference in %</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r>
              <w:rPr>
                <w:rFonts w:eastAsia="Times New Roman" w:cs="Arial"/>
                <w:b/>
                <w:bCs/>
                <w:color w:val="1F497D" w:themeColor="text2"/>
              </w:rPr>
              <w:t xml:space="preserve">Diagnoses </w:t>
            </w: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Diabetic Foot Ulcer</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0.146</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0.139</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0.044</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5.0%</w:t>
            </w:r>
          </w:p>
        </w:tc>
      </w:tr>
      <w:tr w:rsidR="00B75500" w:rsidRPr="00A03656" w:rsidTr="00034FD7">
        <w:trPr>
          <w:trHeight w:val="359"/>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Heart Failure</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0.200</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0.206</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-0.51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-3.0%</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Internal Bleeding</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0.892</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0.912</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0.040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-0.49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-2.2%</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Pressure Ulcer (Stage 2)</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0.167</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0.181</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-0.014</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-0.86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-8.2%</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Pressure Ulcer (Stage 3)</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0.133</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0.197</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0.030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-0.063</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-2.12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-47.5%</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Pressure Ulcer (Stage 4)</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0.157</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0.146</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0.037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0.29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6.8%</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Pressure Ulcer (Unstageable)</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0.181</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0.163</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0.018</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0.92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10.2%</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Respiratory Failure</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0.116</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0.163</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0.025</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-0.047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-1.86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-40.6%</w:t>
            </w:r>
          </w:p>
        </w:tc>
      </w:tr>
      <w:tr w:rsidR="00B75500" w:rsidRPr="00A03656" w:rsidTr="00034FD7">
        <w:trPr>
          <w:trHeight w:val="323"/>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Septicemia</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0.089</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0.121</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-0.032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-1.09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-35.7%</w:t>
            </w:r>
          </w:p>
        </w:tc>
      </w:tr>
      <w:tr w:rsidR="00B75500" w:rsidRPr="00A03656" w:rsidTr="00034FD7">
        <w:trPr>
          <w:trHeight w:val="260"/>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Vascular Ulcer</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0.186</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0.181</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0.21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3.0%</w:t>
            </w:r>
          </w:p>
        </w:tc>
      </w:tr>
      <w:tr w:rsidR="00B75500" w:rsidRPr="00A03656" w:rsidTr="00034FD7">
        <w:trPr>
          <w:trHeight w:val="260"/>
        </w:trPr>
        <w:tc>
          <w:tcPr>
            <w:tcW w:w="1524" w:type="dxa"/>
          </w:tcPr>
          <w:p w:rsidR="00B75500" w:rsidRPr="00794D8C" w:rsidRDefault="00B75500" w:rsidP="008F399D">
            <w:pPr>
              <w:jc w:val="center"/>
              <w:rPr>
                <w:rFonts w:eastAsia="Times New Roman" w:cs="Arial"/>
                <w:b/>
                <w:bCs/>
                <w:color w:val="1F497D" w:themeColor="text2"/>
              </w:rPr>
            </w:pPr>
          </w:p>
        </w:tc>
        <w:tc>
          <w:tcPr>
            <w:tcW w:w="1559" w:type="dxa"/>
            <w:noWrap/>
          </w:tcPr>
          <w:p w:rsidR="00B75500" w:rsidRPr="00794D8C" w:rsidRDefault="00B75500" w:rsidP="0047450C">
            <w:pPr>
              <w:rPr>
                <w:rFonts w:eastAsia="Times New Roman" w:cs="Arial"/>
                <w:color w:val="1F497D" w:themeColor="text2"/>
              </w:rPr>
            </w:pPr>
            <w:r w:rsidRPr="00794D8C">
              <w:rPr>
                <w:rFonts w:eastAsia="Times New Roman" w:cs="Arial"/>
                <w:color w:val="1F497D" w:themeColor="text2"/>
              </w:rPr>
              <w:t>Viral Hepatitis</w:t>
            </w:r>
          </w:p>
        </w:tc>
        <w:tc>
          <w:tcPr>
            <w:tcW w:w="1280" w:type="dxa"/>
            <w:noWrap/>
          </w:tcPr>
          <w:p w:rsidR="00B75500" w:rsidRPr="00794D8C" w:rsidRDefault="00B75500" w:rsidP="0047450C">
            <w:pPr>
              <w:jc w:val="right"/>
              <w:rPr>
                <w:rFonts w:eastAsia="Times New Roman" w:cs="Arial"/>
                <w:color w:val="1F497D" w:themeColor="text2"/>
              </w:rPr>
            </w:pPr>
            <w:r w:rsidRPr="00794D8C">
              <w:rPr>
                <w:rFonts w:eastAsia="Times New Roman" w:cs="Arial"/>
                <w:color w:val="1F497D" w:themeColor="text2"/>
              </w:rPr>
              <w:t>0.402</w:t>
            </w:r>
          </w:p>
        </w:tc>
        <w:tc>
          <w:tcPr>
            <w:tcW w:w="1233" w:type="dxa"/>
            <w:noWrap/>
          </w:tcPr>
          <w:p w:rsidR="00B75500" w:rsidRPr="00794D8C" w:rsidRDefault="00B75500" w:rsidP="0047450C">
            <w:pPr>
              <w:jc w:val="right"/>
              <w:rPr>
                <w:rFonts w:eastAsia="Times New Roman" w:cs="Arial"/>
                <w:color w:val="1F497D" w:themeColor="text2"/>
              </w:rPr>
            </w:pPr>
            <w:r w:rsidRPr="00794D8C">
              <w:rPr>
                <w:rFonts w:eastAsia="Times New Roman" w:cs="Arial"/>
                <w:color w:val="1F497D" w:themeColor="text2"/>
              </w:rPr>
              <w:t>0.310</w:t>
            </w:r>
          </w:p>
        </w:tc>
        <w:tc>
          <w:tcPr>
            <w:tcW w:w="725" w:type="dxa"/>
            <w:noWrap/>
          </w:tcPr>
          <w:p w:rsidR="00B75500" w:rsidRPr="00794D8C" w:rsidRDefault="00B75500" w:rsidP="0047450C">
            <w:pPr>
              <w:jc w:val="right"/>
              <w:rPr>
                <w:rFonts w:eastAsia="Times New Roman" w:cs="Arial"/>
                <w:color w:val="1F497D" w:themeColor="text2"/>
              </w:rPr>
            </w:pPr>
            <w:r w:rsidRPr="00794D8C">
              <w:rPr>
                <w:rFonts w:eastAsia="Times New Roman" w:cs="Arial"/>
                <w:color w:val="1F497D" w:themeColor="text2"/>
              </w:rPr>
              <w:t>0.049</w:t>
            </w:r>
          </w:p>
        </w:tc>
        <w:tc>
          <w:tcPr>
            <w:tcW w:w="1169" w:type="dxa"/>
            <w:noWrap/>
          </w:tcPr>
          <w:p w:rsidR="00B75500" w:rsidRPr="00794D8C" w:rsidRDefault="00B75500" w:rsidP="0047450C">
            <w:pPr>
              <w:jc w:val="right"/>
              <w:rPr>
                <w:rFonts w:eastAsia="Times New Roman" w:cs="Arial"/>
                <w:color w:val="1F497D" w:themeColor="text2"/>
              </w:rPr>
            </w:pPr>
            <w:r w:rsidRPr="00794D8C">
              <w:rPr>
                <w:rFonts w:eastAsia="Times New Roman" w:cs="Arial"/>
                <w:color w:val="1F497D" w:themeColor="text2"/>
              </w:rPr>
              <w:t>0.092</w:t>
            </w:r>
          </w:p>
        </w:tc>
        <w:tc>
          <w:tcPr>
            <w:tcW w:w="1169" w:type="dxa"/>
            <w:noWrap/>
          </w:tcPr>
          <w:p w:rsidR="00B75500" w:rsidRPr="00794D8C" w:rsidRDefault="00B75500" w:rsidP="0047450C">
            <w:pPr>
              <w:jc w:val="right"/>
              <w:rPr>
                <w:rFonts w:eastAsia="Times New Roman" w:cs="Arial"/>
                <w:color w:val="1F497D" w:themeColor="text2"/>
              </w:rPr>
            </w:pPr>
            <w:r w:rsidRPr="00794D8C">
              <w:rPr>
                <w:rFonts w:eastAsia="Times New Roman" w:cs="Arial"/>
                <w:color w:val="1F497D" w:themeColor="text2"/>
              </w:rPr>
              <w:t>1.87</w:t>
            </w:r>
          </w:p>
        </w:tc>
        <w:tc>
          <w:tcPr>
            <w:tcW w:w="1169" w:type="dxa"/>
            <w:noWrap/>
          </w:tcPr>
          <w:p w:rsidR="00B75500" w:rsidRPr="00794D8C" w:rsidRDefault="00B75500" w:rsidP="00CC5369">
            <w:pPr>
              <w:jc w:val="right"/>
              <w:rPr>
                <w:rFonts w:eastAsia="Times New Roman" w:cs="Arial"/>
                <w:color w:val="1F497D" w:themeColor="text2"/>
              </w:rPr>
            </w:pPr>
            <w:r w:rsidRPr="00794D8C">
              <w:rPr>
                <w:rFonts w:eastAsia="Times New Roman" w:cs="Arial"/>
                <w:color w:val="1F497D" w:themeColor="text2"/>
              </w:rPr>
              <w:t>22.8%</w:t>
            </w:r>
          </w:p>
        </w:tc>
      </w:tr>
      <w:tr w:rsidR="00B75500" w:rsidRPr="00A03656" w:rsidTr="00034FD7">
        <w:trPr>
          <w:trHeight w:val="341"/>
        </w:trPr>
        <w:tc>
          <w:tcPr>
            <w:tcW w:w="1524" w:type="dxa"/>
            <w:hideMark/>
          </w:tcPr>
          <w:p w:rsidR="00B75500" w:rsidRPr="00794D8C" w:rsidRDefault="00B75500" w:rsidP="008F399D">
            <w:pPr>
              <w:jc w:val="center"/>
              <w:rPr>
                <w:rFonts w:eastAsia="Times New Roman" w:cs="Arial"/>
                <w:b/>
                <w:bCs/>
                <w:color w:val="1F497D" w:themeColor="text2"/>
              </w:rPr>
            </w:pPr>
            <w:r w:rsidRPr="00794D8C">
              <w:rPr>
                <w:rFonts w:eastAsia="Times New Roman" w:cs="Arial"/>
                <w:b/>
                <w:bCs/>
                <w:color w:val="1F497D" w:themeColor="text2"/>
              </w:rPr>
              <w:t>Symptom</w:t>
            </w: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Daily Pain</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0.061</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0.054</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0.40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11.1%</w:t>
            </w:r>
          </w:p>
        </w:tc>
      </w:tr>
      <w:tr w:rsidR="00B75500" w:rsidRPr="00A03656" w:rsidTr="00034FD7">
        <w:trPr>
          <w:trHeight w:val="800"/>
        </w:trPr>
        <w:tc>
          <w:tcPr>
            <w:tcW w:w="1524" w:type="dxa"/>
            <w:hideMark/>
          </w:tcPr>
          <w:p w:rsidR="00B75500" w:rsidRPr="00794D8C" w:rsidRDefault="00B75500" w:rsidP="008F399D">
            <w:pPr>
              <w:jc w:val="center"/>
              <w:rPr>
                <w:rFonts w:eastAsia="Times New Roman" w:cs="Arial"/>
                <w:b/>
                <w:bCs/>
                <w:color w:val="1F497D" w:themeColor="text2"/>
              </w:rPr>
            </w:pPr>
            <w:r w:rsidRPr="00794D8C">
              <w:rPr>
                <w:rFonts w:eastAsia="Times New Roman" w:cs="Arial"/>
                <w:b/>
                <w:bCs/>
                <w:color w:val="1F497D" w:themeColor="text2"/>
              </w:rPr>
              <w:t>Functional Status</w:t>
            </w: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Bowel Incontinence (Total)</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0.185</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0.176</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0.77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4.7%</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Cognition Not Intact</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0.333</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0.331</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0.14</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0.4%</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Eating Dependence</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0.472</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0.430</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0.042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2.48</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8.9%</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Two-Person Assist for Any ADL</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0.239</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0.226</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0.013</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1.21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5.3%</w:t>
            </w:r>
          </w:p>
        </w:tc>
      </w:tr>
      <w:tr w:rsidR="00B75500" w:rsidRPr="00A03656" w:rsidTr="00034FD7">
        <w:trPr>
          <w:trHeight w:val="809"/>
        </w:trPr>
        <w:tc>
          <w:tcPr>
            <w:tcW w:w="1524" w:type="dxa"/>
            <w:hideMark/>
          </w:tcPr>
          <w:p w:rsidR="00B75500" w:rsidRPr="00794D8C" w:rsidRDefault="00B75500" w:rsidP="008F399D">
            <w:pPr>
              <w:jc w:val="center"/>
              <w:rPr>
                <w:rFonts w:eastAsia="Times New Roman" w:cs="Arial"/>
                <w:b/>
                <w:bCs/>
                <w:color w:val="1F497D" w:themeColor="text2"/>
              </w:rPr>
            </w:pPr>
            <w:r w:rsidRPr="00794D8C">
              <w:rPr>
                <w:rFonts w:eastAsia="Times New Roman" w:cs="Arial"/>
                <w:b/>
                <w:bCs/>
                <w:color w:val="1F497D" w:themeColor="text2"/>
              </w:rPr>
              <w:t>Treatments Continued from Hospital</w:t>
            </w: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Cancer Chemotherapy</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0.600</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0.595</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0.050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0.005</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0.8%</w:t>
            </w:r>
          </w:p>
        </w:tc>
      </w:tr>
      <w:tr w:rsidR="00B75500" w:rsidRPr="00A03656" w:rsidTr="00034FD7">
        <w:trPr>
          <w:trHeight w:val="260"/>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Dialysis</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0.604</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0.606</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-0.3%</w:t>
            </w:r>
          </w:p>
        </w:tc>
      </w:tr>
      <w:tr w:rsidR="00B75500" w:rsidRPr="00A03656" w:rsidTr="00034FD7">
        <w:trPr>
          <w:trHeight w:val="341"/>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Insulin</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0.178</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0.159</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0.015</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0.018</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1.21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10.3%</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IV Fluids or Meds</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0.188</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0.179</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0.52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4.7%</w:t>
            </w:r>
          </w:p>
        </w:tc>
      </w:tr>
      <w:tr w:rsidR="00B75500" w:rsidRPr="00A03656" w:rsidTr="00034FD7">
        <w:trPr>
          <w:trHeight w:val="314"/>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Ostomy Care</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0.326</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0.349</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-0.023</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-0.87</w:t>
            </w:r>
          </w:p>
        </w:tc>
        <w:tc>
          <w:tcPr>
            <w:tcW w:w="1169" w:type="dxa"/>
            <w:noWrap/>
            <w:hideMark/>
          </w:tcPr>
          <w:p w:rsidR="00B75500" w:rsidRPr="00794D8C" w:rsidRDefault="00B75500" w:rsidP="00BB4C45">
            <w:pPr>
              <w:jc w:val="right"/>
              <w:rPr>
                <w:rFonts w:eastAsia="Times New Roman" w:cs="Arial"/>
                <w:color w:val="1F497D" w:themeColor="text2"/>
              </w:rPr>
            </w:pPr>
            <w:r w:rsidRPr="00794D8C">
              <w:rPr>
                <w:rFonts w:eastAsia="Times New Roman" w:cs="Arial"/>
                <w:color w:val="1F497D" w:themeColor="text2"/>
              </w:rPr>
              <w:t>-6.9%</w:t>
            </w:r>
          </w:p>
        </w:tc>
      </w:tr>
      <w:tr w:rsidR="00B75500" w:rsidRPr="00A03656" w:rsidTr="00034FD7">
        <w:trPr>
          <w:trHeight w:val="350"/>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Oxygen</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0.340</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0.346</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0.012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-0.007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-0.56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-2.0%</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Radiation Therapy</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0.611</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0.489</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0.069</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0.122</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1.77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19.9%</w:t>
            </w:r>
          </w:p>
        </w:tc>
      </w:tr>
      <w:tr w:rsidR="00B75500" w:rsidRPr="00A03656" w:rsidTr="00034FD7">
        <w:trPr>
          <w:trHeight w:val="565"/>
        </w:trPr>
        <w:tc>
          <w:tcPr>
            <w:tcW w:w="1524" w:type="dxa"/>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lastRenderedPageBreak/>
              <w:t>Variable Type</w:t>
            </w:r>
          </w:p>
        </w:tc>
        <w:tc>
          <w:tcPr>
            <w:tcW w:w="1559"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Independent Variable</w:t>
            </w:r>
          </w:p>
        </w:tc>
        <w:tc>
          <w:tcPr>
            <w:tcW w:w="1280"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PointRight OnPoint-30 Coefficient</w:t>
            </w:r>
          </w:p>
        </w:tc>
        <w:tc>
          <w:tcPr>
            <w:tcW w:w="1233"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Bootstrap Mean</w:t>
            </w:r>
          </w:p>
        </w:tc>
        <w:tc>
          <w:tcPr>
            <w:tcW w:w="725"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S.D.</w:t>
            </w:r>
          </w:p>
        </w:tc>
        <w:tc>
          <w:tcPr>
            <w:tcW w:w="1169" w:type="dxa"/>
            <w:noWrap/>
          </w:tcPr>
          <w:p w:rsidR="00B75500" w:rsidRPr="00B365AD" w:rsidRDefault="00B75500" w:rsidP="007F4EB8">
            <w:pPr>
              <w:rPr>
                <w:rFonts w:eastAsia="Times New Roman" w:cs="Arial"/>
                <w:b/>
                <w:bCs/>
                <w:color w:val="1F497D" w:themeColor="text2"/>
              </w:rPr>
            </w:pPr>
            <w:r w:rsidRPr="00B365AD">
              <w:rPr>
                <w:rFonts w:eastAsia="Times New Roman" w:cs="Arial"/>
                <w:b/>
                <w:bCs/>
                <w:color w:val="1F497D" w:themeColor="text2"/>
              </w:rPr>
              <w:t>Difference</w:t>
            </w:r>
          </w:p>
        </w:tc>
        <w:tc>
          <w:tcPr>
            <w:tcW w:w="1169"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Difference in S.D.</w:t>
            </w:r>
          </w:p>
        </w:tc>
        <w:tc>
          <w:tcPr>
            <w:tcW w:w="1169" w:type="dxa"/>
            <w:noWrap/>
          </w:tcPr>
          <w:p w:rsidR="00B75500" w:rsidRPr="00B365AD" w:rsidRDefault="00B75500" w:rsidP="007F4EB8">
            <w:pPr>
              <w:jc w:val="center"/>
              <w:rPr>
                <w:rFonts w:eastAsia="Times New Roman" w:cs="Arial"/>
                <w:b/>
                <w:bCs/>
                <w:color w:val="1F497D" w:themeColor="text2"/>
              </w:rPr>
            </w:pPr>
            <w:r w:rsidRPr="00B365AD">
              <w:rPr>
                <w:rFonts w:eastAsia="Times New Roman" w:cs="Arial"/>
                <w:b/>
                <w:bCs/>
                <w:color w:val="1F497D" w:themeColor="text2"/>
              </w:rPr>
              <w:t>Difference in %</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r w:rsidRPr="00794D8C">
              <w:rPr>
                <w:rFonts w:eastAsia="Times New Roman" w:cs="Arial"/>
                <w:b/>
                <w:bCs/>
                <w:color w:val="1F497D" w:themeColor="text2"/>
              </w:rPr>
              <w:t>Treatments Continued from Hospital</w:t>
            </w: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Tracheostomy Care</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0.134</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0.170</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0.040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-0.037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-0.91</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-27.5%</w:t>
            </w:r>
          </w:p>
        </w:tc>
      </w:tr>
      <w:tr w:rsidR="00B75500" w:rsidRPr="00A03656" w:rsidTr="00034FD7">
        <w:trPr>
          <w:trHeight w:val="565"/>
        </w:trPr>
        <w:tc>
          <w:tcPr>
            <w:tcW w:w="1524" w:type="dxa"/>
            <w:hideMark/>
          </w:tcPr>
          <w:p w:rsidR="00B75500" w:rsidRPr="00794D8C" w:rsidRDefault="00B75500" w:rsidP="008F399D">
            <w:pPr>
              <w:jc w:val="center"/>
              <w:rPr>
                <w:rFonts w:eastAsia="Times New Roman" w:cs="Arial"/>
                <w:b/>
                <w:bCs/>
                <w:color w:val="1F497D" w:themeColor="text2"/>
              </w:rPr>
            </w:pPr>
            <w:r w:rsidRPr="00794D8C">
              <w:rPr>
                <w:rFonts w:eastAsia="Times New Roman" w:cs="Arial"/>
                <w:b/>
                <w:bCs/>
                <w:color w:val="1F497D" w:themeColor="text2"/>
              </w:rPr>
              <w:t>Mitigating Factors</w:t>
            </w: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End-Stage Prognosis</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-0.785</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-0.729</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0.056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-0.056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-1.00</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7.1%</w:t>
            </w:r>
          </w:p>
        </w:tc>
      </w:tr>
      <w:tr w:rsidR="00B75500" w:rsidRPr="00A03656" w:rsidTr="00034FD7">
        <w:trPr>
          <w:trHeight w:val="341"/>
        </w:trPr>
        <w:tc>
          <w:tcPr>
            <w:tcW w:w="1524" w:type="dxa"/>
            <w:hideMark/>
          </w:tcPr>
          <w:p w:rsidR="00B75500" w:rsidRPr="00794D8C" w:rsidRDefault="00B75500" w:rsidP="008F399D">
            <w:pPr>
              <w:jc w:val="center"/>
              <w:rPr>
                <w:rFonts w:eastAsia="Times New Roman" w:cs="Arial"/>
                <w:b/>
                <w:bCs/>
                <w:color w:val="1F497D" w:themeColor="text2"/>
              </w:rPr>
            </w:pPr>
          </w:p>
        </w:tc>
        <w:tc>
          <w:tcPr>
            <w:tcW w:w="1559" w:type="dxa"/>
            <w:noWrap/>
            <w:hideMark/>
          </w:tcPr>
          <w:p w:rsidR="00B75500" w:rsidRPr="00794D8C" w:rsidRDefault="00B75500" w:rsidP="008F399D">
            <w:pPr>
              <w:rPr>
                <w:rFonts w:eastAsia="Times New Roman" w:cs="Arial"/>
                <w:color w:val="1F497D" w:themeColor="text2"/>
              </w:rPr>
            </w:pPr>
            <w:r w:rsidRPr="00794D8C">
              <w:rPr>
                <w:rFonts w:eastAsia="Times New Roman" w:cs="Arial"/>
                <w:color w:val="1F497D" w:themeColor="text2"/>
              </w:rPr>
              <w:t>Hospice Care</w:t>
            </w:r>
          </w:p>
        </w:tc>
        <w:tc>
          <w:tcPr>
            <w:tcW w:w="1280"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-1.509</w:t>
            </w:r>
          </w:p>
        </w:tc>
        <w:tc>
          <w:tcPr>
            <w:tcW w:w="1233"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-1.423</w:t>
            </w:r>
          </w:p>
        </w:tc>
        <w:tc>
          <w:tcPr>
            <w:tcW w:w="725"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0.098</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-0.086</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-0.87</w:t>
            </w:r>
          </w:p>
        </w:tc>
        <w:tc>
          <w:tcPr>
            <w:tcW w:w="1169" w:type="dxa"/>
            <w:noWrap/>
            <w:hideMark/>
          </w:tcPr>
          <w:p w:rsidR="00B75500" w:rsidRPr="00794D8C" w:rsidRDefault="00B75500" w:rsidP="008F399D">
            <w:pPr>
              <w:jc w:val="right"/>
              <w:rPr>
                <w:rFonts w:eastAsia="Times New Roman" w:cs="Arial"/>
                <w:color w:val="1F497D" w:themeColor="text2"/>
              </w:rPr>
            </w:pPr>
            <w:r w:rsidRPr="00794D8C">
              <w:rPr>
                <w:rFonts w:eastAsia="Times New Roman" w:cs="Arial"/>
                <w:color w:val="1F497D" w:themeColor="text2"/>
              </w:rPr>
              <w:t>5.7%</w:t>
            </w:r>
          </w:p>
        </w:tc>
      </w:tr>
    </w:tbl>
    <w:p w:rsidR="00ED0163" w:rsidRDefault="00ED0163" w:rsidP="00AF597A">
      <w:pPr>
        <w:rPr>
          <w:rFonts w:cstheme="minorHAnsi"/>
          <w:bCs/>
          <w:iCs/>
          <w:color w:val="1F497D" w:themeColor="text2"/>
        </w:rPr>
      </w:pPr>
    </w:p>
    <w:p w:rsidR="00B15459" w:rsidRDefault="00B15459" w:rsidP="00AF597A">
      <w:pPr>
        <w:rPr>
          <w:rFonts w:cstheme="minorHAnsi"/>
          <w:bCs/>
          <w:iCs/>
          <w:color w:val="1F497D" w:themeColor="text2"/>
        </w:rPr>
      </w:pPr>
      <w:r>
        <w:rPr>
          <w:rFonts w:cstheme="minorHAnsi"/>
          <w:bCs/>
          <w:iCs/>
          <w:color w:val="1F497D" w:themeColor="text2"/>
        </w:rPr>
        <w:t xml:space="preserve">Variable Stability: </w:t>
      </w:r>
    </w:p>
    <w:p w:rsidR="00AF597A" w:rsidRPr="009E2E2F" w:rsidRDefault="00B15459" w:rsidP="007B3D7B">
      <w:pPr>
        <w:rPr>
          <w:rFonts w:cstheme="minorHAnsi"/>
          <w:bCs/>
          <w:iCs/>
          <w:color w:val="1F497D" w:themeColor="text2"/>
        </w:rPr>
      </w:pPr>
      <w:r w:rsidRPr="00B15459">
        <w:rPr>
          <w:rFonts w:cstheme="minorHAnsi"/>
          <w:b/>
          <w:bCs/>
          <w:iCs/>
          <w:color w:val="1F497D" w:themeColor="text2"/>
        </w:rPr>
        <w:t>TABLE 10</w:t>
      </w:r>
      <w:r w:rsidR="00B365AD" w:rsidRPr="00B15459">
        <w:rPr>
          <w:rFonts w:cstheme="minorHAnsi"/>
          <w:b/>
          <w:bCs/>
          <w:iCs/>
          <w:color w:val="1F497D" w:themeColor="text2"/>
        </w:rPr>
        <w:t xml:space="preserve">: </w:t>
      </w:r>
      <w:r w:rsidRPr="00B15459">
        <w:rPr>
          <w:rFonts w:cstheme="minorHAnsi"/>
          <w:b/>
          <w:bCs/>
          <w:iCs/>
          <w:color w:val="1F497D" w:themeColor="text2"/>
        </w:rPr>
        <w:t xml:space="preserve">Variable Stability </w:t>
      </w:r>
      <w:r>
        <w:rPr>
          <w:rFonts w:cstheme="minorHAnsi"/>
          <w:b/>
          <w:bCs/>
          <w:iCs/>
          <w:color w:val="1F497D" w:themeColor="text2"/>
        </w:rPr>
        <w:t>between</w:t>
      </w:r>
      <w:r w:rsidRPr="00B15459">
        <w:rPr>
          <w:rFonts w:cstheme="minorHAnsi"/>
          <w:b/>
          <w:bCs/>
          <w:iCs/>
          <w:color w:val="1F497D" w:themeColor="text2"/>
        </w:rPr>
        <w:t xml:space="preserve"> Two Assessments Seven Days Apart</w:t>
      </w:r>
    </w:p>
    <w:tbl>
      <w:tblPr>
        <w:tblStyle w:val="TableGrid"/>
        <w:tblW w:w="8940" w:type="dxa"/>
        <w:tblLook w:val="04A0" w:firstRow="1" w:lastRow="0" w:firstColumn="1" w:lastColumn="0" w:noHBand="0" w:noVBand="1"/>
      </w:tblPr>
      <w:tblGrid>
        <w:gridCol w:w="2280"/>
        <w:gridCol w:w="1240"/>
        <w:gridCol w:w="1340"/>
        <w:gridCol w:w="1400"/>
        <w:gridCol w:w="1380"/>
        <w:gridCol w:w="1300"/>
      </w:tblGrid>
      <w:tr w:rsidR="00B365AD" w:rsidRPr="00B365AD" w:rsidTr="000F30FB">
        <w:trPr>
          <w:trHeight w:val="1106"/>
        </w:trPr>
        <w:tc>
          <w:tcPr>
            <w:tcW w:w="2280" w:type="dxa"/>
            <w:hideMark/>
          </w:tcPr>
          <w:p w:rsidR="00AF597A" w:rsidRPr="00B365AD" w:rsidRDefault="00AF597A" w:rsidP="008F399D">
            <w:pPr>
              <w:jc w:val="center"/>
              <w:rPr>
                <w:rFonts w:eastAsia="Times New Roman" w:cs="Arial"/>
                <w:b/>
                <w:color w:val="1F497D" w:themeColor="text2"/>
              </w:rPr>
            </w:pPr>
            <w:r w:rsidRPr="00B365AD">
              <w:rPr>
                <w:rFonts w:eastAsia="Times New Roman" w:cs="Arial"/>
                <w:b/>
                <w:color w:val="1F497D" w:themeColor="text2"/>
              </w:rPr>
              <w:t>Variable</w:t>
            </w:r>
          </w:p>
        </w:tc>
        <w:tc>
          <w:tcPr>
            <w:tcW w:w="1240" w:type="dxa"/>
            <w:hideMark/>
          </w:tcPr>
          <w:p w:rsidR="00AF597A" w:rsidRPr="00B365AD" w:rsidRDefault="00AF597A" w:rsidP="008F399D">
            <w:pPr>
              <w:jc w:val="center"/>
              <w:rPr>
                <w:rFonts w:eastAsia="Times New Roman" w:cs="Arial"/>
                <w:b/>
                <w:color w:val="1F497D" w:themeColor="text2"/>
              </w:rPr>
            </w:pPr>
            <w:r w:rsidRPr="00B365AD">
              <w:rPr>
                <w:rFonts w:eastAsia="Times New Roman" w:cs="Arial"/>
                <w:b/>
                <w:color w:val="1F497D" w:themeColor="text2"/>
              </w:rPr>
              <w:t>% Changing from 0 to 1</w:t>
            </w:r>
          </w:p>
        </w:tc>
        <w:tc>
          <w:tcPr>
            <w:tcW w:w="1340" w:type="dxa"/>
            <w:hideMark/>
          </w:tcPr>
          <w:p w:rsidR="00AF597A" w:rsidRPr="00B365AD" w:rsidRDefault="00AF597A" w:rsidP="008F399D">
            <w:pPr>
              <w:jc w:val="center"/>
              <w:rPr>
                <w:rFonts w:eastAsia="Times New Roman" w:cs="Arial"/>
                <w:b/>
                <w:color w:val="1F497D" w:themeColor="text2"/>
              </w:rPr>
            </w:pPr>
            <w:r w:rsidRPr="00B365AD">
              <w:rPr>
                <w:rFonts w:eastAsia="Times New Roman" w:cs="Arial"/>
                <w:b/>
                <w:color w:val="1F497D" w:themeColor="text2"/>
              </w:rPr>
              <w:t>% Changing from 1 to 0</w:t>
            </w:r>
          </w:p>
        </w:tc>
        <w:tc>
          <w:tcPr>
            <w:tcW w:w="1400" w:type="dxa"/>
            <w:hideMark/>
          </w:tcPr>
          <w:p w:rsidR="00AF597A" w:rsidRPr="00B365AD" w:rsidRDefault="00AF597A" w:rsidP="008F399D">
            <w:pPr>
              <w:jc w:val="center"/>
              <w:rPr>
                <w:rFonts w:eastAsia="Times New Roman" w:cs="Arial"/>
                <w:b/>
                <w:color w:val="1F497D" w:themeColor="text2"/>
              </w:rPr>
            </w:pPr>
            <w:r w:rsidRPr="00B365AD">
              <w:rPr>
                <w:rFonts w:eastAsia="Times New Roman" w:cs="Arial"/>
                <w:b/>
                <w:color w:val="1F497D" w:themeColor="text2"/>
              </w:rPr>
              <w:t>% Unchanged</w:t>
            </w:r>
          </w:p>
        </w:tc>
        <w:tc>
          <w:tcPr>
            <w:tcW w:w="1380" w:type="dxa"/>
            <w:hideMark/>
          </w:tcPr>
          <w:p w:rsidR="00AF597A" w:rsidRPr="00B365AD" w:rsidRDefault="00AF597A" w:rsidP="008F399D">
            <w:pPr>
              <w:jc w:val="center"/>
              <w:rPr>
                <w:rFonts w:eastAsia="Times New Roman" w:cs="Arial"/>
                <w:b/>
                <w:color w:val="1F497D" w:themeColor="text2"/>
              </w:rPr>
            </w:pPr>
            <w:r w:rsidRPr="00B365AD">
              <w:rPr>
                <w:rFonts w:eastAsia="Times New Roman" w:cs="Arial"/>
                <w:b/>
                <w:color w:val="1F497D" w:themeColor="text2"/>
              </w:rPr>
              <w:t>Prevalence of 1s in Validation Sample</w:t>
            </w:r>
          </w:p>
        </w:tc>
        <w:tc>
          <w:tcPr>
            <w:tcW w:w="1300" w:type="dxa"/>
            <w:hideMark/>
          </w:tcPr>
          <w:p w:rsidR="00AF597A" w:rsidRPr="00B365AD" w:rsidRDefault="00AF597A" w:rsidP="008F399D">
            <w:pPr>
              <w:jc w:val="center"/>
              <w:rPr>
                <w:rFonts w:eastAsia="Times New Roman" w:cs="Arial"/>
                <w:b/>
                <w:color w:val="1F497D" w:themeColor="text2"/>
              </w:rPr>
            </w:pPr>
            <w:r w:rsidRPr="00B365AD">
              <w:rPr>
                <w:rFonts w:eastAsia="Times New Roman" w:cs="Arial"/>
                <w:b/>
                <w:color w:val="1F497D" w:themeColor="text2"/>
              </w:rPr>
              <w:t>Coefficient in Model</w:t>
            </w: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Medicare</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Re-entry</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99%</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Male</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Age Under 65</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Anemia</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2%</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2%</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98%</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Asthma</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2%</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99%</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Diabetes Mellitus</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99%</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Diabetic Foot Ulcer</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Heart Failure</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99%</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3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Internal Bleeding</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6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Pressure Ulcer Stage 2</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2%</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6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Pressure Ulcer Stage 3</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6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Pressure Ulcer Stage 4</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365AD" w:rsidRPr="00B365AD" w:rsidTr="00B365AD">
        <w:trPr>
          <w:trHeight w:val="615"/>
        </w:trPr>
        <w:tc>
          <w:tcPr>
            <w:tcW w:w="2280" w:type="dxa"/>
            <w:hideMark/>
          </w:tcPr>
          <w:p w:rsidR="00AF597A" w:rsidRPr="00B365AD" w:rsidRDefault="00AF597A" w:rsidP="008F399D">
            <w:pPr>
              <w:rPr>
                <w:rFonts w:eastAsia="Times New Roman" w:cs="Arial"/>
                <w:color w:val="1F497D" w:themeColor="text2"/>
              </w:rPr>
            </w:pPr>
            <w:r w:rsidRPr="00B365AD">
              <w:rPr>
                <w:rFonts w:eastAsia="Times New Roman" w:cs="Arial"/>
                <w:color w:val="1F497D" w:themeColor="text2"/>
              </w:rPr>
              <w:t>Pressure Ulcer Unstageable</w:t>
            </w:r>
          </w:p>
        </w:tc>
        <w:tc>
          <w:tcPr>
            <w:tcW w:w="12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AF597A" w:rsidRPr="00B365AD" w:rsidRDefault="00AF597A"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AF597A" w:rsidRPr="00B365AD" w:rsidRDefault="00AF597A" w:rsidP="008F399D">
            <w:pPr>
              <w:rPr>
                <w:rFonts w:eastAsia="Times New Roman" w:cs="Arial"/>
                <w:color w:val="1F497D" w:themeColor="text2"/>
              </w:rPr>
            </w:pPr>
          </w:p>
        </w:tc>
        <w:tc>
          <w:tcPr>
            <w:tcW w:w="1300" w:type="dxa"/>
            <w:hideMark/>
          </w:tcPr>
          <w:p w:rsidR="00AF597A" w:rsidRPr="00B365AD" w:rsidRDefault="00AF597A" w:rsidP="008F399D">
            <w:pPr>
              <w:rPr>
                <w:rFonts w:eastAsia="Times New Roman" w:cs="Arial"/>
                <w:color w:val="1F497D" w:themeColor="text2"/>
              </w:rPr>
            </w:pPr>
          </w:p>
        </w:tc>
      </w:tr>
      <w:tr w:rsidR="00BB4C45" w:rsidRPr="00B365AD" w:rsidTr="00B365AD">
        <w:trPr>
          <w:trHeight w:val="315"/>
        </w:trPr>
        <w:tc>
          <w:tcPr>
            <w:tcW w:w="2280" w:type="dxa"/>
            <w:hideMark/>
          </w:tcPr>
          <w:p w:rsidR="00BB4C45" w:rsidRPr="00B365AD" w:rsidRDefault="00BB4C45" w:rsidP="008F399D">
            <w:pPr>
              <w:rPr>
                <w:rFonts w:eastAsia="Times New Roman" w:cs="Arial"/>
                <w:color w:val="1F497D" w:themeColor="text2"/>
              </w:rPr>
            </w:pPr>
            <w:r w:rsidRPr="00B365AD">
              <w:rPr>
                <w:rFonts w:eastAsia="Times New Roman" w:cs="Arial"/>
                <w:color w:val="1F497D" w:themeColor="text2"/>
              </w:rPr>
              <w:t>Respiratory Failure</w:t>
            </w:r>
          </w:p>
        </w:tc>
        <w:tc>
          <w:tcPr>
            <w:tcW w:w="12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B4C45" w:rsidRPr="00B365AD" w:rsidRDefault="00BB4C45" w:rsidP="008F399D">
            <w:pPr>
              <w:rPr>
                <w:rFonts w:eastAsia="Times New Roman" w:cs="Arial"/>
                <w:color w:val="1F497D" w:themeColor="text2"/>
              </w:rPr>
            </w:pPr>
          </w:p>
        </w:tc>
        <w:tc>
          <w:tcPr>
            <w:tcW w:w="1300" w:type="dxa"/>
            <w:hideMark/>
          </w:tcPr>
          <w:p w:rsidR="00BB4C45" w:rsidRPr="00B365AD" w:rsidRDefault="00BB4C45" w:rsidP="008F399D">
            <w:pPr>
              <w:rPr>
                <w:rFonts w:eastAsia="Times New Roman" w:cs="Arial"/>
                <w:color w:val="1F497D" w:themeColor="text2"/>
              </w:rPr>
            </w:pPr>
          </w:p>
        </w:tc>
      </w:tr>
      <w:tr w:rsidR="00BB4C45" w:rsidRPr="00B365AD" w:rsidTr="00B365AD">
        <w:trPr>
          <w:trHeight w:val="315"/>
        </w:trPr>
        <w:tc>
          <w:tcPr>
            <w:tcW w:w="2280" w:type="dxa"/>
            <w:hideMark/>
          </w:tcPr>
          <w:p w:rsidR="00BB4C45" w:rsidRPr="00B365AD" w:rsidRDefault="00BB4C45" w:rsidP="008F399D">
            <w:pPr>
              <w:rPr>
                <w:rFonts w:eastAsia="Times New Roman" w:cs="Arial"/>
                <w:color w:val="1F497D" w:themeColor="text2"/>
              </w:rPr>
            </w:pPr>
            <w:r w:rsidRPr="00B365AD">
              <w:rPr>
                <w:rFonts w:eastAsia="Times New Roman" w:cs="Arial"/>
                <w:color w:val="1F497D" w:themeColor="text2"/>
              </w:rPr>
              <w:t>Septicemia</w:t>
            </w:r>
          </w:p>
        </w:tc>
        <w:tc>
          <w:tcPr>
            <w:tcW w:w="12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B4C45" w:rsidRPr="00B365AD" w:rsidRDefault="00BB4C45" w:rsidP="008F399D">
            <w:pPr>
              <w:rPr>
                <w:rFonts w:eastAsia="Times New Roman" w:cs="Arial"/>
                <w:color w:val="1F497D" w:themeColor="text2"/>
              </w:rPr>
            </w:pPr>
          </w:p>
        </w:tc>
        <w:tc>
          <w:tcPr>
            <w:tcW w:w="1300" w:type="dxa"/>
            <w:hideMark/>
          </w:tcPr>
          <w:p w:rsidR="00BB4C45" w:rsidRPr="00B365AD" w:rsidRDefault="00BB4C45" w:rsidP="008F399D">
            <w:pPr>
              <w:rPr>
                <w:rFonts w:eastAsia="Times New Roman" w:cs="Arial"/>
                <w:color w:val="1F497D" w:themeColor="text2"/>
              </w:rPr>
            </w:pPr>
          </w:p>
        </w:tc>
      </w:tr>
      <w:tr w:rsidR="00BB4C45" w:rsidRPr="00B365AD" w:rsidTr="00B365AD">
        <w:trPr>
          <w:trHeight w:val="315"/>
        </w:trPr>
        <w:tc>
          <w:tcPr>
            <w:tcW w:w="2280" w:type="dxa"/>
            <w:hideMark/>
          </w:tcPr>
          <w:p w:rsidR="00BB4C45" w:rsidRPr="00B365AD" w:rsidRDefault="00BB4C45" w:rsidP="008F399D">
            <w:pPr>
              <w:rPr>
                <w:rFonts w:eastAsia="Times New Roman" w:cs="Arial"/>
                <w:color w:val="1F497D" w:themeColor="text2"/>
              </w:rPr>
            </w:pPr>
            <w:r w:rsidRPr="00B365AD">
              <w:rPr>
                <w:rFonts w:eastAsia="Times New Roman" w:cs="Arial"/>
                <w:color w:val="1F497D" w:themeColor="text2"/>
              </w:rPr>
              <w:t>Vascular Ulcer</w:t>
            </w:r>
          </w:p>
        </w:tc>
        <w:tc>
          <w:tcPr>
            <w:tcW w:w="12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B4C45" w:rsidRPr="00B365AD" w:rsidRDefault="00BB4C45" w:rsidP="008F399D">
            <w:pPr>
              <w:rPr>
                <w:rFonts w:eastAsia="Times New Roman" w:cs="Arial"/>
                <w:color w:val="1F497D" w:themeColor="text2"/>
              </w:rPr>
            </w:pPr>
          </w:p>
        </w:tc>
        <w:tc>
          <w:tcPr>
            <w:tcW w:w="1300" w:type="dxa"/>
            <w:hideMark/>
          </w:tcPr>
          <w:p w:rsidR="00BB4C45" w:rsidRPr="00B365AD" w:rsidRDefault="00BB4C45" w:rsidP="008F399D">
            <w:pPr>
              <w:rPr>
                <w:rFonts w:eastAsia="Times New Roman" w:cs="Arial"/>
                <w:color w:val="1F497D" w:themeColor="text2"/>
              </w:rPr>
            </w:pPr>
          </w:p>
        </w:tc>
      </w:tr>
      <w:tr w:rsidR="00BB4C45" w:rsidRPr="00B365AD" w:rsidTr="00B365AD">
        <w:trPr>
          <w:trHeight w:val="315"/>
        </w:trPr>
        <w:tc>
          <w:tcPr>
            <w:tcW w:w="2280" w:type="dxa"/>
            <w:hideMark/>
          </w:tcPr>
          <w:p w:rsidR="00BB4C45" w:rsidRPr="00B365AD" w:rsidRDefault="00BB4C45" w:rsidP="008F399D">
            <w:pPr>
              <w:rPr>
                <w:rFonts w:eastAsia="Times New Roman" w:cs="Arial"/>
                <w:color w:val="1F497D" w:themeColor="text2"/>
              </w:rPr>
            </w:pPr>
            <w:r w:rsidRPr="00B365AD">
              <w:rPr>
                <w:rFonts w:eastAsia="Times New Roman" w:cs="Arial"/>
                <w:color w:val="1F497D" w:themeColor="text2"/>
              </w:rPr>
              <w:t>Viral Hepatitis</w:t>
            </w:r>
          </w:p>
        </w:tc>
        <w:tc>
          <w:tcPr>
            <w:tcW w:w="12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B4C45" w:rsidRPr="00B365AD" w:rsidRDefault="00BB4C45" w:rsidP="008F399D">
            <w:pPr>
              <w:rPr>
                <w:rFonts w:eastAsia="Times New Roman" w:cs="Arial"/>
                <w:color w:val="1F497D" w:themeColor="text2"/>
              </w:rPr>
            </w:pPr>
          </w:p>
        </w:tc>
        <w:tc>
          <w:tcPr>
            <w:tcW w:w="1300" w:type="dxa"/>
            <w:hideMark/>
          </w:tcPr>
          <w:p w:rsidR="00BB4C45" w:rsidRPr="00B365AD" w:rsidRDefault="00BB4C45" w:rsidP="008F399D">
            <w:pPr>
              <w:rPr>
                <w:rFonts w:eastAsia="Times New Roman" w:cs="Arial"/>
                <w:color w:val="1F497D" w:themeColor="text2"/>
              </w:rPr>
            </w:pPr>
          </w:p>
        </w:tc>
      </w:tr>
      <w:tr w:rsidR="00BB4C45" w:rsidRPr="00B365AD" w:rsidTr="00B365AD">
        <w:trPr>
          <w:trHeight w:val="315"/>
        </w:trPr>
        <w:tc>
          <w:tcPr>
            <w:tcW w:w="2280" w:type="dxa"/>
            <w:hideMark/>
          </w:tcPr>
          <w:p w:rsidR="00BB4C45" w:rsidRPr="00B365AD" w:rsidRDefault="00BB4C45" w:rsidP="008F399D">
            <w:pPr>
              <w:rPr>
                <w:rFonts w:eastAsia="Times New Roman" w:cs="Arial"/>
                <w:color w:val="1F497D" w:themeColor="text2"/>
              </w:rPr>
            </w:pPr>
            <w:r w:rsidRPr="00B365AD">
              <w:rPr>
                <w:rFonts w:eastAsia="Times New Roman" w:cs="Arial"/>
                <w:color w:val="1F497D" w:themeColor="text2"/>
              </w:rPr>
              <w:t>Daily Pain</w:t>
            </w:r>
          </w:p>
        </w:tc>
        <w:tc>
          <w:tcPr>
            <w:tcW w:w="12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2%</w:t>
            </w:r>
          </w:p>
        </w:tc>
        <w:tc>
          <w:tcPr>
            <w:tcW w:w="134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4%</w:t>
            </w:r>
          </w:p>
        </w:tc>
        <w:tc>
          <w:tcPr>
            <w:tcW w:w="1400" w:type="dxa"/>
            <w:hideMark/>
          </w:tcPr>
          <w:p w:rsidR="00BB4C45" w:rsidRPr="00B365AD" w:rsidRDefault="00BB4C45" w:rsidP="008F399D">
            <w:pPr>
              <w:jc w:val="right"/>
              <w:rPr>
                <w:rFonts w:eastAsia="Times New Roman" w:cs="Arial"/>
                <w:color w:val="1F497D" w:themeColor="text2"/>
              </w:rPr>
            </w:pPr>
            <w:r w:rsidRPr="00B365AD">
              <w:rPr>
                <w:rFonts w:eastAsia="Times New Roman" w:cs="Arial"/>
                <w:color w:val="1F497D" w:themeColor="text2"/>
              </w:rPr>
              <w:t>98%</w:t>
            </w:r>
          </w:p>
        </w:tc>
        <w:tc>
          <w:tcPr>
            <w:tcW w:w="1380" w:type="dxa"/>
            <w:hideMark/>
          </w:tcPr>
          <w:p w:rsidR="00BB4C45" w:rsidRPr="00B365AD" w:rsidRDefault="00BB4C45" w:rsidP="008F399D">
            <w:pPr>
              <w:rPr>
                <w:rFonts w:eastAsia="Times New Roman" w:cs="Arial"/>
                <w:color w:val="1F497D" w:themeColor="text2"/>
              </w:rPr>
            </w:pPr>
          </w:p>
        </w:tc>
        <w:tc>
          <w:tcPr>
            <w:tcW w:w="1300" w:type="dxa"/>
            <w:hideMark/>
          </w:tcPr>
          <w:p w:rsidR="00BB4C45" w:rsidRPr="00B365AD" w:rsidRDefault="00BB4C45" w:rsidP="008F399D">
            <w:pPr>
              <w:rPr>
                <w:rFonts w:eastAsia="Times New Roman" w:cs="Arial"/>
                <w:color w:val="1F497D" w:themeColor="text2"/>
              </w:rPr>
            </w:pPr>
          </w:p>
        </w:tc>
      </w:tr>
      <w:tr w:rsidR="00B75500" w:rsidRPr="00B365AD" w:rsidTr="00B365AD">
        <w:trPr>
          <w:trHeight w:val="615"/>
        </w:trPr>
        <w:tc>
          <w:tcPr>
            <w:tcW w:w="2280" w:type="dxa"/>
          </w:tcPr>
          <w:p w:rsidR="00B75500" w:rsidRPr="00B365AD" w:rsidRDefault="00B75500" w:rsidP="007F4EB8">
            <w:pPr>
              <w:jc w:val="center"/>
              <w:rPr>
                <w:rFonts w:eastAsia="Times New Roman" w:cs="Arial"/>
                <w:b/>
                <w:color w:val="1F497D" w:themeColor="text2"/>
              </w:rPr>
            </w:pPr>
            <w:r w:rsidRPr="00B365AD">
              <w:rPr>
                <w:rFonts w:eastAsia="Times New Roman" w:cs="Arial"/>
                <w:b/>
                <w:color w:val="1F497D" w:themeColor="text2"/>
              </w:rPr>
              <w:lastRenderedPageBreak/>
              <w:t>Variable</w:t>
            </w:r>
          </w:p>
        </w:tc>
        <w:tc>
          <w:tcPr>
            <w:tcW w:w="1240" w:type="dxa"/>
          </w:tcPr>
          <w:p w:rsidR="00B75500" w:rsidRPr="00B365AD" w:rsidRDefault="00B75500" w:rsidP="007F4EB8">
            <w:pPr>
              <w:jc w:val="center"/>
              <w:rPr>
                <w:rFonts w:eastAsia="Times New Roman" w:cs="Arial"/>
                <w:b/>
                <w:color w:val="1F497D" w:themeColor="text2"/>
              </w:rPr>
            </w:pPr>
            <w:r w:rsidRPr="00B365AD">
              <w:rPr>
                <w:rFonts w:eastAsia="Times New Roman" w:cs="Arial"/>
                <w:b/>
                <w:color w:val="1F497D" w:themeColor="text2"/>
              </w:rPr>
              <w:t>% Changing from 0 to 1</w:t>
            </w:r>
          </w:p>
        </w:tc>
        <w:tc>
          <w:tcPr>
            <w:tcW w:w="1340" w:type="dxa"/>
          </w:tcPr>
          <w:p w:rsidR="00B75500" w:rsidRPr="00B365AD" w:rsidRDefault="00B75500" w:rsidP="007F4EB8">
            <w:pPr>
              <w:jc w:val="center"/>
              <w:rPr>
                <w:rFonts w:eastAsia="Times New Roman" w:cs="Arial"/>
                <w:b/>
                <w:color w:val="1F497D" w:themeColor="text2"/>
              </w:rPr>
            </w:pPr>
            <w:r w:rsidRPr="00B365AD">
              <w:rPr>
                <w:rFonts w:eastAsia="Times New Roman" w:cs="Arial"/>
                <w:b/>
                <w:color w:val="1F497D" w:themeColor="text2"/>
              </w:rPr>
              <w:t>% Changing from 1 to 0</w:t>
            </w:r>
          </w:p>
        </w:tc>
        <w:tc>
          <w:tcPr>
            <w:tcW w:w="1400" w:type="dxa"/>
          </w:tcPr>
          <w:p w:rsidR="00B75500" w:rsidRPr="00B365AD" w:rsidRDefault="00B75500" w:rsidP="007F4EB8">
            <w:pPr>
              <w:jc w:val="center"/>
              <w:rPr>
                <w:rFonts w:eastAsia="Times New Roman" w:cs="Arial"/>
                <w:b/>
                <w:color w:val="1F497D" w:themeColor="text2"/>
              </w:rPr>
            </w:pPr>
            <w:r w:rsidRPr="00B365AD">
              <w:rPr>
                <w:rFonts w:eastAsia="Times New Roman" w:cs="Arial"/>
                <w:b/>
                <w:color w:val="1F497D" w:themeColor="text2"/>
              </w:rPr>
              <w:t>% Unchanged</w:t>
            </w:r>
          </w:p>
        </w:tc>
        <w:tc>
          <w:tcPr>
            <w:tcW w:w="1380" w:type="dxa"/>
          </w:tcPr>
          <w:p w:rsidR="00B75500" w:rsidRPr="00B365AD" w:rsidRDefault="00B75500" w:rsidP="007F4EB8">
            <w:pPr>
              <w:jc w:val="center"/>
              <w:rPr>
                <w:rFonts w:eastAsia="Times New Roman" w:cs="Arial"/>
                <w:b/>
                <w:color w:val="1F497D" w:themeColor="text2"/>
              </w:rPr>
            </w:pPr>
            <w:r w:rsidRPr="00B365AD">
              <w:rPr>
                <w:rFonts w:eastAsia="Times New Roman" w:cs="Arial"/>
                <w:b/>
                <w:color w:val="1F497D" w:themeColor="text2"/>
              </w:rPr>
              <w:t>Prevalence of 1s in Validation Sample</w:t>
            </w:r>
          </w:p>
        </w:tc>
        <w:tc>
          <w:tcPr>
            <w:tcW w:w="1300" w:type="dxa"/>
          </w:tcPr>
          <w:p w:rsidR="00B75500" w:rsidRPr="00B365AD" w:rsidRDefault="00B75500" w:rsidP="007F4EB8">
            <w:pPr>
              <w:jc w:val="center"/>
              <w:rPr>
                <w:rFonts w:eastAsia="Times New Roman" w:cs="Arial"/>
                <w:b/>
                <w:color w:val="1F497D" w:themeColor="text2"/>
              </w:rPr>
            </w:pPr>
            <w:r w:rsidRPr="00B365AD">
              <w:rPr>
                <w:rFonts w:eastAsia="Times New Roman" w:cs="Arial"/>
                <w:b/>
                <w:color w:val="1F497D" w:themeColor="text2"/>
              </w:rPr>
              <w:t>Coefficient in Model</w:t>
            </w:r>
          </w:p>
        </w:tc>
      </w:tr>
      <w:tr w:rsidR="00B75500" w:rsidRPr="00B365AD" w:rsidTr="00B365AD">
        <w:trPr>
          <w:trHeight w:val="6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Bowel Incontinence (Total)</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7%</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9%</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93%</w:t>
            </w:r>
          </w:p>
        </w:tc>
        <w:tc>
          <w:tcPr>
            <w:tcW w:w="138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49%</w:t>
            </w:r>
          </w:p>
        </w:tc>
        <w:tc>
          <w:tcPr>
            <w:tcW w:w="13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0.185</w:t>
            </w: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Cognition Not Intact</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4%</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8%</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96%</w:t>
            </w:r>
          </w:p>
        </w:tc>
        <w:tc>
          <w:tcPr>
            <w:tcW w:w="138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66%</w:t>
            </w:r>
          </w:p>
        </w:tc>
        <w:tc>
          <w:tcPr>
            <w:tcW w:w="13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0.333</w:t>
            </w: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Eating Dependence</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99%</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Two-Person Assist</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4%</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14%</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96%</w:t>
            </w:r>
          </w:p>
        </w:tc>
        <w:tc>
          <w:tcPr>
            <w:tcW w:w="138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57%</w:t>
            </w:r>
          </w:p>
        </w:tc>
        <w:tc>
          <w:tcPr>
            <w:tcW w:w="13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0.239</w:t>
            </w: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Chemotherapy</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Dialysis</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3%</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Insulin</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2%</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99%</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6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IV Fluids or Medications</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6%</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Ostomy Care</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Oxygen</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18%</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22%</w:t>
            </w:r>
          </w:p>
        </w:tc>
        <w:tc>
          <w:tcPr>
            <w:tcW w:w="13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0.34</w:t>
            </w: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Radiation Therapy</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Tracheostomy Care</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6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End-Stage Prognosis</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r w:rsidR="00B75500" w:rsidRPr="00B365AD" w:rsidTr="00B365AD">
        <w:trPr>
          <w:trHeight w:val="315"/>
        </w:trPr>
        <w:tc>
          <w:tcPr>
            <w:tcW w:w="2280" w:type="dxa"/>
            <w:hideMark/>
          </w:tcPr>
          <w:p w:rsidR="00B75500" w:rsidRPr="00B365AD" w:rsidRDefault="00B75500" w:rsidP="008F399D">
            <w:pPr>
              <w:rPr>
                <w:rFonts w:eastAsia="Times New Roman" w:cs="Arial"/>
                <w:color w:val="1F497D" w:themeColor="text2"/>
              </w:rPr>
            </w:pPr>
            <w:r w:rsidRPr="00B365AD">
              <w:rPr>
                <w:rFonts w:eastAsia="Times New Roman" w:cs="Arial"/>
                <w:color w:val="1F497D" w:themeColor="text2"/>
              </w:rPr>
              <w:t>Hospice Care</w:t>
            </w:r>
          </w:p>
        </w:tc>
        <w:tc>
          <w:tcPr>
            <w:tcW w:w="12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34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0%</w:t>
            </w:r>
          </w:p>
        </w:tc>
        <w:tc>
          <w:tcPr>
            <w:tcW w:w="1400" w:type="dxa"/>
            <w:hideMark/>
          </w:tcPr>
          <w:p w:rsidR="00B75500" w:rsidRPr="00B365AD" w:rsidRDefault="00B75500" w:rsidP="008F399D">
            <w:pPr>
              <w:jc w:val="right"/>
              <w:rPr>
                <w:rFonts w:eastAsia="Times New Roman" w:cs="Arial"/>
                <w:color w:val="1F497D" w:themeColor="text2"/>
              </w:rPr>
            </w:pPr>
            <w:r w:rsidRPr="00B365AD">
              <w:rPr>
                <w:rFonts w:eastAsia="Times New Roman" w:cs="Arial"/>
                <w:color w:val="1F497D" w:themeColor="text2"/>
              </w:rPr>
              <w:t>100%</w:t>
            </w:r>
          </w:p>
        </w:tc>
        <w:tc>
          <w:tcPr>
            <w:tcW w:w="1380" w:type="dxa"/>
            <w:hideMark/>
          </w:tcPr>
          <w:p w:rsidR="00B75500" w:rsidRPr="00B365AD" w:rsidRDefault="00B75500" w:rsidP="008F399D">
            <w:pPr>
              <w:rPr>
                <w:rFonts w:eastAsia="Times New Roman" w:cs="Arial"/>
                <w:color w:val="1F497D" w:themeColor="text2"/>
              </w:rPr>
            </w:pPr>
          </w:p>
        </w:tc>
        <w:tc>
          <w:tcPr>
            <w:tcW w:w="1300" w:type="dxa"/>
            <w:hideMark/>
          </w:tcPr>
          <w:p w:rsidR="00B75500" w:rsidRPr="00B365AD" w:rsidRDefault="00B75500" w:rsidP="008F399D">
            <w:pPr>
              <w:rPr>
                <w:rFonts w:eastAsia="Times New Roman" w:cs="Arial"/>
                <w:color w:val="1F497D" w:themeColor="text2"/>
              </w:rPr>
            </w:pPr>
          </w:p>
        </w:tc>
      </w:tr>
    </w:tbl>
    <w:p w:rsidR="00AF597A" w:rsidRPr="00A25024" w:rsidRDefault="00AF597A" w:rsidP="00AF597A">
      <w:pPr>
        <w:rPr>
          <w:rFonts w:cstheme="minorHAnsi"/>
          <w:bCs/>
        </w:rPr>
      </w:pPr>
    </w:p>
    <w:p w:rsidR="00092566" w:rsidRPr="00A25024" w:rsidRDefault="00E1508F" w:rsidP="00243ADC">
      <w:pPr>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F30FB">
        <w:rPr>
          <w:rFonts w:cstheme="minorHAnsi"/>
          <w:bCs/>
        </w:rPr>
        <w:br/>
      </w:r>
      <w:r w:rsidR="00243ADC" w:rsidRPr="00243ADC">
        <w:rPr>
          <w:rFonts w:cstheme="minorHAnsi"/>
          <w:bCs/>
          <w:iCs/>
          <w:color w:val="1F497D" w:themeColor="text2"/>
        </w:rPr>
        <w:t xml:space="preserve">A clinical panel reviewed the entire </w:t>
      </w:r>
      <w:r w:rsidR="0047450C">
        <w:rPr>
          <w:rFonts w:cstheme="minorHAnsi"/>
          <w:bCs/>
          <w:iCs/>
          <w:color w:val="1F497D" w:themeColor="text2"/>
        </w:rPr>
        <w:t>MDS</w:t>
      </w:r>
      <w:r w:rsidR="00243ADC" w:rsidRPr="00243ADC">
        <w:rPr>
          <w:rFonts w:cstheme="minorHAnsi"/>
          <w:bCs/>
          <w:iCs/>
          <w:color w:val="1F497D" w:themeColor="text2"/>
        </w:rPr>
        <w:t xml:space="preserve"> for skilled nursing facilities, identifying</w:t>
      </w:r>
      <w:bookmarkStart w:id="13" w:name="_GoBack"/>
      <w:bookmarkEnd w:id="13"/>
      <w:r w:rsidR="00243ADC" w:rsidRPr="00243ADC">
        <w:rPr>
          <w:rFonts w:cstheme="minorHAnsi"/>
          <w:bCs/>
          <w:iCs/>
          <w:color w:val="1F497D" w:themeColor="text2"/>
        </w:rPr>
        <w:t xml:space="preserve"> items that might be expected on clinic</w:t>
      </w:r>
      <w:r w:rsidR="0047450C">
        <w:rPr>
          <w:rFonts w:cstheme="minorHAnsi"/>
          <w:bCs/>
          <w:iCs/>
          <w:color w:val="1F497D" w:themeColor="text2"/>
        </w:rPr>
        <w:t xml:space="preserve">al grounds to correlate with 30 </w:t>
      </w:r>
      <w:r w:rsidR="00243ADC" w:rsidRPr="00243ADC">
        <w:rPr>
          <w:rFonts w:cstheme="minorHAnsi"/>
          <w:bCs/>
          <w:iCs/>
          <w:color w:val="1F497D" w:themeColor="text2"/>
        </w:rPr>
        <w:t>day readmission risk, and that would be unlikely to change between the day of hospital discharge and the day of the first MDS ass</w:t>
      </w:r>
      <w:r w:rsidR="0047450C">
        <w:rPr>
          <w:rFonts w:cstheme="minorHAnsi"/>
          <w:bCs/>
          <w:iCs/>
          <w:color w:val="1F497D" w:themeColor="text2"/>
        </w:rPr>
        <w:t>essment – which takes place by d</w:t>
      </w:r>
      <w:r w:rsidR="00243ADC" w:rsidRPr="00243ADC">
        <w:rPr>
          <w:rFonts w:cstheme="minorHAnsi"/>
          <w:bCs/>
          <w:iCs/>
          <w:color w:val="1F497D" w:themeColor="text2"/>
        </w:rPr>
        <w:t xml:space="preserve">ay 8 of the stay for all Medicare patients. Such items included demographics, chronic disease diagnoses,  treatments begun in the hospital with orders to be continued in the SNF, and functional status items that change slowly when they change at all, such as the patient’s needing two-person assistance for transferring and/or bed mobility.  These items were screened for significant univariate associations with the dependent variable (readmission to any acute care hospital directly from the SNF within 30 days of admission). This process yielded 39 candidate variables. A logistic regression formula was then estimated utilizing the 39 candidates; this was progressively refined into one that utilized 33 independent variables. The six remaining ones – PTSD, transfusions, tuberculosis, continuing radiation therapy, continuing ventilator status, and continuing suction did not add explained variance if added to a model that already included the 33 actually used.  With the exception of ventilator status and suction, the variables all had relatively low prevalence in the model-building sample. Ventilator status and suction were strongly associated with tracheostomy care, so it was not surprising that only one of the </w:t>
      </w:r>
      <w:r w:rsidR="00243ADC" w:rsidRPr="00243ADC">
        <w:rPr>
          <w:rFonts w:cstheme="minorHAnsi"/>
          <w:bCs/>
          <w:iCs/>
          <w:color w:val="1F497D" w:themeColor="text2"/>
        </w:rPr>
        <w:lastRenderedPageBreak/>
        <w:t xml:space="preserve">three variables was significant in the multivariate model that we ultimately selected for risk </w:t>
      </w:r>
      <w:r w:rsidR="00243ADC">
        <w:rPr>
          <w:rFonts w:cstheme="minorHAnsi"/>
          <w:bCs/>
          <w:iCs/>
          <w:color w:val="1F497D" w:themeColor="text2"/>
        </w:rPr>
        <w:t>adjustment of readmission rates.</w:t>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243ADC">
        <w:rPr>
          <w:rFonts w:cstheme="minorHAnsi"/>
          <w:b/>
          <w:bCs/>
          <w:i/>
        </w:rPr>
        <w:t>If</w:t>
      </w:r>
      <w:r w:rsidR="00743E46" w:rsidRPr="00243ADC">
        <w:rPr>
          <w:rFonts w:cstheme="minorHAnsi"/>
          <w:b/>
          <w:bCs/>
          <w:i/>
        </w:rPr>
        <w:t xml:space="preserve"> stratified, skip to </w:t>
      </w:r>
      <w:hyperlink w:anchor="question2b49" w:history="1">
        <w:r w:rsidR="00743E46" w:rsidRPr="00243ADC">
          <w:rPr>
            <w:rStyle w:val="Hyperlink"/>
            <w:rFonts w:cstheme="minorHAnsi"/>
            <w:b/>
            <w:bCs/>
            <w:i/>
          </w:rPr>
          <w:t>2b4.9</w:t>
        </w:r>
      </w:hyperlink>
    </w:p>
    <w:p w:rsidR="00743E46" w:rsidRDefault="00743E46" w:rsidP="00092566">
      <w:pPr>
        <w:autoSpaceDE w:val="0"/>
        <w:autoSpaceDN w:val="0"/>
        <w:adjustRightInd w:val="0"/>
        <w:spacing w:after="0" w:line="240" w:lineRule="auto"/>
        <w:rPr>
          <w:rFonts w:cstheme="minorHAnsi"/>
          <w:b/>
          <w:bCs/>
        </w:rPr>
      </w:pPr>
    </w:p>
    <w:p w:rsidR="004967FB"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rsidR="004967FB" w:rsidRPr="004967FB" w:rsidRDefault="0047450C" w:rsidP="004967FB">
      <w:pPr>
        <w:rPr>
          <w:rFonts w:cstheme="minorHAnsi"/>
          <w:bCs/>
          <w:iCs/>
          <w:color w:val="1F497D" w:themeColor="text2"/>
        </w:rPr>
      </w:pPr>
      <w:r>
        <w:rPr>
          <w:rFonts w:cstheme="minorHAnsi"/>
          <w:bCs/>
          <w:iCs/>
          <w:color w:val="1F497D" w:themeColor="text2"/>
        </w:rPr>
        <w:t>The c-</w:t>
      </w:r>
      <w:r w:rsidR="004967FB" w:rsidRPr="004967FB">
        <w:rPr>
          <w:rFonts w:cstheme="minorHAnsi"/>
          <w:bCs/>
          <w:iCs/>
          <w:color w:val="1F497D" w:themeColor="text2"/>
        </w:rPr>
        <w:t xml:space="preserve">statistic of the </w:t>
      </w:r>
      <w:r w:rsidR="004967FB">
        <w:rPr>
          <w:rFonts w:cstheme="minorHAnsi"/>
          <w:bCs/>
          <w:iCs/>
          <w:color w:val="1F497D" w:themeColor="text2"/>
        </w:rPr>
        <w:t>OnPoint-30</w:t>
      </w:r>
      <w:r w:rsidR="004967FB" w:rsidRPr="004967FB">
        <w:rPr>
          <w:rFonts w:cstheme="minorHAnsi"/>
          <w:bCs/>
          <w:iCs/>
          <w:color w:val="1F497D" w:themeColor="text2"/>
        </w:rPr>
        <w:t xml:space="preserve"> model is 0.669 with a 95% confidence interval (0:6666</w:t>
      </w:r>
      <w:r w:rsidR="004967FB">
        <w:rPr>
          <w:rFonts w:cstheme="minorHAnsi"/>
          <w:bCs/>
          <w:iCs/>
          <w:color w:val="1F497D" w:themeColor="text2"/>
        </w:rPr>
        <w:t>-</w:t>
      </w:r>
      <w:r w:rsidR="004967FB" w:rsidRPr="004967FB">
        <w:rPr>
          <w:rFonts w:cstheme="minorHAnsi"/>
          <w:bCs/>
          <w:iCs/>
          <w:color w:val="1F497D" w:themeColor="text2"/>
        </w:rPr>
        <w:t>0:6851). This means that there is 67% probability that a case (i.e. a person who gets</w:t>
      </w:r>
      <w:r w:rsidR="004967FB">
        <w:rPr>
          <w:rFonts w:cstheme="minorHAnsi"/>
          <w:bCs/>
          <w:iCs/>
          <w:color w:val="1F497D" w:themeColor="text2"/>
        </w:rPr>
        <w:t xml:space="preserve"> </w:t>
      </w:r>
      <w:r w:rsidR="004967FB" w:rsidRPr="004967FB">
        <w:rPr>
          <w:rFonts w:cstheme="minorHAnsi"/>
          <w:bCs/>
          <w:iCs/>
          <w:color w:val="1F497D" w:themeColor="text2"/>
        </w:rPr>
        <w:t>rehospitalized) has higher predicted ri</w:t>
      </w:r>
      <w:r w:rsidR="004967FB">
        <w:rPr>
          <w:rFonts w:cstheme="minorHAnsi"/>
          <w:bCs/>
          <w:iCs/>
          <w:color w:val="1F497D" w:themeColor="text2"/>
        </w:rPr>
        <w:t>sk (i.e. higher estimated logit</w:t>
      </w:r>
      <w:r w:rsidR="004967FB" w:rsidRPr="004967FB">
        <w:rPr>
          <w:rFonts w:cstheme="minorHAnsi"/>
          <w:bCs/>
          <w:iCs/>
          <w:color w:val="1F497D" w:themeColor="text2"/>
        </w:rPr>
        <w:t>) than a non-case.</w:t>
      </w:r>
    </w:p>
    <w:p w:rsidR="00001D73" w:rsidRDefault="004967FB" w:rsidP="004967FB">
      <w:pPr>
        <w:rPr>
          <w:rFonts w:cstheme="minorHAnsi"/>
          <w:b/>
          <w:bCs/>
        </w:rPr>
      </w:pPr>
      <w:r>
        <w:rPr>
          <w:rFonts w:ascii="Calibri" w:eastAsia="Times New Roman" w:hAnsi="Calibri"/>
        </w:rPr>
        <w:t> </w:t>
      </w:r>
      <w:r w:rsidR="00743E46">
        <w:rPr>
          <w:rFonts w:cstheme="minorHAnsi"/>
          <w:b/>
          <w:bCs/>
        </w:rPr>
        <w:t>2b4.7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F30FB">
        <w:rPr>
          <w:rFonts w:cstheme="minorHAnsi"/>
          <w:bCs/>
        </w:rPr>
        <w:br/>
      </w:r>
      <w:r w:rsidRPr="004967FB">
        <w:rPr>
          <w:rFonts w:cstheme="minorHAnsi"/>
          <w:bCs/>
          <w:iCs/>
          <w:color w:val="1F497D" w:themeColor="text2"/>
        </w:rPr>
        <w:t>The p-value of the Hos</w:t>
      </w:r>
      <w:r>
        <w:rPr>
          <w:rFonts w:cstheme="minorHAnsi"/>
          <w:bCs/>
          <w:iCs/>
          <w:color w:val="1F497D" w:themeColor="text2"/>
        </w:rPr>
        <w:t>mer-Lemeshow statistic for the OnPoint</w:t>
      </w:r>
      <w:r w:rsidRPr="004967FB">
        <w:rPr>
          <w:rFonts w:cstheme="minorHAnsi"/>
          <w:bCs/>
          <w:iCs/>
          <w:color w:val="1F497D" w:themeColor="text2"/>
        </w:rPr>
        <w:t>-30 model at the facility level is 0.85, so we accept the hypothesis of no discrepancy between Observed-Expected proportions, concluding that the logistic model is a good fit (well calibrated).</w:t>
      </w:r>
    </w:p>
    <w:p w:rsidR="00743E46" w:rsidRPr="003A6486" w:rsidRDefault="00743E46" w:rsidP="00092566">
      <w:pPr>
        <w:autoSpaceDE w:val="0"/>
        <w:autoSpaceDN w:val="0"/>
        <w:adjustRightInd w:val="0"/>
        <w:spacing w:after="0" w:line="240" w:lineRule="auto"/>
        <w:rPr>
          <w:rFonts w:cstheme="minorHAnsi"/>
          <w:color w:val="1F497D" w:themeColor="text2"/>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753D24" w:rsidRPr="003A6486">
        <w:rPr>
          <w:rFonts w:cstheme="minorHAnsi"/>
          <w:color w:val="1F497D" w:themeColor="text2"/>
        </w:rPr>
        <w:t xml:space="preserve">We grouped each facility into </w:t>
      </w:r>
      <w:r w:rsidR="00F11848" w:rsidRPr="003A6486">
        <w:rPr>
          <w:rFonts w:cstheme="minorHAnsi"/>
          <w:color w:val="1F497D" w:themeColor="text2"/>
        </w:rPr>
        <w:t xml:space="preserve">risk </w:t>
      </w:r>
      <w:r w:rsidR="00753D24" w:rsidRPr="003A6486">
        <w:rPr>
          <w:rFonts w:cstheme="minorHAnsi"/>
          <w:color w:val="1F497D" w:themeColor="text2"/>
        </w:rPr>
        <w:t xml:space="preserve">deciles based on their risk adjusted expected rehospitalization rate and then calculated the actual rate for each decile group. The “box and </w:t>
      </w:r>
      <w:r w:rsidR="00F11848" w:rsidRPr="003A6486">
        <w:rPr>
          <w:rFonts w:cstheme="minorHAnsi"/>
          <w:color w:val="1F497D" w:themeColor="text2"/>
        </w:rPr>
        <w:t>whisker</w:t>
      </w:r>
      <w:r w:rsidR="00753D24" w:rsidRPr="003A6486">
        <w:rPr>
          <w:rFonts w:cstheme="minorHAnsi"/>
          <w:color w:val="1F497D" w:themeColor="text2"/>
        </w:rPr>
        <w:t>” plot is shown in th</w:t>
      </w:r>
      <w:r w:rsidR="00F11848" w:rsidRPr="003A6486">
        <w:rPr>
          <w:rFonts w:cstheme="minorHAnsi"/>
          <w:color w:val="1F497D" w:themeColor="text2"/>
        </w:rPr>
        <w:t xml:space="preserve">e figure below. As expected, the average actual rehospitalization rate increases steadily for each decile increase in expected rehospitalization indicating good calibration. </w:t>
      </w:r>
    </w:p>
    <w:p w:rsidR="00753D24" w:rsidRPr="003A6486" w:rsidRDefault="00753D24" w:rsidP="00092566">
      <w:pPr>
        <w:autoSpaceDE w:val="0"/>
        <w:autoSpaceDN w:val="0"/>
        <w:adjustRightInd w:val="0"/>
        <w:spacing w:after="0" w:line="240" w:lineRule="auto"/>
        <w:rPr>
          <w:rFonts w:cstheme="minorHAnsi"/>
          <w:color w:val="1F497D" w:themeColor="text2"/>
        </w:rPr>
      </w:pPr>
    </w:p>
    <w:p w:rsidR="00753D24" w:rsidRPr="00924568" w:rsidRDefault="003A6486" w:rsidP="00092566">
      <w:pPr>
        <w:autoSpaceDE w:val="0"/>
        <w:autoSpaceDN w:val="0"/>
        <w:adjustRightInd w:val="0"/>
        <w:spacing w:after="0" w:line="240" w:lineRule="auto"/>
        <w:rPr>
          <w:rFonts w:cstheme="minorHAnsi"/>
          <w:b/>
          <w:color w:val="1F497D" w:themeColor="text2"/>
        </w:rPr>
      </w:pPr>
      <w:r w:rsidRPr="00924568">
        <w:rPr>
          <w:rFonts w:cstheme="minorHAnsi"/>
          <w:b/>
          <w:color w:val="1F497D" w:themeColor="text2"/>
        </w:rPr>
        <w:t>F</w:t>
      </w:r>
      <w:r w:rsidR="00924568" w:rsidRPr="00924568">
        <w:rPr>
          <w:rFonts w:cstheme="minorHAnsi"/>
          <w:b/>
          <w:color w:val="1F497D" w:themeColor="text2"/>
        </w:rPr>
        <w:t>IGURE 3</w:t>
      </w:r>
      <w:r w:rsidRPr="00924568">
        <w:rPr>
          <w:rFonts w:cstheme="minorHAnsi"/>
          <w:b/>
          <w:color w:val="1F497D" w:themeColor="text2"/>
        </w:rPr>
        <w:t>. CALIBRATION CURVE OF EXPECTED TO OBSERVED RATE</w:t>
      </w:r>
    </w:p>
    <w:p w:rsidR="00753D24" w:rsidRDefault="0047450C" w:rsidP="00092566">
      <w:pPr>
        <w:autoSpaceDE w:val="0"/>
        <w:autoSpaceDN w:val="0"/>
        <w:adjustRightInd w:val="0"/>
        <w:spacing w:after="0" w:line="240" w:lineRule="auto"/>
        <w:rPr>
          <w:rFonts w:cstheme="minorHAnsi"/>
          <w:b/>
        </w:rPr>
      </w:pPr>
      <w:r>
        <w:rPr>
          <w:noProof/>
        </w:rPr>
        <w:drawing>
          <wp:anchor distT="0" distB="0" distL="114300" distR="114300" simplePos="0" relativeHeight="251658240" behindDoc="1" locked="0" layoutInCell="1" allowOverlap="1" wp14:anchorId="098A33F9" wp14:editId="15F8987F">
            <wp:simplePos x="0" y="0"/>
            <wp:positionH relativeFrom="column">
              <wp:posOffset>237490</wp:posOffset>
            </wp:positionH>
            <wp:positionV relativeFrom="paragraph">
              <wp:posOffset>36195</wp:posOffset>
            </wp:positionV>
            <wp:extent cx="4095115" cy="3071495"/>
            <wp:effectExtent l="0" t="0" r="635" b="0"/>
            <wp:wrapTight wrapText="bothSides">
              <wp:wrapPolygon edited="0">
                <wp:start x="0" y="0"/>
                <wp:lineTo x="0" y="21435"/>
                <wp:lineTo x="21503" y="21435"/>
                <wp:lineTo x="21503" y="0"/>
                <wp:lineTo x="0" y="0"/>
              </wp:wrapPolygon>
            </wp:wrapTight>
            <wp:docPr id="3" name="Picture 2" descr="img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img0.png"/>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095115" cy="3071495"/>
                    </a:xfrm>
                    <a:prstGeom prst="rect">
                      <a:avLst/>
                    </a:prstGeom>
                    <a:noFill/>
                    <a:extLst/>
                  </pic:spPr>
                </pic:pic>
              </a:graphicData>
            </a:graphic>
            <wp14:sizeRelH relativeFrom="page">
              <wp14:pctWidth>0</wp14:pctWidth>
            </wp14:sizeRelH>
            <wp14:sizeRelV relativeFrom="page">
              <wp14:pctHeight>0</wp14:pctHeight>
            </wp14:sizeRelV>
          </wp:anchor>
        </w:drawing>
      </w:r>
    </w:p>
    <w:p w:rsidR="0047450C" w:rsidRDefault="0047450C" w:rsidP="00092566">
      <w:pPr>
        <w:autoSpaceDE w:val="0"/>
        <w:autoSpaceDN w:val="0"/>
        <w:adjustRightInd w:val="0"/>
        <w:spacing w:after="0" w:line="240" w:lineRule="auto"/>
        <w:rPr>
          <w:rFonts w:cstheme="minorHAnsi"/>
          <w:b/>
        </w:rPr>
      </w:pPr>
      <w:bookmarkStart w:id="14" w:name="question2b49"/>
      <w:bookmarkEnd w:id="14"/>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47450C" w:rsidRDefault="0047450C" w:rsidP="00092566">
      <w:pPr>
        <w:autoSpaceDE w:val="0"/>
        <w:autoSpaceDN w:val="0"/>
        <w:adjustRightInd w:val="0"/>
        <w:spacing w:after="0" w:line="240" w:lineRule="auto"/>
        <w:rPr>
          <w:rFonts w:cstheme="minorHAnsi"/>
          <w:b/>
        </w:rPr>
      </w:pPr>
    </w:p>
    <w:p w:rsidR="00B75500" w:rsidRDefault="00B75500" w:rsidP="00092566">
      <w:pPr>
        <w:autoSpaceDE w:val="0"/>
        <w:autoSpaceDN w:val="0"/>
        <w:adjustRightInd w:val="0"/>
        <w:spacing w:after="0" w:line="240" w:lineRule="auto"/>
        <w:rPr>
          <w:rFonts w:cstheme="minorHAnsi"/>
          <w:b/>
        </w:rPr>
      </w:pPr>
    </w:p>
    <w:p w:rsidR="00B75500" w:rsidRDefault="00B75500" w:rsidP="00092566">
      <w:pPr>
        <w:autoSpaceDE w:val="0"/>
        <w:autoSpaceDN w:val="0"/>
        <w:adjustRightInd w:val="0"/>
        <w:spacing w:after="0" w:line="240" w:lineRule="auto"/>
        <w:rPr>
          <w:rFonts w:cstheme="minorHAnsi"/>
          <w:b/>
        </w:rPr>
      </w:pPr>
    </w:p>
    <w:p w:rsidR="00B75500" w:rsidRDefault="00B75500" w:rsidP="00092566">
      <w:pPr>
        <w:autoSpaceDE w:val="0"/>
        <w:autoSpaceDN w:val="0"/>
        <w:adjustRightInd w:val="0"/>
        <w:spacing w:after="0" w:line="240" w:lineRule="auto"/>
        <w:rPr>
          <w:rFonts w:cstheme="minorHAnsi"/>
          <w:b/>
        </w:rPr>
      </w:pPr>
    </w:p>
    <w:p w:rsidR="00092566" w:rsidRDefault="00743E46" w:rsidP="00092566">
      <w:pPr>
        <w:autoSpaceDE w:val="0"/>
        <w:autoSpaceDN w:val="0"/>
        <w:adjustRightInd w:val="0"/>
        <w:spacing w:after="0" w:line="240" w:lineRule="auto"/>
        <w:rPr>
          <w:rFonts w:cstheme="minorHAnsi"/>
          <w:bCs/>
        </w:rPr>
      </w:pPr>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D649B" w:rsidRPr="00243ADC" w:rsidRDefault="00AF597A" w:rsidP="000D649B">
      <w:pPr>
        <w:rPr>
          <w:rFonts w:cstheme="minorHAnsi"/>
          <w:bCs/>
          <w:iCs/>
          <w:color w:val="1F497D" w:themeColor="text2"/>
        </w:rPr>
      </w:pPr>
      <w:r w:rsidRPr="00243ADC">
        <w:rPr>
          <w:rFonts w:cstheme="minorHAnsi"/>
          <w:bCs/>
          <w:iCs/>
          <w:color w:val="1F497D" w:themeColor="text2"/>
        </w:rPr>
        <w:t>N/A</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r w:rsidR="00AF597A" w:rsidRPr="00243ADC">
        <w:rPr>
          <w:rFonts w:cstheme="minorHAnsi"/>
          <w:bCs/>
          <w:iCs/>
          <w:color w:val="1F497D" w:themeColor="text2"/>
        </w:rPr>
        <w:t>N/A</w:t>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243ADC">
        <w:rPr>
          <w:rFonts w:cstheme="minorHAnsi"/>
          <w:b/>
        </w:rPr>
        <w:t>2b4.11.</w:t>
      </w:r>
      <w:r w:rsidRPr="00243ADC">
        <w:rPr>
          <w:rFonts w:cstheme="minorHAnsi"/>
        </w:rPr>
        <w:t xml:space="preserve"> </w:t>
      </w:r>
      <w:r w:rsidR="00092566" w:rsidRPr="00243ADC">
        <w:rPr>
          <w:rFonts w:cstheme="minorHAnsi"/>
          <w:b/>
        </w:rPr>
        <w:t>Optional</w:t>
      </w:r>
      <w:r w:rsidRPr="00243ADC">
        <w:rPr>
          <w:rFonts w:cstheme="minorHAnsi"/>
          <w:b/>
        </w:rPr>
        <w:t xml:space="preserve"> Additional Testing</w:t>
      </w:r>
      <w:r w:rsidR="004756E1" w:rsidRPr="00243ADC">
        <w:rPr>
          <w:rFonts w:cstheme="minorHAnsi"/>
          <w:b/>
        </w:rPr>
        <w:t xml:space="preserve"> for Risk Adjustment</w:t>
      </w:r>
      <w:r w:rsidR="00092566" w:rsidRPr="00243ADC">
        <w:rPr>
          <w:rFonts w:cstheme="minorHAnsi"/>
          <w:b/>
        </w:rPr>
        <w:t xml:space="preserve"> </w:t>
      </w:r>
      <w:r w:rsidR="00092566" w:rsidRPr="00243ADC">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Pr="00243ADC" w:rsidRDefault="00AF597A" w:rsidP="00D61410">
      <w:pPr>
        <w:autoSpaceDE w:val="0"/>
        <w:autoSpaceDN w:val="0"/>
        <w:adjustRightInd w:val="0"/>
        <w:spacing w:after="0" w:line="240" w:lineRule="auto"/>
        <w:rPr>
          <w:rFonts w:cstheme="minorHAnsi"/>
          <w:bCs/>
          <w:iCs/>
          <w:color w:val="1F497D" w:themeColor="text2"/>
        </w:rPr>
      </w:pPr>
      <w:r w:rsidRPr="00243ADC">
        <w:rPr>
          <w:rFonts w:cstheme="minorHAnsi"/>
          <w:bCs/>
          <w:iCs/>
          <w:color w:val="1F497D" w:themeColor="text2"/>
        </w:rPr>
        <w:t>N/A</w:t>
      </w:r>
    </w:p>
    <w:p w:rsidR="00D61410" w:rsidRPr="00243ADC" w:rsidRDefault="00D61410" w:rsidP="00D61410">
      <w:pPr>
        <w:autoSpaceDE w:val="0"/>
        <w:autoSpaceDN w:val="0"/>
        <w:adjustRightInd w:val="0"/>
        <w:spacing w:after="0" w:line="240" w:lineRule="auto"/>
        <w:rPr>
          <w:rFonts w:cstheme="minorHAnsi"/>
          <w:bCs/>
          <w:iCs/>
          <w:color w:val="1F497D" w:themeColor="text2"/>
        </w:rPr>
      </w:pPr>
      <w:r w:rsidRPr="00243ADC">
        <w:rPr>
          <w:rFonts w:cstheme="minorHAnsi"/>
          <w:bCs/>
          <w:iCs/>
          <w:color w:val="1F497D" w:themeColor="text2"/>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5" w:name="section2b5"/>
      <w:bookmarkEnd w:id="15"/>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F11848" w:rsidRPr="003A6486" w:rsidRDefault="00F11848" w:rsidP="00D61410">
      <w:pPr>
        <w:autoSpaceDE w:val="0"/>
        <w:autoSpaceDN w:val="0"/>
        <w:adjustRightInd w:val="0"/>
        <w:spacing w:after="0" w:line="240" w:lineRule="auto"/>
        <w:rPr>
          <w:rFonts w:cstheme="minorHAnsi"/>
          <w:bCs/>
          <w:color w:val="1F497D" w:themeColor="text2"/>
        </w:rPr>
      </w:pPr>
      <w:r w:rsidRPr="003A6486">
        <w:rPr>
          <w:rFonts w:cstheme="minorHAnsi"/>
          <w:bCs/>
          <w:color w:val="1F497D" w:themeColor="text2"/>
        </w:rPr>
        <w:t xml:space="preserve">As shown in response to 2b3, the change in score across </w:t>
      </w:r>
      <w:r w:rsidR="001665A7" w:rsidRPr="003A6486">
        <w:rPr>
          <w:rFonts w:cstheme="minorHAnsi"/>
          <w:bCs/>
          <w:color w:val="1F497D" w:themeColor="text2"/>
        </w:rPr>
        <w:t xml:space="preserve">1 quarter measured at three different quarters (Q1 to Q2; Q2 to Q3 and Q3 to Q4) were essentially the same size in magnitude for sample sizes greater than 30 but were much higher for sample sizes less than 30.  </w:t>
      </w:r>
    </w:p>
    <w:p w:rsidR="001665A7" w:rsidRPr="003A6486" w:rsidRDefault="001665A7" w:rsidP="00D61410">
      <w:pPr>
        <w:autoSpaceDE w:val="0"/>
        <w:autoSpaceDN w:val="0"/>
        <w:adjustRightInd w:val="0"/>
        <w:spacing w:after="0" w:line="240" w:lineRule="auto"/>
        <w:rPr>
          <w:rFonts w:cstheme="minorHAnsi"/>
          <w:bCs/>
          <w:color w:val="1F497D" w:themeColor="text2"/>
        </w:rPr>
      </w:pPr>
    </w:p>
    <w:p w:rsidR="001665A7" w:rsidRPr="003A6486" w:rsidRDefault="001665A7" w:rsidP="00D61410">
      <w:pPr>
        <w:autoSpaceDE w:val="0"/>
        <w:autoSpaceDN w:val="0"/>
        <w:adjustRightInd w:val="0"/>
        <w:spacing w:after="0" w:line="240" w:lineRule="auto"/>
        <w:rPr>
          <w:rFonts w:cstheme="minorHAnsi"/>
          <w:bCs/>
          <w:color w:val="1F497D" w:themeColor="text2"/>
        </w:rPr>
      </w:pPr>
      <w:r w:rsidRPr="003A6486">
        <w:rPr>
          <w:rFonts w:cstheme="minorHAnsi"/>
          <w:bCs/>
          <w:color w:val="1F497D" w:themeColor="text2"/>
        </w:rPr>
        <w:t xml:space="preserve">No tests of a clinically meaningful difference between providers or between observation periods were performed. The AHCA has set based on clinical input from membership and past experience that </w:t>
      </w:r>
      <w:r w:rsidR="0047450C" w:rsidRPr="003A6486">
        <w:rPr>
          <w:rFonts w:cstheme="minorHAnsi"/>
          <w:bCs/>
          <w:color w:val="1F497D" w:themeColor="text2"/>
        </w:rPr>
        <w:t>an</w:t>
      </w:r>
      <w:r w:rsidRPr="003A6486">
        <w:rPr>
          <w:rFonts w:cstheme="minorHAnsi"/>
          <w:bCs/>
          <w:color w:val="1F497D" w:themeColor="text2"/>
        </w:rPr>
        <w:t xml:space="preserve"> improvement of 15% be considered clinically meaningful as part of AHCA’s quality initiative. </w:t>
      </w:r>
      <w:r w:rsidR="007B21C6" w:rsidRPr="003A6486">
        <w:rPr>
          <w:rFonts w:cstheme="minorHAnsi"/>
          <w:bCs/>
          <w:color w:val="1F497D" w:themeColor="text2"/>
        </w:rPr>
        <w:t xml:space="preserve">Comparing facilities who are </w:t>
      </w:r>
      <w:r w:rsidR="00B05821" w:rsidRPr="003A6486">
        <w:rPr>
          <w:rFonts w:cstheme="minorHAnsi"/>
          <w:bCs/>
          <w:color w:val="1F497D" w:themeColor="text2"/>
        </w:rPr>
        <w:t>AH</w:t>
      </w:r>
      <w:r w:rsidR="00B05821">
        <w:rPr>
          <w:rFonts w:cstheme="minorHAnsi"/>
          <w:bCs/>
          <w:color w:val="1F497D" w:themeColor="text2"/>
        </w:rPr>
        <w:t>C</w:t>
      </w:r>
      <w:r w:rsidR="00B05821" w:rsidRPr="003A6486">
        <w:rPr>
          <w:rFonts w:cstheme="minorHAnsi"/>
          <w:bCs/>
          <w:color w:val="1F497D" w:themeColor="text2"/>
        </w:rPr>
        <w:t>A</w:t>
      </w:r>
      <w:r w:rsidR="007B21C6" w:rsidRPr="003A6486">
        <w:rPr>
          <w:rFonts w:cstheme="minorHAnsi"/>
          <w:bCs/>
          <w:color w:val="1F497D" w:themeColor="text2"/>
        </w:rPr>
        <w:t xml:space="preserve"> members’ rates from 2011 quarter 4 to 2013 quarter 2013 31.5% (2128 out of 6764) with reportable data achieved a 15% reduction in their rehospitalization rate. </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000F30FB">
        <w:rPr>
          <w:rFonts w:cstheme="minorHAnsi"/>
          <w:bCs/>
        </w:rPr>
        <w:t>)</w:t>
      </w:r>
    </w:p>
    <w:p w:rsidR="001665A7" w:rsidRPr="003A6486" w:rsidRDefault="001665A7" w:rsidP="00D61410">
      <w:pPr>
        <w:autoSpaceDE w:val="0"/>
        <w:autoSpaceDN w:val="0"/>
        <w:adjustRightInd w:val="0"/>
        <w:spacing w:after="0" w:line="240" w:lineRule="auto"/>
        <w:rPr>
          <w:rFonts w:cstheme="minorHAnsi"/>
          <w:bCs/>
          <w:color w:val="1F497D" w:themeColor="text2"/>
        </w:rPr>
      </w:pPr>
      <w:r w:rsidRPr="003A6486">
        <w:rPr>
          <w:rFonts w:cstheme="minorHAnsi"/>
          <w:bCs/>
          <w:color w:val="1F497D" w:themeColor="text2"/>
        </w:rPr>
        <w:t>None performed</w:t>
      </w:r>
    </w:p>
    <w:p w:rsidR="00D61410" w:rsidRPr="00927027" w:rsidRDefault="00D61410" w:rsidP="00D61410">
      <w:pPr>
        <w:autoSpaceDE w:val="0"/>
        <w:autoSpaceDN w:val="0"/>
        <w:adjustRightInd w:val="0"/>
        <w:spacing w:after="0" w:line="240" w:lineRule="auto"/>
        <w:rPr>
          <w:rFonts w:cstheme="minorHAnsi"/>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lastRenderedPageBreak/>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r>
      <w:r w:rsidR="00243ADC" w:rsidRPr="00243ADC">
        <w:rPr>
          <w:rFonts w:cstheme="minorHAnsi"/>
          <w:bCs/>
          <w:color w:val="1F497D" w:themeColor="text2"/>
        </w:rPr>
        <w:t>N/A</w:t>
      </w:r>
      <w:r w:rsidR="000F06B5" w:rsidRPr="00243ADC">
        <w:rPr>
          <w:rFonts w:cstheme="minorHAnsi"/>
          <w:bCs/>
          <w:color w:val="1F497D" w:themeColor="text2"/>
        </w:rP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243ADC" w:rsidRPr="00243ADC">
        <w:rPr>
          <w:rFonts w:cstheme="minorHAnsi"/>
          <w:bCs/>
          <w:color w:val="1F497D" w:themeColor="text2"/>
        </w:rPr>
        <w:t>N/A</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243ADC" w:rsidRPr="00243ADC">
        <w:rPr>
          <w:rFonts w:cstheme="minorHAnsi"/>
          <w:bCs/>
          <w:color w:val="1F497D" w:themeColor="text2"/>
        </w:rPr>
        <w:t>N/A</w:t>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2459BD" w:rsidRDefault="008F7E67" w:rsidP="002459BD">
      <w:pPr>
        <w:spacing w:after="0"/>
        <w:rPr>
          <w:color w:val="1F497D" w:themeColor="text2"/>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w:t>
      </w:r>
      <w:r w:rsidR="0047450C" w:rsidRPr="003A6486">
        <w:rPr>
          <w:rFonts w:cstheme="minorHAnsi"/>
          <w:bCs/>
          <w:color w:val="1F497D" w:themeColor="text2"/>
        </w:rPr>
        <w:t>(</w:t>
      </w:r>
      <w:r w:rsidR="0047450C" w:rsidRPr="0047450C">
        <w:rPr>
          <w:rFonts w:cstheme="minorHAnsi"/>
          <w:bCs/>
          <w:i/>
        </w:rPr>
        <w:t>describe the steps―do not just name a method; what statistical analysis was used</w:t>
      </w:r>
      <w:r w:rsidR="0047450C" w:rsidRPr="0047450C">
        <w:rPr>
          <w:rFonts w:cstheme="minorHAnsi"/>
          <w:bCs/>
        </w:rPr>
        <w:t>)</w:t>
      </w:r>
      <w:r w:rsidR="0047450C" w:rsidRPr="0047450C">
        <w:rPr>
          <w:rFonts w:cstheme="minorHAnsi"/>
          <w:bCs/>
        </w:rPr>
        <w:br/>
      </w:r>
      <w:r w:rsidR="00FA20B9" w:rsidRPr="003A6486">
        <w:rPr>
          <w:color w:val="1F497D" w:themeColor="text2"/>
        </w:rPr>
        <w:t xml:space="preserve">We determined the amount of missing data in the MDS 3.0 used to determine the numerator. If an MDS discharge assessment is not completed for individuals discharged a </w:t>
      </w:r>
      <w:r w:rsidR="006A09F6" w:rsidRPr="003A6486">
        <w:rPr>
          <w:color w:val="1F497D" w:themeColor="text2"/>
        </w:rPr>
        <w:t xml:space="preserve">facility’s </w:t>
      </w:r>
      <w:r w:rsidR="00FA20B9" w:rsidRPr="003A6486">
        <w:rPr>
          <w:color w:val="1F497D" w:themeColor="text2"/>
        </w:rPr>
        <w:t xml:space="preserve">rates could be biased due to missing data. We specifically calculated the proportion of </w:t>
      </w:r>
      <w:r w:rsidR="002459BD">
        <w:rPr>
          <w:color w:val="1F497D" w:themeColor="text2"/>
        </w:rPr>
        <w:t>SNF</w:t>
      </w:r>
      <w:r w:rsidR="00FA20B9" w:rsidRPr="003A6486">
        <w:rPr>
          <w:color w:val="1F497D" w:themeColor="text2"/>
        </w:rPr>
        <w:t xml:space="preserve"> admissions with missing discharge data.</w:t>
      </w:r>
    </w:p>
    <w:p w:rsidR="002459BD" w:rsidRDefault="00FA20B9" w:rsidP="002459BD">
      <w:pPr>
        <w:spacing w:after="0"/>
        <w:rPr>
          <w:color w:val="1F497D" w:themeColor="text2"/>
        </w:rPr>
      </w:pPr>
      <w:r w:rsidRPr="003A6486">
        <w:rPr>
          <w:color w:val="1F497D" w:themeColor="text2"/>
        </w:rPr>
        <w:t xml:space="preserve"> </w:t>
      </w:r>
    </w:p>
    <w:p w:rsidR="00FA20B9" w:rsidRPr="002459BD" w:rsidRDefault="00FA20B9" w:rsidP="002459BD">
      <w:pPr>
        <w:spacing w:after="0"/>
        <w:rPr>
          <w:rFonts w:ascii="Calibri" w:eastAsia="Calibri" w:hAnsi="Calibri" w:cs="Calibri"/>
          <w:color w:val="1F497D" w:themeColor="text2"/>
        </w:rPr>
      </w:pPr>
      <w:r w:rsidRPr="003A6486">
        <w:rPr>
          <w:color w:val="1F497D" w:themeColor="text2"/>
        </w:rPr>
        <w:t>This was accomplished as follows:</w:t>
      </w:r>
    </w:p>
    <w:p w:rsidR="00FA20B9" w:rsidRPr="003A6486" w:rsidRDefault="00FA20B9" w:rsidP="00FA20B9">
      <w:pPr>
        <w:numPr>
          <w:ilvl w:val="0"/>
          <w:numId w:val="27"/>
        </w:numPr>
        <w:spacing w:after="0"/>
        <w:rPr>
          <w:color w:val="1F497D" w:themeColor="text2"/>
        </w:rPr>
      </w:pPr>
      <w:r w:rsidRPr="003A6486">
        <w:rPr>
          <w:color w:val="1F497D" w:themeColor="text2"/>
        </w:rPr>
        <w:t xml:space="preserve">Identified all entries, including new admissions and re-entries. The entry date was determined using 2 variables: A1600 (entry date) and A0310F=01.  </w:t>
      </w:r>
    </w:p>
    <w:p w:rsidR="00FA20B9" w:rsidRPr="003A6486" w:rsidRDefault="00FA20B9" w:rsidP="00FA20B9">
      <w:pPr>
        <w:numPr>
          <w:ilvl w:val="0"/>
          <w:numId w:val="27"/>
        </w:numPr>
        <w:spacing w:after="0"/>
        <w:rPr>
          <w:color w:val="1F497D" w:themeColor="text2"/>
        </w:rPr>
      </w:pPr>
      <w:r w:rsidRPr="003A6486">
        <w:rPr>
          <w:color w:val="1F497D" w:themeColor="text2"/>
        </w:rPr>
        <w:t>If an entry was accompanied by an admission assessment within 14 days of the entry date it was considered a new entry.</w:t>
      </w:r>
    </w:p>
    <w:p w:rsidR="00FA20B9" w:rsidRPr="003A6486" w:rsidRDefault="00FA20B9" w:rsidP="00FA20B9">
      <w:pPr>
        <w:numPr>
          <w:ilvl w:val="0"/>
          <w:numId w:val="27"/>
        </w:numPr>
        <w:spacing w:after="0"/>
        <w:rPr>
          <w:color w:val="1F497D" w:themeColor="text2"/>
        </w:rPr>
      </w:pPr>
      <w:r w:rsidRPr="003A6486">
        <w:rPr>
          <w:color w:val="1F497D" w:themeColor="text2"/>
        </w:rPr>
        <w:t>Determined whether an entry had a discharge record:</w:t>
      </w:r>
    </w:p>
    <w:p w:rsidR="00FA20B9" w:rsidRPr="003A6486" w:rsidRDefault="00FA20B9" w:rsidP="00FA20B9">
      <w:pPr>
        <w:numPr>
          <w:ilvl w:val="0"/>
          <w:numId w:val="28"/>
        </w:numPr>
        <w:spacing w:after="0"/>
        <w:rPr>
          <w:color w:val="1F497D" w:themeColor="text2"/>
        </w:rPr>
      </w:pPr>
      <w:r w:rsidRPr="003A6486">
        <w:rPr>
          <w:color w:val="1F497D" w:themeColor="text2"/>
        </w:rPr>
        <w:t xml:space="preserve">If yes, then the entry was </w:t>
      </w:r>
      <w:r w:rsidRPr="003A6486">
        <w:rPr>
          <w:b/>
          <w:color w:val="1F497D" w:themeColor="text2"/>
        </w:rPr>
        <w:t>complete</w:t>
      </w:r>
    </w:p>
    <w:p w:rsidR="00FA20B9" w:rsidRPr="003A6486" w:rsidRDefault="00FA20B9" w:rsidP="00FA20B9">
      <w:pPr>
        <w:numPr>
          <w:ilvl w:val="0"/>
          <w:numId w:val="28"/>
        </w:numPr>
        <w:spacing w:after="0"/>
        <w:rPr>
          <w:color w:val="1F497D" w:themeColor="text2"/>
        </w:rPr>
      </w:pPr>
      <w:r w:rsidRPr="003A6486">
        <w:rPr>
          <w:color w:val="1F497D" w:themeColor="text2"/>
        </w:rPr>
        <w:t>If not, then</w:t>
      </w:r>
    </w:p>
    <w:p w:rsidR="00FA20B9" w:rsidRPr="003A6486" w:rsidRDefault="00FA20B9" w:rsidP="00FA20B9">
      <w:pPr>
        <w:numPr>
          <w:ilvl w:val="1"/>
          <w:numId w:val="28"/>
        </w:numPr>
        <w:spacing w:after="0"/>
        <w:rPr>
          <w:color w:val="1F497D" w:themeColor="text2"/>
        </w:rPr>
      </w:pPr>
      <w:r w:rsidRPr="003A6486">
        <w:rPr>
          <w:color w:val="1F497D" w:themeColor="text2"/>
        </w:rPr>
        <w:t xml:space="preserve">If there was another entry record after the index entry, then the index entry is incomplete due to  </w:t>
      </w:r>
      <w:r w:rsidRPr="003A6486">
        <w:rPr>
          <w:b/>
          <w:color w:val="1F497D" w:themeColor="text2"/>
        </w:rPr>
        <w:t>missing discharge date</w:t>
      </w:r>
    </w:p>
    <w:p w:rsidR="00FA20B9" w:rsidRPr="003A6486" w:rsidRDefault="00FA20B9" w:rsidP="00FA20B9">
      <w:pPr>
        <w:numPr>
          <w:ilvl w:val="1"/>
          <w:numId w:val="28"/>
        </w:numPr>
        <w:spacing w:after="0"/>
        <w:rPr>
          <w:color w:val="1F497D" w:themeColor="text2"/>
        </w:rPr>
      </w:pPr>
      <w:r w:rsidRPr="003A6486">
        <w:rPr>
          <w:color w:val="1F497D" w:themeColor="text2"/>
        </w:rPr>
        <w:t>If there was only one MDS entry record without any following MDS records:</w:t>
      </w:r>
    </w:p>
    <w:p w:rsidR="00FA20B9" w:rsidRPr="003A6486" w:rsidRDefault="00FA20B9" w:rsidP="00FA20B9">
      <w:pPr>
        <w:numPr>
          <w:ilvl w:val="2"/>
          <w:numId w:val="28"/>
        </w:numPr>
        <w:spacing w:after="0"/>
        <w:rPr>
          <w:color w:val="1F497D" w:themeColor="text2"/>
        </w:rPr>
      </w:pPr>
      <w:r w:rsidRPr="003A6486">
        <w:rPr>
          <w:color w:val="1F497D" w:themeColor="text2"/>
        </w:rPr>
        <w:t xml:space="preserve">If the entry date was within 14 days of 04/30/2012 (the latest date in the MDS 3.0 data received from AHCA), the reason for incompleteness could be due </w:t>
      </w:r>
      <w:r w:rsidRPr="003A6486">
        <w:rPr>
          <w:b/>
          <w:color w:val="1F497D" w:themeColor="text2"/>
        </w:rPr>
        <w:t>to data truncation;</w:t>
      </w:r>
    </w:p>
    <w:p w:rsidR="00FA20B9" w:rsidRPr="003A6486" w:rsidRDefault="00FA20B9" w:rsidP="00FA20B9">
      <w:pPr>
        <w:numPr>
          <w:ilvl w:val="2"/>
          <w:numId w:val="28"/>
        </w:numPr>
        <w:spacing w:after="0"/>
        <w:rPr>
          <w:color w:val="1F497D" w:themeColor="text2"/>
        </w:rPr>
      </w:pPr>
      <w:r w:rsidRPr="003A6486">
        <w:rPr>
          <w:color w:val="1F497D" w:themeColor="text2"/>
        </w:rPr>
        <w:t xml:space="preserve">If the entry date was a re-entry, and the date was within 120 days of 04/30/2012 (90 days would be the expected number, but an additional 30 days were added for increased tolerance), the reason of incompleteness could be due </w:t>
      </w:r>
      <w:r w:rsidRPr="003A6486">
        <w:rPr>
          <w:b/>
          <w:color w:val="1F497D" w:themeColor="text2"/>
        </w:rPr>
        <w:t>to data truncation</w:t>
      </w:r>
      <w:r w:rsidRPr="003A6486">
        <w:rPr>
          <w:color w:val="1F497D" w:themeColor="text2"/>
        </w:rPr>
        <w:t xml:space="preserve"> (re-entry does not necessarily need an admission assessment or Medicare assessment)</w:t>
      </w:r>
    </w:p>
    <w:p w:rsidR="00FA20B9" w:rsidRPr="003A6486" w:rsidRDefault="00FA20B9" w:rsidP="00FA20B9">
      <w:pPr>
        <w:numPr>
          <w:ilvl w:val="2"/>
          <w:numId w:val="28"/>
        </w:numPr>
        <w:spacing w:after="0"/>
        <w:rPr>
          <w:color w:val="1F497D" w:themeColor="text2"/>
        </w:rPr>
      </w:pPr>
      <w:r w:rsidRPr="003A6486">
        <w:rPr>
          <w:color w:val="1F497D" w:themeColor="text2"/>
        </w:rPr>
        <w:t>If not above, the single entry record is problematic, and was assigned as “</w:t>
      </w:r>
      <w:r w:rsidRPr="003A6486">
        <w:rPr>
          <w:b/>
          <w:color w:val="1F497D" w:themeColor="text2"/>
        </w:rPr>
        <w:t>only one record for an entry</w:t>
      </w:r>
      <w:r w:rsidRPr="003A6486">
        <w:rPr>
          <w:color w:val="1F497D" w:themeColor="text2"/>
        </w:rPr>
        <w:t>”</w:t>
      </w:r>
    </w:p>
    <w:p w:rsidR="00FA20B9" w:rsidRPr="003A6486" w:rsidRDefault="00FA20B9" w:rsidP="00FA20B9">
      <w:pPr>
        <w:numPr>
          <w:ilvl w:val="1"/>
          <w:numId w:val="28"/>
        </w:numPr>
        <w:spacing w:after="0"/>
        <w:rPr>
          <w:color w:val="1F497D" w:themeColor="text2"/>
        </w:rPr>
      </w:pPr>
      <w:r w:rsidRPr="003A6486">
        <w:rPr>
          <w:color w:val="1F497D" w:themeColor="text2"/>
        </w:rPr>
        <w:lastRenderedPageBreak/>
        <w:t xml:space="preserve">If the last available MDS record was within 120 days of 04/30/2012, then the incompleteness could also be due to </w:t>
      </w:r>
      <w:r w:rsidRPr="003A6486">
        <w:rPr>
          <w:b/>
          <w:color w:val="1F497D" w:themeColor="text2"/>
        </w:rPr>
        <w:t xml:space="preserve"> data truncation</w:t>
      </w:r>
    </w:p>
    <w:p w:rsidR="00FA20B9" w:rsidRPr="003A6486" w:rsidRDefault="00FA20B9" w:rsidP="00FA20B9">
      <w:pPr>
        <w:numPr>
          <w:ilvl w:val="1"/>
          <w:numId w:val="28"/>
        </w:numPr>
        <w:spacing w:after="0"/>
        <w:rPr>
          <w:color w:val="1F497D" w:themeColor="text2"/>
        </w:rPr>
      </w:pPr>
      <w:r w:rsidRPr="003A6486">
        <w:rPr>
          <w:color w:val="1F497D" w:themeColor="text2"/>
        </w:rPr>
        <w:t>If not the above type, it was assigned the reason of incompleteness as “</w:t>
      </w:r>
      <w:r w:rsidRPr="003A6486">
        <w:rPr>
          <w:b/>
          <w:color w:val="1F497D" w:themeColor="text2"/>
        </w:rPr>
        <w:t>all other incomplete</w:t>
      </w:r>
      <w:r w:rsidRPr="003A6486">
        <w:rPr>
          <w:color w:val="1F497D" w:themeColor="text2"/>
        </w:rPr>
        <w:t>”</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0F30FB">
        <w:rPr>
          <w:rFonts w:cstheme="minorHAnsi"/>
          <w:bCs/>
        </w:rPr>
        <w:t>)</w:t>
      </w:r>
    </w:p>
    <w:p w:rsidR="00695B39" w:rsidRPr="003A6486" w:rsidRDefault="00695B39" w:rsidP="00695B39">
      <w:pPr>
        <w:rPr>
          <w:color w:val="1F497D" w:themeColor="text2"/>
        </w:rPr>
      </w:pPr>
      <w:r w:rsidRPr="003A6486">
        <w:rPr>
          <w:color w:val="1F497D" w:themeColor="text2"/>
        </w:rPr>
        <w:t>Results showed that the level of completeness is high, defined as over 95% of admissions having either a discharge assessment completed or another MDS data indicating that the person stayed in the facility, in</w:t>
      </w:r>
      <w:r w:rsidR="00B15459">
        <w:rPr>
          <w:color w:val="1F497D" w:themeColor="text2"/>
        </w:rPr>
        <w:t xml:space="preserve"> most states as shown in Table 11</w:t>
      </w:r>
      <w:r w:rsidRPr="003A6486">
        <w:rPr>
          <w:color w:val="1F497D" w:themeColor="text2"/>
        </w:rPr>
        <w:t xml:space="preserve">.  Based on these results, the decision was made to exclude facilities with greater than five percent missing data from the re-hospitalization rate analyses.  In addition, facilities with between two and five percent missing data will be flagged in the reported re-hospitalization rates provided to the facility to allow them to improve their data completion rate. We also compared MDS data to claims data (see response to </w:t>
      </w:r>
      <w:r w:rsidR="00C661A2" w:rsidRPr="003A6486">
        <w:rPr>
          <w:color w:val="1F497D" w:themeColor="text2"/>
        </w:rPr>
        <w:t>2b2.3</w:t>
      </w:r>
      <w:r w:rsidRPr="003A6486">
        <w:rPr>
          <w:color w:val="1F497D" w:themeColor="text2"/>
        </w:rPr>
        <w:t>) and did not discover large amount of new cases not detected by MDS again supporting that missing data is infrequent for the majority of providers.</w:t>
      </w:r>
    </w:p>
    <w:p w:rsidR="00695B39" w:rsidRPr="00B15459" w:rsidRDefault="003A6486" w:rsidP="00695B39">
      <w:pPr>
        <w:rPr>
          <w:b/>
          <w:color w:val="1F497D" w:themeColor="text2"/>
        </w:rPr>
      </w:pPr>
      <w:r w:rsidRPr="00B15459">
        <w:rPr>
          <w:b/>
          <w:color w:val="1F497D" w:themeColor="text2"/>
        </w:rPr>
        <w:t xml:space="preserve">TABLE </w:t>
      </w:r>
      <w:r w:rsidR="00B15459" w:rsidRPr="00B15459">
        <w:rPr>
          <w:b/>
          <w:color w:val="1F497D" w:themeColor="text2"/>
        </w:rPr>
        <w:t xml:space="preserve">11.   Distribution </w:t>
      </w:r>
      <w:r w:rsidR="00B15459">
        <w:rPr>
          <w:b/>
          <w:color w:val="1F497D" w:themeColor="text2"/>
        </w:rPr>
        <w:t>of</w:t>
      </w:r>
      <w:r w:rsidR="00B15459" w:rsidRPr="00B15459">
        <w:rPr>
          <w:b/>
          <w:color w:val="1F497D" w:themeColor="text2"/>
        </w:rPr>
        <w:t xml:space="preserve"> </w:t>
      </w:r>
      <w:r w:rsidR="00B15459">
        <w:rPr>
          <w:b/>
          <w:color w:val="1F497D" w:themeColor="text2"/>
        </w:rPr>
        <w:t>MDS 3.0 Admission and Discharge Records and the Levels and Possible Types of “Missingness” b</w:t>
      </w:r>
      <w:r w:rsidR="00B15459" w:rsidRPr="00B15459">
        <w:rPr>
          <w:b/>
          <w:color w:val="1F497D" w:themeColor="text2"/>
        </w:rPr>
        <w:t>y State</w:t>
      </w:r>
    </w:p>
    <w:tbl>
      <w:tblPr>
        <w:tblStyle w:val="TableGrid"/>
        <w:tblW w:w="7435" w:type="dxa"/>
        <w:tblLook w:val="04A0" w:firstRow="1" w:lastRow="0" w:firstColumn="1" w:lastColumn="0" w:noHBand="0" w:noVBand="1"/>
      </w:tblPr>
      <w:tblGrid>
        <w:gridCol w:w="692"/>
        <w:gridCol w:w="1255"/>
        <w:gridCol w:w="1218"/>
        <w:gridCol w:w="1145"/>
        <w:gridCol w:w="1109"/>
        <w:gridCol w:w="764"/>
        <w:gridCol w:w="1252"/>
      </w:tblGrid>
      <w:tr w:rsidR="003A6486" w:rsidRPr="003A6486" w:rsidTr="00746CF7">
        <w:trPr>
          <w:trHeight w:val="46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State</w:t>
            </w:r>
          </w:p>
        </w:tc>
        <w:tc>
          <w:tcPr>
            <w:tcW w:w="1255"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N</w:t>
            </w:r>
            <w:r w:rsidR="007B3D7B">
              <w:rPr>
                <w:rFonts w:eastAsia="Times New Roman" w:cstheme="minorHAnsi"/>
                <w:b/>
                <w:color w:val="1F497D" w:themeColor="text2"/>
              </w:rPr>
              <w:t>umber of</w:t>
            </w:r>
          </w:p>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Admissions</w:t>
            </w:r>
          </w:p>
        </w:tc>
        <w:tc>
          <w:tcPr>
            <w:tcW w:w="1218" w:type="dxa"/>
            <w:hideMark/>
          </w:tcPr>
          <w:p w:rsidR="00695B39" w:rsidRPr="00B15459" w:rsidRDefault="007B3D7B" w:rsidP="007B3D7B">
            <w:pPr>
              <w:jc w:val="center"/>
              <w:rPr>
                <w:rFonts w:eastAsia="Times New Roman" w:cstheme="minorHAnsi"/>
                <w:b/>
                <w:color w:val="1F497D" w:themeColor="text2"/>
              </w:rPr>
            </w:pPr>
            <w:r>
              <w:rPr>
                <w:rFonts w:eastAsia="Times New Roman" w:cstheme="minorHAnsi"/>
                <w:b/>
                <w:color w:val="1F497D" w:themeColor="text2"/>
              </w:rPr>
              <w:t>Completed</w:t>
            </w:r>
          </w:p>
        </w:tc>
        <w:tc>
          <w:tcPr>
            <w:tcW w:w="1145" w:type="dxa"/>
            <w:hideMark/>
          </w:tcPr>
          <w:p w:rsidR="00695B39" w:rsidRPr="00B15459" w:rsidRDefault="007B3D7B" w:rsidP="00990433">
            <w:pPr>
              <w:jc w:val="center"/>
              <w:rPr>
                <w:rFonts w:eastAsia="Times New Roman" w:cstheme="minorHAnsi"/>
                <w:b/>
                <w:color w:val="1F497D" w:themeColor="text2"/>
              </w:rPr>
            </w:pPr>
            <w:r>
              <w:rPr>
                <w:rFonts w:eastAsia="Times New Roman" w:cstheme="minorHAnsi"/>
                <w:b/>
                <w:color w:val="1F497D" w:themeColor="text2"/>
              </w:rPr>
              <w:t>Data T</w:t>
            </w:r>
            <w:r w:rsidR="00695B39" w:rsidRPr="00B15459">
              <w:rPr>
                <w:rFonts w:eastAsia="Times New Roman" w:cstheme="minorHAnsi"/>
                <w:b/>
                <w:color w:val="1F497D" w:themeColor="text2"/>
              </w:rPr>
              <w:t>runcated</w:t>
            </w:r>
          </w:p>
        </w:tc>
        <w:tc>
          <w:tcPr>
            <w:tcW w:w="1109" w:type="dxa"/>
            <w:hideMark/>
          </w:tcPr>
          <w:p w:rsidR="00695B39" w:rsidRPr="00B15459" w:rsidRDefault="007B3D7B" w:rsidP="007B3D7B">
            <w:pPr>
              <w:jc w:val="center"/>
              <w:rPr>
                <w:rFonts w:eastAsia="Times New Roman" w:cstheme="minorHAnsi"/>
                <w:b/>
                <w:color w:val="1F497D" w:themeColor="text2"/>
              </w:rPr>
            </w:pPr>
            <w:r>
              <w:rPr>
                <w:rFonts w:eastAsia="Times New Roman" w:cstheme="minorHAnsi"/>
                <w:b/>
                <w:color w:val="1F497D" w:themeColor="text2"/>
              </w:rPr>
              <w:t>Missing D</w:t>
            </w:r>
            <w:r w:rsidR="00695B39" w:rsidRPr="00B15459">
              <w:rPr>
                <w:rFonts w:eastAsia="Times New Roman" w:cstheme="minorHAnsi"/>
                <w:b/>
                <w:color w:val="1F497D" w:themeColor="text2"/>
              </w:rPr>
              <w:t>ischarge</w:t>
            </w:r>
          </w:p>
        </w:tc>
        <w:tc>
          <w:tcPr>
            <w:tcW w:w="764" w:type="dxa"/>
            <w:hideMark/>
          </w:tcPr>
          <w:p w:rsidR="00695B39" w:rsidRPr="00B15459" w:rsidRDefault="007B3D7B" w:rsidP="00990433">
            <w:pPr>
              <w:jc w:val="center"/>
              <w:rPr>
                <w:rFonts w:eastAsia="Times New Roman" w:cstheme="minorHAnsi"/>
                <w:b/>
                <w:color w:val="1F497D" w:themeColor="text2"/>
              </w:rPr>
            </w:pPr>
            <w:r>
              <w:rPr>
                <w:rFonts w:eastAsia="Times New Roman" w:cstheme="minorHAnsi"/>
                <w:b/>
                <w:color w:val="1F497D" w:themeColor="text2"/>
              </w:rPr>
              <w:t>Only O</w:t>
            </w:r>
            <w:r w:rsidR="00695B39" w:rsidRPr="00B15459">
              <w:rPr>
                <w:rFonts w:eastAsia="Times New Roman" w:cstheme="minorHAnsi"/>
                <w:b/>
                <w:color w:val="1F497D" w:themeColor="text2"/>
              </w:rPr>
              <w:t>ne MDS</w:t>
            </w:r>
          </w:p>
        </w:tc>
        <w:tc>
          <w:tcPr>
            <w:tcW w:w="1252" w:type="dxa"/>
            <w:hideMark/>
          </w:tcPr>
          <w:p w:rsidR="00695B39" w:rsidRPr="00B15459" w:rsidRDefault="007B3D7B" w:rsidP="00990433">
            <w:pPr>
              <w:jc w:val="center"/>
              <w:rPr>
                <w:rFonts w:eastAsia="Times New Roman" w:cstheme="minorHAnsi"/>
                <w:b/>
                <w:color w:val="1F497D" w:themeColor="text2"/>
              </w:rPr>
            </w:pPr>
            <w:r>
              <w:rPr>
                <w:rFonts w:eastAsia="Times New Roman" w:cstheme="minorHAnsi"/>
                <w:b/>
                <w:color w:val="1F497D" w:themeColor="text2"/>
              </w:rPr>
              <w:t>All Other I</w:t>
            </w:r>
            <w:r w:rsidR="00695B39" w:rsidRPr="00B15459">
              <w:rPr>
                <w:rFonts w:eastAsia="Times New Roman" w:cstheme="minorHAnsi"/>
                <w:b/>
                <w:color w:val="1F497D" w:themeColor="text2"/>
              </w:rPr>
              <w:t>ncomplete</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AK</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1131</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78.16%</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19.89%</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0.71%</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0.35%</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0.88%</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AL</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81251</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80.57%</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17.75%</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0.20%</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0.37%</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1.12%</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AR</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52104</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73.30%</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21.87%</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1.44%</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0.79%</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2.61%</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AZ</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83897</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88.41%</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9.80%</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0.20%</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0.69%</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0.90%</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CA</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476657</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83.35%</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14.10%</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0.32%</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0.46%</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1.40%</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CO</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65252</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83.32%</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15.23%</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0.20%</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0.46%</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0.78%</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CT</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97330</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82.84%</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15.49%</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0.28%</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0.44%</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0.95%</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DC</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6213</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74.51%</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22.71%</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0.56%</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0.66%</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1.56%</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DE</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16916</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83.18%</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15.80%</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0.18%</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0.31%</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0.54%</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FL</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382468</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85.14%</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13.49%</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0.23%</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0.35%</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0.79%</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GA</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106487</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79.43%</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19.92%</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0.15%</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0.20%</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0.30%</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HI</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9552</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80.31%</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17.50%</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0.13%</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0.34%</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1.73%</w:t>
            </w:r>
          </w:p>
        </w:tc>
      </w:tr>
      <w:tr w:rsidR="003A6486" w:rsidRPr="003A6486" w:rsidTr="00746CF7">
        <w:trPr>
          <w:trHeight w:val="315"/>
        </w:trPr>
        <w:tc>
          <w:tcPr>
            <w:tcW w:w="692" w:type="dxa"/>
            <w:hideMark/>
          </w:tcPr>
          <w:p w:rsidR="00695B39" w:rsidRPr="00B15459" w:rsidRDefault="00695B39" w:rsidP="00990433">
            <w:pPr>
              <w:jc w:val="center"/>
              <w:rPr>
                <w:rFonts w:eastAsia="Times New Roman" w:cstheme="minorHAnsi"/>
                <w:b/>
                <w:color w:val="1F497D" w:themeColor="text2"/>
              </w:rPr>
            </w:pPr>
            <w:r w:rsidRPr="00B15459">
              <w:rPr>
                <w:rFonts w:eastAsia="Times New Roman" w:cstheme="minorHAnsi"/>
                <w:b/>
                <w:color w:val="1F497D" w:themeColor="text2"/>
              </w:rPr>
              <w:t>IA</w:t>
            </w:r>
          </w:p>
        </w:tc>
        <w:tc>
          <w:tcPr>
            <w:tcW w:w="125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61458</w:t>
            </w:r>
          </w:p>
        </w:tc>
        <w:tc>
          <w:tcPr>
            <w:tcW w:w="1218"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75.69%</w:t>
            </w:r>
          </w:p>
        </w:tc>
        <w:tc>
          <w:tcPr>
            <w:tcW w:w="1145"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23.40%</w:t>
            </w:r>
          </w:p>
        </w:tc>
        <w:tc>
          <w:tcPr>
            <w:tcW w:w="1109"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0.18%</w:t>
            </w:r>
          </w:p>
        </w:tc>
        <w:tc>
          <w:tcPr>
            <w:tcW w:w="764"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0.21%</w:t>
            </w:r>
          </w:p>
        </w:tc>
        <w:tc>
          <w:tcPr>
            <w:tcW w:w="1252" w:type="dxa"/>
            <w:hideMark/>
          </w:tcPr>
          <w:p w:rsidR="00695B39" w:rsidRPr="003A6486" w:rsidRDefault="00695B39" w:rsidP="00B15459">
            <w:pPr>
              <w:jc w:val="right"/>
              <w:rPr>
                <w:rFonts w:eastAsia="Times New Roman" w:cstheme="minorHAnsi"/>
                <w:color w:val="1F497D" w:themeColor="text2"/>
              </w:rPr>
            </w:pPr>
            <w:r w:rsidRPr="003A6486">
              <w:rPr>
                <w:rFonts w:eastAsia="Times New Roman" w:cstheme="minorHAnsi"/>
                <w:color w:val="1F497D" w:themeColor="text2"/>
              </w:rPr>
              <w:t>0.52%</w:t>
            </w:r>
          </w:p>
        </w:tc>
      </w:tr>
      <w:tr w:rsidR="00BB4C45" w:rsidRPr="003A6486" w:rsidTr="00746CF7">
        <w:trPr>
          <w:trHeight w:val="315"/>
        </w:trPr>
        <w:tc>
          <w:tcPr>
            <w:tcW w:w="692" w:type="dxa"/>
            <w:hideMark/>
          </w:tcPr>
          <w:p w:rsidR="00BB4C45" w:rsidRPr="00B15459" w:rsidRDefault="00BB4C45" w:rsidP="00990433">
            <w:pPr>
              <w:jc w:val="center"/>
              <w:rPr>
                <w:rFonts w:eastAsia="Times New Roman" w:cstheme="minorHAnsi"/>
                <w:b/>
                <w:color w:val="1F497D" w:themeColor="text2"/>
              </w:rPr>
            </w:pPr>
            <w:r w:rsidRPr="00B15459">
              <w:rPr>
                <w:rFonts w:eastAsia="Times New Roman" w:cstheme="minorHAnsi"/>
                <w:b/>
                <w:color w:val="1F497D" w:themeColor="text2"/>
              </w:rPr>
              <w:t>ID</w:t>
            </w:r>
          </w:p>
        </w:tc>
        <w:tc>
          <w:tcPr>
            <w:tcW w:w="125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19087</w:t>
            </w:r>
          </w:p>
        </w:tc>
        <w:tc>
          <w:tcPr>
            <w:tcW w:w="1218"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85.48%</w:t>
            </w:r>
          </w:p>
        </w:tc>
        <w:tc>
          <w:tcPr>
            <w:tcW w:w="114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13.77%</w:t>
            </w:r>
          </w:p>
        </w:tc>
        <w:tc>
          <w:tcPr>
            <w:tcW w:w="1109"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0.07%</w:t>
            </w:r>
          </w:p>
        </w:tc>
        <w:tc>
          <w:tcPr>
            <w:tcW w:w="764"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0.36%</w:t>
            </w:r>
          </w:p>
        </w:tc>
        <w:tc>
          <w:tcPr>
            <w:tcW w:w="1252"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0.32%</w:t>
            </w:r>
          </w:p>
        </w:tc>
      </w:tr>
      <w:tr w:rsidR="00BB4C45" w:rsidRPr="003A6486" w:rsidTr="00746CF7">
        <w:trPr>
          <w:trHeight w:val="315"/>
        </w:trPr>
        <w:tc>
          <w:tcPr>
            <w:tcW w:w="692" w:type="dxa"/>
            <w:hideMark/>
          </w:tcPr>
          <w:p w:rsidR="00BB4C45" w:rsidRPr="00B15459" w:rsidRDefault="00BB4C45" w:rsidP="00990433">
            <w:pPr>
              <w:jc w:val="center"/>
              <w:rPr>
                <w:rFonts w:eastAsia="Times New Roman" w:cstheme="minorHAnsi"/>
                <w:b/>
                <w:color w:val="1F497D" w:themeColor="text2"/>
              </w:rPr>
            </w:pPr>
            <w:r w:rsidRPr="00B15459">
              <w:rPr>
                <w:rFonts w:eastAsia="Times New Roman" w:cstheme="minorHAnsi"/>
                <w:b/>
                <w:color w:val="1F497D" w:themeColor="text2"/>
              </w:rPr>
              <w:t>IL</w:t>
            </w:r>
          </w:p>
        </w:tc>
        <w:tc>
          <w:tcPr>
            <w:tcW w:w="125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294768</w:t>
            </w:r>
          </w:p>
        </w:tc>
        <w:tc>
          <w:tcPr>
            <w:tcW w:w="1218"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82.15%</w:t>
            </w:r>
          </w:p>
        </w:tc>
        <w:tc>
          <w:tcPr>
            <w:tcW w:w="114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16.26%</w:t>
            </w:r>
          </w:p>
        </w:tc>
        <w:tc>
          <w:tcPr>
            <w:tcW w:w="1109"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0.25%</w:t>
            </w:r>
          </w:p>
        </w:tc>
        <w:tc>
          <w:tcPr>
            <w:tcW w:w="764"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0.38%</w:t>
            </w:r>
          </w:p>
        </w:tc>
        <w:tc>
          <w:tcPr>
            <w:tcW w:w="1252"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0.96%</w:t>
            </w:r>
          </w:p>
        </w:tc>
      </w:tr>
      <w:tr w:rsidR="00BB4C45" w:rsidRPr="003A6486" w:rsidTr="00746CF7">
        <w:trPr>
          <w:trHeight w:val="315"/>
        </w:trPr>
        <w:tc>
          <w:tcPr>
            <w:tcW w:w="692" w:type="dxa"/>
            <w:hideMark/>
          </w:tcPr>
          <w:p w:rsidR="00BB4C45" w:rsidRPr="00B15459" w:rsidRDefault="00BB4C45" w:rsidP="00990433">
            <w:pPr>
              <w:jc w:val="center"/>
              <w:rPr>
                <w:rFonts w:eastAsia="Times New Roman" w:cstheme="minorHAnsi"/>
                <w:b/>
                <w:color w:val="1F497D" w:themeColor="text2"/>
              </w:rPr>
            </w:pPr>
            <w:r w:rsidRPr="00B15459">
              <w:rPr>
                <w:rFonts w:eastAsia="Times New Roman" w:cstheme="minorHAnsi"/>
                <w:b/>
                <w:color w:val="1F497D" w:themeColor="text2"/>
              </w:rPr>
              <w:t>IN</w:t>
            </w:r>
          </w:p>
        </w:tc>
        <w:tc>
          <w:tcPr>
            <w:tcW w:w="125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140985</w:t>
            </w:r>
          </w:p>
        </w:tc>
        <w:tc>
          <w:tcPr>
            <w:tcW w:w="1218"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81.18%</w:t>
            </w:r>
          </w:p>
        </w:tc>
        <w:tc>
          <w:tcPr>
            <w:tcW w:w="114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18.30%</w:t>
            </w:r>
          </w:p>
        </w:tc>
        <w:tc>
          <w:tcPr>
            <w:tcW w:w="1109"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0.10%</w:t>
            </w:r>
          </w:p>
        </w:tc>
        <w:tc>
          <w:tcPr>
            <w:tcW w:w="764"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0.12%</w:t>
            </w:r>
          </w:p>
        </w:tc>
        <w:tc>
          <w:tcPr>
            <w:tcW w:w="1252"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0.30%</w:t>
            </w:r>
          </w:p>
        </w:tc>
      </w:tr>
      <w:tr w:rsidR="00BB4C45" w:rsidRPr="003A6486" w:rsidTr="00746CF7">
        <w:trPr>
          <w:trHeight w:val="315"/>
        </w:trPr>
        <w:tc>
          <w:tcPr>
            <w:tcW w:w="692" w:type="dxa"/>
            <w:hideMark/>
          </w:tcPr>
          <w:p w:rsidR="00BB4C45" w:rsidRPr="00B15459" w:rsidRDefault="00BB4C45" w:rsidP="00990433">
            <w:pPr>
              <w:jc w:val="center"/>
              <w:rPr>
                <w:rFonts w:eastAsia="Times New Roman" w:cstheme="minorHAnsi"/>
                <w:b/>
                <w:color w:val="1F497D" w:themeColor="text2"/>
              </w:rPr>
            </w:pPr>
            <w:r w:rsidRPr="00B15459">
              <w:rPr>
                <w:rFonts w:eastAsia="Times New Roman" w:cstheme="minorHAnsi"/>
                <w:b/>
                <w:color w:val="1F497D" w:themeColor="text2"/>
              </w:rPr>
              <w:t>KS</w:t>
            </w:r>
          </w:p>
        </w:tc>
        <w:tc>
          <w:tcPr>
            <w:tcW w:w="125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54171</w:t>
            </w:r>
          </w:p>
        </w:tc>
        <w:tc>
          <w:tcPr>
            <w:tcW w:w="1218"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77.57%</w:t>
            </w:r>
          </w:p>
        </w:tc>
        <w:tc>
          <w:tcPr>
            <w:tcW w:w="1145"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21.25%</w:t>
            </w:r>
          </w:p>
        </w:tc>
        <w:tc>
          <w:tcPr>
            <w:tcW w:w="1109"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0.16%</w:t>
            </w:r>
          </w:p>
        </w:tc>
        <w:tc>
          <w:tcPr>
            <w:tcW w:w="764"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0.35%</w:t>
            </w:r>
          </w:p>
        </w:tc>
        <w:tc>
          <w:tcPr>
            <w:tcW w:w="1252" w:type="dxa"/>
            <w:hideMark/>
          </w:tcPr>
          <w:p w:rsidR="00BB4C45" w:rsidRPr="003A6486" w:rsidRDefault="00BB4C45" w:rsidP="00B15459">
            <w:pPr>
              <w:jc w:val="right"/>
              <w:rPr>
                <w:rFonts w:eastAsia="Times New Roman" w:cstheme="minorHAnsi"/>
                <w:color w:val="1F497D" w:themeColor="text2"/>
              </w:rPr>
            </w:pPr>
            <w:r w:rsidRPr="003A6486">
              <w:rPr>
                <w:rFonts w:eastAsia="Times New Roman" w:cstheme="minorHAnsi"/>
                <w:color w:val="1F497D" w:themeColor="text2"/>
              </w:rPr>
              <w:t>0.68%</w:t>
            </w:r>
          </w:p>
        </w:tc>
      </w:tr>
      <w:tr w:rsidR="00B75500" w:rsidRPr="003A6486" w:rsidTr="00746CF7">
        <w:trPr>
          <w:trHeight w:val="315"/>
        </w:trPr>
        <w:tc>
          <w:tcPr>
            <w:tcW w:w="692" w:type="dxa"/>
          </w:tcPr>
          <w:p w:rsidR="00B75500" w:rsidRPr="00B15459" w:rsidRDefault="00B75500" w:rsidP="007F4EB8">
            <w:pPr>
              <w:jc w:val="center"/>
              <w:rPr>
                <w:rFonts w:eastAsia="Times New Roman" w:cstheme="minorHAnsi"/>
                <w:b/>
                <w:color w:val="1F497D" w:themeColor="text2"/>
              </w:rPr>
            </w:pPr>
            <w:r w:rsidRPr="00B15459">
              <w:rPr>
                <w:rFonts w:eastAsia="Times New Roman" w:cstheme="minorHAnsi"/>
                <w:b/>
                <w:color w:val="1F497D" w:themeColor="text2"/>
              </w:rPr>
              <w:lastRenderedPageBreak/>
              <w:t>State</w:t>
            </w:r>
          </w:p>
        </w:tc>
        <w:tc>
          <w:tcPr>
            <w:tcW w:w="1255" w:type="dxa"/>
          </w:tcPr>
          <w:p w:rsidR="00B75500" w:rsidRPr="00B15459" w:rsidRDefault="00B75500" w:rsidP="007F4EB8">
            <w:pPr>
              <w:jc w:val="center"/>
              <w:rPr>
                <w:rFonts w:eastAsia="Times New Roman" w:cstheme="minorHAnsi"/>
                <w:b/>
                <w:color w:val="1F497D" w:themeColor="text2"/>
              </w:rPr>
            </w:pPr>
            <w:r w:rsidRPr="00B15459">
              <w:rPr>
                <w:rFonts w:eastAsia="Times New Roman" w:cstheme="minorHAnsi"/>
                <w:b/>
                <w:color w:val="1F497D" w:themeColor="text2"/>
              </w:rPr>
              <w:t>N</w:t>
            </w:r>
            <w:r>
              <w:rPr>
                <w:rFonts w:eastAsia="Times New Roman" w:cstheme="minorHAnsi"/>
                <w:b/>
                <w:color w:val="1F497D" w:themeColor="text2"/>
              </w:rPr>
              <w:t>umber of</w:t>
            </w:r>
          </w:p>
          <w:p w:rsidR="00B75500" w:rsidRPr="00B15459" w:rsidRDefault="00B75500" w:rsidP="007F4EB8">
            <w:pPr>
              <w:jc w:val="center"/>
              <w:rPr>
                <w:rFonts w:eastAsia="Times New Roman" w:cstheme="minorHAnsi"/>
                <w:b/>
                <w:color w:val="1F497D" w:themeColor="text2"/>
              </w:rPr>
            </w:pPr>
            <w:r w:rsidRPr="00B15459">
              <w:rPr>
                <w:rFonts w:eastAsia="Times New Roman" w:cstheme="minorHAnsi"/>
                <w:b/>
                <w:color w:val="1F497D" w:themeColor="text2"/>
              </w:rPr>
              <w:t>Admissions</w:t>
            </w:r>
          </w:p>
        </w:tc>
        <w:tc>
          <w:tcPr>
            <w:tcW w:w="1218" w:type="dxa"/>
          </w:tcPr>
          <w:p w:rsidR="00B75500" w:rsidRPr="00B15459" w:rsidRDefault="00B75500" w:rsidP="007F4EB8">
            <w:pPr>
              <w:jc w:val="center"/>
              <w:rPr>
                <w:rFonts w:eastAsia="Times New Roman" w:cstheme="minorHAnsi"/>
                <w:b/>
                <w:color w:val="1F497D" w:themeColor="text2"/>
              </w:rPr>
            </w:pPr>
            <w:r>
              <w:rPr>
                <w:rFonts w:eastAsia="Times New Roman" w:cstheme="minorHAnsi"/>
                <w:b/>
                <w:color w:val="1F497D" w:themeColor="text2"/>
              </w:rPr>
              <w:t>Completed</w:t>
            </w:r>
          </w:p>
        </w:tc>
        <w:tc>
          <w:tcPr>
            <w:tcW w:w="1145" w:type="dxa"/>
          </w:tcPr>
          <w:p w:rsidR="00B75500" w:rsidRPr="00B15459" w:rsidRDefault="00B75500" w:rsidP="007F4EB8">
            <w:pPr>
              <w:jc w:val="center"/>
              <w:rPr>
                <w:rFonts w:eastAsia="Times New Roman" w:cstheme="minorHAnsi"/>
                <w:b/>
                <w:color w:val="1F497D" w:themeColor="text2"/>
              </w:rPr>
            </w:pPr>
            <w:r>
              <w:rPr>
                <w:rFonts w:eastAsia="Times New Roman" w:cstheme="minorHAnsi"/>
                <w:b/>
                <w:color w:val="1F497D" w:themeColor="text2"/>
              </w:rPr>
              <w:t>Data T</w:t>
            </w:r>
            <w:r w:rsidRPr="00B15459">
              <w:rPr>
                <w:rFonts w:eastAsia="Times New Roman" w:cstheme="minorHAnsi"/>
                <w:b/>
                <w:color w:val="1F497D" w:themeColor="text2"/>
              </w:rPr>
              <w:t>runcated</w:t>
            </w:r>
          </w:p>
        </w:tc>
        <w:tc>
          <w:tcPr>
            <w:tcW w:w="1109" w:type="dxa"/>
          </w:tcPr>
          <w:p w:rsidR="00B75500" w:rsidRPr="00B15459" w:rsidRDefault="00B75500" w:rsidP="007F4EB8">
            <w:pPr>
              <w:jc w:val="center"/>
              <w:rPr>
                <w:rFonts w:eastAsia="Times New Roman" w:cstheme="minorHAnsi"/>
                <w:b/>
                <w:color w:val="1F497D" w:themeColor="text2"/>
              </w:rPr>
            </w:pPr>
            <w:r>
              <w:rPr>
                <w:rFonts w:eastAsia="Times New Roman" w:cstheme="minorHAnsi"/>
                <w:b/>
                <w:color w:val="1F497D" w:themeColor="text2"/>
              </w:rPr>
              <w:t>Missing D</w:t>
            </w:r>
            <w:r w:rsidRPr="00B15459">
              <w:rPr>
                <w:rFonts w:eastAsia="Times New Roman" w:cstheme="minorHAnsi"/>
                <w:b/>
                <w:color w:val="1F497D" w:themeColor="text2"/>
              </w:rPr>
              <w:t>ischarge</w:t>
            </w:r>
          </w:p>
        </w:tc>
        <w:tc>
          <w:tcPr>
            <w:tcW w:w="764" w:type="dxa"/>
          </w:tcPr>
          <w:p w:rsidR="00B75500" w:rsidRPr="00B15459" w:rsidRDefault="00B75500" w:rsidP="007F4EB8">
            <w:pPr>
              <w:jc w:val="center"/>
              <w:rPr>
                <w:rFonts w:eastAsia="Times New Roman" w:cstheme="minorHAnsi"/>
                <w:b/>
                <w:color w:val="1F497D" w:themeColor="text2"/>
              </w:rPr>
            </w:pPr>
            <w:r>
              <w:rPr>
                <w:rFonts w:eastAsia="Times New Roman" w:cstheme="minorHAnsi"/>
                <w:b/>
                <w:color w:val="1F497D" w:themeColor="text2"/>
              </w:rPr>
              <w:t>Only O</w:t>
            </w:r>
            <w:r w:rsidRPr="00B15459">
              <w:rPr>
                <w:rFonts w:eastAsia="Times New Roman" w:cstheme="minorHAnsi"/>
                <w:b/>
                <w:color w:val="1F497D" w:themeColor="text2"/>
              </w:rPr>
              <w:t>ne MDS</w:t>
            </w:r>
          </w:p>
        </w:tc>
        <w:tc>
          <w:tcPr>
            <w:tcW w:w="1252" w:type="dxa"/>
          </w:tcPr>
          <w:p w:rsidR="00B75500" w:rsidRPr="00B15459" w:rsidRDefault="00B75500" w:rsidP="007F4EB8">
            <w:pPr>
              <w:jc w:val="center"/>
              <w:rPr>
                <w:rFonts w:eastAsia="Times New Roman" w:cstheme="minorHAnsi"/>
                <w:b/>
                <w:color w:val="1F497D" w:themeColor="text2"/>
              </w:rPr>
            </w:pPr>
            <w:r>
              <w:rPr>
                <w:rFonts w:eastAsia="Times New Roman" w:cstheme="minorHAnsi"/>
                <w:b/>
                <w:color w:val="1F497D" w:themeColor="text2"/>
              </w:rPr>
              <w:t>All Other I</w:t>
            </w:r>
            <w:r w:rsidRPr="00B15459">
              <w:rPr>
                <w:rFonts w:eastAsia="Times New Roman" w:cstheme="minorHAnsi"/>
                <w:b/>
                <w:color w:val="1F497D" w:themeColor="text2"/>
              </w:rPr>
              <w:t>ncomplete</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KY</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85170</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81.47%</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18.07%</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0.08%</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0.09%</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0.29%</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LA</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72386</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75.19%</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23.91%</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0.31%</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0.16%</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0.43%</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MA</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179603</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84.06%</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14.72%</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0.16%</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0.43%</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0.63%</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MD</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115055</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83.47%</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14.26%</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0.29%</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0.51%</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1.46%</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ME</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27241</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84.68%</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14.78%</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0.11%</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0.29%</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0.14%</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MI</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181933</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83.83%</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14.38%</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0.30%</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0.37%</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1.11%</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MN</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108197</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84.02%</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15.63%</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0.01%</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0.12%</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0.22%</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MO</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130969</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79.05%</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18.85%</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0.45%</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0.47%</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1.18%</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MS</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46460</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76.98%</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22.17%</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0.41%</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0.18%</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0.26%</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MT</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12995</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79.57%</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19.48%</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0.17%</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0.31%</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0.47%</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NC</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144286</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82.56%</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16.97%</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0.12%</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0.13%</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0.22%</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ND</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13377</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74.37%</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25.04%</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0.07%</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0.19%</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0.33%</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NE</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40226</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79.88%</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19.43%</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0.13%</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0.17%</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0.40%</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NH</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22624</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81.10%</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18.29%</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0.07%</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0.18%</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0.36%</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NJ</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215444</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85.60%</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13.80%</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0.14%</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0.14%</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0.31%</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NM</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21177</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78.39%</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17.03%</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0.39%</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0.90%</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3.28%</w:t>
            </w:r>
          </w:p>
        </w:tc>
      </w:tr>
      <w:tr w:rsidR="00B75500" w:rsidRPr="003A6486" w:rsidTr="00746CF7">
        <w:trPr>
          <w:trHeight w:val="315"/>
        </w:trPr>
        <w:tc>
          <w:tcPr>
            <w:tcW w:w="692" w:type="dxa"/>
            <w:hideMark/>
          </w:tcPr>
          <w:p w:rsidR="00B75500" w:rsidRPr="00B15459" w:rsidRDefault="00B75500" w:rsidP="00990433">
            <w:pPr>
              <w:jc w:val="center"/>
              <w:rPr>
                <w:rFonts w:eastAsia="Times New Roman" w:cstheme="minorHAnsi"/>
                <w:b/>
                <w:color w:val="1F497D" w:themeColor="text2"/>
              </w:rPr>
            </w:pPr>
            <w:r w:rsidRPr="00B15459">
              <w:rPr>
                <w:rFonts w:eastAsia="Times New Roman" w:cstheme="minorHAnsi"/>
                <w:b/>
                <w:color w:val="1F497D" w:themeColor="text2"/>
              </w:rPr>
              <w:t>NV</w:t>
            </w:r>
          </w:p>
        </w:tc>
        <w:tc>
          <w:tcPr>
            <w:tcW w:w="125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31546</w:t>
            </w:r>
          </w:p>
        </w:tc>
        <w:tc>
          <w:tcPr>
            <w:tcW w:w="1218"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83.30%</w:t>
            </w:r>
          </w:p>
        </w:tc>
        <w:tc>
          <w:tcPr>
            <w:tcW w:w="1145"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11.82%</w:t>
            </w:r>
          </w:p>
        </w:tc>
        <w:tc>
          <w:tcPr>
            <w:tcW w:w="1109"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0.49%</w:t>
            </w:r>
          </w:p>
        </w:tc>
        <w:tc>
          <w:tcPr>
            <w:tcW w:w="764"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3.54%</w:t>
            </w:r>
          </w:p>
        </w:tc>
        <w:tc>
          <w:tcPr>
            <w:tcW w:w="1252" w:type="dxa"/>
            <w:hideMark/>
          </w:tcPr>
          <w:p w:rsidR="00B75500" w:rsidRPr="003A6486" w:rsidRDefault="00B75500" w:rsidP="00B15459">
            <w:pPr>
              <w:jc w:val="right"/>
              <w:rPr>
                <w:rFonts w:eastAsia="Times New Roman" w:cstheme="minorHAnsi"/>
                <w:color w:val="1F497D" w:themeColor="text2"/>
              </w:rPr>
            </w:pPr>
            <w:r w:rsidRPr="003A6486">
              <w:rPr>
                <w:rFonts w:eastAsia="Times New Roman" w:cstheme="minorHAnsi"/>
                <w:color w:val="1F497D" w:themeColor="text2"/>
              </w:rPr>
              <w:t>0.85%</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NY</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356794</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79.16%</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18.46%</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0.57%</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0.52%</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1.29%</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OH</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334314</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83.85%</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15.23%</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0.13%</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0.27%</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0.51%</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OK</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55868</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76.01%</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21.01%</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0.46%</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0.69%</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1.83%</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OR</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47006</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87.91%</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10.71%</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0.13%</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0.57%</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0.68%</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PA</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327591</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83.39%</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16.01%</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0.11%</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0.29%</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0.20%</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PR</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833</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97.84%</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1.32%</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0.00%</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0.72%</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0.12%</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RI</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29537</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81.38%</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16.47%</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0.33%</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0.67%</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1.16%</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SC</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62031</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80.89%</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17.38%</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0.26%</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0.49%</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0.99%</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SD</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13294</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73.34%</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26.40%</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0.04%</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0.15%</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0.08%</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TN</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113035</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80.36%</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18.14%</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0.23%</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0.43%</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0.84%</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TX</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310019</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73.74%</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20.58%</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0.89%</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0.80%</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3.98%</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UT</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30841</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84.53%</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12.28%</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0.27%</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0.74%</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2.18%</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VA</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124513</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83.63%</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15.12%</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0.15%</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0.27%</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0.84%</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VI</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121</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80.17%</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6.61%</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0.83%</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3.31%</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9.09%</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VT</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10555</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81.74%</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17.38%</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0.11%</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0.36%</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0.41%</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WA</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90076</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86.70%</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13.07%</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0.05%</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0.09%</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0.09%</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WI</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105003</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81.81%</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16.96%</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0.14%</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0.33%</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0.76%</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WV</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33335</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80.49%</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18.37%</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0.11%</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0.30%</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0.73%</w:t>
            </w:r>
          </w:p>
        </w:tc>
      </w:tr>
      <w:tr w:rsidR="00B75500" w:rsidRPr="002E45EB" w:rsidTr="00746CF7">
        <w:trPr>
          <w:trHeight w:val="315"/>
        </w:trPr>
        <w:tc>
          <w:tcPr>
            <w:tcW w:w="692" w:type="dxa"/>
            <w:hideMark/>
          </w:tcPr>
          <w:p w:rsidR="00B75500" w:rsidRPr="00746CF7" w:rsidRDefault="00B75500" w:rsidP="00A0259F">
            <w:pPr>
              <w:jc w:val="center"/>
              <w:rPr>
                <w:rFonts w:eastAsia="Times New Roman" w:cstheme="minorHAnsi"/>
                <w:b/>
                <w:color w:val="1F497D" w:themeColor="text2"/>
              </w:rPr>
            </w:pPr>
            <w:r w:rsidRPr="00746CF7">
              <w:rPr>
                <w:rFonts w:eastAsia="Times New Roman" w:cstheme="minorHAnsi"/>
                <w:b/>
                <w:color w:val="1F497D" w:themeColor="text2"/>
              </w:rPr>
              <w:t>WY</w:t>
            </w:r>
          </w:p>
        </w:tc>
        <w:tc>
          <w:tcPr>
            <w:tcW w:w="125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5168</w:t>
            </w:r>
          </w:p>
        </w:tc>
        <w:tc>
          <w:tcPr>
            <w:tcW w:w="1218"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74.46%</w:t>
            </w:r>
          </w:p>
        </w:tc>
        <w:tc>
          <w:tcPr>
            <w:tcW w:w="1145"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23.84%</w:t>
            </w:r>
          </w:p>
        </w:tc>
        <w:tc>
          <w:tcPr>
            <w:tcW w:w="1109"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0.12%</w:t>
            </w:r>
          </w:p>
        </w:tc>
        <w:tc>
          <w:tcPr>
            <w:tcW w:w="764"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0.27%</w:t>
            </w:r>
          </w:p>
        </w:tc>
        <w:tc>
          <w:tcPr>
            <w:tcW w:w="1252" w:type="dxa"/>
            <w:hideMark/>
          </w:tcPr>
          <w:p w:rsidR="00B75500" w:rsidRPr="00746CF7" w:rsidRDefault="00B75500" w:rsidP="00746CF7">
            <w:pPr>
              <w:jc w:val="right"/>
              <w:rPr>
                <w:rFonts w:eastAsia="Times New Roman" w:cstheme="minorHAnsi"/>
                <w:color w:val="1F497D" w:themeColor="text2"/>
              </w:rPr>
            </w:pPr>
            <w:r w:rsidRPr="00746CF7">
              <w:rPr>
                <w:rFonts w:eastAsia="Times New Roman" w:cstheme="minorHAnsi"/>
                <w:color w:val="1F497D" w:themeColor="text2"/>
              </w:rPr>
              <w:t>1.32%</w:t>
            </w:r>
          </w:p>
        </w:tc>
      </w:tr>
    </w:tbl>
    <w:p w:rsidR="008F7E67" w:rsidRPr="00E1508F" w:rsidRDefault="008F7E67" w:rsidP="008F7E67">
      <w:pPr>
        <w:autoSpaceDE w:val="0"/>
        <w:autoSpaceDN w:val="0"/>
        <w:adjustRightInd w:val="0"/>
        <w:spacing w:after="0" w:line="240" w:lineRule="auto"/>
        <w:rPr>
          <w:rFonts w:cstheme="minorHAnsi"/>
          <w:bCs/>
        </w:rPr>
      </w:pPr>
    </w:p>
    <w:p w:rsidR="008B604D" w:rsidRDefault="00B05821">
      <w:pPr>
        <w:autoSpaceDE w:val="0"/>
        <w:autoSpaceDN w:val="0"/>
        <w:adjustRightInd w:val="0"/>
        <w:spacing w:after="0" w:line="240" w:lineRule="auto"/>
        <w:rPr>
          <w:rFonts w:cstheme="minorHAnsi"/>
          <w:bCs/>
        </w:rPr>
      </w:pPr>
      <w:r>
        <w:rPr>
          <w:rFonts w:cstheme="minorHAnsi"/>
          <w:b/>
          <w:bCs/>
        </w:rPr>
        <w:lastRenderedPageBreak/>
        <w:t xml:space="preserve">2b7.3. </w:t>
      </w:r>
      <w:r w:rsidRPr="00A25024">
        <w:rPr>
          <w:rFonts w:cstheme="minorHAnsi"/>
          <w:b/>
          <w:bCs/>
        </w:rPr>
        <w:t>What is your interpretation of the results in terms of demonstrating</w:t>
      </w:r>
      <w:r>
        <w:rPr>
          <w:rFonts w:cstheme="minorHAnsi"/>
          <w:b/>
          <w:bCs/>
        </w:rPr>
        <w:t xml:space="preserve"> that </w:t>
      </w:r>
      <w:r w:rsidRPr="00A831B4">
        <w:rPr>
          <w:rFonts w:ascii="Calibri" w:eastAsia="Calibri" w:hAnsi="Calibri" w:cs="Calibri"/>
          <w:b/>
        </w:rPr>
        <w:t>performance results are not biased</w:t>
      </w:r>
      <w:r w:rsidRPr="006A028C">
        <w:rPr>
          <w:rFonts w:ascii="Calibri" w:eastAsia="Calibri" w:hAnsi="Calibri" w:cs="Calibri"/>
        </w:rPr>
        <w:t xml:space="preserve"> due to systematic missing data (or differences between responders and non</w:t>
      </w:r>
      <w:r>
        <w:rPr>
          <w:rFonts w:ascii="Calibri" w:eastAsia="Calibri" w:hAnsi="Calibri" w:cs="Calibri"/>
        </w:rPr>
        <w:t>-</w:t>
      </w:r>
      <w:r w:rsidRPr="006A028C">
        <w:rPr>
          <w:rFonts w:ascii="Calibri" w:eastAsia="Calibri" w:hAnsi="Calibri" w:cs="Calibri"/>
        </w:rPr>
        <w:t>responders) and how the specified handling of missing data minimizes bias</w:t>
      </w:r>
      <w:r w:rsidRPr="00A25024">
        <w:rPr>
          <w:rFonts w:cstheme="minorHAnsi"/>
          <w:b/>
          <w:bCs/>
        </w:rPr>
        <w:t>?</w:t>
      </w:r>
      <w:r w:rsidRPr="00A25024">
        <w:rPr>
          <w:rFonts w:cstheme="minorHAnsi"/>
          <w:bCs/>
        </w:rPr>
        <w:t xml:space="preserve"> </w:t>
      </w:r>
      <w:r w:rsidR="008F7E67" w:rsidRPr="00A25024">
        <w:rPr>
          <w:rFonts w:cstheme="minorHAnsi"/>
          <w:bCs/>
        </w:rPr>
        <w:t>(i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rsidR="00C661A2" w:rsidRPr="003A6486" w:rsidRDefault="00C661A2">
      <w:pPr>
        <w:autoSpaceDE w:val="0"/>
        <w:autoSpaceDN w:val="0"/>
        <w:adjustRightInd w:val="0"/>
        <w:spacing w:after="0" w:line="240" w:lineRule="auto"/>
        <w:rPr>
          <w:rFonts w:cstheme="minorHAnsi"/>
          <w:bCs/>
          <w:color w:val="1F497D" w:themeColor="text2"/>
        </w:rPr>
      </w:pPr>
      <w:r w:rsidRPr="003A6486">
        <w:rPr>
          <w:rFonts w:cstheme="minorHAnsi"/>
          <w:bCs/>
          <w:color w:val="1F497D" w:themeColor="text2"/>
        </w:rPr>
        <w:t xml:space="preserve">Overall missing data is infrequent. The vast majority of providers had complete MDS data to calculate the measure, however, it is worthwhile to calculate the degree of missing data on the numerator and not report a facilities rates if they do not complete an MDS discharge assessment (the source for numerator information) at least 95% of the time. </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50C" w:rsidRDefault="0047450C" w:rsidP="005C73CA">
      <w:pPr>
        <w:spacing w:after="0" w:line="240" w:lineRule="auto"/>
      </w:pPr>
      <w:r>
        <w:separator/>
      </w:r>
    </w:p>
  </w:endnote>
  <w:endnote w:type="continuationSeparator" w:id="0">
    <w:p w:rsidR="0047450C" w:rsidRDefault="0047450C"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0C" w:rsidRDefault="0047450C">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B05821">
      <w:rPr>
        <w:noProof/>
      </w:rPr>
      <w:t>25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50C" w:rsidRDefault="0047450C" w:rsidP="005C73CA">
      <w:pPr>
        <w:spacing w:after="0" w:line="240" w:lineRule="auto"/>
      </w:pPr>
      <w:r>
        <w:separator/>
      </w:r>
    </w:p>
  </w:footnote>
  <w:footnote w:type="continuationSeparator" w:id="0">
    <w:p w:rsidR="0047450C" w:rsidRDefault="0047450C"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0C" w:rsidRPr="00105D8B" w:rsidRDefault="0047450C"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AC0DA5"/>
    <w:multiLevelType w:val="hybridMultilevel"/>
    <w:tmpl w:val="207697E4"/>
    <w:lvl w:ilvl="0" w:tplc="BABAFDC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AEB6EDD"/>
    <w:multiLevelType w:val="hybridMultilevel"/>
    <w:tmpl w:val="B184C300"/>
    <w:lvl w:ilvl="0" w:tplc="06B00240">
      <w:start w:val="1"/>
      <w:numFmt w:val="bullet"/>
      <w:lvlText w:val="-"/>
      <w:lvlJc w:val="left"/>
      <w:pPr>
        <w:ind w:left="765" w:hanging="360"/>
      </w:pPr>
      <w:rPr>
        <w:rFonts w:ascii="Calibri" w:eastAsiaTheme="minorEastAsia" w:hAnsi="Calibri" w:cs="Calibri"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2"/>
  </w:num>
  <w:num w:numId="4">
    <w:abstractNumId w:val="6"/>
  </w:num>
  <w:num w:numId="5">
    <w:abstractNumId w:val="1"/>
  </w:num>
  <w:num w:numId="6">
    <w:abstractNumId w:val="0"/>
  </w:num>
  <w:num w:numId="7">
    <w:abstractNumId w:val="3"/>
  </w:num>
  <w:num w:numId="8">
    <w:abstractNumId w:val="20"/>
  </w:num>
  <w:num w:numId="9">
    <w:abstractNumId w:val="10"/>
  </w:num>
  <w:num w:numId="10">
    <w:abstractNumId w:val="25"/>
  </w:num>
  <w:num w:numId="11">
    <w:abstractNumId w:val="12"/>
  </w:num>
  <w:num w:numId="12">
    <w:abstractNumId w:val="23"/>
  </w:num>
  <w:num w:numId="13">
    <w:abstractNumId w:val="18"/>
  </w:num>
  <w:num w:numId="14">
    <w:abstractNumId w:val="1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7"/>
  </w:num>
  <w:num w:numId="16">
    <w:abstractNumId w:val="9"/>
  </w:num>
  <w:num w:numId="17">
    <w:abstractNumId w:val="24"/>
  </w:num>
  <w:num w:numId="18">
    <w:abstractNumId w:val="22"/>
  </w:num>
  <w:num w:numId="19">
    <w:abstractNumId w:val="21"/>
  </w:num>
  <w:num w:numId="20">
    <w:abstractNumId w:val="16"/>
  </w:num>
  <w:num w:numId="21">
    <w:abstractNumId w:val="19"/>
  </w:num>
  <w:num w:numId="22">
    <w:abstractNumId w:val="15"/>
  </w:num>
  <w:num w:numId="23">
    <w:abstractNumId w:val="7"/>
  </w:num>
  <w:num w:numId="24">
    <w:abstractNumId w:val="14"/>
  </w:num>
  <w:num w:numId="25">
    <w:abstractNumId w:val="13"/>
  </w:num>
  <w:num w:numId="26">
    <w:abstractNumId w:val="26"/>
  </w:num>
  <w:num w:numId="27">
    <w:abstractNumId w:val="5"/>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ocumentProtection w:edit="forms" w:enforcement="0"/>
  <w:defaultTabStop w:val="720"/>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09D"/>
    <w:rsid w:val="000309DD"/>
    <w:rsid w:val="00031414"/>
    <w:rsid w:val="00033038"/>
    <w:rsid w:val="00033D63"/>
    <w:rsid w:val="0003436F"/>
    <w:rsid w:val="00034FD7"/>
    <w:rsid w:val="0004014B"/>
    <w:rsid w:val="000414E8"/>
    <w:rsid w:val="0004297D"/>
    <w:rsid w:val="0004593A"/>
    <w:rsid w:val="00050A3E"/>
    <w:rsid w:val="00051958"/>
    <w:rsid w:val="00051EA9"/>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0127"/>
    <w:rsid w:val="000D649B"/>
    <w:rsid w:val="000D7948"/>
    <w:rsid w:val="000D7C84"/>
    <w:rsid w:val="000E1131"/>
    <w:rsid w:val="000E4E13"/>
    <w:rsid w:val="000E78F6"/>
    <w:rsid w:val="000F034A"/>
    <w:rsid w:val="000F06B5"/>
    <w:rsid w:val="000F292F"/>
    <w:rsid w:val="000F30FB"/>
    <w:rsid w:val="000F39E9"/>
    <w:rsid w:val="00104B45"/>
    <w:rsid w:val="00105D8B"/>
    <w:rsid w:val="001133E3"/>
    <w:rsid w:val="0011342F"/>
    <w:rsid w:val="001202E9"/>
    <w:rsid w:val="0012454F"/>
    <w:rsid w:val="00125273"/>
    <w:rsid w:val="0012575E"/>
    <w:rsid w:val="00127C06"/>
    <w:rsid w:val="0014428E"/>
    <w:rsid w:val="00145149"/>
    <w:rsid w:val="00145D4F"/>
    <w:rsid w:val="0014773C"/>
    <w:rsid w:val="00147EED"/>
    <w:rsid w:val="001665A7"/>
    <w:rsid w:val="00171C8D"/>
    <w:rsid w:val="00175B19"/>
    <w:rsid w:val="0017696D"/>
    <w:rsid w:val="001848FC"/>
    <w:rsid w:val="001969C5"/>
    <w:rsid w:val="001A6CDD"/>
    <w:rsid w:val="001C12EE"/>
    <w:rsid w:val="001C2F01"/>
    <w:rsid w:val="001C6CD3"/>
    <w:rsid w:val="001C7B02"/>
    <w:rsid w:val="001E4959"/>
    <w:rsid w:val="001E4DD4"/>
    <w:rsid w:val="001E69DC"/>
    <w:rsid w:val="001F169D"/>
    <w:rsid w:val="001F1DA1"/>
    <w:rsid w:val="001F6F93"/>
    <w:rsid w:val="001F7A20"/>
    <w:rsid w:val="0020037D"/>
    <w:rsid w:val="0021195A"/>
    <w:rsid w:val="00213383"/>
    <w:rsid w:val="00220250"/>
    <w:rsid w:val="0022691B"/>
    <w:rsid w:val="00232163"/>
    <w:rsid w:val="002376F8"/>
    <w:rsid w:val="002408E4"/>
    <w:rsid w:val="00241591"/>
    <w:rsid w:val="00243ADC"/>
    <w:rsid w:val="002459BD"/>
    <w:rsid w:val="00247777"/>
    <w:rsid w:val="00250B4F"/>
    <w:rsid w:val="0025762F"/>
    <w:rsid w:val="002627E7"/>
    <w:rsid w:val="00272E43"/>
    <w:rsid w:val="002807BD"/>
    <w:rsid w:val="0028114D"/>
    <w:rsid w:val="0028277E"/>
    <w:rsid w:val="00287649"/>
    <w:rsid w:val="00287E84"/>
    <w:rsid w:val="0029286C"/>
    <w:rsid w:val="0029300E"/>
    <w:rsid w:val="002A242B"/>
    <w:rsid w:val="002B0C3A"/>
    <w:rsid w:val="002B2116"/>
    <w:rsid w:val="002B2D9B"/>
    <w:rsid w:val="002B5016"/>
    <w:rsid w:val="002B661E"/>
    <w:rsid w:val="002B742C"/>
    <w:rsid w:val="002B7F4D"/>
    <w:rsid w:val="002C285C"/>
    <w:rsid w:val="002C7BE4"/>
    <w:rsid w:val="002D417D"/>
    <w:rsid w:val="002D5E5D"/>
    <w:rsid w:val="002E78A0"/>
    <w:rsid w:val="002F2687"/>
    <w:rsid w:val="002F48E1"/>
    <w:rsid w:val="002F4F3B"/>
    <w:rsid w:val="003059EB"/>
    <w:rsid w:val="003116AC"/>
    <w:rsid w:val="00315567"/>
    <w:rsid w:val="00323853"/>
    <w:rsid w:val="0032507B"/>
    <w:rsid w:val="00330144"/>
    <w:rsid w:val="00345600"/>
    <w:rsid w:val="00346245"/>
    <w:rsid w:val="00347517"/>
    <w:rsid w:val="00356267"/>
    <w:rsid w:val="00356BAD"/>
    <w:rsid w:val="003605B4"/>
    <w:rsid w:val="003627AC"/>
    <w:rsid w:val="00366914"/>
    <w:rsid w:val="00372491"/>
    <w:rsid w:val="00372FE3"/>
    <w:rsid w:val="003755CB"/>
    <w:rsid w:val="00380A53"/>
    <w:rsid w:val="00383F85"/>
    <w:rsid w:val="00384777"/>
    <w:rsid w:val="003A306C"/>
    <w:rsid w:val="003A6486"/>
    <w:rsid w:val="003A7DE7"/>
    <w:rsid w:val="003B1006"/>
    <w:rsid w:val="003C0AFB"/>
    <w:rsid w:val="003C2C7B"/>
    <w:rsid w:val="003C5F11"/>
    <w:rsid w:val="003D3DC9"/>
    <w:rsid w:val="003D4A5D"/>
    <w:rsid w:val="003D6401"/>
    <w:rsid w:val="003E1863"/>
    <w:rsid w:val="003E38F9"/>
    <w:rsid w:val="003F3CDB"/>
    <w:rsid w:val="004038F9"/>
    <w:rsid w:val="00414087"/>
    <w:rsid w:val="0041606D"/>
    <w:rsid w:val="00416962"/>
    <w:rsid w:val="004348CC"/>
    <w:rsid w:val="00450727"/>
    <w:rsid w:val="004508F8"/>
    <w:rsid w:val="0045220A"/>
    <w:rsid w:val="004658FF"/>
    <w:rsid w:val="0047450C"/>
    <w:rsid w:val="00474ED7"/>
    <w:rsid w:val="004756E1"/>
    <w:rsid w:val="0048008A"/>
    <w:rsid w:val="00481D43"/>
    <w:rsid w:val="00483E94"/>
    <w:rsid w:val="00484120"/>
    <w:rsid w:val="004853A0"/>
    <w:rsid w:val="004967FB"/>
    <w:rsid w:val="00496B5F"/>
    <w:rsid w:val="004A2E10"/>
    <w:rsid w:val="004B17FF"/>
    <w:rsid w:val="004B1BA0"/>
    <w:rsid w:val="004B6CEE"/>
    <w:rsid w:val="004C2443"/>
    <w:rsid w:val="004C498F"/>
    <w:rsid w:val="004C5D29"/>
    <w:rsid w:val="004C681A"/>
    <w:rsid w:val="004D436B"/>
    <w:rsid w:val="004D4D8A"/>
    <w:rsid w:val="004E56BE"/>
    <w:rsid w:val="004F68EE"/>
    <w:rsid w:val="00500FB5"/>
    <w:rsid w:val="005038D5"/>
    <w:rsid w:val="00511BA4"/>
    <w:rsid w:val="00511FB8"/>
    <w:rsid w:val="00513332"/>
    <w:rsid w:val="005149E7"/>
    <w:rsid w:val="00520D41"/>
    <w:rsid w:val="005232D6"/>
    <w:rsid w:val="00526139"/>
    <w:rsid w:val="005333CC"/>
    <w:rsid w:val="005350E3"/>
    <w:rsid w:val="005363F1"/>
    <w:rsid w:val="005400A4"/>
    <w:rsid w:val="0055007C"/>
    <w:rsid w:val="00554922"/>
    <w:rsid w:val="00555282"/>
    <w:rsid w:val="005560E7"/>
    <w:rsid w:val="005612CC"/>
    <w:rsid w:val="00563029"/>
    <w:rsid w:val="00567D12"/>
    <w:rsid w:val="00573162"/>
    <w:rsid w:val="00576062"/>
    <w:rsid w:val="0059559F"/>
    <w:rsid w:val="005A302E"/>
    <w:rsid w:val="005A49FF"/>
    <w:rsid w:val="005A7634"/>
    <w:rsid w:val="005C0447"/>
    <w:rsid w:val="005C739F"/>
    <w:rsid w:val="005C73CA"/>
    <w:rsid w:val="005D35AC"/>
    <w:rsid w:val="005D4768"/>
    <w:rsid w:val="005E2CAB"/>
    <w:rsid w:val="005E2F9E"/>
    <w:rsid w:val="005E429E"/>
    <w:rsid w:val="00601ED4"/>
    <w:rsid w:val="006030BC"/>
    <w:rsid w:val="00612866"/>
    <w:rsid w:val="00616EB5"/>
    <w:rsid w:val="006269D4"/>
    <w:rsid w:val="00631E56"/>
    <w:rsid w:val="006327D8"/>
    <w:rsid w:val="0064070A"/>
    <w:rsid w:val="00643A01"/>
    <w:rsid w:val="006574D2"/>
    <w:rsid w:val="006676D4"/>
    <w:rsid w:val="00675535"/>
    <w:rsid w:val="00681359"/>
    <w:rsid w:val="00695B39"/>
    <w:rsid w:val="00696262"/>
    <w:rsid w:val="006973DF"/>
    <w:rsid w:val="006A0099"/>
    <w:rsid w:val="006A09F6"/>
    <w:rsid w:val="006C3A4F"/>
    <w:rsid w:val="006C4845"/>
    <w:rsid w:val="006D5214"/>
    <w:rsid w:val="006D6BC1"/>
    <w:rsid w:val="006E2BFC"/>
    <w:rsid w:val="006E5C57"/>
    <w:rsid w:val="006F22A5"/>
    <w:rsid w:val="00702C73"/>
    <w:rsid w:val="00713394"/>
    <w:rsid w:val="00724677"/>
    <w:rsid w:val="00725AC2"/>
    <w:rsid w:val="00732880"/>
    <w:rsid w:val="007416B9"/>
    <w:rsid w:val="007422FD"/>
    <w:rsid w:val="00743E46"/>
    <w:rsid w:val="00746CF7"/>
    <w:rsid w:val="00747C45"/>
    <w:rsid w:val="00753D24"/>
    <w:rsid w:val="00754222"/>
    <w:rsid w:val="00756CF5"/>
    <w:rsid w:val="00756FDB"/>
    <w:rsid w:val="007629B6"/>
    <w:rsid w:val="007665BF"/>
    <w:rsid w:val="00771B2A"/>
    <w:rsid w:val="007757CE"/>
    <w:rsid w:val="00775800"/>
    <w:rsid w:val="00784054"/>
    <w:rsid w:val="0079180E"/>
    <w:rsid w:val="007942B2"/>
    <w:rsid w:val="007950CC"/>
    <w:rsid w:val="0079538B"/>
    <w:rsid w:val="007961B8"/>
    <w:rsid w:val="00797624"/>
    <w:rsid w:val="007A4828"/>
    <w:rsid w:val="007B093D"/>
    <w:rsid w:val="007B2069"/>
    <w:rsid w:val="007B21C6"/>
    <w:rsid w:val="007B3D7B"/>
    <w:rsid w:val="007C04A1"/>
    <w:rsid w:val="007C21FA"/>
    <w:rsid w:val="007C70DC"/>
    <w:rsid w:val="007D4351"/>
    <w:rsid w:val="007D52E4"/>
    <w:rsid w:val="007D7019"/>
    <w:rsid w:val="007E18DB"/>
    <w:rsid w:val="007E6F1C"/>
    <w:rsid w:val="00800418"/>
    <w:rsid w:val="00804C69"/>
    <w:rsid w:val="0080711D"/>
    <w:rsid w:val="0081459E"/>
    <w:rsid w:val="008155CD"/>
    <w:rsid w:val="00833325"/>
    <w:rsid w:val="00840A41"/>
    <w:rsid w:val="00842F3C"/>
    <w:rsid w:val="00844955"/>
    <w:rsid w:val="008505D1"/>
    <w:rsid w:val="00851ADC"/>
    <w:rsid w:val="00855158"/>
    <w:rsid w:val="00857EE8"/>
    <w:rsid w:val="0086464B"/>
    <w:rsid w:val="008647FC"/>
    <w:rsid w:val="00864CA8"/>
    <w:rsid w:val="00865E2D"/>
    <w:rsid w:val="00870E6C"/>
    <w:rsid w:val="0088269E"/>
    <w:rsid w:val="00884486"/>
    <w:rsid w:val="008871A9"/>
    <w:rsid w:val="00891616"/>
    <w:rsid w:val="008916BA"/>
    <w:rsid w:val="00892176"/>
    <w:rsid w:val="008A06D9"/>
    <w:rsid w:val="008A1DB7"/>
    <w:rsid w:val="008A403A"/>
    <w:rsid w:val="008A4C13"/>
    <w:rsid w:val="008B604D"/>
    <w:rsid w:val="008C54A9"/>
    <w:rsid w:val="008D337B"/>
    <w:rsid w:val="008D4F4B"/>
    <w:rsid w:val="008D746D"/>
    <w:rsid w:val="008E67C3"/>
    <w:rsid w:val="008E7A9F"/>
    <w:rsid w:val="008F17E4"/>
    <w:rsid w:val="008F3577"/>
    <w:rsid w:val="008F399D"/>
    <w:rsid w:val="008F589F"/>
    <w:rsid w:val="008F76A9"/>
    <w:rsid w:val="008F7E67"/>
    <w:rsid w:val="00900DBF"/>
    <w:rsid w:val="0090462B"/>
    <w:rsid w:val="009048B9"/>
    <w:rsid w:val="00904E91"/>
    <w:rsid w:val="00907278"/>
    <w:rsid w:val="00915886"/>
    <w:rsid w:val="009214DC"/>
    <w:rsid w:val="00921D3C"/>
    <w:rsid w:val="00924568"/>
    <w:rsid w:val="00925E3E"/>
    <w:rsid w:val="00927027"/>
    <w:rsid w:val="00930C2F"/>
    <w:rsid w:val="009344BA"/>
    <w:rsid w:val="00947F78"/>
    <w:rsid w:val="00953234"/>
    <w:rsid w:val="009560F3"/>
    <w:rsid w:val="00961EAF"/>
    <w:rsid w:val="0096278F"/>
    <w:rsid w:val="009708CF"/>
    <w:rsid w:val="009726E1"/>
    <w:rsid w:val="00977591"/>
    <w:rsid w:val="00980E75"/>
    <w:rsid w:val="00981456"/>
    <w:rsid w:val="00983BBD"/>
    <w:rsid w:val="00986530"/>
    <w:rsid w:val="00990433"/>
    <w:rsid w:val="00994BE0"/>
    <w:rsid w:val="009A04A2"/>
    <w:rsid w:val="009A25B1"/>
    <w:rsid w:val="009A4608"/>
    <w:rsid w:val="009A6A57"/>
    <w:rsid w:val="009A70BF"/>
    <w:rsid w:val="009B1A15"/>
    <w:rsid w:val="009B2595"/>
    <w:rsid w:val="009C0852"/>
    <w:rsid w:val="009C13CA"/>
    <w:rsid w:val="009C158D"/>
    <w:rsid w:val="009C32C6"/>
    <w:rsid w:val="009C665F"/>
    <w:rsid w:val="009D7E38"/>
    <w:rsid w:val="009E095B"/>
    <w:rsid w:val="009E1846"/>
    <w:rsid w:val="009E78FF"/>
    <w:rsid w:val="00A00F54"/>
    <w:rsid w:val="00A01494"/>
    <w:rsid w:val="00A20068"/>
    <w:rsid w:val="00A22FA9"/>
    <w:rsid w:val="00A25024"/>
    <w:rsid w:val="00A312E5"/>
    <w:rsid w:val="00A35F8F"/>
    <w:rsid w:val="00A41377"/>
    <w:rsid w:val="00A4263D"/>
    <w:rsid w:val="00A509B8"/>
    <w:rsid w:val="00A52AB9"/>
    <w:rsid w:val="00A6210B"/>
    <w:rsid w:val="00A7323A"/>
    <w:rsid w:val="00A805D5"/>
    <w:rsid w:val="00A831B4"/>
    <w:rsid w:val="00A97798"/>
    <w:rsid w:val="00AA08C4"/>
    <w:rsid w:val="00AA5213"/>
    <w:rsid w:val="00AA65A6"/>
    <w:rsid w:val="00AB20DE"/>
    <w:rsid w:val="00AC1D8E"/>
    <w:rsid w:val="00AC3B0C"/>
    <w:rsid w:val="00AC3CB9"/>
    <w:rsid w:val="00AC4210"/>
    <w:rsid w:val="00AC48FA"/>
    <w:rsid w:val="00AC6474"/>
    <w:rsid w:val="00AD0240"/>
    <w:rsid w:val="00AD4137"/>
    <w:rsid w:val="00AF44AA"/>
    <w:rsid w:val="00AF597A"/>
    <w:rsid w:val="00B037BA"/>
    <w:rsid w:val="00B05821"/>
    <w:rsid w:val="00B15459"/>
    <w:rsid w:val="00B20139"/>
    <w:rsid w:val="00B218DA"/>
    <w:rsid w:val="00B342FA"/>
    <w:rsid w:val="00B365AD"/>
    <w:rsid w:val="00B42410"/>
    <w:rsid w:val="00B53E8B"/>
    <w:rsid w:val="00B647D3"/>
    <w:rsid w:val="00B75500"/>
    <w:rsid w:val="00B774D2"/>
    <w:rsid w:val="00B8015A"/>
    <w:rsid w:val="00B81A75"/>
    <w:rsid w:val="00B82A57"/>
    <w:rsid w:val="00B82C55"/>
    <w:rsid w:val="00B9391C"/>
    <w:rsid w:val="00B96E86"/>
    <w:rsid w:val="00BA053B"/>
    <w:rsid w:val="00BB11FB"/>
    <w:rsid w:val="00BB35AE"/>
    <w:rsid w:val="00BB4C45"/>
    <w:rsid w:val="00BB5067"/>
    <w:rsid w:val="00BC03A1"/>
    <w:rsid w:val="00BC0D25"/>
    <w:rsid w:val="00BD2505"/>
    <w:rsid w:val="00BD3A30"/>
    <w:rsid w:val="00BE592D"/>
    <w:rsid w:val="00BE6C48"/>
    <w:rsid w:val="00BE773F"/>
    <w:rsid w:val="00BE779E"/>
    <w:rsid w:val="00BF52B0"/>
    <w:rsid w:val="00BF5697"/>
    <w:rsid w:val="00C03ED3"/>
    <w:rsid w:val="00C12D8E"/>
    <w:rsid w:val="00C14CCC"/>
    <w:rsid w:val="00C22C1C"/>
    <w:rsid w:val="00C321F9"/>
    <w:rsid w:val="00C33F2E"/>
    <w:rsid w:val="00C34936"/>
    <w:rsid w:val="00C34C14"/>
    <w:rsid w:val="00C355B9"/>
    <w:rsid w:val="00C401C4"/>
    <w:rsid w:val="00C41680"/>
    <w:rsid w:val="00C60A25"/>
    <w:rsid w:val="00C661A2"/>
    <w:rsid w:val="00C765C5"/>
    <w:rsid w:val="00C82479"/>
    <w:rsid w:val="00C867F0"/>
    <w:rsid w:val="00CA06D8"/>
    <w:rsid w:val="00CA345A"/>
    <w:rsid w:val="00CB0992"/>
    <w:rsid w:val="00CB49FF"/>
    <w:rsid w:val="00CC02CF"/>
    <w:rsid w:val="00CC086A"/>
    <w:rsid w:val="00CC5369"/>
    <w:rsid w:val="00CD0F66"/>
    <w:rsid w:val="00CD18D3"/>
    <w:rsid w:val="00CD364B"/>
    <w:rsid w:val="00CD6806"/>
    <w:rsid w:val="00CE23B8"/>
    <w:rsid w:val="00CE3444"/>
    <w:rsid w:val="00CE50D7"/>
    <w:rsid w:val="00CE6ADA"/>
    <w:rsid w:val="00D00344"/>
    <w:rsid w:val="00D12AB5"/>
    <w:rsid w:val="00D1754D"/>
    <w:rsid w:val="00D2223F"/>
    <w:rsid w:val="00D274A4"/>
    <w:rsid w:val="00D277AF"/>
    <w:rsid w:val="00D31163"/>
    <w:rsid w:val="00D320B1"/>
    <w:rsid w:val="00D33AFD"/>
    <w:rsid w:val="00D36489"/>
    <w:rsid w:val="00D42195"/>
    <w:rsid w:val="00D50704"/>
    <w:rsid w:val="00D5760A"/>
    <w:rsid w:val="00D57D56"/>
    <w:rsid w:val="00D61410"/>
    <w:rsid w:val="00D67C3B"/>
    <w:rsid w:val="00D75ADF"/>
    <w:rsid w:val="00D761D5"/>
    <w:rsid w:val="00D8172A"/>
    <w:rsid w:val="00D8181D"/>
    <w:rsid w:val="00D81C62"/>
    <w:rsid w:val="00D87554"/>
    <w:rsid w:val="00D968D8"/>
    <w:rsid w:val="00DA563D"/>
    <w:rsid w:val="00DA7277"/>
    <w:rsid w:val="00DB3627"/>
    <w:rsid w:val="00DB4724"/>
    <w:rsid w:val="00DB7AF4"/>
    <w:rsid w:val="00DC4746"/>
    <w:rsid w:val="00DE7149"/>
    <w:rsid w:val="00DF678C"/>
    <w:rsid w:val="00E0314C"/>
    <w:rsid w:val="00E109DE"/>
    <w:rsid w:val="00E1257E"/>
    <w:rsid w:val="00E1508F"/>
    <w:rsid w:val="00E27240"/>
    <w:rsid w:val="00E27EDD"/>
    <w:rsid w:val="00E30584"/>
    <w:rsid w:val="00E310B9"/>
    <w:rsid w:val="00E37E1B"/>
    <w:rsid w:val="00E562C0"/>
    <w:rsid w:val="00E64636"/>
    <w:rsid w:val="00E672D6"/>
    <w:rsid w:val="00E703C5"/>
    <w:rsid w:val="00E76024"/>
    <w:rsid w:val="00E856A2"/>
    <w:rsid w:val="00E96884"/>
    <w:rsid w:val="00EA5435"/>
    <w:rsid w:val="00EA5F47"/>
    <w:rsid w:val="00EC02A5"/>
    <w:rsid w:val="00EC79DE"/>
    <w:rsid w:val="00ED0163"/>
    <w:rsid w:val="00ED410B"/>
    <w:rsid w:val="00ED4ACE"/>
    <w:rsid w:val="00EE4D35"/>
    <w:rsid w:val="00EF2DA7"/>
    <w:rsid w:val="00F0091C"/>
    <w:rsid w:val="00F11848"/>
    <w:rsid w:val="00F14210"/>
    <w:rsid w:val="00F20CCE"/>
    <w:rsid w:val="00F316C7"/>
    <w:rsid w:val="00F3292B"/>
    <w:rsid w:val="00F435AA"/>
    <w:rsid w:val="00F51329"/>
    <w:rsid w:val="00F55A56"/>
    <w:rsid w:val="00F5738A"/>
    <w:rsid w:val="00F612D4"/>
    <w:rsid w:val="00F61653"/>
    <w:rsid w:val="00F61749"/>
    <w:rsid w:val="00F77F1D"/>
    <w:rsid w:val="00F84FF1"/>
    <w:rsid w:val="00F866DB"/>
    <w:rsid w:val="00F87CCB"/>
    <w:rsid w:val="00FA20B9"/>
    <w:rsid w:val="00FA48C7"/>
    <w:rsid w:val="00FB73C1"/>
    <w:rsid w:val="00FE4F00"/>
    <w:rsid w:val="00FE50D5"/>
    <w:rsid w:val="00FF0E8C"/>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table" w:styleId="LightShading-Accent5">
    <w:name w:val="Light Shading Accent 5"/>
    <w:basedOn w:val="TableNormal"/>
    <w:uiPriority w:val="60"/>
    <w:rsid w:val="00414087"/>
    <w:pPr>
      <w:spacing w:after="0" w:line="240" w:lineRule="auto"/>
    </w:pPr>
    <w:rPr>
      <w:rFonts w:eastAsiaTheme="minorHAnsi"/>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apple-converted-space">
    <w:name w:val="apple-converted-space"/>
    <w:basedOn w:val="DefaultParagraphFont"/>
    <w:rsid w:val="00F14210"/>
  </w:style>
  <w:style w:type="paragraph" w:styleId="NormalWeb">
    <w:name w:val="Normal (Web)"/>
    <w:basedOn w:val="Normal"/>
    <w:uiPriority w:val="99"/>
    <w:semiHidden/>
    <w:unhideWhenUsed/>
    <w:rsid w:val="00243ADC"/>
    <w:pPr>
      <w:spacing w:before="100" w:beforeAutospacing="1" w:after="100" w:afterAutospacing="1" w:line="240" w:lineRule="auto"/>
    </w:pPr>
    <w:rPr>
      <w:rFonts w:ascii="Times New Roman" w:eastAsiaTheme="minorHAns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table" w:styleId="LightShading-Accent5">
    <w:name w:val="Light Shading Accent 5"/>
    <w:basedOn w:val="TableNormal"/>
    <w:uiPriority w:val="60"/>
    <w:rsid w:val="00414087"/>
    <w:pPr>
      <w:spacing w:after="0" w:line="240" w:lineRule="auto"/>
    </w:pPr>
    <w:rPr>
      <w:rFonts w:eastAsiaTheme="minorHAnsi"/>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apple-converted-space">
    <w:name w:val="apple-converted-space"/>
    <w:basedOn w:val="DefaultParagraphFont"/>
    <w:rsid w:val="00F14210"/>
  </w:style>
  <w:style w:type="paragraph" w:styleId="NormalWeb">
    <w:name w:val="Normal (Web)"/>
    <w:basedOn w:val="Normal"/>
    <w:uiPriority w:val="99"/>
    <w:semiHidden/>
    <w:unhideWhenUsed/>
    <w:rsid w:val="00243ADC"/>
    <w:pPr>
      <w:spacing w:before="100" w:beforeAutospacing="1" w:after="100" w:afterAutospacing="1" w:line="240" w:lineRule="auto"/>
    </w:pPr>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64528">
      <w:bodyDiv w:val="1"/>
      <w:marLeft w:val="0"/>
      <w:marRight w:val="0"/>
      <w:marTop w:val="0"/>
      <w:marBottom w:val="0"/>
      <w:divBdr>
        <w:top w:val="none" w:sz="0" w:space="0" w:color="auto"/>
        <w:left w:val="none" w:sz="0" w:space="0" w:color="auto"/>
        <w:bottom w:val="none" w:sz="0" w:space="0" w:color="auto"/>
        <w:right w:val="none" w:sz="0" w:space="0" w:color="auto"/>
      </w:divBdr>
    </w:div>
    <w:div w:id="405999003">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46724906">
      <w:bodyDiv w:val="1"/>
      <w:marLeft w:val="0"/>
      <w:marRight w:val="0"/>
      <w:marTop w:val="0"/>
      <w:marBottom w:val="0"/>
      <w:divBdr>
        <w:top w:val="none" w:sz="0" w:space="0" w:color="auto"/>
        <w:left w:val="none" w:sz="0" w:space="0" w:color="auto"/>
        <w:bottom w:val="none" w:sz="0" w:space="0" w:color="auto"/>
        <w:right w:val="none" w:sz="0" w:space="0" w:color="auto"/>
      </w:divBdr>
    </w:div>
    <w:div w:id="624584683">
      <w:bodyDiv w:val="1"/>
      <w:marLeft w:val="0"/>
      <w:marRight w:val="0"/>
      <w:marTop w:val="0"/>
      <w:marBottom w:val="0"/>
      <w:divBdr>
        <w:top w:val="none" w:sz="0" w:space="0" w:color="auto"/>
        <w:left w:val="none" w:sz="0" w:space="0" w:color="auto"/>
        <w:bottom w:val="none" w:sz="0" w:space="0" w:color="auto"/>
        <w:right w:val="none" w:sz="0" w:space="0" w:color="auto"/>
      </w:divBdr>
    </w:div>
    <w:div w:id="711155745">
      <w:bodyDiv w:val="1"/>
      <w:marLeft w:val="0"/>
      <w:marRight w:val="0"/>
      <w:marTop w:val="0"/>
      <w:marBottom w:val="0"/>
      <w:divBdr>
        <w:top w:val="none" w:sz="0" w:space="0" w:color="auto"/>
        <w:left w:val="none" w:sz="0" w:space="0" w:color="auto"/>
        <w:bottom w:val="none" w:sz="0" w:space="0" w:color="auto"/>
        <w:right w:val="none" w:sz="0" w:space="0" w:color="auto"/>
      </w:divBdr>
    </w:div>
    <w:div w:id="785538761">
      <w:bodyDiv w:val="1"/>
      <w:marLeft w:val="0"/>
      <w:marRight w:val="0"/>
      <w:marTop w:val="0"/>
      <w:marBottom w:val="0"/>
      <w:divBdr>
        <w:top w:val="none" w:sz="0" w:space="0" w:color="auto"/>
        <w:left w:val="none" w:sz="0" w:space="0" w:color="auto"/>
        <w:bottom w:val="none" w:sz="0" w:space="0" w:color="auto"/>
        <w:right w:val="none" w:sz="0" w:space="0" w:color="auto"/>
      </w:divBdr>
    </w:div>
    <w:div w:id="823618393">
      <w:bodyDiv w:val="1"/>
      <w:marLeft w:val="0"/>
      <w:marRight w:val="0"/>
      <w:marTop w:val="0"/>
      <w:marBottom w:val="0"/>
      <w:divBdr>
        <w:top w:val="none" w:sz="0" w:space="0" w:color="auto"/>
        <w:left w:val="none" w:sz="0" w:space="0" w:color="auto"/>
        <w:bottom w:val="none" w:sz="0" w:space="0" w:color="auto"/>
        <w:right w:val="none" w:sz="0" w:space="0" w:color="auto"/>
      </w:divBdr>
    </w:div>
    <w:div w:id="1101798645">
      <w:bodyDiv w:val="1"/>
      <w:marLeft w:val="0"/>
      <w:marRight w:val="0"/>
      <w:marTop w:val="0"/>
      <w:marBottom w:val="0"/>
      <w:divBdr>
        <w:top w:val="none" w:sz="0" w:space="0" w:color="auto"/>
        <w:left w:val="none" w:sz="0" w:space="0" w:color="auto"/>
        <w:bottom w:val="none" w:sz="0" w:space="0" w:color="auto"/>
        <w:right w:val="none" w:sz="0" w:space="0" w:color="auto"/>
      </w:divBdr>
    </w:div>
    <w:div w:id="1229263492">
      <w:bodyDiv w:val="1"/>
      <w:marLeft w:val="0"/>
      <w:marRight w:val="0"/>
      <w:marTop w:val="0"/>
      <w:marBottom w:val="0"/>
      <w:divBdr>
        <w:top w:val="none" w:sz="0" w:space="0" w:color="auto"/>
        <w:left w:val="none" w:sz="0" w:space="0" w:color="auto"/>
        <w:bottom w:val="none" w:sz="0" w:space="0" w:color="auto"/>
        <w:right w:val="none" w:sz="0" w:space="0" w:color="auto"/>
      </w:divBdr>
    </w:div>
    <w:div w:id="1347486412">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68946828">
      <w:bodyDiv w:val="1"/>
      <w:marLeft w:val="0"/>
      <w:marRight w:val="0"/>
      <w:marTop w:val="0"/>
      <w:marBottom w:val="0"/>
      <w:divBdr>
        <w:top w:val="none" w:sz="0" w:space="0" w:color="auto"/>
        <w:left w:val="none" w:sz="0" w:space="0" w:color="auto"/>
        <w:bottom w:val="none" w:sz="0" w:space="0" w:color="auto"/>
        <w:right w:val="none" w:sz="0" w:space="0" w:color="auto"/>
      </w:divBdr>
    </w:div>
    <w:div w:id="1671373380">
      <w:bodyDiv w:val="1"/>
      <w:marLeft w:val="0"/>
      <w:marRight w:val="0"/>
      <w:marTop w:val="0"/>
      <w:marBottom w:val="0"/>
      <w:divBdr>
        <w:top w:val="none" w:sz="0" w:space="0" w:color="auto"/>
        <w:left w:val="none" w:sz="0" w:space="0" w:color="auto"/>
        <w:bottom w:val="none" w:sz="0" w:space="0" w:color="auto"/>
        <w:right w:val="none" w:sz="0" w:space="0" w:color="auto"/>
      </w:divBdr>
    </w:div>
    <w:div w:id="209088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hcancal.org/qualityreport/Documents/AHCA_2013QR_ONLINE.pdf" TargetMode="External"/><Relationship Id="rId5" Type="http://schemas.openxmlformats.org/officeDocument/2006/relationships/settings" Target="settings.xml"/><Relationship Id="rId15" Type="http://schemas.microsoft.com/office/2007/relationships/hdphoto" Target="media/hdphoto1.wdp"/><Relationship Id="rId10" Type="http://schemas.openxmlformats.org/officeDocument/2006/relationships/hyperlink" Target="http://www.ahcancal.org/qualityreport/Documents/AHCA_2013QR_ONLINE.pdf"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National Risk</a:t>
            </a:r>
            <a:r>
              <a:rPr lang="en-US" baseline="0"/>
              <a:t> Adjusted Rehospitalization Rates </a:t>
            </a:r>
            <a:endParaRPr lang="en-US"/>
          </a:p>
        </c:rich>
      </c:tx>
      <c:layout/>
      <c:overlay val="0"/>
    </c:title>
    <c:autoTitleDeleted val="0"/>
    <c:plotArea>
      <c:layout/>
      <c:barChart>
        <c:barDir val="col"/>
        <c:grouping val="clustered"/>
        <c:varyColors val="0"/>
        <c:ser>
          <c:idx val="0"/>
          <c:order val="0"/>
          <c:tx>
            <c:strRef>
              <c:f>Sheet1!$B$1</c:f>
              <c:strCache>
                <c:ptCount val="1"/>
                <c:pt idx="0">
                  <c:v>Number of Facilities </c:v>
                </c:pt>
              </c:strCache>
            </c:strRef>
          </c:tx>
          <c:invertIfNegative val="0"/>
          <c:cat>
            <c:strRef>
              <c:f>Sheet1!$A$2:$A$9</c:f>
              <c:strCache>
                <c:ptCount val="8"/>
                <c:pt idx="0">
                  <c:v>00 to &lt;05 </c:v>
                </c:pt>
                <c:pt idx="1">
                  <c:v>05 to &lt;10</c:v>
                </c:pt>
                <c:pt idx="2">
                  <c:v>10 to &lt;15</c:v>
                </c:pt>
                <c:pt idx="3">
                  <c:v>15 to &lt;20</c:v>
                </c:pt>
                <c:pt idx="4">
                  <c:v>20 to &lt;25</c:v>
                </c:pt>
                <c:pt idx="5">
                  <c:v>25 to &lt;30 </c:v>
                </c:pt>
                <c:pt idx="6">
                  <c:v>30 to &lt;35</c:v>
                </c:pt>
                <c:pt idx="7">
                  <c:v>35 &amp; Above </c:v>
                </c:pt>
              </c:strCache>
            </c:strRef>
          </c:cat>
          <c:val>
            <c:numRef>
              <c:f>Sheet1!$B$2:$B$9</c:f>
              <c:numCache>
                <c:formatCode>General</c:formatCode>
                <c:ptCount val="8"/>
                <c:pt idx="0">
                  <c:v>96</c:v>
                </c:pt>
                <c:pt idx="1">
                  <c:v>739</c:v>
                </c:pt>
                <c:pt idx="2">
                  <c:v>2622</c:v>
                </c:pt>
                <c:pt idx="3">
                  <c:v>4445</c:v>
                </c:pt>
                <c:pt idx="4">
                  <c:v>2666</c:v>
                </c:pt>
                <c:pt idx="5">
                  <c:v>730</c:v>
                </c:pt>
                <c:pt idx="6">
                  <c:v>140</c:v>
                </c:pt>
                <c:pt idx="7">
                  <c:v>35</c:v>
                </c:pt>
              </c:numCache>
            </c:numRef>
          </c:val>
        </c:ser>
        <c:dLbls>
          <c:showLegendKey val="0"/>
          <c:showVal val="0"/>
          <c:showCatName val="0"/>
          <c:showSerName val="0"/>
          <c:showPercent val="0"/>
          <c:showBubbleSize val="0"/>
        </c:dLbls>
        <c:gapWidth val="150"/>
        <c:axId val="45076480"/>
        <c:axId val="85726272"/>
      </c:barChart>
      <c:catAx>
        <c:axId val="45076480"/>
        <c:scaling>
          <c:orientation val="minMax"/>
        </c:scaling>
        <c:delete val="0"/>
        <c:axPos val="b"/>
        <c:title>
          <c:tx>
            <c:rich>
              <a:bodyPr/>
              <a:lstStyle/>
              <a:p>
                <a:pPr>
                  <a:defRPr/>
                </a:pPr>
                <a:r>
                  <a:rPr lang="en-US"/>
                  <a:t>Risk Adjusted Rehospitalization Rate Range (2013Q2)</a:t>
                </a:r>
              </a:p>
            </c:rich>
          </c:tx>
          <c:layout/>
          <c:overlay val="0"/>
        </c:title>
        <c:majorTickMark val="out"/>
        <c:minorTickMark val="none"/>
        <c:tickLblPos val="nextTo"/>
        <c:crossAx val="85726272"/>
        <c:crosses val="autoZero"/>
        <c:auto val="1"/>
        <c:lblAlgn val="ctr"/>
        <c:lblOffset val="100"/>
        <c:noMultiLvlLbl val="0"/>
      </c:catAx>
      <c:valAx>
        <c:axId val="85726272"/>
        <c:scaling>
          <c:orientation val="minMax"/>
        </c:scaling>
        <c:delete val="0"/>
        <c:axPos val="l"/>
        <c:majorGridlines/>
        <c:title>
          <c:tx>
            <c:rich>
              <a:bodyPr rot="-5400000" vert="horz"/>
              <a:lstStyle/>
              <a:p>
                <a:pPr>
                  <a:defRPr/>
                </a:pPr>
                <a:r>
                  <a:rPr lang="en-US"/>
                  <a:t>Number of Facilities</a:t>
                </a:r>
                <a:r>
                  <a:rPr lang="en-US" baseline="0"/>
                  <a:t> </a:t>
                </a:r>
                <a:endParaRPr lang="en-US"/>
              </a:p>
            </c:rich>
          </c:tx>
          <c:layout/>
          <c:overlay val="0"/>
        </c:title>
        <c:numFmt formatCode="General" sourceLinked="1"/>
        <c:majorTickMark val="out"/>
        <c:minorTickMark val="none"/>
        <c:tickLblPos val="nextTo"/>
        <c:crossAx val="45076480"/>
        <c:crosses val="autoZero"/>
        <c:crossBetween val="between"/>
      </c:valAx>
    </c:plotArea>
    <c:plotVisOnly val="1"/>
    <c:dispBlanksAs val="gap"/>
    <c:showDLblsOverMax val="0"/>
  </c:chart>
  <c:spPr>
    <a:ln>
      <a:noFill/>
    </a:ln>
  </c:sp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1A512E"/>
    <w:rsid w:val="00223FA3"/>
    <w:rsid w:val="002A23AD"/>
    <w:rsid w:val="002A288F"/>
    <w:rsid w:val="002F052A"/>
    <w:rsid w:val="00350176"/>
    <w:rsid w:val="003840F0"/>
    <w:rsid w:val="00437537"/>
    <w:rsid w:val="0053654E"/>
    <w:rsid w:val="00632A7E"/>
    <w:rsid w:val="00632AB6"/>
    <w:rsid w:val="006C7500"/>
    <w:rsid w:val="00730B33"/>
    <w:rsid w:val="00772B2A"/>
    <w:rsid w:val="007A6430"/>
    <w:rsid w:val="007C672A"/>
    <w:rsid w:val="007D4368"/>
    <w:rsid w:val="00822666"/>
    <w:rsid w:val="00823ECC"/>
    <w:rsid w:val="00866C97"/>
    <w:rsid w:val="008E3556"/>
    <w:rsid w:val="009017AE"/>
    <w:rsid w:val="00907678"/>
    <w:rsid w:val="009A5E7D"/>
    <w:rsid w:val="009C542D"/>
    <w:rsid w:val="00A44E1B"/>
    <w:rsid w:val="00A95183"/>
    <w:rsid w:val="00AB4AF7"/>
    <w:rsid w:val="00AC1861"/>
    <w:rsid w:val="00AD7C4F"/>
    <w:rsid w:val="00AF2B82"/>
    <w:rsid w:val="00B445F5"/>
    <w:rsid w:val="00B9371E"/>
    <w:rsid w:val="00BD40CB"/>
    <w:rsid w:val="00C362A2"/>
    <w:rsid w:val="00C90121"/>
    <w:rsid w:val="00CA344F"/>
    <w:rsid w:val="00CE4E8D"/>
    <w:rsid w:val="00D1676E"/>
    <w:rsid w:val="00D87D01"/>
    <w:rsid w:val="00DC0246"/>
    <w:rsid w:val="00DC2BF9"/>
    <w:rsid w:val="00E6518A"/>
    <w:rsid w:val="00F24F23"/>
    <w:rsid w:val="00F540AB"/>
    <w:rsid w:val="00F915BA"/>
    <w:rsid w:val="00FD3852"/>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4F69F-8A19-4F97-9B1F-BDB6D668D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8793</Words>
  <Characters>50122</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Urvi Shah</cp:lastModifiedBy>
  <cp:revision>3</cp:revision>
  <cp:lastPrinted>2014-01-14T18:20:00Z</cp:lastPrinted>
  <dcterms:created xsi:type="dcterms:W3CDTF">2014-01-27T14:49:00Z</dcterms:created>
  <dcterms:modified xsi:type="dcterms:W3CDTF">2014-01-28T15:53:00Z</dcterms:modified>
</cp:coreProperties>
</file>