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DA3E23" w:rsidRDefault="00105D8B" w:rsidP="00DA3E23">
      <w:pPr>
        <w:shd w:val="clear" w:color="auto" w:fill="D9D9D9" w:themeFill="background1" w:themeFillShade="D9"/>
        <w:contextualSpacing/>
        <w:rPr>
          <w:rFonts w:cstheme="minorHAnsi"/>
          <w:noProof/>
        </w:rPr>
      </w:pPr>
      <w:r w:rsidRPr="00A25024">
        <w:rPr>
          <w:rFonts w:cstheme="minorHAnsi"/>
          <w:b/>
          <w:noProof/>
        </w:rPr>
        <w:t>Measure Title</w:t>
      </w:r>
      <w:r w:rsidRPr="00A25024">
        <w:rPr>
          <w:rFonts w:cstheme="minorHAnsi"/>
          <w:noProof/>
        </w:rPr>
        <w:t>:</w:t>
      </w:r>
    </w:p>
    <w:sdt>
      <w:sdtPr>
        <w:rPr>
          <w:rStyle w:val="Style1"/>
          <w:rFonts w:cstheme="minorHAnsi"/>
        </w:rPr>
        <w:id w:val="-882640736"/>
        <w:placeholder>
          <w:docPart w:val="00949831315D4E1BAFC508BD77E32A40"/>
        </w:placeholder>
      </w:sdtPr>
      <w:sdtEndPr>
        <w:rPr>
          <w:rStyle w:val="DefaultParagraphFont"/>
          <w:noProof/>
          <w:color w:val="auto"/>
        </w:rPr>
      </w:sdtEndPr>
      <w:sdtContent>
        <w:p w:rsidR="00105D8B" w:rsidRPr="00AB7D79" w:rsidRDefault="00575677" w:rsidP="00105D8B">
          <w:pPr>
            <w:contextualSpacing/>
            <w:rPr>
              <w:rFonts w:cs="Calibri"/>
            </w:rPr>
          </w:pPr>
          <w:r w:rsidRPr="00BD40FB">
            <w:rPr>
              <w:rStyle w:val="PlaceholderText"/>
              <w:rFonts w:cs="Calibri"/>
              <w:color w:val="auto"/>
            </w:rPr>
            <w:t>Risk-Adjusted Coronary Artery Bypass Graft (CABG) Readmission Rate</w:t>
          </w:r>
        </w:p>
      </w:sdtContent>
    </w:sdt>
    <w:p w:rsidR="00DA3E23" w:rsidRDefault="00105D8B" w:rsidP="00DA3E23">
      <w:pPr>
        <w:shd w:val="clear" w:color="auto" w:fill="D9D9D9" w:themeFill="background1" w:themeFillShade="D9"/>
        <w:spacing w:after="0"/>
        <w:rPr>
          <w:rFonts w:cstheme="minorHAnsi"/>
          <w:noProof/>
        </w:rPr>
      </w:pPr>
      <w:r w:rsidRPr="00A25024">
        <w:rPr>
          <w:rFonts w:cstheme="minorHAnsi"/>
          <w:b/>
          <w:noProof/>
        </w:rPr>
        <w:t>Date of Submission</w:t>
      </w:r>
      <w:r w:rsidRPr="00A25024">
        <w:rPr>
          <w:rFonts w:cstheme="minorHAnsi"/>
          <w:noProof/>
        </w:rPr>
        <w:t>:</w:t>
      </w:r>
    </w:p>
    <w:p w:rsidR="005C73CA" w:rsidRDefault="0008706B" w:rsidP="009E1846">
      <w:pPr>
        <w:spacing w:after="0"/>
        <w:rPr>
          <w:rStyle w:val="Style2"/>
          <w:rFonts w:cstheme="minorHAnsi"/>
        </w:rPr>
      </w:pPr>
      <w:sdt>
        <w:sdtPr>
          <w:rPr>
            <w:rStyle w:val="Style2"/>
            <w:rFonts w:cstheme="minorHAnsi"/>
          </w:rPr>
          <w:id w:val="-1689821638"/>
          <w:placeholder>
            <w:docPart w:val="D0A5AE3409394D21BA5FA5F27780E302"/>
          </w:placeholder>
          <w:date w:fullDate="2014-02-05T00:00:00Z">
            <w:dateFormat w:val="M/d/yyyy"/>
            <w:lid w:val="en-US"/>
            <w:storeMappedDataAs w:val="dateTime"/>
            <w:calendar w:val="gregorian"/>
          </w:date>
        </w:sdtPr>
        <w:sdtEndPr>
          <w:rPr>
            <w:rStyle w:val="DefaultParagraphFont"/>
            <w:noProof/>
            <w:color w:val="auto"/>
            <w:u w:val="none"/>
          </w:rPr>
        </w:sdtEndPr>
        <w:sdtContent>
          <w:r w:rsidR="00575677">
            <w:rPr>
              <w:rStyle w:val="Style2"/>
              <w:rFonts w:cstheme="minorHAnsi"/>
            </w:rPr>
            <w:t>2/5/2014</w:t>
          </w:r>
        </w:sdtContent>
      </w:sdt>
    </w:p>
    <w:p w:rsidR="00CD364B" w:rsidRPr="009E1846" w:rsidRDefault="009E1846" w:rsidP="00DA3E23">
      <w:pPr>
        <w:shd w:val="clear" w:color="auto" w:fill="D9D9D9" w:themeFill="background1" w:themeFillShade="D9"/>
        <w:spacing w:after="0"/>
        <w:rPr>
          <w:rFonts w:cstheme="minorHAnsi"/>
          <w:b/>
        </w:rPr>
      </w:pPr>
      <w:r>
        <w:rPr>
          <w:rStyle w:val="Style2"/>
          <w:rFonts w:cstheme="minorHAnsi"/>
          <w:b/>
          <w:color w:val="auto"/>
          <w:u w:val="none"/>
        </w:rPr>
        <w:t>Type of Measure:</w:t>
      </w:r>
    </w:p>
    <w:tbl>
      <w:tblPr>
        <w:tblStyle w:val="TableGrid"/>
        <w:tblW w:w="4868" w:type="pct"/>
        <w:jc w:val="center"/>
        <w:tblInd w:w="25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1"/>
        <w:gridCol w:w="4302"/>
      </w:tblGrid>
      <w:tr w:rsidR="00CD364B" w:rsidRPr="00B82A57" w:rsidTr="00DA3E23">
        <w:trPr>
          <w:jc w:val="center"/>
        </w:trPr>
        <w:tc>
          <w:tcPr>
            <w:tcW w:w="2693" w:type="pct"/>
          </w:tcPr>
          <w:p w:rsidR="00CD364B" w:rsidRPr="00B82A57" w:rsidRDefault="0008706B" w:rsidP="00CD364B">
            <w:pPr>
              <w:autoSpaceDE w:val="0"/>
              <w:autoSpaceDN w:val="0"/>
              <w:adjustRightInd w:val="0"/>
              <w:rPr>
                <w:rFonts w:cstheme="minorHAnsi"/>
                <w:bCs/>
              </w:rPr>
            </w:pPr>
            <w:sdt>
              <w:sdtPr>
                <w:rPr>
                  <w:rFonts w:cstheme="minorHAnsi"/>
                  <w:bCs/>
                  <w:color w:val="0000FF"/>
                  <w:u w:val="single"/>
                </w:rPr>
                <w:id w:val="-1406217088"/>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307" w:type="pct"/>
          </w:tcPr>
          <w:p w:rsidR="00CD364B" w:rsidRPr="00B82A57" w:rsidRDefault="0008706B" w:rsidP="00CD364B">
            <w:pPr>
              <w:autoSpaceDE w:val="0"/>
              <w:autoSpaceDN w:val="0"/>
              <w:adjustRightInd w:val="0"/>
              <w:rPr>
                <w:rFonts w:cstheme="minorHAnsi"/>
                <w:bCs/>
              </w:rPr>
            </w:pPr>
            <w:sdt>
              <w:sdtPr>
                <w:rPr>
                  <w:rFonts w:cstheme="minorHAnsi"/>
                  <w:bCs/>
                  <w:color w:val="0000FF"/>
                </w:rPr>
                <w:id w:val="40960739"/>
              </w:sdtPr>
              <w:sdtContent>
                <w:r w:rsidR="007E795B">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DA3E23">
        <w:trPr>
          <w:jc w:val="center"/>
        </w:trPr>
        <w:tc>
          <w:tcPr>
            <w:tcW w:w="2693" w:type="pct"/>
          </w:tcPr>
          <w:p w:rsidR="00CD364B" w:rsidRPr="00B82A57" w:rsidRDefault="0008706B" w:rsidP="00CD364B">
            <w:pPr>
              <w:autoSpaceDE w:val="0"/>
              <w:autoSpaceDN w:val="0"/>
              <w:adjustRightInd w:val="0"/>
              <w:rPr>
                <w:rFonts w:cstheme="minorHAnsi"/>
                <w:bCs/>
              </w:rPr>
            </w:pPr>
            <w:sdt>
              <w:sdtPr>
                <w:rPr>
                  <w:rFonts w:cstheme="minorHAnsi"/>
                  <w:bCs/>
                  <w:color w:val="0000FF"/>
                </w:rPr>
                <w:id w:val="-1629553688"/>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307" w:type="pct"/>
          </w:tcPr>
          <w:p w:rsidR="00CD364B" w:rsidRPr="00B82A57" w:rsidRDefault="0008706B" w:rsidP="00CD364B">
            <w:pPr>
              <w:autoSpaceDE w:val="0"/>
              <w:autoSpaceDN w:val="0"/>
              <w:adjustRightInd w:val="0"/>
              <w:rPr>
                <w:rFonts w:cstheme="minorHAnsi"/>
                <w:bCs/>
              </w:rPr>
            </w:pPr>
            <w:sdt>
              <w:sdtPr>
                <w:rPr>
                  <w:rFonts w:cstheme="minorHAnsi"/>
                  <w:bCs/>
                  <w:color w:val="0000FF"/>
                </w:rPr>
                <w:id w:val="-1952933063"/>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DA3E23">
        <w:trPr>
          <w:jc w:val="center"/>
        </w:trPr>
        <w:tc>
          <w:tcPr>
            <w:tcW w:w="2693" w:type="pct"/>
          </w:tcPr>
          <w:p w:rsidR="00CD364B" w:rsidRPr="00B82A57" w:rsidRDefault="0008706B" w:rsidP="00CD364B">
            <w:pPr>
              <w:autoSpaceDE w:val="0"/>
              <w:autoSpaceDN w:val="0"/>
              <w:adjustRightInd w:val="0"/>
              <w:rPr>
                <w:rFonts w:cstheme="minorHAnsi"/>
                <w:bCs/>
              </w:rPr>
            </w:pPr>
            <w:sdt>
              <w:sdtPr>
                <w:rPr>
                  <w:rFonts w:cstheme="minorHAnsi"/>
                  <w:bCs/>
                  <w:color w:val="0000FF"/>
                </w:rPr>
                <w:id w:val="1581719781"/>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307" w:type="pct"/>
          </w:tcPr>
          <w:p w:rsidR="00CD364B" w:rsidRPr="00B82A57" w:rsidRDefault="0008706B" w:rsidP="00CD364B">
            <w:pPr>
              <w:autoSpaceDE w:val="0"/>
              <w:autoSpaceDN w:val="0"/>
              <w:adjustRightInd w:val="0"/>
              <w:rPr>
                <w:rFonts w:cstheme="minorHAnsi"/>
                <w:bCs/>
              </w:rPr>
            </w:pPr>
            <w:sdt>
              <w:sdtPr>
                <w:rPr>
                  <w:rFonts w:cstheme="minorHAnsi"/>
                  <w:bCs/>
                  <w:color w:val="0000FF"/>
                </w:rPr>
                <w:id w:val="-1898113707"/>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w:t>
            </w:r>
            <w:r w:rsidR="00635952">
              <w:rPr>
                <w:rFonts w:cstheme="minorHAnsi"/>
                <w:b/>
                <w:noProof/>
                <w:u w:val="single"/>
              </w:rPr>
              <w:t>ti</w:t>
            </w:r>
            <w:r w:rsidR="004D4D8A">
              <w:rPr>
                <w:rFonts w:cstheme="minorHAnsi"/>
                <w:b/>
                <w:noProof/>
                <w:u w:val="single"/>
              </w:rPr>
              <w: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w:t>
            </w:r>
            <w:proofErr w:type="spellStart"/>
            <w:r w:rsidR="008F589F">
              <w:t>2a</w:t>
            </w:r>
            <w:r w:rsidR="00145149">
              <w:t>2</w:t>
            </w:r>
            <w:proofErr w:type="spellEnd"/>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0"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 xml:space="preserve">If patient preference (e.g., informed </w:t>
            </w:r>
            <w:proofErr w:type="spellStart"/>
            <w:r w:rsidRPr="004853A0">
              <w:rPr>
                <w:rFonts w:cstheme="minorHAnsi"/>
              </w:rPr>
              <w:t>decisionmaking</w:t>
            </w:r>
            <w:proofErr w:type="spellEnd"/>
            <w:r w:rsidRPr="004853A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1"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145149">
            <w:pPr>
              <w:numPr>
                <w:ilvl w:val="0"/>
                <w:numId w:val="26"/>
              </w:numPr>
              <w:ind w:left="0" w:firstLine="0"/>
              <w:rPr>
                <w:rFonts w:cstheme="minorHAnsi"/>
              </w:rPr>
            </w:pPr>
            <w:r w:rsidRPr="004853A0">
              <w:rPr>
                <w:rFonts w:cstheme="minorHAnsi"/>
                <w:b/>
              </w:rPr>
              <w:lastRenderedPageBreak/>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145149">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rsidR="00145149" w:rsidRPr="004853A0" w:rsidRDefault="00145149" w:rsidP="00145149">
            <w:pPr>
              <w:rPr>
                <w:rFonts w:cstheme="minorHAnsi"/>
                <w:b/>
                <w:bCs/>
              </w:rPr>
            </w:pPr>
          </w:p>
          <w:bookmarkEnd w:id="1"/>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2" w:name="Note8"/>
            <w:bookmarkStart w:id="3" w:name="Note9"/>
            <w:bookmarkStart w:id="4" w:name="Note10"/>
            <w:bookmarkEnd w:id="2"/>
            <w:bookmarkEnd w:id="3"/>
            <w:bookmarkEnd w:id="4"/>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5" w:name="Note11"/>
            <w:bookmarkEnd w:id="5"/>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6" w:name="Note12"/>
            <w:bookmarkEnd w:id="6"/>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7" w:name="Note13"/>
            <w:bookmarkEnd w:id="7"/>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8" w:name="Note14"/>
            <w:bookmarkEnd w:id="8"/>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9" w:name="Note15"/>
            <w:bookmarkEnd w:id="9"/>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0" w:name="Note16"/>
            <w:bookmarkEnd w:id="10"/>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B87202" w:rsidRDefault="002B5016" w:rsidP="00DA3E23">
      <w:pPr>
        <w:shd w:val="clear" w:color="auto" w:fill="D9D9D9" w:themeFill="background1" w:themeFillShade="D9"/>
        <w:spacing w:after="0" w:line="240" w:lineRule="auto"/>
        <w:rPr>
          <w:rFonts w:cstheme="minorHAnsi"/>
          <w:b/>
          <w:noProof/>
          <w:color w:val="000099"/>
        </w:rPr>
      </w:pPr>
      <w:r w:rsidRPr="00B87202">
        <w:rPr>
          <w:rFonts w:cstheme="minorHAnsi"/>
          <w:b/>
          <w:noProof/>
          <w:color w:val="000099"/>
        </w:rPr>
        <w:lastRenderedPageBreak/>
        <w:t xml:space="preserve">1. </w:t>
      </w:r>
      <w:r w:rsidR="00021170" w:rsidRPr="00B87202">
        <w:rPr>
          <w:rFonts w:cstheme="minorHAnsi"/>
          <w:b/>
          <w:noProof/>
          <w:color w:val="000099"/>
        </w:rPr>
        <w:t xml:space="preserve">DATA/SAMPLE USED FOR </w:t>
      </w:r>
      <w:r w:rsidR="00021170" w:rsidRPr="00B87202">
        <w:rPr>
          <w:rFonts w:cstheme="minorHAnsi"/>
          <w:b/>
          <w:noProof/>
          <w:color w:val="000099"/>
          <w:u w:val="single"/>
        </w:rPr>
        <w:t>ALL</w:t>
      </w:r>
      <w:r w:rsidR="00021170" w:rsidRPr="00B87202">
        <w:rPr>
          <w:rFonts w:cstheme="minorHAnsi"/>
          <w:b/>
          <w:noProof/>
          <w:color w:val="000099"/>
        </w:rPr>
        <w:t xml:space="preserve"> TESTING</w:t>
      </w:r>
      <w:r w:rsidR="006327D8" w:rsidRPr="00B87202">
        <w:rPr>
          <w:rFonts w:cstheme="minorHAnsi"/>
          <w:b/>
          <w:noProof/>
          <w:color w:val="000099"/>
        </w:rPr>
        <w:t xml:space="preserve"> OF THIS MEASURE</w:t>
      </w:r>
    </w:p>
    <w:p w:rsidR="002E78A0" w:rsidRPr="00B87202" w:rsidRDefault="002E78A0" w:rsidP="007E26DB">
      <w:pPr>
        <w:shd w:val="clear" w:color="auto" w:fill="D9D9D9" w:themeFill="background1" w:themeFillShade="D9"/>
        <w:spacing w:after="0" w:line="240" w:lineRule="auto"/>
        <w:rPr>
          <w:rFonts w:cstheme="minorHAnsi"/>
          <w:noProof/>
          <w:color w:val="000099"/>
        </w:rPr>
      </w:pPr>
      <w:r w:rsidRPr="00B87202">
        <w:rPr>
          <w:rFonts w:cstheme="minorHAnsi"/>
          <w:i/>
          <w:noProof/>
          <w:color w:val="000099"/>
        </w:rPr>
        <w:t xml:space="preserve">Often the same data </w:t>
      </w:r>
      <w:r w:rsidR="000574AB" w:rsidRPr="00B87202">
        <w:rPr>
          <w:rFonts w:cstheme="minorHAnsi"/>
          <w:i/>
          <w:noProof/>
          <w:color w:val="000099"/>
        </w:rPr>
        <w:t>are</w:t>
      </w:r>
      <w:r w:rsidRPr="00B87202">
        <w:rPr>
          <w:rFonts w:cstheme="minorHAnsi"/>
          <w:i/>
          <w:noProof/>
          <w:color w:val="000099"/>
        </w:rPr>
        <w:t xml:space="preserve"> used for all aspects of measure testing. In an effort to eliminate duplication, the first f</w:t>
      </w:r>
      <w:r w:rsidR="007422FD" w:rsidRPr="00B87202">
        <w:rPr>
          <w:rFonts w:cstheme="minorHAnsi"/>
          <w:i/>
          <w:noProof/>
          <w:color w:val="000099"/>
        </w:rPr>
        <w:t>ive</w:t>
      </w:r>
      <w:r w:rsidRPr="00B87202">
        <w:rPr>
          <w:rFonts w:cstheme="minorHAnsi"/>
          <w:i/>
          <w:noProof/>
          <w:color w:val="000099"/>
        </w:rPr>
        <w:t xml:space="preserve"> questions apply to all measure testing. </w:t>
      </w:r>
      <w:r w:rsidRPr="00B87202">
        <w:rPr>
          <w:rFonts w:cstheme="minorHAnsi"/>
          <w:i/>
          <w:noProof/>
          <w:color w:val="000099"/>
          <w:u w:val="single"/>
        </w:rPr>
        <w:t>I</w:t>
      </w:r>
      <w:r w:rsidR="00A41377" w:rsidRPr="00B87202">
        <w:rPr>
          <w:rFonts w:cstheme="minorHAnsi"/>
          <w:i/>
          <w:noProof/>
          <w:color w:val="000099"/>
          <w:u w:val="single"/>
        </w:rPr>
        <w:t>f there are differences by</w:t>
      </w:r>
      <w:r w:rsidRPr="00B87202">
        <w:rPr>
          <w:rFonts w:cstheme="minorHAnsi"/>
          <w:i/>
          <w:noProof/>
          <w:color w:val="000099"/>
          <w:u w:val="single"/>
        </w:rPr>
        <w:t xml:space="preserve"> </w:t>
      </w:r>
      <w:r w:rsidR="00A41377" w:rsidRPr="00B87202">
        <w:rPr>
          <w:rFonts w:cstheme="minorHAnsi"/>
          <w:i/>
          <w:noProof/>
          <w:color w:val="000099"/>
          <w:u w:val="single"/>
        </w:rPr>
        <w:t>aspect</w:t>
      </w:r>
      <w:r w:rsidRPr="00B87202">
        <w:rPr>
          <w:rFonts w:cstheme="minorHAnsi"/>
          <w:i/>
          <w:noProof/>
          <w:color w:val="000099"/>
          <w:u w:val="single"/>
        </w:rPr>
        <w:t xml:space="preserve"> of testing</w:t>
      </w:r>
      <w:r w:rsidR="00A41377" w:rsidRPr="00B87202">
        <w:rPr>
          <w:rFonts w:cstheme="minorHAnsi"/>
          <w:i/>
          <w:noProof/>
          <w:color w:val="000099"/>
        </w:rPr>
        <w:t>,</w:t>
      </w:r>
      <w:r w:rsidR="00927027" w:rsidRPr="00B87202">
        <w:rPr>
          <w:rFonts w:cstheme="minorHAnsi"/>
          <w:i/>
          <w:noProof/>
          <w:color w:val="000099"/>
        </w:rPr>
        <w:t>(e.g., reliability vs. v</w:t>
      </w:r>
      <w:r w:rsidR="002F48E1" w:rsidRPr="00B87202">
        <w:rPr>
          <w:rFonts w:cstheme="minorHAnsi"/>
          <w:i/>
          <w:noProof/>
          <w:color w:val="000099"/>
        </w:rPr>
        <w:t>alidity)</w:t>
      </w:r>
      <w:r w:rsidRPr="00B87202">
        <w:rPr>
          <w:rFonts w:cstheme="minorHAnsi"/>
          <w:i/>
          <w:noProof/>
          <w:color w:val="000099"/>
        </w:rPr>
        <w:t xml:space="preserve"> be sure to indicate </w:t>
      </w:r>
      <w:r w:rsidR="00D33AFD" w:rsidRPr="00B87202">
        <w:rPr>
          <w:rFonts w:cstheme="minorHAnsi"/>
          <w:i/>
          <w:noProof/>
          <w:color w:val="000099"/>
        </w:rPr>
        <w:t>the specific differences</w:t>
      </w:r>
      <w:r w:rsidRPr="00B87202">
        <w:rPr>
          <w:rFonts w:cstheme="minorHAnsi"/>
          <w:i/>
          <w:noProof/>
          <w:color w:val="000099"/>
        </w:rPr>
        <w:t xml:space="preserve"> in question </w:t>
      </w:r>
      <w:r w:rsidR="00B82A57" w:rsidRPr="00B87202">
        <w:rPr>
          <w:rFonts w:cstheme="minorHAnsi"/>
          <w:i/>
          <w:noProof/>
          <w:color w:val="000099"/>
        </w:rPr>
        <w:t>1.</w:t>
      </w:r>
      <w:r w:rsidR="00927027" w:rsidRPr="00B87202">
        <w:rPr>
          <w:rFonts w:cstheme="minorHAnsi"/>
          <w:i/>
          <w:noProof/>
          <w:color w:val="000099"/>
        </w:rPr>
        <w:t>7</w:t>
      </w:r>
      <w:r w:rsidRPr="00B87202">
        <w:rPr>
          <w:rFonts w:cstheme="minorHAnsi"/>
          <w:i/>
          <w:noProof/>
          <w:color w:val="000099"/>
        </w:rPr>
        <w:t xml:space="preserve">. </w:t>
      </w:r>
    </w:p>
    <w:p w:rsidR="000574AB" w:rsidRPr="00B87202" w:rsidRDefault="000574AB" w:rsidP="007E26DB">
      <w:pPr>
        <w:shd w:val="clear" w:color="auto" w:fill="D9D9D9" w:themeFill="background1" w:themeFillShade="D9"/>
        <w:spacing w:after="0" w:line="240" w:lineRule="auto"/>
        <w:rPr>
          <w:rFonts w:cstheme="minorHAnsi"/>
          <w:noProof/>
          <w:color w:val="000099"/>
        </w:rPr>
      </w:pPr>
    </w:p>
    <w:p w:rsidR="00A01494" w:rsidRPr="00B87202" w:rsidRDefault="002B5016" w:rsidP="007E26DB">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1</w:t>
      </w:r>
      <w:r w:rsidR="00927027" w:rsidRPr="00B87202">
        <w:rPr>
          <w:rFonts w:cstheme="minorHAnsi"/>
          <w:b/>
          <w:bCs/>
          <w:color w:val="000099"/>
        </w:rPr>
        <w:t>.</w:t>
      </w:r>
      <w:r w:rsidR="00DB3627" w:rsidRPr="00B87202">
        <w:rPr>
          <w:rFonts w:cstheme="minorHAnsi"/>
          <w:b/>
          <w:bCs/>
          <w:color w:val="000099"/>
        </w:rPr>
        <w:t xml:space="preserve">1. </w:t>
      </w:r>
      <w:r w:rsidR="004348CC" w:rsidRPr="00B87202">
        <w:rPr>
          <w:rFonts w:cstheme="minorHAnsi"/>
          <w:b/>
          <w:bCs/>
          <w:color w:val="000099"/>
        </w:rPr>
        <w:t>What t</w:t>
      </w:r>
      <w:r w:rsidR="00857EE8" w:rsidRPr="00B87202">
        <w:rPr>
          <w:rFonts w:cstheme="minorHAnsi"/>
          <w:b/>
          <w:bCs/>
          <w:color w:val="000099"/>
        </w:rPr>
        <w:t xml:space="preserve">ype of data was used </w:t>
      </w:r>
      <w:r w:rsidR="000851B2" w:rsidRPr="00B87202">
        <w:rPr>
          <w:rFonts w:cstheme="minorHAnsi"/>
          <w:b/>
          <w:bCs/>
          <w:color w:val="000099"/>
        </w:rPr>
        <w:t>for</w:t>
      </w:r>
      <w:r w:rsidR="00857EE8" w:rsidRPr="00B87202">
        <w:rPr>
          <w:rFonts w:cstheme="minorHAnsi"/>
          <w:b/>
          <w:bCs/>
          <w:color w:val="000099"/>
        </w:rPr>
        <w:t xml:space="preserve"> </w:t>
      </w:r>
      <w:r w:rsidR="004348CC" w:rsidRPr="00B87202">
        <w:rPr>
          <w:rFonts w:cstheme="minorHAnsi"/>
          <w:b/>
          <w:bCs/>
          <w:color w:val="000099"/>
        </w:rPr>
        <w:t>testing</w:t>
      </w:r>
      <w:r w:rsidR="004348CC" w:rsidRPr="00B87202">
        <w:rPr>
          <w:rFonts w:cstheme="minorHAnsi"/>
          <w:bCs/>
          <w:color w:val="000099"/>
        </w:rPr>
        <w:t>? (</w:t>
      </w:r>
      <w:r w:rsidR="003B1006" w:rsidRPr="00B87202">
        <w:rPr>
          <w:rFonts w:cstheme="minorHAnsi"/>
          <w:bCs/>
          <w:i/>
          <w:color w:val="000099"/>
        </w:rPr>
        <w:t>Check all the sources of</w:t>
      </w:r>
      <w:r w:rsidR="00A01494" w:rsidRPr="00B87202">
        <w:rPr>
          <w:rFonts w:cstheme="minorHAnsi"/>
          <w:bCs/>
          <w:i/>
          <w:color w:val="000099"/>
        </w:rPr>
        <w:t xml:space="preserve"> data identified in the measure specifications and data used for testing the measure</w:t>
      </w:r>
      <w:r w:rsidR="00A01494" w:rsidRPr="00B87202">
        <w:rPr>
          <w:rFonts w:cstheme="minorHAnsi"/>
          <w:bCs/>
          <w:color w:val="000099"/>
        </w:rPr>
        <w:t xml:space="preserve">. </w:t>
      </w:r>
      <w:r w:rsidR="00A01494" w:rsidRPr="00B87202">
        <w:rPr>
          <w:rFonts w:cstheme="minorHAnsi"/>
          <w:bCs/>
          <w:i/>
          <w:color w:val="000099"/>
        </w:rPr>
        <w:t>T</w:t>
      </w:r>
      <w:r w:rsidR="00F435AA" w:rsidRPr="00B87202">
        <w:rPr>
          <w:rFonts w:cstheme="minorHAnsi"/>
          <w:bCs/>
          <w:i/>
          <w:color w:val="000099"/>
        </w:rPr>
        <w:t xml:space="preserve">esting </w:t>
      </w:r>
      <w:r w:rsidR="009A25B1" w:rsidRPr="00B87202">
        <w:rPr>
          <w:rFonts w:cstheme="minorHAnsi"/>
          <w:bCs/>
          <w:i/>
          <w:color w:val="000099"/>
        </w:rPr>
        <w:t>must be provided for</w:t>
      </w:r>
      <w:r w:rsidR="004348CC" w:rsidRPr="00B87202">
        <w:rPr>
          <w:rFonts w:cstheme="minorHAnsi"/>
          <w:bCs/>
          <w:i/>
          <w:color w:val="000099"/>
        </w:rPr>
        <w:t xml:space="preserve"> </w:t>
      </w:r>
      <w:r w:rsidR="004B6CEE" w:rsidRPr="00B87202">
        <w:rPr>
          <w:rFonts w:cstheme="minorHAnsi"/>
          <w:bCs/>
          <w:i/>
          <w:color w:val="000099"/>
          <w:u w:val="single"/>
        </w:rPr>
        <w:t>all</w:t>
      </w:r>
      <w:r w:rsidR="004B6CEE" w:rsidRPr="00B87202">
        <w:rPr>
          <w:rFonts w:cstheme="minorHAnsi"/>
          <w:bCs/>
          <w:i/>
          <w:color w:val="000099"/>
        </w:rPr>
        <w:t xml:space="preserve"> the </w:t>
      </w:r>
      <w:r w:rsidR="00840A41" w:rsidRPr="00B87202">
        <w:rPr>
          <w:rFonts w:cstheme="minorHAnsi"/>
          <w:bCs/>
          <w:i/>
          <w:color w:val="000099"/>
        </w:rPr>
        <w:t xml:space="preserve">sources </w:t>
      </w:r>
      <w:r w:rsidR="004348CC" w:rsidRPr="00B87202">
        <w:rPr>
          <w:rFonts w:cstheme="minorHAnsi"/>
          <w:bCs/>
          <w:i/>
          <w:color w:val="000099"/>
        </w:rPr>
        <w:t xml:space="preserve">of data specified and intended for </w:t>
      </w:r>
      <w:r w:rsidR="005A7634" w:rsidRPr="00B87202">
        <w:rPr>
          <w:rFonts w:cstheme="minorHAnsi"/>
          <w:bCs/>
          <w:i/>
          <w:color w:val="000099"/>
        </w:rPr>
        <w:t xml:space="preserve">measure </w:t>
      </w:r>
      <w:r w:rsidR="004348CC" w:rsidRPr="00B87202">
        <w:rPr>
          <w:rFonts w:cstheme="minorHAnsi"/>
          <w:bCs/>
          <w:i/>
          <w:color w:val="000099"/>
        </w:rPr>
        <w:t>implementation</w:t>
      </w:r>
      <w:r w:rsidR="00840A41" w:rsidRPr="00B87202">
        <w:rPr>
          <w:rFonts w:cstheme="minorHAnsi"/>
          <w:bCs/>
          <w:i/>
          <w:color w:val="000099"/>
        </w:rPr>
        <w:t xml:space="preserve">. </w:t>
      </w:r>
      <w:r w:rsidR="00840A41" w:rsidRPr="00B87202">
        <w:rPr>
          <w:rFonts w:cstheme="minorHAnsi"/>
          <w:b/>
          <w:bCs/>
          <w:i/>
          <w:color w:val="000099"/>
        </w:rPr>
        <w:t xml:space="preserve">If different </w:t>
      </w:r>
      <w:r w:rsidR="00C14CCC" w:rsidRPr="00B87202">
        <w:rPr>
          <w:rFonts w:cstheme="minorHAnsi"/>
          <w:b/>
          <w:bCs/>
          <w:i/>
          <w:color w:val="000099"/>
        </w:rPr>
        <w:t xml:space="preserve">data </w:t>
      </w:r>
      <w:r w:rsidR="00840A41" w:rsidRPr="00B87202">
        <w:rPr>
          <w:rFonts w:cstheme="minorHAnsi"/>
          <w:b/>
          <w:bCs/>
          <w:i/>
          <w:color w:val="000099"/>
        </w:rPr>
        <w:t>sources are used for the numerator and denominator, indicate N [numerator] or D [denominator] after the checkbox.</w:t>
      </w:r>
      <w:r w:rsidR="00A01494" w:rsidRPr="00B87202">
        <w:rPr>
          <w:rFonts w:cstheme="minorHAnsi"/>
          <w:bCs/>
          <w:color w:val="000099"/>
        </w:rPr>
        <w:t>)</w:t>
      </w:r>
    </w:p>
    <w:tbl>
      <w:tblPr>
        <w:tblStyle w:val="TableGrid"/>
        <w:tblW w:w="4886" w:type="pct"/>
        <w:jc w:val="center"/>
        <w:tblInd w:w="69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509"/>
        <w:gridCol w:w="4849"/>
      </w:tblGrid>
      <w:tr w:rsidR="00B87202" w:rsidRPr="00B87202" w:rsidTr="00DA3E23">
        <w:trPr>
          <w:jc w:val="center"/>
        </w:trPr>
        <w:tc>
          <w:tcPr>
            <w:tcW w:w="4509" w:type="dxa"/>
            <w:shd w:val="clear" w:color="auto" w:fill="D9D9D9" w:themeFill="background1" w:themeFillShade="D9"/>
          </w:tcPr>
          <w:p w:rsidR="00A01494" w:rsidRPr="00B87202" w:rsidRDefault="00A01494" w:rsidP="00DB3627">
            <w:pPr>
              <w:autoSpaceDE w:val="0"/>
              <w:autoSpaceDN w:val="0"/>
              <w:adjustRightInd w:val="0"/>
              <w:rPr>
                <w:rFonts w:cstheme="minorHAnsi"/>
                <w:b/>
                <w:bCs/>
                <w:color w:val="000099"/>
              </w:rPr>
            </w:pPr>
            <w:r w:rsidRPr="00B87202">
              <w:rPr>
                <w:rFonts w:cstheme="minorHAnsi"/>
                <w:b/>
                <w:bCs/>
                <w:color w:val="000099"/>
              </w:rPr>
              <w:t>Measure Specified to Use Data From:</w:t>
            </w:r>
          </w:p>
          <w:p w:rsidR="009A6A57" w:rsidRPr="00B87202" w:rsidRDefault="009A6A57" w:rsidP="00DB3627">
            <w:pPr>
              <w:autoSpaceDE w:val="0"/>
              <w:autoSpaceDN w:val="0"/>
              <w:adjustRightInd w:val="0"/>
              <w:rPr>
                <w:rFonts w:cstheme="minorHAnsi"/>
                <w:b/>
                <w:bCs/>
                <w:color w:val="000099"/>
              </w:rPr>
            </w:pPr>
            <w:r w:rsidRPr="00B87202">
              <w:rPr>
                <w:rFonts w:cstheme="minorHAnsi"/>
                <w:b/>
                <w:bCs/>
                <w:color w:val="000099"/>
              </w:rPr>
              <w:t>(</w:t>
            </w:r>
            <w:r w:rsidR="0079538B" w:rsidRPr="00B87202">
              <w:rPr>
                <w:rFonts w:cstheme="minorHAnsi"/>
                <w:b/>
                <w:bCs/>
                <w:i/>
                <w:color w:val="000099"/>
              </w:rPr>
              <w:t xml:space="preserve">must be consistent with </w:t>
            </w:r>
            <w:r w:rsidR="0014773C" w:rsidRPr="00B87202">
              <w:rPr>
                <w:rFonts w:cstheme="minorHAnsi"/>
                <w:b/>
                <w:bCs/>
                <w:i/>
                <w:color w:val="000099"/>
              </w:rPr>
              <w:t xml:space="preserve">data sources entered in </w:t>
            </w:r>
            <w:r w:rsidRPr="00B87202">
              <w:rPr>
                <w:rFonts w:cstheme="minorHAnsi"/>
                <w:b/>
                <w:bCs/>
                <w:i/>
                <w:color w:val="000099"/>
              </w:rPr>
              <w:t>S.23</w:t>
            </w:r>
            <w:r w:rsidRPr="00B87202">
              <w:rPr>
                <w:rFonts w:cstheme="minorHAnsi"/>
                <w:b/>
                <w:bCs/>
                <w:color w:val="000099"/>
              </w:rPr>
              <w:t>)</w:t>
            </w:r>
          </w:p>
        </w:tc>
        <w:tc>
          <w:tcPr>
            <w:tcW w:w="4848" w:type="dxa"/>
            <w:shd w:val="clear" w:color="auto" w:fill="D9D9D9" w:themeFill="background1" w:themeFillShade="D9"/>
          </w:tcPr>
          <w:p w:rsidR="00A01494" w:rsidRPr="00B87202" w:rsidRDefault="00A01494" w:rsidP="00DB3627">
            <w:pPr>
              <w:autoSpaceDE w:val="0"/>
              <w:autoSpaceDN w:val="0"/>
              <w:adjustRightInd w:val="0"/>
              <w:rPr>
                <w:rFonts w:cstheme="minorHAnsi"/>
                <w:b/>
                <w:bCs/>
                <w:color w:val="000099"/>
              </w:rPr>
            </w:pPr>
            <w:r w:rsidRPr="00B87202">
              <w:rPr>
                <w:rFonts w:cstheme="minorHAnsi"/>
                <w:b/>
                <w:bCs/>
                <w:color w:val="000099"/>
              </w:rPr>
              <w:t>Measure Tested with Data From:</w:t>
            </w:r>
          </w:p>
        </w:tc>
      </w:tr>
      <w:tr w:rsidR="00A01494" w:rsidRPr="00A01494" w:rsidTr="00DA3E23">
        <w:trPr>
          <w:jc w:val="center"/>
        </w:trPr>
        <w:tc>
          <w:tcPr>
            <w:tcW w:w="4509" w:type="dxa"/>
          </w:tcPr>
          <w:p w:rsidR="00A01494" w:rsidRPr="00A01494" w:rsidRDefault="0008706B" w:rsidP="00DB3627">
            <w:pPr>
              <w:autoSpaceDE w:val="0"/>
              <w:autoSpaceDN w:val="0"/>
              <w:adjustRightInd w:val="0"/>
              <w:rPr>
                <w:rFonts w:cstheme="minorHAnsi"/>
                <w:bCs/>
              </w:rPr>
            </w:pPr>
            <w:sdt>
              <w:sdtPr>
                <w:rPr>
                  <w:rFonts w:cstheme="minorHAnsi"/>
                  <w:bCs/>
                  <w:color w:val="0000FF"/>
                </w:rPr>
                <w:id w:val="-839233565"/>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8" w:type="dxa"/>
          </w:tcPr>
          <w:p w:rsidR="00A01494" w:rsidRPr="00A01494" w:rsidRDefault="0008706B" w:rsidP="00DB3627">
            <w:pPr>
              <w:autoSpaceDE w:val="0"/>
              <w:autoSpaceDN w:val="0"/>
              <w:adjustRightInd w:val="0"/>
              <w:rPr>
                <w:rFonts w:cstheme="minorHAnsi"/>
                <w:bCs/>
              </w:rPr>
            </w:pPr>
            <w:sdt>
              <w:sdtPr>
                <w:rPr>
                  <w:rFonts w:cstheme="minorHAnsi"/>
                  <w:bCs/>
                  <w:color w:val="0000FF"/>
                </w:rPr>
                <w:id w:val="9891706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DA3E23">
        <w:trPr>
          <w:jc w:val="center"/>
        </w:trPr>
        <w:tc>
          <w:tcPr>
            <w:tcW w:w="4509" w:type="dxa"/>
          </w:tcPr>
          <w:p w:rsidR="00A01494" w:rsidRPr="00A01494" w:rsidRDefault="0008706B" w:rsidP="00DB3627">
            <w:pPr>
              <w:autoSpaceDE w:val="0"/>
              <w:autoSpaceDN w:val="0"/>
              <w:adjustRightInd w:val="0"/>
              <w:rPr>
                <w:rFonts w:cstheme="minorHAnsi"/>
                <w:bCs/>
              </w:rPr>
            </w:pPr>
            <w:sdt>
              <w:sdtPr>
                <w:rPr>
                  <w:rFonts w:cstheme="minorHAnsi"/>
                  <w:bCs/>
                  <w:color w:val="0000FF"/>
                </w:rPr>
                <w:id w:val="560149406"/>
              </w:sdtPr>
              <w:sdtContent>
                <w:r w:rsidR="00635952">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8" w:type="dxa"/>
          </w:tcPr>
          <w:p w:rsidR="00A01494" w:rsidRPr="00A01494" w:rsidRDefault="0008706B" w:rsidP="00DB3627">
            <w:pPr>
              <w:autoSpaceDE w:val="0"/>
              <w:autoSpaceDN w:val="0"/>
              <w:adjustRightInd w:val="0"/>
              <w:rPr>
                <w:rFonts w:cstheme="minorHAnsi"/>
                <w:bCs/>
              </w:rPr>
            </w:pPr>
            <w:sdt>
              <w:sdtPr>
                <w:rPr>
                  <w:rFonts w:cstheme="minorHAnsi"/>
                  <w:bCs/>
                  <w:color w:val="0000FF"/>
                </w:rPr>
                <w:id w:val="-387195507"/>
              </w:sdtPr>
              <w:sdtContent>
                <w:r w:rsidR="00635952">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DA3E23">
        <w:trPr>
          <w:jc w:val="center"/>
        </w:trPr>
        <w:tc>
          <w:tcPr>
            <w:tcW w:w="4509" w:type="dxa"/>
          </w:tcPr>
          <w:p w:rsidR="00A01494" w:rsidRPr="00A01494" w:rsidRDefault="0008706B" w:rsidP="00DB3627">
            <w:pPr>
              <w:autoSpaceDE w:val="0"/>
              <w:autoSpaceDN w:val="0"/>
              <w:adjustRightInd w:val="0"/>
              <w:rPr>
                <w:rFonts w:cstheme="minorHAnsi"/>
                <w:bCs/>
              </w:rPr>
            </w:pPr>
            <w:sdt>
              <w:sdtPr>
                <w:rPr>
                  <w:rFonts w:cstheme="minorHAnsi"/>
                  <w:bCs/>
                  <w:color w:val="0000FF"/>
                </w:rPr>
                <w:id w:val="751091068"/>
              </w:sdtPr>
              <w:sdtContent>
                <w:r w:rsidR="00635952">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8" w:type="dxa"/>
          </w:tcPr>
          <w:p w:rsidR="00A01494" w:rsidRPr="00A01494" w:rsidRDefault="0008706B" w:rsidP="00DB3627">
            <w:pPr>
              <w:autoSpaceDE w:val="0"/>
              <w:autoSpaceDN w:val="0"/>
              <w:adjustRightInd w:val="0"/>
              <w:rPr>
                <w:rFonts w:cstheme="minorHAnsi"/>
                <w:bCs/>
              </w:rPr>
            </w:pPr>
            <w:sdt>
              <w:sdtPr>
                <w:rPr>
                  <w:rFonts w:cstheme="minorHAnsi"/>
                  <w:bCs/>
                  <w:color w:val="0000FF"/>
                </w:rPr>
                <w:id w:val="547026371"/>
              </w:sdtPr>
              <w:sdtContent>
                <w:r w:rsidR="00635952">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DA3E23">
        <w:trPr>
          <w:jc w:val="center"/>
        </w:trPr>
        <w:tc>
          <w:tcPr>
            <w:tcW w:w="4509" w:type="dxa"/>
          </w:tcPr>
          <w:p w:rsidR="00A01494" w:rsidRPr="00A01494" w:rsidRDefault="0008706B" w:rsidP="00DB3627">
            <w:pPr>
              <w:autoSpaceDE w:val="0"/>
              <w:autoSpaceDN w:val="0"/>
              <w:adjustRightInd w:val="0"/>
              <w:rPr>
                <w:rFonts w:cstheme="minorHAnsi"/>
                <w:bCs/>
              </w:rPr>
            </w:pPr>
            <w:sdt>
              <w:sdtPr>
                <w:rPr>
                  <w:rFonts w:cstheme="minorHAnsi"/>
                  <w:bCs/>
                  <w:color w:val="0000FF"/>
                </w:rPr>
                <w:id w:val="1121342177"/>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8" w:type="dxa"/>
          </w:tcPr>
          <w:p w:rsidR="00A01494" w:rsidRPr="00A01494" w:rsidRDefault="0008706B" w:rsidP="00DB3627">
            <w:pPr>
              <w:autoSpaceDE w:val="0"/>
              <w:autoSpaceDN w:val="0"/>
              <w:adjustRightInd w:val="0"/>
              <w:rPr>
                <w:rFonts w:cstheme="minorHAnsi"/>
                <w:bCs/>
              </w:rPr>
            </w:pPr>
            <w:sdt>
              <w:sdtPr>
                <w:rPr>
                  <w:rFonts w:cstheme="minorHAnsi"/>
                  <w:bCs/>
                  <w:color w:val="0000FF"/>
                </w:rPr>
                <w:id w:val="-359203911"/>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DA3E23">
        <w:trPr>
          <w:jc w:val="center"/>
        </w:trPr>
        <w:tc>
          <w:tcPr>
            <w:tcW w:w="4509" w:type="dxa"/>
          </w:tcPr>
          <w:p w:rsidR="00A01494" w:rsidRPr="00A01494" w:rsidRDefault="0008706B" w:rsidP="00B82A57">
            <w:pPr>
              <w:autoSpaceDE w:val="0"/>
              <w:autoSpaceDN w:val="0"/>
              <w:adjustRightInd w:val="0"/>
              <w:rPr>
                <w:rFonts w:cstheme="minorHAnsi"/>
                <w:bCs/>
              </w:rPr>
            </w:pPr>
            <w:sdt>
              <w:sdtPr>
                <w:rPr>
                  <w:rFonts w:cstheme="minorHAnsi"/>
                  <w:bCs/>
                  <w:color w:val="0000FF"/>
                </w:rPr>
                <w:id w:val="615648267"/>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8" w:type="dxa"/>
          </w:tcPr>
          <w:p w:rsidR="00A01494" w:rsidRPr="00A01494" w:rsidRDefault="0008706B" w:rsidP="00DB3627">
            <w:pPr>
              <w:autoSpaceDE w:val="0"/>
              <w:autoSpaceDN w:val="0"/>
              <w:adjustRightInd w:val="0"/>
              <w:rPr>
                <w:rFonts w:cstheme="minorHAnsi"/>
                <w:bCs/>
              </w:rPr>
            </w:pPr>
            <w:sdt>
              <w:sdtPr>
                <w:rPr>
                  <w:rFonts w:cstheme="minorHAnsi"/>
                  <w:bCs/>
                  <w:color w:val="0000FF"/>
                </w:rPr>
                <w:id w:val="498854310"/>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DA3E23">
        <w:trPr>
          <w:jc w:val="center"/>
        </w:trPr>
        <w:tc>
          <w:tcPr>
            <w:tcW w:w="4509" w:type="dxa"/>
          </w:tcPr>
          <w:p w:rsidR="00A01494" w:rsidRPr="00A01494" w:rsidRDefault="0008706B" w:rsidP="00DB3627">
            <w:pPr>
              <w:autoSpaceDE w:val="0"/>
              <w:autoSpaceDN w:val="0"/>
              <w:adjustRightInd w:val="0"/>
              <w:rPr>
                <w:rFonts w:cstheme="minorHAnsi"/>
                <w:bCs/>
              </w:rPr>
            </w:pPr>
            <w:sdt>
              <w:sdtPr>
                <w:rPr>
                  <w:rFonts w:cstheme="minorHAnsi"/>
                  <w:bCs/>
                  <w:color w:val="0000FF"/>
                </w:rPr>
                <w:id w:val="131637539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8" w:type="dxa"/>
          </w:tcPr>
          <w:p w:rsidR="00A01494" w:rsidRPr="00A01494" w:rsidRDefault="0008706B" w:rsidP="00DB3627">
            <w:pPr>
              <w:autoSpaceDE w:val="0"/>
              <w:autoSpaceDN w:val="0"/>
              <w:adjustRightInd w:val="0"/>
              <w:rPr>
                <w:rFonts w:cstheme="minorHAnsi"/>
                <w:bCs/>
              </w:rPr>
            </w:pPr>
            <w:sdt>
              <w:sdtPr>
                <w:rPr>
                  <w:rFonts w:cstheme="minorHAnsi"/>
                  <w:bCs/>
                  <w:color w:val="0000FF"/>
                </w:rPr>
                <w:id w:val="1689098749"/>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B87202" w:rsidRDefault="002B5016" w:rsidP="00DA3E23">
      <w:pPr>
        <w:shd w:val="clear" w:color="auto" w:fill="D9D9D9" w:themeFill="background1" w:themeFillShade="D9"/>
        <w:autoSpaceDE w:val="0"/>
        <w:autoSpaceDN w:val="0"/>
        <w:adjustRightInd w:val="0"/>
        <w:spacing w:after="0" w:line="240" w:lineRule="auto"/>
        <w:rPr>
          <w:rFonts w:cstheme="minorHAnsi"/>
          <w:b/>
          <w:bCs/>
          <w:color w:val="000099"/>
        </w:rPr>
      </w:pPr>
      <w:r w:rsidRPr="00B87202">
        <w:rPr>
          <w:rFonts w:cstheme="minorHAnsi"/>
          <w:b/>
          <w:bCs/>
          <w:color w:val="000099"/>
        </w:rPr>
        <w:t>1</w:t>
      </w:r>
      <w:r w:rsidR="00927027" w:rsidRPr="00B87202">
        <w:rPr>
          <w:rFonts w:cstheme="minorHAnsi"/>
          <w:b/>
          <w:bCs/>
          <w:color w:val="000099"/>
        </w:rPr>
        <w:t>.</w:t>
      </w:r>
      <w:r w:rsidR="00DB3627" w:rsidRPr="00B87202">
        <w:rPr>
          <w:rFonts w:cstheme="minorHAnsi"/>
          <w:b/>
          <w:bCs/>
          <w:color w:val="000099"/>
        </w:rPr>
        <w:t xml:space="preserve">2. </w:t>
      </w:r>
      <w:r w:rsidR="004348CC" w:rsidRPr="00B87202">
        <w:rPr>
          <w:rFonts w:cstheme="minorHAnsi"/>
          <w:b/>
          <w:bCs/>
          <w:color w:val="000099"/>
        </w:rPr>
        <w:t>If an existing data</w:t>
      </w:r>
      <w:r w:rsidR="006327D8" w:rsidRPr="00B87202">
        <w:rPr>
          <w:rFonts w:cstheme="minorHAnsi"/>
          <w:b/>
          <w:bCs/>
          <w:color w:val="000099"/>
        </w:rPr>
        <w:t>set</w:t>
      </w:r>
      <w:r w:rsidR="003605B4" w:rsidRPr="00B87202">
        <w:rPr>
          <w:rFonts w:cstheme="minorHAnsi"/>
          <w:b/>
          <w:bCs/>
          <w:color w:val="000099"/>
        </w:rPr>
        <w:t xml:space="preserve"> was used</w:t>
      </w:r>
      <w:r w:rsidR="004348CC" w:rsidRPr="00B87202">
        <w:rPr>
          <w:rFonts w:cstheme="minorHAnsi"/>
          <w:b/>
          <w:bCs/>
          <w:color w:val="000099"/>
        </w:rPr>
        <w:t xml:space="preserve">, identify the </w:t>
      </w:r>
      <w:r w:rsidR="009E1846" w:rsidRPr="00B87202">
        <w:rPr>
          <w:rFonts w:cstheme="minorHAnsi"/>
          <w:b/>
          <w:bCs/>
          <w:color w:val="000099"/>
        </w:rPr>
        <w:t xml:space="preserve">specific </w:t>
      </w:r>
      <w:r w:rsidR="004348CC" w:rsidRPr="00B87202">
        <w:rPr>
          <w:rFonts w:cstheme="minorHAnsi"/>
          <w:b/>
          <w:bCs/>
          <w:color w:val="000099"/>
        </w:rPr>
        <w:t>data</w:t>
      </w:r>
      <w:r w:rsidR="006327D8" w:rsidRPr="00B87202">
        <w:rPr>
          <w:rFonts w:cstheme="minorHAnsi"/>
          <w:b/>
          <w:bCs/>
          <w:color w:val="000099"/>
        </w:rPr>
        <w:t>set</w:t>
      </w:r>
      <w:r w:rsidR="00DB3627" w:rsidRPr="00B87202">
        <w:rPr>
          <w:rFonts w:cstheme="minorHAnsi"/>
          <w:bCs/>
          <w:color w:val="000099"/>
        </w:rPr>
        <w:t xml:space="preserve"> (</w:t>
      </w:r>
      <w:r w:rsidR="001C7B02" w:rsidRPr="00B87202">
        <w:rPr>
          <w:rFonts w:cstheme="minorHAnsi"/>
          <w:bCs/>
          <w:i/>
          <w:color w:val="000099"/>
        </w:rPr>
        <w:t xml:space="preserve">the dataset used for testing must be consistent with the measure specifications for target population and healthcare entities being measured; </w:t>
      </w:r>
      <w:r w:rsidR="00DB3627" w:rsidRPr="00B87202">
        <w:rPr>
          <w:rFonts w:cstheme="minorHAnsi"/>
          <w:bCs/>
          <w:i/>
          <w:color w:val="000099"/>
        </w:rPr>
        <w:t>e.g., Medicare Part A claims</w:t>
      </w:r>
      <w:r w:rsidR="009E1846" w:rsidRPr="00B87202">
        <w:rPr>
          <w:rFonts w:cstheme="minorHAnsi"/>
          <w:bCs/>
          <w:i/>
          <w:color w:val="000099"/>
        </w:rPr>
        <w:t>,</w:t>
      </w:r>
      <w:r w:rsidR="001C7B02" w:rsidRPr="00B87202">
        <w:rPr>
          <w:rFonts w:cstheme="minorHAnsi"/>
          <w:bCs/>
          <w:i/>
          <w:color w:val="000099"/>
        </w:rPr>
        <w:t xml:space="preserve"> Medicaid claims, other commercial insurance, nursing home MDS, home health OASIS, clinical registry</w:t>
      </w:r>
      <w:r w:rsidR="00DB3627" w:rsidRPr="00B87202">
        <w:rPr>
          <w:rFonts w:cstheme="minorHAnsi"/>
          <w:bCs/>
          <w:color w:val="000099"/>
        </w:rPr>
        <w:t>)</w:t>
      </w:r>
      <w:r w:rsidR="009E1846" w:rsidRPr="00B87202">
        <w:rPr>
          <w:rFonts w:cstheme="minorHAnsi"/>
          <w:bCs/>
          <w:color w:val="000099"/>
        </w:rPr>
        <w:t xml:space="preserve">. </w:t>
      </w:r>
      <w:r w:rsidR="00080CF7" w:rsidRPr="00B87202">
        <w:rPr>
          <w:rFonts w:cstheme="minorHAnsi"/>
          <w:bCs/>
          <w:color w:val="000099"/>
        </w:rPr>
        <w:t xml:space="preserve"> </w:t>
      </w:r>
      <w:r w:rsidR="004348CC" w:rsidRPr="00B87202">
        <w:rPr>
          <w:rFonts w:cstheme="minorHAnsi"/>
          <w:bCs/>
          <w:color w:val="000099"/>
        </w:rPr>
        <w:t xml:space="preserve"> </w:t>
      </w:r>
    </w:p>
    <w:p w:rsidR="007E26DB" w:rsidRDefault="007E26DB" w:rsidP="00DB3627">
      <w:pPr>
        <w:autoSpaceDE w:val="0"/>
        <w:autoSpaceDN w:val="0"/>
        <w:adjustRightInd w:val="0"/>
        <w:spacing w:after="0" w:line="240" w:lineRule="auto"/>
        <w:rPr>
          <w:rFonts w:eastAsia="Times New Roman"/>
        </w:rPr>
      </w:pPr>
      <w:r>
        <w:rPr>
          <w:rFonts w:eastAsia="Times New Roman"/>
        </w:rPr>
        <w:t xml:space="preserve">STS Adult Cardiac Surgery Database and Medicare Part </w:t>
      </w:r>
      <w:proofErr w:type="gramStart"/>
      <w:r>
        <w:rPr>
          <w:rFonts w:eastAsia="Times New Roman"/>
        </w:rPr>
        <w:t>A</w:t>
      </w:r>
      <w:proofErr w:type="gramEnd"/>
      <w:r>
        <w:rPr>
          <w:rFonts w:eastAsia="Times New Roman"/>
        </w:rPr>
        <w:t xml:space="preserve"> Claims</w:t>
      </w:r>
    </w:p>
    <w:p w:rsidR="00635952" w:rsidRDefault="00635952"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DA3E23" w:rsidRPr="00B87202" w:rsidRDefault="002B5016" w:rsidP="00DA3E23">
      <w:pPr>
        <w:shd w:val="clear" w:color="auto" w:fill="D9D9D9" w:themeFill="background1" w:themeFillShade="D9"/>
        <w:autoSpaceDE w:val="0"/>
        <w:autoSpaceDN w:val="0"/>
        <w:adjustRightInd w:val="0"/>
        <w:spacing w:after="0" w:line="240" w:lineRule="auto"/>
        <w:rPr>
          <w:rFonts w:cstheme="minorHAnsi"/>
          <w:color w:val="000099"/>
        </w:rPr>
      </w:pPr>
      <w:r w:rsidRPr="00B87202">
        <w:rPr>
          <w:rFonts w:cstheme="minorHAnsi"/>
          <w:b/>
          <w:color w:val="000099"/>
        </w:rPr>
        <w:t>1</w:t>
      </w:r>
      <w:r w:rsidR="00927027" w:rsidRPr="00B87202">
        <w:rPr>
          <w:rFonts w:cstheme="minorHAnsi"/>
          <w:b/>
          <w:color w:val="000099"/>
        </w:rPr>
        <w:t>.</w:t>
      </w:r>
      <w:r w:rsidR="00DB3627" w:rsidRPr="00B87202">
        <w:rPr>
          <w:rFonts w:cstheme="minorHAnsi"/>
          <w:b/>
          <w:color w:val="000099"/>
        </w:rPr>
        <w:t xml:space="preserve">3. </w:t>
      </w:r>
      <w:r w:rsidR="000574AB" w:rsidRPr="00B87202">
        <w:rPr>
          <w:rFonts w:cstheme="minorHAnsi"/>
          <w:b/>
          <w:color w:val="000099"/>
        </w:rPr>
        <w:t xml:space="preserve">What </w:t>
      </w:r>
      <w:r w:rsidR="000968F8" w:rsidRPr="00B87202">
        <w:rPr>
          <w:rFonts w:cstheme="minorHAnsi"/>
          <w:b/>
          <w:color w:val="000099"/>
        </w:rPr>
        <w:t xml:space="preserve">are the </w:t>
      </w:r>
      <w:r w:rsidR="000574AB" w:rsidRPr="00B87202">
        <w:rPr>
          <w:rFonts w:cstheme="minorHAnsi"/>
          <w:b/>
          <w:color w:val="000099"/>
        </w:rPr>
        <w:t xml:space="preserve">dates of </w:t>
      </w:r>
      <w:r w:rsidR="000968F8" w:rsidRPr="00B87202">
        <w:rPr>
          <w:rFonts w:cstheme="minorHAnsi"/>
          <w:b/>
          <w:color w:val="000099"/>
        </w:rPr>
        <w:t xml:space="preserve">the </w:t>
      </w:r>
      <w:r w:rsidR="000574AB" w:rsidRPr="00B87202">
        <w:rPr>
          <w:rFonts w:cstheme="minorHAnsi"/>
          <w:b/>
          <w:color w:val="000099"/>
        </w:rPr>
        <w:t xml:space="preserve">data </w:t>
      </w:r>
      <w:r w:rsidR="000968F8" w:rsidRPr="00B87202">
        <w:rPr>
          <w:rFonts w:cstheme="minorHAnsi"/>
          <w:b/>
          <w:color w:val="000099"/>
        </w:rPr>
        <w:t>used in testing</w:t>
      </w:r>
      <w:r w:rsidR="000968F8" w:rsidRPr="00B87202">
        <w:rPr>
          <w:rFonts w:cstheme="minorHAnsi"/>
          <w:color w:val="000099"/>
        </w:rPr>
        <w:t>?</w:t>
      </w:r>
      <w:r w:rsidR="00080CF7" w:rsidRPr="00B87202">
        <w:rPr>
          <w:rFonts w:cstheme="minorHAnsi"/>
          <w:color w:val="000099"/>
        </w:rPr>
        <w:t xml:space="preserve"> </w:t>
      </w:r>
    </w:p>
    <w:p w:rsidR="0004593A" w:rsidRPr="00A25024" w:rsidRDefault="000574AB" w:rsidP="00DB3627">
      <w:pPr>
        <w:autoSpaceDE w:val="0"/>
        <w:autoSpaceDN w:val="0"/>
        <w:adjustRightInd w:val="0"/>
        <w:spacing w:after="0" w:line="240" w:lineRule="auto"/>
        <w:rPr>
          <w:rFonts w:cstheme="minorHAnsi"/>
          <w:bCs/>
        </w:rPr>
      </w:pPr>
      <w:r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7E26DB">
            <w:rPr>
              <w:rStyle w:val="Style1"/>
            </w:rPr>
            <w:t xml:space="preserve">2008 – 2010 </w:t>
          </w:r>
        </w:sdtContent>
      </w:sdt>
    </w:p>
    <w:p w:rsidR="00DA3E23" w:rsidRDefault="00DA3E23" w:rsidP="00DB3627">
      <w:pPr>
        <w:autoSpaceDE w:val="0"/>
        <w:autoSpaceDN w:val="0"/>
        <w:adjustRightInd w:val="0"/>
        <w:spacing w:after="0" w:line="240" w:lineRule="auto"/>
        <w:rPr>
          <w:rFonts w:cstheme="minorHAnsi"/>
          <w:bCs/>
        </w:rPr>
      </w:pPr>
    </w:p>
    <w:p w:rsidR="000414E8" w:rsidRPr="00B87202" w:rsidRDefault="002B5016" w:rsidP="00DA3E23">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1</w:t>
      </w:r>
      <w:r w:rsidR="00927027" w:rsidRPr="00B87202">
        <w:rPr>
          <w:rFonts w:cstheme="minorHAnsi"/>
          <w:b/>
          <w:bCs/>
          <w:color w:val="000099"/>
        </w:rPr>
        <w:t>.</w:t>
      </w:r>
      <w:r w:rsidR="00DB3627" w:rsidRPr="00B87202">
        <w:rPr>
          <w:rFonts w:cstheme="minorHAnsi"/>
          <w:b/>
          <w:bCs/>
          <w:color w:val="000099"/>
        </w:rPr>
        <w:t xml:space="preserve">4. </w:t>
      </w:r>
      <w:r w:rsidR="00021170" w:rsidRPr="00B87202">
        <w:rPr>
          <w:rFonts w:cstheme="minorHAnsi"/>
          <w:b/>
          <w:bCs/>
          <w:color w:val="000099"/>
        </w:rPr>
        <w:t>What level</w:t>
      </w:r>
      <w:r w:rsidR="006327D8" w:rsidRPr="00B87202">
        <w:rPr>
          <w:rFonts w:cstheme="minorHAnsi"/>
          <w:b/>
          <w:bCs/>
          <w:color w:val="000099"/>
        </w:rPr>
        <w:t>s</w:t>
      </w:r>
      <w:r w:rsidR="00021170" w:rsidRPr="00B87202">
        <w:rPr>
          <w:rFonts w:cstheme="minorHAnsi"/>
          <w:b/>
          <w:bCs/>
          <w:color w:val="000099"/>
        </w:rPr>
        <w:t xml:space="preserve"> of analysis</w:t>
      </w:r>
      <w:r w:rsidR="00021170" w:rsidRPr="00B87202">
        <w:rPr>
          <w:rFonts w:cstheme="minorHAnsi"/>
          <w:bCs/>
          <w:color w:val="000099"/>
        </w:rPr>
        <w:t xml:space="preserve"> </w:t>
      </w:r>
      <w:r w:rsidR="00021170" w:rsidRPr="00B87202">
        <w:rPr>
          <w:rFonts w:cstheme="minorHAnsi"/>
          <w:b/>
          <w:bCs/>
          <w:color w:val="000099"/>
        </w:rPr>
        <w:t>w</w:t>
      </w:r>
      <w:r w:rsidR="006327D8" w:rsidRPr="00B87202">
        <w:rPr>
          <w:rFonts w:cstheme="minorHAnsi"/>
          <w:b/>
          <w:bCs/>
          <w:color w:val="000099"/>
        </w:rPr>
        <w:t>ere</w:t>
      </w:r>
      <w:r w:rsidR="00021170" w:rsidRPr="00B87202">
        <w:rPr>
          <w:rFonts w:cstheme="minorHAnsi"/>
          <w:b/>
          <w:bCs/>
          <w:color w:val="000099"/>
        </w:rPr>
        <w:t xml:space="preserve"> </w:t>
      </w:r>
      <w:r w:rsidR="006327D8" w:rsidRPr="00B87202">
        <w:rPr>
          <w:rFonts w:cstheme="minorHAnsi"/>
          <w:b/>
          <w:bCs/>
          <w:color w:val="000099"/>
        </w:rPr>
        <w:t>tested</w:t>
      </w:r>
      <w:r w:rsidR="00021170" w:rsidRPr="00B87202">
        <w:rPr>
          <w:rFonts w:cstheme="minorHAnsi"/>
          <w:bCs/>
          <w:color w:val="000099"/>
        </w:rPr>
        <w:t>? (</w:t>
      </w:r>
      <w:proofErr w:type="gramStart"/>
      <w:r w:rsidR="00F435AA" w:rsidRPr="00B87202">
        <w:rPr>
          <w:rFonts w:cstheme="minorHAnsi"/>
          <w:bCs/>
          <w:i/>
          <w:color w:val="000099"/>
        </w:rPr>
        <w:t>testing</w:t>
      </w:r>
      <w:proofErr w:type="gramEnd"/>
      <w:r w:rsidR="00F435AA" w:rsidRPr="00B87202">
        <w:rPr>
          <w:rFonts w:cstheme="minorHAnsi"/>
          <w:bCs/>
          <w:i/>
          <w:color w:val="000099"/>
        </w:rPr>
        <w:t xml:space="preserve"> </w:t>
      </w:r>
      <w:r w:rsidR="009A25B1" w:rsidRPr="00B87202">
        <w:rPr>
          <w:rFonts w:cstheme="minorHAnsi"/>
          <w:bCs/>
          <w:i/>
          <w:color w:val="000099"/>
        </w:rPr>
        <w:t>must be provided for</w:t>
      </w:r>
      <w:r w:rsidR="00021170" w:rsidRPr="00B87202">
        <w:rPr>
          <w:rFonts w:cstheme="minorHAnsi"/>
          <w:bCs/>
          <w:i/>
          <w:color w:val="000099"/>
        </w:rPr>
        <w:t xml:space="preserve"> </w:t>
      </w:r>
      <w:r w:rsidR="00021170" w:rsidRPr="00B87202">
        <w:rPr>
          <w:rFonts w:cstheme="minorHAnsi"/>
          <w:bCs/>
          <w:i/>
          <w:color w:val="000099"/>
          <w:u w:val="single"/>
        </w:rPr>
        <w:t>all</w:t>
      </w:r>
      <w:r w:rsidR="00021170" w:rsidRPr="00B87202">
        <w:rPr>
          <w:rFonts w:cstheme="minorHAnsi"/>
          <w:bCs/>
          <w:i/>
          <w:color w:val="000099"/>
        </w:rPr>
        <w:t xml:space="preserve"> the levels specified and intended for </w:t>
      </w:r>
      <w:r w:rsidR="005A7634" w:rsidRPr="00B87202">
        <w:rPr>
          <w:rFonts w:cstheme="minorHAnsi"/>
          <w:bCs/>
          <w:i/>
          <w:color w:val="000099"/>
        </w:rPr>
        <w:t xml:space="preserve">measure </w:t>
      </w:r>
      <w:r w:rsidR="00021170" w:rsidRPr="00B87202">
        <w:rPr>
          <w:rFonts w:cstheme="minorHAnsi"/>
          <w:bCs/>
          <w:i/>
          <w:color w:val="000099"/>
        </w:rPr>
        <w:t>implementation</w:t>
      </w:r>
      <w:r w:rsidR="00DB3627" w:rsidRPr="00B87202">
        <w:rPr>
          <w:rFonts w:cstheme="minorHAnsi"/>
          <w:bCs/>
          <w:i/>
          <w:color w:val="000099"/>
        </w:rPr>
        <w:t>, e.g., individual clinician, hospital, health plan</w:t>
      </w:r>
      <w:r w:rsidR="0079538B" w:rsidRPr="00B87202">
        <w:rPr>
          <w:rFonts w:cstheme="minorHAnsi"/>
          <w:bCs/>
          <w:color w:val="000099"/>
        </w:rPr>
        <w:t>)</w:t>
      </w:r>
    </w:p>
    <w:tbl>
      <w:tblPr>
        <w:tblStyle w:val="TableGrid"/>
        <w:tblW w:w="4917" w:type="pct"/>
        <w:jc w:val="center"/>
        <w:tblInd w:w="65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68"/>
        <w:gridCol w:w="5049"/>
      </w:tblGrid>
      <w:tr w:rsidR="00B87202" w:rsidRPr="00B87202" w:rsidTr="00DA3E23">
        <w:trPr>
          <w:jc w:val="center"/>
        </w:trPr>
        <w:tc>
          <w:tcPr>
            <w:tcW w:w="4368" w:type="dxa"/>
            <w:shd w:val="clear" w:color="auto" w:fill="D9D9D9" w:themeFill="background1" w:themeFillShade="D9"/>
          </w:tcPr>
          <w:p w:rsidR="000414E8" w:rsidRPr="00B87202" w:rsidRDefault="000414E8" w:rsidP="00D61410">
            <w:pPr>
              <w:autoSpaceDE w:val="0"/>
              <w:autoSpaceDN w:val="0"/>
              <w:adjustRightInd w:val="0"/>
              <w:rPr>
                <w:rFonts w:cstheme="minorHAnsi"/>
                <w:b/>
                <w:bCs/>
                <w:color w:val="000099"/>
              </w:rPr>
            </w:pPr>
            <w:r w:rsidRPr="00B87202">
              <w:rPr>
                <w:rFonts w:cstheme="minorHAnsi"/>
                <w:b/>
                <w:bCs/>
                <w:color w:val="000099"/>
              </w:rPr>
              <w:t>Measure Specified to Measure Performance of:</w:t>
            </w:r>
          </w:p>
          <w:p w:rsidR="009A6A57" w:rsidRPr="00B87202" w:rsidRDefault="009A6A57" w:rsidP="009A6A57">
            <w:pPr>
              <w:autoSpaceDE w:val="0"/>
              <w:autoSpaceDN w:val="0"/>
              <w:adjustRightInd w:val="0"/>
              <w:rPr>
                <w:rFonts w:cstheme="minorHAnsi"/>
                <w:b/>
                <w:bCs/>
                <w:color w:val="000099"/>
              </w:rPr>
            </w:pPr>
            <w:r w:rsidRPr="00B87202">
              <w:rPr>
                <w:rFonts w:cstheme="minorHAnsi"/>
                <w:b/>
                <w:bCs/>
                <w:color w:val="000099"/>
              </w:rPr>
              <w:t>(</w:t>
            </w:r>
            <w:r w:rsidR="00DB4724" w:rsidRPr="00B87202">
              <w:rPr>
                <w:rFonts w:cstheme="minorHAnsi"/>
                <w:b/>
                <w:bCs/>
                <w:i/>
                <w:color w:val="000099"/>
              </w:rPr>
              <w:t xml:space="preserve">must be consistent with </w:t>
            </w:r>
            <w:r w:rsidRPr="00B87202">
              <w:rPr>
                <w:rFonts w:cstheme="minorHAnsi"/>
                <w:b/>
                <w:bCs/>
                <w:i/>
                <w:color w:val="000099"/>
              </w:rPr>
              <w:t>levels entered in item S.26</w:t>
            </w:r>
            <w:r w:rsidRPr="00B87202">
              <w:rPr>
                <w:rFonts w:cstheme="minorHAnsi"/>
                <w:b/>
                <w:bCs/>
                <w:color w:val="000099"/>
              </w:rPr>
              <w:t>)</w:t>
            </w:r>
          </w:p>
        </w:tc>
        <w:tc>
          <w:tcPr>
            <w:tcW w:w="5049" w:type="dxa"/>
            <w:shd w:val="clear" w:color="auto" w:fill="D9D9D9" w:themeFill="background1" w:themeFillShade="D9"/>
          </w:tcPr>
          <w:p w:rsidR="000414E8" w:rsidRPr="00B87202" w:rsidRDefault="000414E8" w:rsidP="00D61410">
            <w:pPr>
              <w:autoSpaceDE w:val="0"/>
              <w:autoSpaceDN w:val="0"/>
              <w:adjustRightInd w:val="0"/>
              <w:rPr>
                <w:rFonts w:cstheme="minorHAnsi"/>
                <w:b/>
                <w:bCs/>
                <w:color w:val="000099"/>
              </w:rPr>
            </w:pPr>
            <w:r w:rsidRPr="00B87202">
              <w:rPr>
                <w:rFonts w:cstheme="minorHAnsi"/>
                <w:b/>
                <w:bCs/>
                <w:color w:val="000099"/>
              </w:rPr>
              <w:t>Measure Tested at Level of:</w:t>
            </w:r>
          </w:p>
        </w:tc>
      </w:tr>
      <w:tr w:rsidR="000414E8" w:rsidRPr="00A01494" w:rsidTr="00DA3E23">
        <w:trPr>
          <w:jc w:val="center"/>
        </w:trPr>
        <w:tc>
          <w:tcPr>
            <w:tcW w:w="4368" w:type="dxa"/>
          </w:tcPr>
          <w:p w:rsidR="000414E8" w:rsidRPr="00A01494" w:rsidRDefault="0008706B" w:rsidP="00D61410">
            <w:pPr>
              <w:autoSpaceDE w:val="0"/>
              <w:autoSpaceDN w:val="0"/>
              <w:adjustRightInd w:val="0"/>
              <w:rPr>
                <w:rFonts w:cstheme="minorHAnsi"/>
                <w:bCs/>
              </w:rPr>
            </w:pPr>
            <w:sdt>
              <w:sdtPr>
                <w:rPr>
                  <w:rFonts w:cstheme="minorHAnsi"/>
                  <w:bCs/>
                  <w:color w:val="0000FF"/>
                </w:rPr>
                <w:id w:val="447514278"/>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49" w:type="dxa"/>
          </w:tcPr>
          <w:p w:rsidR="000414E8" w:rsidRPr="00A01494" w:rsidRDefault="0008706B" w:rsidP="00D61410">
            <w:pPr>
              <w:autoSpaceDE w:val="0"/>
              <w:autoSpaceDN w:val="0"/>
              <w:adjustRightInd w:val="0"/>
              <w:rPr>
                <w:rFonts w:cstheme="minorHAnsi"/>
                <w:bCs/>
              </w:rPr>
            </w:pPr>
            <w:sdt>
              <w:sdtPr>
                <w:rPr>
                  <w:rFonts w:cstheme="minorHAnsi"/>
                  <w:bCs/>
                  <w:color w:val="0000FF"/>
                  <w:sz w:val="16"/>
                  <w:szCs w:val="16"/>
                </w:rPr>
                <w:id w:val="1571624283"/>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DA3E23">
        <w:trPr>
          <w:jc w:val="center"/>
        </w:trPr>
        <w:tc>
          <w:tcPr>
            <w:tcW w:w="4368" w:type="dxa"/>
          </w:tcPr>
          <w:p w:rsidR="000414E8" w:rsidRPr="00A01494" w:rsidRDefault="0008706B" w:rsidP="00D61410">
            <w:pPr>
              <w:autoSpaceDE w:val="0"/>
              <w:autoSpaceDN w:val="0"/>
              <w:adjustRightInd w:val="0"/>
              <w:rPr>
                <w:rFonts w:cstheme="minorHAnsi"/>
                <w:bCs/>
              </w:rPr>
            </w:pPr>
            <w:sdt>
              <w:sdtPr>
                <w:rPr>
                  <w:rFonts w:cstheme="minorHAnsi"/>
                  <w:bCs/>
                  <w:color w:val="0000FF"/>
                </w:rPr>
                <w:id w:val="-834455086"/>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49" w:type="dxa"/>
          </w:tcPr>
          <w:p w:rsidR="000414E8" w:rsidRPr="00A01494" w:rsidRDefault="0008706B" w:rsidP="00D61410">
            <w:pPr>
              <w:autoSpaceDE w:val="0"/>
              <w:autoSpaceDN w:val="0"/>
              <w:adjustRightInd w:val="0"/>
              <w:rPr>
                <w:rFonts w:cstheme="minorHAnsi"/>
                <w:bCs/>
              </w:rPr>
            </w:pPr>
            <w:sdt>
              <w:sdtPr>
                <w:rPr>
                  <w:rFonts w:cstheme="minorHAnsi"/>
                  <w:bCs/>
                  <w:color w:val="0000FF"/>
                  <w:sz w:val="16"/>
                  <w:szCs w:val="16"/>
                </w:rPr>
                <w:id w:val="-412627602"/>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DA3E23">
        <w:trPr>
          <w:jc w:val="center"/>
        </w:trPr>
        <w:tc>
          <w:tcPr>
            <w:tcW w:w="4368" w:type="dxa"/>
          </w:tcPr>
          <w:p w:rsidR="000414E8" w:rsidRPr="00A01494" w:rsidRDefault="0008706B" w:rsidP="00D61410">
            <w:pPr>
              <w:autoSpaceDE w:val="0"/>
              <w:autoSpaceDN w:val="0"/>
              <w:adjustRightInd w:val="0"/>
              <w:rPr>
                <w:rFonts w:cstheme="minorHAnsi"/>
                <w:bCs/>
              </w:rPr>
            </w:pPr>
            <w:sdt>
              <w:sdtPr>
                <w:rPr>
                  <w:rFonts w:cstheme="minorHAnsi"/>
                  <w:bCs/>
                  <w:color w:val="0000FF"/>
                </w:rPr>
                <w:id w:val="-1855098074"/>
              </w:sdtPr>
              <w:sdtContent>
                <w:r w:rsidR="0086533B">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49" w:type="dxa"/>
          </w:tcPr>
          <w:p w:rsidR="000414E8" w:rsidRPr="00A01494" w:rsidRDefault="0008706B" w:rsidP="00D61410">
            <w:pPr>
              <w:autoSpaceDE w:val="0"/>
              <w:autoSpaceDN w:val="0"/>
              <w:adjustRightInd w:val="0"/>
              <w:rPr>
                <w:rFonts w:cstheme="minorHAnsi"/>
                <w:bCs/>
              </w:rPr>
            </w:pPr>
            <w:sdt>
              <w:sdtPr>
                <w:rPr>
                  <w:rFonts w:cstheme="minorHAnsi"/>
                  <w:bCs/>
                  <w:color w:val="0000FF"/>
                </w:rPr>
                <w:id w:val="1857455968"/>
              </w:sdtPr>
              <w:sdtContent>
                <w:r w:rsidR="0086533B">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DA3E23">
        <w:trPr>
          <w:jc w:val="center"/>
        </w:trPr>
        <w:tc>
          <w:tcPr>
            <w:tcW w:w="4368" w:type="dxa"/>
          </w:tcPr>
          <w:p w:rsidR="000414E8" w:rsidRPr="00A01494" w:rsidRDefault="0008706B" w:rsidP="00D61410">
            <w:pPr>
              <w:autoSpaceDE w:val="0"/>
              <w:autoSpaceDN w:val="0"/>
              <w:adjustRightInd w:val="0"/>
              <w:rPr>
                <w:rFonts w:cstheme="minorHAnsi"/>
                <w:bCs/>
              </w:rPr>
            </w:pPr>
            <w:sdt>
              <w:sdtPr>
                <w:rPr>
                  <w:rFonts w:cstheme="minorHAnsi"/>
                  <w:bCs/>
                  <w:color w:val="0000FF"/>
                </w:rPr>
                <w:id w:val="275535217"/>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49" w:type="dxa"/>
          </w:tcPr>
          <w:p w:rsidR="000414E8" w:rsidRPr="00A01494" w:rsidRDefault="0008706B" w:rsidP="00D61410">
            <w:pPr>
              <w:autoSpaceDE w:val="0"/>
              <w:autoSpaceDN w:val="0"/>
              <w:adjustRightInd w:val="0"/>
              <w:rPr>
                <w:rFonts w:cstheme="minorHAnsi"/>
                <w:bCs/>
              </w:rPr>
            </w:pPr>
            <w:sdt>
              <w:sdtPr>
                <w:rPr>
                  <w:rFonts w:cstheme="minorHAnsi"/>
                  <w:bCs/>
                  <w:color w:val="0000FF"/>
                </w:rPr>
                <w:id w:val="1896924375"/>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DA3E23">
        <w:trPr>
          <w:jc w:val="center"/>
        </w:trPr>
        <w:tc>
          <w:tcPr>
            <w:tcW w:w="4368" w:type="dxa"/>
          </w:tcPr>
          <w:p w:rsidR="000414E8" w:rsidRPr="00A01494" w:rsidRDefault="0008706B" w:rsidP="00D61410">
            <w:pPr>
              <w:autoSpaceDE w:val="0"/>
              <w:autoSpaceDN w:val="0"/>
              <w:adjustRightInd w:val="0"/>
              <w:rPr>
                <w:rFonts w:cstheme="minorHAnsi"/>
                <w:bCs/>
              </w:rPr>
            </w:pPr>
            <w:sdt>
              <w:sdtPr>
                <w:rPr>
                  <w:rFonts w:cstheme="minorHAnsi"/>
                  <w:bCs/>
                  <w:color w:val="0000FF"/>
                </w:rPr>
                <w:id w:val="-1138024150"/>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49" w:type="dxa"/>
          </w:tcPr>
          <w:p w:rsidR="000414E8" w:rsidRPr="00A01494" w:rsidRDefault="0008706B" w:rsidP="00D61410">
            <w:pPr>
              <w:autoSpaceDE w:val="0"/>
              <w:autoSpaceDN w:val="0"/>
              <w:adjustRightInd w:val="0"/>
              <w:rPr>
                <w:rFonts w:cstheme="minorHAnsi"/>
                <w:bCs/>
              </w:rPr>
            </w:pPr>
            <w:sdt>
              <w:sdtPr>
                <w:rPr>
                  <w:rFonts w:cstheme="minorHAnsi"/>
                  <w:bCs/>
                  <w:color w:val="0000FF"/>
                </w:rPr>
                <w:id w:val="-417333514"/>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Pr="00B87202" w:rsidRDefault="002B5016" w:rsidP="00264DF0">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shd w:val="clear" w:color="auto" w:fill="D9D9D9" w:themeFill="background1" w:themeFillShade="D9"/>
        </w:rPr>
        <w:t>1.</w:t>
      </w:r>
      <w:r w:rsidR="00E310B9" w:rsidRPr="00B87202">
        <w:rPr>
          <w:rFonts w:cstheme="minorHAnsi"/>
          <w:b/>
          <w:bCs/>
          <w:color w:val="000099"/>
          <w:shd w:val="clear" w:color="auto" w:fill="D9D9D9" w:themeFill="background1" w:themeFillShade="D9"/>
        </w:rPr>
        <w:t xml:space="preserve">5. </w:t>
      </w:r>
      <w:r w:rsidR="004348CC" w:rsidRPr="00B87202">
        <w:rPr>
          <w:rFonts w:cstheme="minorHAnsi"/>
          <w:b/>
          <w:bCs/>
          <w:color w:val="000099"/>
          <w:shd w:val="clear" w:color="auto" w:fill="D9D9D9" w:themeFill="background1" w:themeFillShade="D9"/>
        </w:rPr>
        <w:t xml:space="preserve">How many and which </w:t>
      </w:r>
      <w:r w:rsidR="004348CC" w:rsidRPr="00B87202">
        <w:rPr>
          <w:rFonts w:cstheme="minorHAnsi"/>
          <w:b/>
          <w:bCs/>
          <w:color w:val="000099"/>
          <w:u w:val="single"/>
          <w:shd w:val="clear" w:color="auto" w:fill="D9D9D9" w:themeFill="background1" w:themeFillShade="D9"/>
        </w:rPr>
        <w:t>measured entities</w:t>
      </w:r>
      <w:r w:rsidR="004348CC" w:rsidRPr="00B87202">
        <w:rPr>
          <w:rFonts w:cstheme="minorHAnsi"/>
          <w:b/>
          <w:bCs/>
          <w:color w:val="000099"/>
          <w:shd w:val="clear" w:color="auto" w:fill="D9D9D9" w:themeFill="background1" w:themeFillShade="D9"/>
        </w:rPr>
        <w:t xml:space="preserve"> were included in the testing</w:t>
      </w:r>
      <w:r w:rsidR="004B6CEE" w:rsidRPr="00B87202">
        <w:rPr>
          <w:rFonts w:cstheme="minorHAnsi"/>
          <w:b/>
          <w:bCs/>
          <w:color w:val="000099"/>
          <w:shd w:val="clear" w:color="auto" w:fill="D9D9D9" w:themeFill="background1" w:themeFillShade="D9"/>
        </w:rPr>
        <w:t xml:space="preserve"> and analysis</w:t>
      </w:r>
      <w:r w:rsidR="00AA65A6" w:rsidRPr="00B87202">
        <w:rPr>
          <w:rFonts w:cstheme="minorHAnsi"/>
          <w:b/>
          <w:bCs/>
          <w:color w:val="000099"/>
          <w:shd w:val="clear" w:color="auto" w:fill="D9D9D9" w:themeFill="background1" w:themeFillShade="D9"/>
        </w:rPr>
        <w:t xml:space="preserve"> </w:t>
      </w:r>
      <w:r w:rsidR="00616EB5" w:rsidRPr="00B87202">
        <w:rPr>
          <w:rFonts w:cstheme="minorHAnsi"/>
          <w:b/>
          <w:bCs/>
          <w:color w:val="000099"/>
          <w:shd w:val="clear" w:color="auto" w:fill="D9D9D9" w:themeFill="background1" w:themeFillShade="D9"/>
        </w:rPr>
        <w:t>(</w:t>
      </w:r>
      <w:r w:rsidR="00AA65A6" w:rsidRPr="00B87202">
        <w:rPr>
          <w:rFonts w:cstheme="minorHAnsi"/>
          <w:b/>
          <w:bCs/>
          <w:color w:val="000099"/>
          <w:shd w:val="clear" w:color="auto" w:fill="D9D9D9" w:themeFill="background1" w:themeFillShade="D9"/>
        </w:rPr>
        <w:t>by level of analysis and data source</w:t>
      </w:r>
      <w:r w:rsidR="00616EB5" w:rsidRPr="00B87202">
        <w:rPr>
          <w:rFonts w:cstheme="minorHAnsi"/>
          <w:b/>
          <w:bCs/>
          <w:color w:val="000099"/>
          <w:shd w:val="clear" w:color="auto" w:fill="D9D9D9" w:themeFill="background1" w:themeFillShade="D9"/>
        </w:rPr>
        <w:t>)</w:t>
      </w:r>
      <w:r w:rsidR="004348CC" w:rsidRPr="00B87202">
        <w:rPr>
          <w:rFonts w:cstheme="minorHAnsi"/>
          <w:bCs/>
          <w:color w:val="000099"/>
          <w:shd w:val="clear" w:color="auto" w:fill="D9D9D9" w:themeFill="background1" w:themeFillShade="D9"/>
        </w:rPr>
        <w:t>? (</w:t>
      </w:r>
      <w:proofErr w:type="gramStart"/>
      <w:r w:rsidR="004348CC" w:rsidRPr="00B87202">
        <w:rPr>
          <w:rFonts w:cstheme="minorHAnsi"/>
          <w:bCs/>
          <w:i/>
          <w:color w:val="000099"/>
          <w:shd w:val="clear" w:color="auto" w:fill="D9D9D9" w:themeFill="background1" w:themeFillShade="D9"/>
        </w:rPr>
        <w:t>identify</w:t>
      </w:r>
      <w:proofErr w:type="gramEnd"/>
      <w:r w:rsidR="004348CC" w:rsidRPr="00B87202">
        <w:rPr>
          <w:rFonts w:cstheme="minorHAnsi"/>
          <w:bCs/>
          <w:i/>
          <w:color w:val="000099"/>
          <w:shd w:val="clear" w:color="auto" w:fill="D9D9D9" w:themeFill="background1" w:themeFillShade="D9"/>
        </w:rPr>
        <w:t xml:space="preserve"> </w:t>
      </w:r>
      <w:r w:rsidR="00F435AA" w:rsidRPr="00B87202">
        <w:rPr>
          <w:rFonts w:cstheme="minorHAnsi"/>
          <w:bCs/>
          <w:i/>
          <w:color w:val="000099"/>
          <w:shd w:val="clear" w:color="auto" w:fill="D9D9D9" w:themeFill="background1" w:themeFillShade="D9"/>
        </w:rPr>
        <w:t>the number</w:t>
      </w:r>
      <w:r w:rsidR="004348CC" w:rsidRPr="00B87202">
        <w:rPr>
          <w:rFonts w:cstheme="minorHAnsi"/>
          <w:bCs/>
          <w:i/>
          <w:color w:val="000099"/>
          <w:shd w:val="clear" w:color="auto" w:fill="D9D9D9" w:themeFill="background1" w:themeFillShade="D9"/>
        </w:rPr>
        <w:t xml:space="preserve"> </w:t>
      </w:r>
      <w:r w:rsidR="005A7634" w:rsidRPr="00B87202">
        <w:rPr>
          <w:rFonts w:cstheme="minorHAnsi"/>
          <w:bCs/>
          <w:i/>
          <w:color w:val="000099"/>
          <w:shd w:val="clear" w:color="auto" w:fill="D9D9D9" w:themeFill="background1" w:themeFillShade="D9"/>
        </w:rPr>
        <w:t>and descriptive</w:t>
      </w:r>
      <w:r w:rsidR="004348CC" w:rsidRPr="00B87202">
        <w:rPr>
          <w:rFonts w:cstheme="minorHAnsi"/>
          <w:bCs/>
          <w:i/>
          <w:color w:val="000099"/>
          <w:shd w:val="clear" w:color="auto" w:fill="D9D9D9" w:themeFill="background1" w:themeFillShade="D9"/>
        </w:rPr>
        <w:t xml:space="preserve"> characteristics</w:t>
      </w:r>
      <w:r w:rsidR="00DA7277" w:rsidRPr="00B87202">
        <w:rPr>
          <w:rFonts w:cstheme="minorHAnsi"/>
          <w:bCs/>
          <w:i/>
          <w:color w:val="000099"/>
          <w:shd w:val="clear" w:color="auto" w:fill="D9D9D9" w:themeFill="background1" w:themeFillShade="D9"/>
        </w:rPr>
        <w:t xml:space="preserve"> </w:t>
      </w:r>
      <w:r w:rsidR="004348CC" w:rsidRPr="00B87202">
        <w:rPr>
          <w:rFonts w:cstheme="minorHAnsi"/>
          <w:bCs/>
          <w:i/>
          <w:color w:val="000099"/>
          <w:shd w:val="clear" w:color="auto" w:fill="D9D9D9" w:themeFill="background1" w:themeFillShade="D9"/>
        </w:rPr>
        <w:t>of measured entities included in the analysis</w:t>
      </w:r>
      <w:r w:rsidR="00DA7277" w:rsidRPr="00B87202">
        <w:rPr>
          <w:rFonts w:cstheme="minorHAnsi"/>
          <w:bCs/>
          <w:i/>
          <w:color w:val="000099"/>
          <w:shd w:val="clear" w:color="auto" w:fill="D9D9D9" w:themeFill="background1" w:themeFillShade="D9"/>
        </w:rPr>
        <w:t xml:space="preserve"> (e.g., size, location, type)</w:t>
      </w:r>
      <w:r w:rsidR="004348CC" w:rsidRPr="00B87202">
        <w:rPr>
          <w:rFonts w:cstheme="minorHAnsi"/>
          <w:bCs/>
          <w:i/>
          <w:color w:val="000099"/>
          <w:shd w:val="clear" w:color="auto" w:fill="D9D9D9" w:themeFill="background1" w:themeFillShade="D9"/>
        </w:rPr>
        <w:t xml:space="preserve">; if </w:t>
      </w:r>
      <w:r w:rsidR="000968F8" w:rsidRPr="00B87202">
        <w:rPr>
          <w:rFonts w:cstheme="minorHAnsi"/>
          <w:bCs/>
          <w:i/>
          <w:color w:val="000099"/>
          <w:shd w:val="clear" w:color="auto" w:fill="D9D9D9" w:themeFill="background1" w:themeFillShade="D9"/>
        </w:rPr>
        <w:t xml:space="preserve">a </w:t>
      </w:r>
      <w:r w:rsidR="004348CC" w:rsidRPr="00B87202">
        <w:rPr>
          <w:rFonts w:cstheme="minorHAnsi"/>
          <w:bCs/>
          <w:i/>
          <w:color w:val="000099"/>
          <w:shd w:val="clear" w:color="auto" w:fill="D9D9D9" w:themeFill="background1" w:themeFillShade="D9"/>
        </w:rPr>
        <w:t>sample</w:t>
      </w:r>
      <w:r w:rsidR="00E310B9" w:rsidRPr="00B87202">
        <w:rPr>
          <w:rFonts w:cstheme="minorHAnsi"/>
          <w:bCs/>
          <w:i/>
          <w:color w:val="000099"/>
          <w:shd w:val="clear" w:color="auto" w:fill="D9D9D9" w:themeFill="background1" w:themeFillShade="D9"/>
        </w:rPr>
        <w:t xml:space="preserve"> was used</w:t>
      </w:r>
      <w:r w:rsidR="004348CC" w:rsidRPr="00B87202">
        <w:rPr>
          <w:rFonts w:cstheme="minorHAnsi"/>
          <w:bCs/>
          <w:i/>
          <w:color w:val="000099"/>
          <w:shd w:val="clear" w:color="auto" w:fill="D9D9D9" w:themeFill="background1" w:themeFillShade="D9"/>
        </w:rPr>
        <w:t xml:space="preserve">, </w:t>
      </w:r>
      <w:r w:rsidR="000968F8" w:rsidRPr="00B87202">
        <w:rPr>
          <w:rFonts w:cstheme="minorHAnsi"/>
          <w:bCs/>
          <w:i/>
          <w:color w:val="000099"/>
          <w:shd w:val="clear" w:color="auto" w:fill="D9D9D9" w:themeFill="background1" w:themeFillShade="D9"/>
        </w:rPr>
        <w:t xml:space="preserve">describe </w:t>
      </w:r>
      <w:r w:rsidR="004348CC" w:rsidRPr="00B87202">
        <w:rPr>
          <w:rFonts w:cstheme="minorHAnsi"/>
          <w:bCs/>
          <w:i/>
          <w:color w:val="000099"/>
          <w:shd w:val="clear" w:color="auto" w:fill="D9D9D9" w:themeFill="background1" w:themeFillShade="D9"/>
        </w:rPr>
        <w:t xml:space="preserve">how </w:t>
      </w:r>
      <w:r w:rsidR="005A7634" w:rsidRPr="00B87202">
        <w:rPr>
          <w:rFonts w:cstheme="minorHAnsi"/>
          <w:bCs/>
          <w:i/>
          <w:color w:val="000099"/>
          <w:shd w:val="clear" w:color="auto" w:fill="D9D9D9" w:themeFill="background1" w:themeFillShade="D9"/>
        </w:rPr>
        <w:t xml:space="preserve">entities were </w:t>
      </w:r>
      <w:r w:rsidR="000968F8" w:rsidRPr="00B87202">
        <w:rPr>
          <w:rFonts w:cstheme="minorHAnsi"/>
          <w:bCs/>
          <w:i/>
          <w:color w:val="000099"/>
          <w:shd w:val="clear" w:color="auto" w:fill="D9D9D9" w:themeFill="background1" w:themeFillShade="D9"/>
        </w:rPr>
        <w:t>selected</w:t>
      </w:r>
      <w:r w:rsidR="005A7634" w:rsidRPr="00B87202">
        <w:rPr>
          <w:rFonts w:cstheme="minorHAnsi"/>
          <w:bCs/>
          <w:i/>
          <w:color w:val="000099"/>
          <w:shd w:val="clear" w:color="auto" w:fill="D9D9D9" w:themeFill="background1" w:themeFillShade="D9"/>
        </w:rPr>
        <w:t xml:space="preserve"> for inclusion in the sample</w:t>
      </w:r>
      <w:r w:rsidR="004348CC" w:rsidRPr="00B87202">
        <w:rPr>
          <w:rFonts w:cstheme="minorHAnsi"/>
          <w:bCs/>
          <w:color w:val="000099"/>
          <w:shd w:val="clear" w:color="auto" w:fill="D9D9D9" w:themeFill="background1" w:themeFillShade="D9"/>
        </w:rPr>
        <w:t>)</w:t>
      </w:r>
      <w:r w:rsidR="00264DF0" w:rsidRPr="00B87202">
        <w:rPr>
          <w:rFonts w:cstheme="minorHAnsi"/>
          <w:bCs/>
          <w:color w:val="000099"/>
        </w:rPr>
        <w:t xml:space="preserve"> </w:t>
      </w:r>
    </w:p>
    <w:p w:rsidR="0086533B" w:rsidRDefault="0086533B" w:rsidP="0086533B">
      <w:pPr>
        <w:spacing w:after="0" w:line="240" w:lineRule="auto"/>
        <w:rPr>
          <w:rFonts w:eastAsia="Times New Roman"/>
          <w:u w:val="single"/>
        </w:rPr>
      </w:pPr>
      <w:r>
        <w:rPr>
          <w:rFonts w:eastAsia="Times New Roman"/>
          <w:u w:val="single"/>
        </w:rPr>
        <w:t>Analysis #1: Data abstraction reliability</w:t>
      </w:r>
    </w:p>
    <w:p w:rsidR="0086533B" w:rsidRDefault="0086533B" w:rsidP="0086533B">
      <w:pPr>
        <w:spacing w:after="0" w:line="240" w:lineRule="auto"/>
        <w:rPr>
          <w:rFonts w:eastAsia="Times New Roman"/>
        </w:rPr>
      </w:pPr>
      <w:r>
        <w:rPr>
          <w:rFonts w:eastAsia="Times New Roman"/>
        </w:rPr>
        <w:lastRenderedPageBreak/>
        <w:t>Data abstraction reliability was assessed by the STS national audit program for the year 2011. A total of 51 STS sites were audited in 2011. See “analytic methods” for details.</w:t>
      </w:r>
    </w:p>
    <w:p w:rsidR="0086533B" w:rsidRDefault="0086533B" w:rsidP="0086533B">
      <w:pPr>
        <w:spacing w:after="0" w:line="240" w:lineRule="auto"/>
        <w:rPr>
          <w:rFonts w:eastAsia="Times New Roman"/>
        </w:rPr>
      </w:pPr>
    </w:p>
    <w:p w:rsidR="0086533B" w:rsidRDefault="0086533B" w:rsidP="0086533B">
      <w:pPr>
        <w:spacing w:after="0" w:line="240" w:lineRule="auto"/>
        <w:rPr>
          <w:rFonts w:eastAsia="Times New Roman"/>
          <w:u w:val="single"/>
        </w:rPr>
      </w:pPr>
      <w:r>
        <w:rPr>
          <w:rFonts w:eastAsia="Times New Roman"/>
          <w:u w:val="single"/>
        </w:rPr>
        <w:t>Analysis #2: Statistical reliability (signal-to-noise ratio)</w:t>
      </w:r>
    </w:p>
    <w:p w:rsidR="0086533B" w:rsidRDefault="0086533B" w:rsidP="0086533B">
      <w:pPr>
        <w:spacing w:after="0" w:line="240" w:lineRule="auto"/>
        <w:rPr>
          <w:rFonts w:eastAsia="Times New Roman"/>
        </w:rPr>
      </w:pPr>
      <w:r>
        <w:rPr>
          <w:rFonts w:eastAsia="Times New Roman"/>
        </w:rPr>
        <w:t xml:space="preserve">Statistical reliability of the proposed readmission measure was assessed using linked STS-CMS data for calendar years 2008-2010. The analysis population consisted of Medicare fee-for-service </w:t>
      </w:r>
      <w:proofErr w:type="gramStart"/>
      <w:r>
        <w:rPr>
          <w:rFonts w:eastAsia="Times New Roman"/>
        </w:rPr>
        <w:t>beneficiaries</w:t>
      </w:r>
      <w:proofErr w:type="gramEnd"/>
      <w:r>
        <w:rPr>
          <w:rFonts w:eastAsia="Times New Roman"/>
        </w:rPr>
        <w:t xml:space="preserve"> age 65 years or older at discharge who underwent isolated coronary artery bypass grafting (CABG) during 2008-2010 and were discharged alive. Candidate CABG admissions were identified by selecting Medicare Part A claims with an ICD-9-CM procedural code for CABG (36.1x) in any position. Records were retained for analysis if they met the following additional criteria: </w:t>
      </w:r>
    </w:p>
    <w:p w:rsidR="0086533B" w:rsidRDefault="0086533B" w:rsidP="0086533B">
      <w:pPr>
        <w:spacing w:after="0" w:line="240" w:lineRule="auto"/>
        <w:rPr>
          <w:rFonts w:eastAsia="Times New Roman"/>
        </w:rPr>
      </w:pPr>
    </w:p>
    <w:p w:rsidR="0086533B" w:rsidRDefault="0086533B" w:rsidP="0086533B">
      <w:pPr>
        <w:numPr>
          <w:ilvl w:val="0"/>
          <w:numId w:val="27"/>
        </w:numPr>
        <w:spacing w:after="0" w:line="240" w:lineRule="auto"/>
        <w:rPr>
          <w:rFonts w:eastAsia="Times New Roman"/>
        </w:rPr>
      </w:pPr>
      <w:r>
        <w:rPr>
          <w:rFonts w:eastAsia="Times New Roman"/>
        </w:rPr>
        <w:t xml:space="preserve">Linked to an STS record for isolated CABG (see below for record linkage criteria and definition of isolated CABG); </w:t>
      </w:r>
    </w:p>
    <w:p w:rsidR="0086533B" w:rsidRDefault="0086533B" w:rsidP="0086533B">
      <w:pPr>
        <w:numPr>
          <w:ilvl w:val="0"/>
          <w:numId w:val="27"/>
        </w:numPr>
        <w:spacing w:after="0" w:line="240" w:lineRule="auto"/>
        <w:rPr>
          <w:rFonts w:eastAsia="Times New Roman"/>
        </w:rPr>
      </w:pPr>
      <w:r>
        <w:rPr>
          <w:rFonts w:eastAsia="Times New Roman"/>
        </w:rPr>
        <w:t xml:space="preserve">Eligible for Medicare fee-for-service (FFS) A and B for at least two months after discharge or until month of death, whichever is first; </w:t>
      </w:r>
    </w:p>
    <w:p w:rsidR="0086533B" w:rsidRDefault="0086533B" w:rsidP="0086533B">
      <w:pPr>
        <w:numPr>
          <w:ilvl w:val="0"/>
          <w:numId w:val="27"/>
        </w:numPr>
        <w:spacing w:after="0" w:line="240" w:lineRule="auto"/>
        <w:rPr>
          <w:rFonts w:eastAsia="Times New Roman"/>
        </w:rPr>
      </w:pPr>
      <w:r>
        <w:rPr>
          <w:rFonts w:eastAsia="Times New Roman"/>
        </w:rPr>
        <w:t xml:space="preserve">Discharged from acute care setting within 1 year of index CABG admission; </w:t>
      </w:r>
    </w:p>
    <w:p w:rsidR="0086533B" w:rsidRDefault="0086533B" w:rsidP="0086533B">
      <w:pPr>
        <w:numPr>
          <w:ilvl w:val="0"/>
          <w:numId w:val="27"/>
        </w:numPr>
        <w:spacing w:after="0" w:line="240" w:lineRule="auto"/>
        <w:rPr>
          <w:rFonts w:eastAsia="Times New Roman"/>
        </w:rPr>
      </w:pPr>
      <w:r>
        <w:rPr>
          <w:rFonts w:eastAsia="Times New Roman"/>
        </w:rPr>
        <w:t xml:space="preserve">Did not leave against medical advice; </w:t>
      </w:r>
    </w:p>
    <w:p w:rsidR="0086533B" w:rsidRDefault="0086533B" w:rsidP="0086533B">
      <w:pPr>
        <w:numPr>
          <w:ilvl w:val="0"/>
          <w:numId w:val="27"/>
        </w:numPr>
        <w:spacing w:after="0" w:line="240" w:lineRule="auto"/>
        <w:rPr>
          <w:rFonts w:eastAsia="Times New Roman"/>
        </w:rPr>
      </w:pPr>
      <w:r>
        <w:rPr>
          <w:rFonts w:eastAsia="Times New Roman"/>
        </w:rPr>
        <w:t xml:space="preserve">No logically inconsistent claims data (e.g. claims with overlapping admission and discharge dates); </w:t>
      </w:r>
    </w:p>
    <w:p w:rsidR="0086533B" w:rsidRDefault="0086533B" w:rsidP="0086533B">
      <w:pPr>
        <w:numPr>
          <w:ilvl w:val="0"/>
          <w:numId w:val="27"/>
        </w:numPr>
        <w:spacing w:after="0" w:line="240" w:lineRule="auto"/>
        <w:rPr>
          <w:rFonts w:eastAsia="Times New Roman"/>
        </w:rPr>
      </w:pPr>
      <w:r>
        <w:rPr>
          <w:rFonts w:eastAsia="Times New Roman"/>
        </w:rPr>
        <w:t>Is the first eligible operation per patient during the measurement period</w:t>
      </w:r>
    </w:p>
    <w:p w:rsidR="0086533B" w:rsidRDefault="0086533B" w:rsidP="0086533B">
      <w:pPr>
        <w:spacing w:after="0" w:line="240" w:lineRule="auto"/>
        <w:rPr>
          <w:rFonts w:eastAsia="Times New Roman"/>
        </w:rPr>
      </w:pPr>
    </w:p>
    <w:p w:rsidR="0086533B" w:rsidRDefault="0086533B" w:rsidP="0086533B">
      <w:pPr>
        <w:spacing w:after="0" w:line="240" w:lineRule="auto"/>
        <w:rPr>
          <w:rFonts w:eastAsia="Times New Roman"/>
        </w:rPr>
      </w:pPr>
      <w:r>
        <w:rPr>
          <w:rFonts w:eastAsia="Times New Roman"/>
        </w:rPr>
        <w:t>After applying these inclusion/exclusion criteria, the analysis population included 162,503 index CABG admissions from 1010 CMS hospitals. Results are reported for the subset of hospitals for which at least 90% of eligible CMS records could be linked to a corresponding STS record (150,820 index admissions, 900 CMS hospitals).</w:t>
      </w:r>
    </w:p>
    <w:p w:rsidR="002B5016" w:rsidRDefault="002B5016" w:rsidP="00DB3627">
      <w:pPr>
        <w:autoSpaceDE w:val="0"/>
        <w:autoSpaceDN w:val="0"/>
        <w:adjustRightInd w:val="0"/>
        <w:spacing w:after="0" w:line="240" w:lineRule="auto"/>
        <w:rPr>
          <w:rFonts w:cstheme="minorHAnsi"/>
          <w:bCs/>
        </w:rPr>
      </w:pPr>
    </w:p>
    <w:p w:rsidR="00264DF0" w:rsidRPr="00A25024" w:rsidRDefault="00264DF0" w:rsidP="00DB3627">
      <w:pPr>
        <w:autoSpaceDE w:val="0"/>
        <w:autoSpaceDN w:val="0"/>
        <w:adjustRightInd w:val="0"/>
        <w:spacing w:after="0" w:line="240" w:lineRule="auto"/>
        <w:rPr>
          <w:rFonts w:cstheme="minorHAnsi"/>
          <w:bCs/>
        </w:rPr>
      </w:pPr>
    </w:p>
    <w:p w:rsidR="007422FD" w:rsidRDefault="002B5016" w:rsidP="00264DF0">
      <w:pPr>
        <w:shd w:val="clear" w:color="auto" w:fill="D9D9D9" w:themeFill="background1" w:themeFillShade="D9"/>
        <w:autoSpaceDE w:val="0"/>
        <w:autoSpaceDN w:val="0"/>
        <w:adjustRightInd w:val="0"/>
        <w:spacing w:after="0" w:line="240" w:lineRule="auto"/>
        <w:rPr>
          <w:rFonts w:cstheme="minorHAnsi"/>
          <w:bCs/>
        </w:rPr>
      </w:pPr>
      <w:r w:rsidRPr="00B87202">
        <w:rPr>
          <w:rFonts w:cstheme="minorHAnsi"/>
          <w:b/>
          <w:bCs/>
          <w:color w:val="000099"/>
          <w:shd w:val="clear" w:color="auto" w:fill="D9D9D9" w:themeFill="background1" w:themeFillShade="D9"/>
        </w:rPr>
        <w:t>1.</w:t>
      </w:r>
      <w:r w:rsidR="00E310B9" w:rsidRPr="00B87202">
        <w:rPr>
          <w:rFonts w:cstheme="minorHAnsi"/>
          <w:b/>
          <w:bCs/>
          <w:color w:val="000099"/>
          <w:shd w:val="clear" w:color="auto" w:fill="D9D9D9" w:themeFill="background1" w:themeFillShade="D9"/>
        </w:rPr>
        <w:t xml:space="preserve">6. </w:t>
      </w:r>
      <w:r w:rsidR="007422FD" w:rsidRPr="00B87202">
        <w:rPr>
          <w:rFonts w:cstheme="minorHAnsi"/>
          <w:b/>
          <w:bCs/>
          <w:color w:val="000099"/>
          <w:shd w:val="clear" w:color="auto" w:fill="D9D9D9" w:themeFill="background1" w:themeFillShade="D9"/>
        </w:rPr>
        <w:t xml:space="preserve">How many and which </w:t>
      </w:r>
      <w:r w:rsidR="007422FD" w:rsidRPr="00B87202">
        <w:rPr>
          <w:rFonts w:cstheme="minorHAnsi"/>
          <w:b/>
          <w:bCs/>
          <w:color w:val="000099"/>
          <w:u w:val="single"/>
          <w:shd w:val="clear" w:color="auto" w:fill="D9D9D9" w:themeFill="background1" w:themeFillShade="D9"/>
        </w:rPr>
        <w:t>patients</w:t>
      </w:r>
      <w:r w:rsidR="007422FD" w:rsidRPr="00B87202">
        <w:rPr>
          <w:rFonts w:cstheme="minorHAnsi"/>
          <w:b/>
          <w:bCs/>
          <w:color w:val="000099"/>
          <w:shd w:val="clear" w:color="auto" w:fill="D9D9D9" w:themeFill="background1" w:themeFillShade="D9"/>
        </w:rPr>
        <w:t xml:space="preserve"> were included in the testing and analysis</w:t>
      </w:r>
      <w:r w:rsidR="00AA65A6" w:rsidRPr="00B87202">
        <w:rPr>
          <w:rFonts w:cstheme="minorHAnsi"/>
          <w:b/>
          <w:bCs/>
          <w:color w:val="000099"/>
          <w:shd w:val="clear" w:color="auto" w:fill="D9D9D9" w:themeFill="background1" w:themeFillShade="D9"/>
        </w:rPr>
        <w:t xml:space="preserve"> </w:t>
      </w:r>
      <w:r w:rsidR="00616EB5" w:rsidRPr="00B87202">
        <w:rPr>
          <w:rFonts w:cstheme="minorHAnsi"/>
          <w:b/>
          <w:bCs/>
          <w:color w:val="000099"/>
          <w:shd w:val="clear" w:color="auto" w:fill="D9D9D9" w:themeFill="background1" w:themeFillShade="D9"/>
        </w:rPr>
        <w:t>(</w:t>
      </w:r>
      <w:r w:rsidR="00AA65A6" w:rsidRPr="00B87202">
        <w:rPr>
          <w:rFonts w:cstheme="minorHAnsi"/>
          <w:b/>
          <w:bCs/>
          <w:color w:val="000099"/>
          <w:shd w:val="clear" w:color="auto" w:fill="D9D9D9" w:themeFill="background1" w:themeFillShade="D9"/>
        </w:rPr>
        <w:t>by level of analysis and data source</w:t>
      </w:r>
      <w:r w:rsidR="00616EB5" w:rsidRPr="00B87202">
        <w:rPr>
          <w:rFonts w:cstheme="minorHAnsi"/>
          <w:b/>
          <w:bCs/>
          <w:color w:val="000099"/>
          <w:shd w:val="clear" w:color="auto" w:fill="D9D9D9" w:themeFill="background1" w:themeFillShade="D9"/>
        </w:rPr>
        <w:t>)</w:t>
      </w:r>
      <w:r w:rsidR="007422FD" w:rsidRPr="00B87202">
        <w:rPr>
          <w:rFonts w:cstheme="minorHAnsi"/>
          <w:bCs/>
          <w:color w:val="000099"/>
          <w:shd w:val="clear" w:color="auto" w:fill="D9D9D9" w:themeFill="background1" w:themeFillShade="D9"/>
        </w:rPr>
        <w:t>? (</w:t>
      </w:r>
      <w:proofErr w:type="gramStart"/>
      <w:r w:rsidR="007422FD" w:rsidRPr="00B87202">
        <w:rPr>
          <w:rFonts w:cstheme="minorHAnsi"/>
          <w:bCs/>
          <w:i/>
          <w:color w:val="000099"/>
          <w:shd w:val="clear" w:color="auto" w:fill="D9D9D9" w:themeFill="background1" w:themeFillShade="D9"/>
        </w:rPr>
        <w:t>identify</w:t>
      </w:r>
      <w:proofErr w:type="gramEnd"/>
      <w:r w:rsidR="007422FD" w:rsidRPr="00B87202">
        <w:rPr>
          <w:rFonts w:cstheme="minorHAnsi"/>
          <w:bCs/>
          <w:i/>
          <w:color w:val="000099"/>
          <w:shd w:val="clear" w:color="auto" w:fill="D9D9D9" w:themeFill="background1" w:themeFillShade="D9"/>
        </w:rPr>
        <w:t xml:space="preserve"> </w:t>
      </w:r>
      <w:r w:rsidR="00F435AA" w:rsidRPr="00B87202">
        <w:rPr>
          <w:rFonts w:cstheme="minorHAnsi"/>
          <w:bCs/>
          <w:i/>
          <w:color w:val="000099"/>
          <w:shd w:val="clear" w:color="auto" w:fill="D9D9D9" w:themeFill="background1" w:themeFillShade="D9"/>
        </w:rPr>
        <w:t>the number</w:t>
      </w:r>
      <w:r w:rsidR="007422FD" w:rsidRPr="00B87202">
        <w:rPr>
          <w:rFonts w:cstheme="minorHAnsi"/>
          <w:bCs/>
          <w:i/>
          <w:color w:val="000099"/>
          <w:shd w:val="clear" w:color="auto" w:fill="D9D9D9" w:themeFill="background1" w:themeFillShade="D9"/>
        </w:rPr>
        <w:t xml:space="preserve"> and </w:t>
      </w:r>
      <w:r w:rsidR="005A7634" w:rsidRPr="00B87202">
        <w:rPr>
          <w:rFonts w:cstheme="minorHAnsi"/>
          <w:bCs/>
          <w:i/>
          <w:color w:val="000099"/>
          <w:shd w:val="clear" w:color="auto" w:fill="D9D9D9" w:themeFill="background1" w:themeFillShade="D9"/>
        </w:rPr>
        <w:t xml:space="preserve">descriptive </w:t>
      </w:r>
      <w:r w:rsidR="007422FD" w:rsidRPr="00B87202">
        <w:rPr>
          <w:rFonts w:cstheme="minorHAnsi"/>
          <w:bCs/>
          <w:i/>
          <w:color w:val="000099"/>
          <w:shd w:val="clear" w:color="auto" w:fill="D9D9D9" w:themeFill="background1" w:themeFillShade="D9"/>
        </w:rPr>
        <w:t>characteristics of patients</w:t>
      </w:r>
      <w:r w:rsidR="00DA7277" w:rsidRPr="00B87202">
        <w:rPr>
          <w:rFonts w:cstheme="minorHAnsi"/>
          <w:bCs/>
          <w:i/>
          <w:color w:val="000099"/>
          <w:shd w:val="clear" w:color="auto" w:fill="D9D9D9" w:themeFill="background1" w:themeFillShade="D9"/>
        </w:rPr>
        <w:t xml:space="preserve"> </w:t>
      </w:r>
      <w:r w:rsidR="007422FD" w:rsidRPr="00B87202">
        <w:rPr>
          <w:rFonts w:cstheme="minorHAnsi"/>
          <w:bCs/>
          <w:i/>
          <w:color w:val="000099"/>
          <w:shd w:val="clear" w:color="auto" w:fill="D9D9D9" w:themeFill="background1" w:themeFillShade="D9"/>
        </w:rPr>
        <w:t>included in the analysis</w:t>
      </w:r>
      <w:r w:rsidR="00DA7277" w:rsidRPr="00B87202">
        <w:rPr>
          <w:rFonts w:cstheme="minorHAnsi"/>
          <w:bCs/>
          <w:i/>
          <w:color w:val="000099"/>
          <w:shd w:val="clear" w:color="auto" w:fill="D9D9D9" w:themeFill="background1" w:themeFillShade="D9"/>
        </w:rPr>
        <w:t xml:space="preserve"> (e.g., age, sex, race, diagnosis)</w:t>
      </w:r>
      <w:r w:rsidR="007422FD" w:rsidRPr="00B87202">
        <w:rPr>
          <w:rFonts w:cstheme="minorHAnsi"/>
          <w:bCs/>
          <w:i/>
          <w:color w:val="000099"/>
          <w:shd w:val="clear" w:color="auto" w:fill="D9D9D9" w:themeFill="background1" w:themeFillShade="D9"/>
        </w:rPr>
        <w:t>; if a sample</w:t>
      </w:r>
      <w:r w:rsidR="00E310B9" w:rsidRPr="00B87202">
        <w:rPr>
          <w:rFonts w:cstheme="minorHAnsi"/>
          <w:bCs/>
          <w:i/>
          <w:color w:val="000099"/>
          <w:shd w:val="clear" w:color="auto" w:fill="D9D9D9" w:themeFill="background1" w:themeFillShade="D9"/>
        </w:rPr>
        <w:t xml:space="preserve"> was used</w:t>
      </w:r>
      <w:r w:rsidR="007422FD" w:rsidRPr="00B87202">
        <w:rPr>
          <w:rFonts w:cstheme="minorHAnsi"/>
          <w:bCs/>
          <w:i/>
          <w:color w:val="000099"/>
          <w:shd w:val="clear" w:color="auto" w:fill="D9D9D9" w:themeFill="background1" w:themeFillShade="D9"/>
        </w:rPr>
        <w:t xml:space="preserve">, describe how </w:t>
      </w:r>
      <w:r w:rsidR="005A7634" w:rsidRPr="00B87202">
        <w:rPr>
          <w:rFonts w:cstheme="minorHAnsi"/>
          <w:bCs/>
          <w:i/>
          <w:color w:val="000099"/>
          <w:shd w:val="clear" w:color="auto" w:fill="D9D9D9" w:themeFill="background1" w:themeFillShade="D9"/>
        </w:rPr>
        <w:t xml:space="preserve">patients were </w:t>
      </w:r>
      <w:r w:rsidR="007422FD" w:rsidRPr="00B87202">
        <w:rPr>
          <w:rFonts w:cstheme="minorHAnsi"/>
          <w:bCs/>
          <w:i/>
          <w:color w:val="000099"/>
          <w:shd w:val="clear" w:color="auto" w:fill="D9D9D9" w:themeFill="background1" w:themeFillShade="D9"/>
        </w:rPr>
        <w:t>selected</w:t>
      </w:r>
      <w:r w:rsidR="005A7634" w:rsidRPr="00B87202">
        <w:rPr>
          <w:rFonts w:cstheme="minorHAnsi"/>
          <w:bCs/>
          <w:i/>
          <w:color w:val="000099"/>
          <w:shd w:val="clear" w:color="auto" w:fill="D9D9D9" w:themeFill="background1" w:themeFillShade="D9"/>
        </w:rPr>
        <w:t xml:space="preserve"> for inclusion in the sample</w:t>
      </w:r>
      <w:r w:rsidR="00264DF0" w:rsidRPr="00B87202">
        <w:rPr>
          <w:rFonts w:cstheme="minorHAnsi"/>
          <w:bCs/>
          <w:color w:val="000099"/>
          <w:shd w:val="clear" w:color="auto" w:fill="D9D9D9" w:themeFill="background1" w:themeFillShade="D9"/>
        </w:rPr>
        <w:t>)</w:t>
      </w:r>
      <w:r w:rsidR="00264DF0">
        <w:rPr>
          <w:rFonts w:cstheme="minorHAnsi"/>
          <w:bCs/>
          <w:shd w:val="clear" w:color="auto" w:fill="D9D9D9" w:themeFill="background1" w:themeFillShade="D9"/>
        </w:rPr>
        <w:t xml:space="preserve"> </w:t>
      </w:r>
    </w:p>
    <w:p w:rsidR="00264DF0" w:rsidRDefault="0086533B" w:rsidP="00DB3627">
      <w:pPr>
        <w:autoSpaceDE w:val="0"/>
        <w:autoSpaceDN w:val="0"/>
        <w:adjustRightInd w:val="0"/>
        <w:spacing w:after="0" w:line="240" w:lineRule="auto"/>
        <w:rPr>
          <w:rFonts w:cstheme="minorHAnsi"/>
          <w:bCs/>
        </w:rPr>
      </w:pPr>
      <w:r>
        <w:rPr>
          <w:rFonts w:cstheme="minorHAnsi"/>
          <w:bCs/>
        </w:rPr>
        <w:t>Please see response in 1.5 above</w:t>
      </w:r>
    </w:p>
    <w:p w:rsidR="00264DF0" w:rsidRDefault="00264DF0" w:rsidP="00DB3627">
      <w:pPr>
        <w:autoSpaceDE w:val="0"/>
        <w:autoSpaceDN w:val="0"/>
        <w:adjustRightInd w:val="0"/>
        <w:spacing w:after="0" w:line="240" w:lineRule="auto"/>
        <w:rPr>
          <w:rFonts w:cstheme="minorHAnsi"/>
          <w:bCs/>
        </w:rPr>
      </w:pPr>
    </w:p>
    <w:p w:rsidR="00E37E1B" w:rsidRPr="00B87202" w:rsidRDefault="002B5016" w:rsidP="00264DF0">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1.</w:t>
      </w:r>
      <w:r w:rsidR="00E310B9" w:rsidRPr="00B87202">
        <w:rPr>
          <w:rFonts w:cstheme="minorHAnsi"/>
          <w:b/>
          <w:bCs/>
          <w:color w:val="000099"/>
        </w:rPr>
        <w:t xml:space="preserve">7. </w:t>
      </w:r>
      <w:r w:rsidR="000574AB" w:rsidRPr="00B87202">
        <w:rPr>
          <w:rFonts w:cstheme="minorHAnsi"/>
          <w:b/>
          <w:bCs/>
          <w:color w:val="000099"/>
        </w:rPr>
        <w:t>If there are differences in the data</w:t>
      </w:r>
      <w:r w:rsidR="009726E1" w:rsidRPr="00B87202">
        <w:rPr>
          <w:rFonts w:cstheme="minorHAnsi"/>
          <w:b/>
          <w:bCs/>
          <w:color w:val="000099"/>
        </w:rPr>
        <w:t xml:space="preserve"> or sample</w:t>
      </w:r>
      <w:r w:rsidR="000574AB" w:rsidRPr="00B87202">
        <w:rPr>
          <w:rFonts w:cstheme="minorHAnsi"/>
          <w:b/>
          <w:bCs/>
          <w:color w:val="000099"/>
        </w:rPr>
        <w:t xml:space="preserve"> used for different </w:t>
      </w:r>
      <w:r w:rsidR="000968F8" w:rsidRPr="00B87202">
        <w:rPr>
          <w:rFonts w:cstheme="minorHAnsi"/>
          <w:b/>
          <w:bCs/>
          <w:color w:val="000099"/>
        </w:rPr>
        <w:t>aspects</w:t>
      </w:r>
      <w:r w:rsidR="000574AB" w:rsidRPr="00B87202">
        <w:rPr>
          <w:rFonts w:cstheme="minorHAnsi"/>
          <w:b/>
          <w:bCs/>
          <w:color w:val="000099"/>
        </w:rPr>
        <w:t xml:space="preserve"> of testing (e.g., reliability, validi</w:t>
      </w:r>
      <w:r w:rsidR="007422FD" w:rsidRPr="00B87202">
        <w:rPr>
          <w:rFonts w:cstheme="minorHAnsi"/>
          <w:b/>
          <w:bCs/>
          <w:color w:val="000099"/>
        </w:rPr>
        <w:t>ty, exclusions, risk adjustment</w:t>
      </w:r>
      <w:r w:rsidR="000574AB" w:rsidRPr="00B87202">
        <w:rPr>
          <w:rFonts w:cstheme="minorHAnsi"/>
          <w:b/>
          <w:bCs/>
          <w:color w:val="000099"/>
        </w:rPr>
        <w:t xml:space="preserve">), identify </w:t>
      </w:r>
      <w:r w:rsidR="005A7634" w:rsidRPr="00B87202">
        <w:rPr>
          <w:rFonts w:cstheme="minorHAnsi"/>
          <w:b/>
          <w:bCs/>
          <w:color w:val="000099"/>
        </w:rPr>
        <w:t xml:space="preserve">how the data or sample are different for </w:t>
      </w:r>
      <w:r w:rsidR="000574AB" w:rsidRPr="00B87202">
        <w:rPr>
          <w:rFonts w:cstheme="minorHAnsi"/>
          <w:b/>
          <w:bCs/>
          <w:color w:val="000099"/>
        </w:rPr>
        <w:t xml:space="preserve">each </w:t>
      </w:r>
      <w:r w:rsidR="000968F8" w:rsidRPr="00B87202">
        <w:rPr>
          <w:rFonts w:cstheme="minorHAnsi"/>
          <w:b/>
          <w:bCs/>
          <w:color w:val="000099"/>
        </w:rPr>
        <w:t>aspect</w:t>
      </w:r>
      <w:r w:rsidR="000574AB" w:rsidRPr="00B87202">
        <w:rPr>
          <w:rFonts w:cstheme="minorHAnsi"/>
          <w:b/>
          <w:bCs/>
          <w:color w:val="000099"/>
        </w:rPr>
        <w:t xml:space="preserve"> of testing reported </w:t>
      </w:r>
      <w:r w:rsidR="00857EE8" w:rsidRPr="00B87202">
        <w:rPr>
          <w:rFonts w:cstheme="minorHAnsi"/>
          <w:b/>
          <w:bCs/>
          <w:color w:val="000099"/>
        </w:rPr>
        <w:t>below</w:t>
      </w:r>
      <w:r w:rsidR="00E37E1B" w:rsidRPr="00B87202">
        <w:rPr>
          <w:rFonts w:cstheme="minorHAnsi"/>
          <w:bCs/>
          <w:color w:val="000099"/>
        </w:rPr>
        <w:t>.</w:t>
      </w:r>
    </w:p>
    <w:p w:rsidR="00264DF0" w:rsidRDefault="006D50B6" w:rsidP="00E37E1B">
      <w:pPr>
        <w:autoSpaceDE w:val="0"/>
        <w:autoSpaceDN w:val="0"/>
        <w:adjustRightInd w:val="0"/>
        <w:spacing w:after="0" w:line="240" w:lineRule="auto"/>
        <w:rPr>
          <w:rFonts w:cstheme="minorHAnsi"/>
          <w:bCs/>
        </w:rPr>
      </w:pPr>
      <w:r>
        <w:rPr>
          <w:rFonts w:cstheme="minorHAnsi"/>
          <w:bCs/>
        </w:rPr>
        <w:t>N/A</w:t>
      </w:r>
    </w:p>
    <w:p w:rsidR="007E26DB" w:rsidRDefault="007E26DB" w:rsidP="00E37E1B">
      <w:pPr>
        <w:autoSpaceDE w:val="0"/>
        <w:autoSpaceDN w:val="0"/>
        <w:adjustRightInd w:val="0"/>
        <w:spacing w:after="0" w:line="240" w:lineRule="auto"/>
        <w:rPr>
          <w:rFonts w:cstheme="minorHAnsi"/>
          <w:bCs/>
        </w:rPr>
      </w:pPr>
    </w:p>
    <w:p w:rsidR="007E26DB" w:rsidRDefault="0008706B" w:rsidP="00264DF0">
      <w:pPr>
        <w:shd w:val="clear" w:color="auto" w:fill="D9D9D9" w:themeFill="background1" w:themeFillShade="D9"/>
        <w:autoSpaceDE w:val="0"/>
        <w:autoSpaceDN w:val="0"/>
        <w:adjustRightInd w:val="0"/>
        <w:spacing w:after="0" w:line="240" w:lineRule="auto"/>
        <w:rPr>
          <w:rFonts w:cstheme="minorHAnsi"/>
          <w:b/>
          <w:noProof/>
        </w:rPr>
      </w:pPr>
      <w:r>
        <w:rPr>
          <w:rFonts w:cstheme="minorHAnsi"/>
          <w:b/>
          <w:noProof/>
        </w:rPr>
        <w:pict>
          <v:rect id="_x0000_i1025" style="width:0;height:1.5pt" o:hralign="center" o:hrstd="t" o:hr="t" fillcolor="#a0a0a0" stroked="f"/>
        </w:pict>
      </w:r>
    </w:p>
    <w:p w:rsidR="008A403A" w:rsidRPr="00B87202" w:rsidRDefault="00021170" w:rsidP="00264DF0">
      <w:pPr>
        <w:shd w:val="clear" w:color="auto" w:fill="D9D9D9" w:themeFill="background1" w:themeFillShade="D9"/>
        <w:autoSpaceDE w:val="0"/>
        <w:autoSpaceDN w:val="0"/>
        <w:adjustRightInd w:val="0"/>
        <w:spacing w:after="0" w:line="240" w:lineRule="auto"/>
        <w:rPr>
          <w:rFonts w:cstheme="minorHAnsi"/>
          <w:b/>
          <w:bCs/>
          <w:color w:val="000099"/>
        </w:rPr>
      </w:pPr>
      <w:r w:rsidRPr="00B87202">
        <w:rPr>
          <w:rFonts w:cstheme="minorHAnsi"/>
          <w:b/>
          <w:noProof/>
          <w:color w:val="000099"/>
        </w:rPr>
        <w:t>2</w:t>
      </w:r>
      <w:r w:rsidR="00EA5F47" w:rsidRPr="00B87202">
        <w:rPr>
          <w:rFonts w:cstheme="minorHAnsi"/>
          <w:b/>
          <w:noProof/>
          <w:color w:val="000099"/>
        </w:rPr>
        <w:t>a</w:t>
      </w:r>
      <w:r w:rsidRPr="00B87202">
        <w:rPr>
          <w:rFonts w:cstheme="minorHAnsi"/>
          <w:b/>
          <w:noProof/>
          <w:color w:val="000099"/>
        </w:rPr>
        <w:t xml:space="preserve">2. </w:t>
      </w:r>
      <w:r w:rsidRPr="00B87202">
        <w:rPr>
          <w:rFonts w:cstheme="minorHAnsi"/>
          <w:b/>
          <w:bCs/>
          <w:color w:val="000099"/>
        </w:rPr>
        <w:t>RELIABILITY TESTING</w:t>
      </w:r>
      <w:r w:rsidR="008A403A" w:rsidRPr="00B87202">
        <w:rPr>
          <w:rFonts w:cstheme="minorHAnsi"/>
          <w:b/>
          <w:bCs/>
          <w:color w:val="000099"/>
        </w:rPr>
        <w:t xml:space="preserve"> </w:t>
      </w:r>
    </w:p>
    <w:p w:rsidR="00E310B9" w:rsidRPr="00B87202" w:rsidRDefault="00E310B9" w:rsidP="00264DF0">
      <w:pPr>
        <w:shd w:val="clear" w:color="auto" w:fill="D9D9D9" w:themeFill="background1" w:themeFillShade="D9"/>
        <w:autoSpaceDE w:val="0"/>
        <w:autoSpaceDN w:val="0"/>
        <w:adjustRightInd w:val="0"/>
        <w:spacing w:after="0" w:line="240" w:lineRule="auto"/>
        <w:rPr>
          <w:rFonts w:cstheme="minorHAnsi"/>
          <w:b/>
          <w:bCs/>
          <w:color w:val="000099"/>
        </w:rPr>
      </w:pPr>
      <w:r w:rsidRPr="00B87202">
        <w:rPr>
          <w:rFonts w:cstheme="minorHAnsi"/>
          <w:b/>
          <w:bCs/>
          <w:i/>
          <w:color w:val="000099"/>
          <w:u w:val="single"/>
        </w:rPr>
        <w:t>Note</w:t>
      </w:r>
      <w:r w:rsidRPr="00B87202">
        <w:rPr>
          <w:rFonts w:cstheme="minorHAnsi"/>
          <w:bCs/>
          <w:i/>
          <w:color w:val="000099"/>
        </w:rPr>
        <w:t>: If accuracy/correctness (validity) of data elements was empirically tested</w:t>
      </w:r>
      <w:r w:rsidRPr="00B87202">
        <w:rPr>
          <w:rFonts w:cstheme="minorHAnsi"/>
          <w:bCs/>
          <w:color w:val="000099"/>
        </w:rPr>
        <w:t xml:space="preserve">, </w:t>
      </w:r>
      <w:r w:rsidRPr="00B87202">
        <w:rPr>
          <w:rFonts w:cstheme="minorHAnsi"/>
          <w:bCs/>
          <w:i/>
          <w:color w:val="000099"/>
        </w:rPr>
        <w:t xml:space="preserve">separate reliability testing of data elements is not required – </w:t>
      </w:r>
      <w:r w:rsidR="00127C06" w:rsidRPr="00B87202">
        <w:rPr>
          <w:rFonts w:cstheme="minorHAnsi"/>
          <w:bCs/>
          <w:i/>
          <w:color w:val="000099"/>
        </w:rPr>
        <w:t xml:space="preserve">in 2a2.1 </w:t>
      </w:r>
      <w:r w:rsidR="00C867F0" w:rsidRPr="00B87202">
        <w:rPr>
          <w:rFonts w:cstheme="minorHAnsi"/>
          <w:bCs/>
          <w:i/>
          <w:color w:val="000099"/>
        </w:rPr>
        <w:t>check critical data elements;</w:t>
      </w:r>
      <w:r w:rsidR="00127C06" w:rsidRPr="00B87202">
        <w:rPr>
          <w:rFonts w:cstheme="minorHAnsi"/>
          <w:bCs/>
          <w:i/>
          <w:color w:val="000099"/>
        </w:rPr>
        <w:t xml:space="preserve"> in 2a2.2 enter “see s</w:t>
      </w:r>
      <w:r w:rsidR="002F2687" w:rsidRPr="00B87202">
        <w:rPr>
          <w:rFonts w:cstheme="minorHAnsi"/>
          <w:bCs/>
          <w:i/>
          <w:color w:val="000099"/>
        </w:rPr>
        <w:t>e</w:t>
      </w:r>
      <w:r w:rsidR="00127C06" w:rsidRPr="00B87202">
        <w:rPr>
          <w:rFonts w:cstheme="minorHAnsi"/>
          <w:bCs/>
          <w:i/>
          <w:color w:val="000099"/>
        </w:rPr>
        <w:t xml:space="preserve">ction 2b2 for </w:t>
      </w:r>
      <w:r w:rsidRPr="00B87202">
        <w:rPr>
          <w:rFonts w:cstheme="minorHAnsi"/>
          <w:bCs/>
          <w:i/>
          <w:color w:val="000099"/>
        </w:rPr>
        <w:t xml:space="preserve">validity </w:t>
      </w:r>
      <w:r w:rsidR="00127C06" w:rsidRPr="00B87202">
        <w:rPr>
          <w:rFonts w:cstheme="minorHAnsi"/>
          <w:bCs/>
          <w:i/>
          <w:color w:val="000099"/>
        </w:rPr>
        <w:t xml:space="preserve">testing </w:t>
      </w:r>
      <w:r w:rsidR="002F2687" w:rsidRPr="00B87202">
        <w:rPr>
          <w:rFonts w:cstheme="minorHAnsi"/>
          <w:bCs/>
          <w:i/>
          <w:color w:val="000099"/>
        </w:rPr>
        <w:t>of data elements”</w:t>
      </w:r>
      <w:r w:rsidR="00C867F0" w:rsidRPr="00B87202">
        <w:rPr>
          <w:rFonts w:cstheme="minorHAnsi"/>
          <w:bCs/>
          <w:i/>
          <w:color w:val="000099"/>
        </w:rPr>
        <w:t>;</w:t>
      </w:r>
      <w:r w:rsidR="002F2687" w:rsidRPr="00B87202">
        <w:rPr>
          <w:rFonts w:cstheme="minorHAnsi"/>
          <w:bCs/>
          <w:i/>
          <w:color w:val="000099"/>
        </w:rPr>
        <w:t xml:space="preserve"> and skip 2a2.3 and 2a2.4.</w:t>
      </w:r>
    </w:p>
    <w:p w:rsidR="008C54A9" w:rsidRPr="00B87202" w:rsidRDefault="008C54A9" w:rsidP="00264DF0">
      <w:pPr>
        <w:shd w:val="clear" w:color="auto" w:fill="D9D9D9" w:themeFill="background1" w:themeFillShade="D9"/>
        <w:autoSpaceDE w:val="0"/>
        <w:autoSpaceDN w:val="0"/>
        <w:adjustRightInd w:val="0"/>
        <w:spacing w:after="0" w:line="240" w:lineRule="auto"/>
        <w:rPr>
          <w:rFonts w:cstheme="minorHAnsi"/>
          <w:b/>
          <w:bCs/>
          <w:color w:val="000099"/>
        </w:rPr>
      </w:pPr>
    </w:p>
    <w:p w:rsidR="00264DF0" w:rsidRPr="00B87202" w:rsidRDefault="00092566" w:rsidP="00264DF0">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2a2.1</w:t>
      </w:r>
      <w:r w:rsidR="008C54A9" w:rsidRPr="00B87202">
        <w:rPr>
          <w:rFonts w:cstheme="minorHAnsi"/>
          <w:b/>
          <w:bCs/>
          <w:color w:val="000099"/>
        </w:rPr>
        <w:t xml:space="preserve">. </w:t>
      </w:r>
      <w:proofErr w:type="gramStart"/>
      <w:r w:rsidR="000968F8" w:rsidRPr="00B87202">
        <w:rPr>
          <w:rFonts w:cstheme="minorHAnsi"/>
          <w:b/>
          <w:bCs/>
          <w:color w:val="000099"/>
        </w:rPr>
        <w:t>What</w:t>
      </w:r>
      <w:proofErr w:type="gramEnd"/>
      <w:r w:rsidR="000968F8" w:rsidRPr="00B87202">
        <w:rPr>
          <w:rFonts w:cstheme="minorHAnsi"/>
          <w:b/>
          <w:bCs/>
          <w:color w:val="000099"/>
        </w:rPr>
        <w:t xml:space="preserve"> level of reliability testing was conducted</w:t>
      </w:r>
      <w:r w:rsidR="000574AB" w:rsidRPr="00B87202">
        <w:rPr>
          <w:rFonts w:cstheme="minorHAnsi"/>
          <w:bCs/>
          <w:color w:val="000099"/>
        </w:rPr>
        <w:t>?</w:t>
      </w:r>
      <w:r w:rsidR="00D50704" w:rsidRPr="00B87202">
        <w:rPr>
          <w:rFonts w:cstheme="minorHAnsi"/>
          <w:bCs/>
          <w:color w:val="000099"/>
        </w:rPr>
        <w:t xml:space="preserve"> (</w:t>
      </w:r>
      <w:proofErr w:type="gramStart"/>
      <w:r w:rsidR="00E310B9" w:rsidRPr="00B87202">
        <w:rPr>
          <w:rFonts w:cstheme="minorHAnsi"/>
          <w:bCs/>
          <w:i/>
          <w:color w:val="000099"/>
        </w:rPr>
        <w:t>may</w:t>
      </w:r>
      <w:proofErr w:type="gramEnd"/>
      <w:r w:rsidR="00E310B9" w:rsidRPr="00B87202">
        <w:rPr>
          <w:rFonts w:cstheme="minorHAnsi"/>
          <w:bCs/>
          <w:i/>
          <w:color w:val="000099"/>
        </w:rPr>
        <w:t xml:space="preserve"> </w:t>
      </w:r>
      <w:r w:rsidR="00D50704" w:rsidRPr="00B87202">
        <w:rPr>
          <w:rFonts w:cstheme="minorHAnsi"/>
          <w:bCs/>
          <w:i/>
          <w:color w:val="000099"/>
        </w:rPr>
        <w:t>be one or both levels</w:t>
      </w:r>
      <w:r w:rsidR="00D50704" w:rsidRPr="00B87202">
        <w:rPr>
          <w:rFonts w:cstheme="minorHAnsi"/>
          <w:bCs/>
          <w:color w:val="000099"/>
        </w:rPr>
        <w:t>)</w:t>
      </w:r>
    </w:p>
    <w:p w:rsidR="00264DF0" w:rsidRDefault="0008706B" w:rsidP="008C54A9">
      <w:pPr>
        <w:autoSpaceDE w:val="0"/>
        <w:autoSpaceDN w:val="0"/>
        <w:adjustRightInd w:val="0"/>
        <w:spacing w:after="0" w:line="240" w:lineRule="auto"/>
        <w:rPr>
          <w:rFonts w:cstheme="minorHAnsi"/>
          <w:bCs/>
          <w:u w:val="single"/>
        </w:rPr>
      </w:pPr>
      <w:sdt>
        <w:sdtPr>
          <w:rPr>
            <w:rFonts w:cstheme="minorHAnsi"/>
            <w:bCs/>
            <w:color w:val="0000FF"/>
          </w:rPr>
          <w:id w:val="423926269"/>
        </w:sdtPr>
        <w:sdtContent>
          <w:r w:rsidR="006D50B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proofErr w:type="gramStart"/>
      <w:r w:rsidR="000414E8">
        <w:rPr>
          <w:rFonts w:cstheme="minorHAnsi"/>
          <w:bCs/>
        </w:rPr>
        <w:t>)</w:t>
      </w:r>
      <w:r w:rsidR="00CA06D8" w:rsidRPr="00A25024">
        <w:rPr>
          <w:rFonts w:cstheme="minorHAnsi"/>
          <w:bCs/>
        </w:rPr>
        <w:t xml:space="preserve">  </w:t>
      </w:r>
      <w:proofErr w:type="gramEnd"/>
      <w:r w:rsidR="00D1754D" w:rsidRPr="00A25024">
        <w:rPr>
          <w:rFonts w:cstheme="minorHAnsi"/>
          <w:bCs/>
        </w:rPr>
        <w:br/>
      </w:r>
      <w:sdt>
        <w:sdtPr>
          <w:rPr>
            <w:rFonts w:cstheme="minorHAnsi"/>
            <w:bCs/>
            <w:color w:val="0000FF"/>
          </w:rPr>
          <w:id w:val="1807820231"/>
        </w:sdtPr>
        <w:sdtContent>
          <w:r w:rsidR="006D50B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r w:rsidR="00DA7277" w:rsidRPr="00A25024">
        <w:rPr>
          <w:rFonts w:cstheme="minorHAnsi"/>
          <w:bCs/>
        </w:rPr>
        <w:br/>
      </w:r>
    </w:p>
    <w:p w:rsidR="001969C5" w:rsidRPr="00B87202" w:rsidRDefault="00092566" w:rsidP="00264DF0">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2a2.</w:t>
      </w:r>
      <w:r w:rsidR="008C54A9" w:rsidRPr="00B87202">
        <w:rPr>
          <w:rFonts w:cstheme="minorHAnsi"/>
          <w:b/>
          <w:bCs/>
          <w:color w:val="000099"/>
        </w:rPr>
        <w:t xml:space="preserve">2. For each level checked above, describe the method of </w:t>
      </w:r>
      <w:r w:rsidR="000968F8" w:rsidRPr="00B87202">
        <w:rPr>
          <w:rFonts w:cstheme="minorHAnsi"/>
          <w:b/>
          <w:bCs/>
          <w:color w:val="000099"/>
        </w:rPr>
        <w:t xml:space="preserve">reliability </w:t>
      </w:r>
      <w:r w:rsidR="008C54A9" w:rsidRPr="00B87202">
        <w:rPr>
          <w:rFonts w:cstheme="minorHAnsi"/>
          <w:b/>
          <w:bCs/>
          <w:color w:val="000099"/>
        </w:rPr>
        <w:t>testing and what it tests</w:t>
      </w:r>
      <w:r w:rsidR="008C54A9" w:rsidRPr="00B87202">
        <w:rPr>
          <w:rFonts w:cstheme="minorHAnsi"/>
          <w:bCs/>
          <w:color w:val="000099"/>
        </w:rPr>
        <w:t xml:space="preserve"> (</w:t>
      </w:r>
      <w:r w:rsidR="008C54A9" w:rsidRPr="00B87202">
        <w:rPr>
          <w:rFonts w:cstheme="minorHAnsi"/>
          <w:bCs/>
          <w:i/>
          <w:color w:val="000099"/>
        </w:rPr>
        <w:t xml:space="preserve">describe the steps―do not just name a method; what </w:t>
      </w:r>
      <w:r w:rsidR="002408E4" w:rsidRPr="00B87202">
        <w:rPr>
          <w:rFonts w:cstheme="minorHAnsi"/>
          <w:bCs/>
          <w:i/>
          <w:color w:val="000099"/>
        </w:rPr>
        <w:t>type of erro</w:t>
      </w:r>
      <w:r w:rsidR="007D7019" w:rsidRPr="00B87202">
        <w:rPr>
          <w:rFonts w:cstheme="minorHAnsi"/>
          <w:bCs/>
          <w:i/>
          <w:color w:val="000099"/>
        </w:rPr>
        <w:t>r</w:t>
      </w:r>
      <w:r w:rsidR="002408E4" w:rsidRPr="00B87202">
        <w:rPr>
          <w:rFonts w:cstheme="minorHAnsi"/>
          <w:bCs/>
          <w:i/>
          <w:color w:val="000099"/>
        </w:rPr>
        <w:t xml:space="preserve"> </w:t>
      </w:r>
      <w:r w:rsidR="008C54A9" w:rsidRPr="00B87202">
        <w:rPr>
          <w:rFonts w:cstheme="minorHAnsi"/>
          <w:bCs/>
          <w:i/>
          <w:color w:val="000099"/>
        </w:rPr>
        <w:t>does it test</w:t>
      </w:r>
      <w:r w:rsidR="0022691B" w:rsidRPr="00B87202">
        <w:rPr>
          <w:rFonts w:cstheme="minorHAnsi"/>
          <w:bCs/>
          <w:i/>
          <w:color w:val="000099"/>
        </w:rPr>
        <w:t>; what statistical analysis was used</w:t>
      </w:r>
      <w:r w:rsidR="007757CE" w:rsidRPr="00B87202">
        <w:rPr>
          <w:rFonts w:cstheme="minorHAnsi"/>
          <w:bCs/>
          <w:color w:val="000099"/>
        </w:rPr>
        <w:t>)</w:t>
      </w:r>
    </w:p>
    <w:p w:rsidR="006D50B6" w:rsidRDefault="006D50B6" w:rsidP="006D50B6">
      <w:pPr>
        <w:spacing w:after="0" w:line="240" w:lineRule="auto"/>
        <w:rPr>
          <w:rFonts w:eastAsia="Times New Roman"/>
          <w:u w:val="single"/>
        </w:rPr>
      </w:pPr>
      <w:r>
        <w:rPr>
          <w:rFonts w:eastAsia="Times New Roman"/>
          <w:u w:val="single"/>
        </w:rPr>
        <w:t>Analysis #1: Data abstraction reliability</w:t>
      </w:r>
    </w:p>
    <w:p w:rsidR="006D50B6" w:rsidRDefault="006D50B6" w:rsidP="006D50B6">
      <w:pPr>
        <w:spacing w:after="0" w:line="240" w:lineRule="auto"/>
        <w:rPr>
          <w:rFonts w:eastAsia="Times New Roman"/>
        </w:rPr>
      </w:pPr>
      <w:r>
        <w:rPr>
          <w:rFonts w:eastAsia="Times New Roman"/>
        </w:rPr>
        <w:t>In 2006, STS initiated an independent audit program to evaluate the accuracy and completeness of the STS-ACSD and to improve data collection protocols and processes. Each year, 5% of STS-ACSD sites are randomly selected to be audited by an independent auditing firm. The audit process involves re-abstraction of data for 20 cases and comparison of 75 designated data elements with those submitted to the data warehouse. In addition, a surgical log comparison is performed to ensure all appropriate records are submitted.</w:t>
      </w:r>
    </w:p>
    <w:p w:rsidR="006D50B6" w:rsidRDefault="006D50B6" w:rsidP="006D50B6">
      <w:pPr>
        <w:spacing w:after="0" w:line="240" w:lineRule="auto"/>
        <w:rPr>
          <w:rFonts w:eastAsia="Times New Roman"/>
          <w:u w:val="single"/>
        </w:rPr>
      </w:pPr>
    </w:p>
    <w:p w:rsidR="006D50B6" w:rsidRDefault="006D50B6" w:rsidP="006D50B6">
      <w:pPr>
        <w:spacing w:after="0" w:line="240" w:lineRule="auto"/>
        <w:rPr>
          <w:rFonts w:eastAsia="Times New Roman"/>
          <w:u w:val="single"/>
        </w:rPr>
      </w:pPr>
      <w:r>
        <w:rPr>
          <w:rFonts w:eastAsia="Times New Roman"/>
          <w:u w:val="single"/>
        </w:rPr>
        <w:t>Analysis #2: Statistical reliability (signal-to-noise ratio)</w:t>
      </w:r>
    </w:p>
    <w:p w:rsidR="006D50B6" w:rsidRDefault="006D50B6" w:rsidP="006D50B6">
      <w:pPr>
        <w:spacing w:after="0" w:line="240" w:lineRule="auto"/>
        <w:rPr>
          <w:rFonts w:eastAsia="Times New Roman"/>
        </w:rPr>
      </w:pPr>
      <w:r>
        <w:rPr>
          <w:rFonts w:eastAsia="Times New Roman"/>
        </w:rPr>
        <w:t xml:space="preserve">Definition of Reliability – </w:t>
      </w:r>
    </w:p>
    <w:p w:rsidR="006D50B6" w:rsidRDefault="006D50B6" w:rsidP="006D50B6">
      <w:pPr>
        <w:spacing w:after="0" w:line="240" w:lineRule="auto"/>
        <w:rPr>
          <w:rFonts w:eastAsia="Times New Roman"/>
        </w:rPr>
      </w:pPr>
      <w:r>
        <w:rPr>
          <w:rFonts w:eastAsia="Times New Roman"/>
        </w:rPr>
        <w:t>Reliability is conventionally defined as the proportion of variation in a performance measure that is due to true between-hospital differences (i.e., signal) as opposed to random statistical fluctuations (i.e., noise). A mathematically equivalent definition is the squared correlation between a measurement and the true value. This quantity cannot be calculated directly but may be estimated in a model. To do this, we implemented a fully Bayesian version of our proposed hierarchical model and used it to estimate hospital-specific risk-standardized readmission rates (HSRR’s) as defined elsewhere in our measure documentation. We also performed an unadjusted version to model variation in hospital-specific readmission rates without adjusting for case mix.</w:t>
      </w:r>
    </w:p>
    <w:p w:rsidR="008C54A9" w:rsidRDefault="008C54A9" w:rsidP="008C54A9">
      <w:pPr>
        <w:autoSpaceDE w:val="0"/>
        <w:autoSpaceDN w:val="0"/>
        <w:adjustRightInd w:val="0"/>
        <w:spacing w:after="0" w:line="240" w:lineRule="auto"/>
        <w:rPr>
          <w:rFonts w:cstheme="minorHAnsi"/>
          <w:bCs/>
        </w:rPr>
      </w:pPr>
    </w:p>
    <w:p w:rsidR="00C1002C" w:rsidRDefault="00C1002C" w:rsidP="00C1002C">
      <w:pPr>
        <w:spacing w:after="0" w:line="240" w:lineRule="auto"/>
        <w:rPr>
          <w:rFonts w:eastAsia="Times New Roman"/>
          <w:b/>
        </w:rPr>
      </w:pPr>
      <w:r>
        <w:rPr>
          <w:rFonts w:eastAsia="Times New Roman"/>
          <w:b/>
        </w:rPr>
        <w:t>Technical Details</w:t>
      </w:r>
    </w:p>
    <w:p w:rsidR="00C1002C" w:rsidRDefault="00C1002C" w:rsidP="00C1002C">
      <w:pPr>
        <w:spacing w:after="0" w:line="240" w:lineRule="auto"/>
        <w:rPr>
          <w:rFonts w:eastAsia="Calibri"/>
        </w:rPr>
      </w:pPr>
      <w:r>
        <w:t xml:space="preserve">Let </w:t>
      </w:r>
      <w:r w:rsidR="002C4D41">
        <w:fldChar w:fldCharType="begin"/>
      </w:r>
      <w:r>
        <w:instrText xml:space="preserve"> QUOTE </w:instrText>
      </w:r>
      <w:r w:rsidR="0008706B">
        <w:rPr>
          <w:position w:val="-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14.25pt" equationxml="&lt;">
            <v:imagedata r:id="rId9" o:title="" chromakey="white"/>
          </v:shape>
        </w:pict>
      </w:r>
      <w:r>
        <w:instrText xml:space="preserve"> </w:instrText>
      </w:r>
      <w:r w:rsidR="002C4D41">
        <w:fldChar w:fldCharType="separate"/>
      </w:r>
      <w:r w:rsidR="0008706B">
        <w:rPr>
          <w:position w:val="-9"/>
        </w:rPr>
        <w:pict>
          <v:shape id="_x0000_i1027" type="#_x0000_t75" style="width:9pt;height:14.25pt" equationxml="&lt;">
            <v:imagedata r:id="rId9" o:title="" chromakey="white"/>
          </v:shape>
        </w:pict>
      </w:r>
      <w:r w:rsidR="002C4D41">
        <w:fldChar w:fldCharType="end"/>
      </w:r>
      <w:r>
        <w:t xml:space="preserve"> denote the true unknown readmission rate for the </w:t>
      </w:r>
      <w:r>
        <w:rPr>
          <w:i/>
        </w:rPr>
        <w:t>j</w:t>
      </w:r>
      <w:r>
        <w:t>-</w:t>
      </w:r>
      <w:proofErr w:type="spellStart"/>
      <w:r>
        <w:rPr>
          <w:vertAlign w:val="superscript"/>
        </w:rPr>
        <w:t>th</w:t>
      </w:r>
      <w:proofErr w:type="spellEnd"/>
      <w:r>
        <w:t xml:space="preserve"> of </w:t>
      </w:r>
      <w:r>
        <w:rPr>
          <w:i/>
        </w:rPr>
        <w:t>J</w:t>
      </w:r>
      <w:r>
        <w:t xml:space="preserve"> hospitals. Prior to estimating reliability, the numerical value of </w:t>
      </w:r>
      <w:r w:rsidR="002C4D41">
        <w:fldChar w:fldCharType="begin"/>
      </w:r>
      <w:r>
        <w:instrText xml:space="preserve"> QUOTE </w:instrText>
      </w:r>
      <w:r w:rsidR="0008706B">
        <w:rPr>
          <w:position w:val="-9"/>
        </w:rPr>
        <w:pict>
          <v:shape id="_x0000_i1028" type="#_x0000_t75" style="width:9pt;height:14.25pt" equationxml="&lt;">
            <v:imagedata r:id="rId9" o:title="" chromakey="white"/>
          </v:shape>
        </w:pict>
      </w:r>
      <w:r>
        <w:instrText xml:space="preserve"> </w:instrText>
      </w:r>
      <w:r w:rsidR="002C4D41">
        <w:fldChar w:fldCharType="separate"/>
      </w:r>
      <w:r w:rsidR="0008706B">
        <w:rPr>
          <w:position w:val="-9"/>
        </w:rPr>
        <w:pict>
          <v:shape id="_x0000_i1029" type="#_x0000_t75" style="width:9pt;height:14.25pt" equationxml="&lt;">
            <v:imagedata r:id="rId9" o:title="" chromakey="white"/>
          </v:shape>
        </w:pict>
      </w:r>
      <w:r w:rsidR="002C4D41">
        <w:fldChar w:fldCharType="end"/>
      </w:r>
      <w:r>
        <w:t xml:space="preserve"> was estimated for each hospital. Estimation was done using Markov Chain Monte Carlo (MCMC) simulations and involved the following steps:</w:t>
      </w:r>
    </w:p>
    <w:p w:rsidR="00C1002C" w:rsidRDefault="00C1002C" w:rsidP="00C1002C">
      <w:pPr>
        <w:spacing w:after="0" w:line="240" w:lineRule="auto"/>
      </w:pPr>
    </w:p>
    <w:p w:rsidR="00C1002C" w:rsidRDefault="00C1002C" w:rsidP="00C1002C">
      <w:pPr>
        <w:spacing w:after="0" w:line="240" w:lineRule="auto"/>
      </w:pPr>
      <w:r>
        <w:t xml:space="preserve">First, for each </w:t>
      </w:r>
      <w:r>
        <w:rPr>
          <w:i/>
        </w:rPr>
        <w:t>j</w:t>
      </w:r>
      <w:r>
        <w:t xml:space="preserve">, we randomly generated a large number </w:t>
      </w:r>
      <w:r>
        <w:rPr>
          <w:i/>
        </w:rPr>
        <w:t xml:space="preserve">N </w:t>
      </w:r>
      <w:r>
        <w:t xml:space="preserve">of possible numerical values of </w:t>
      </w:r>
      <w:r w:rsidR="002C4D41">
        <w:fldChar w:fldCharType="begin"/>
      </w:r>
      <w:r>
        <w:instrText xml:space="preserve"> QUOTE </w:instrText>
      </w:r>
      <w:r w:rsidR="0008706B">
        <w:rPr>
          <w:position w:val="-9"/>
        </w:rPr>
        <w:pict>
          <v:shape id="_x0000_i1030" type="#_x0000_t75" style="width:9pt;height:14.25pt" equationxml="&lt;">
            <v:imagedata r:id="rId9" o:title="" chromakey="white"/>
          </v:shape>
        </w:pict>
      </w:r>
      <w:r>
        <w:instrText xml:space="preserve"> </w:instrText>
      </w:r>
      <w:r w:rsidR="002C4D41">
        <w:fldChar w:fldCharType="separate"/>
      </w:r>
      <w:r w:rsidR="0008706B">
        <w:rPr>
          <w:position w:val="-9"/>
        </w:rPr>
        <w:pict>
          <v:shape id="_x0000_i1031" type="#_x0000_t75" style="width:9pt;height:14.25pt" equationxml="&lt;">
            <v:imagedata r:id="rId9" o:title="" chromakey="white"/>
          </v:shape>
        </w:pict>
      </w:r>
      <w:r w:rsidR="002C4D41">
        <w:fldChar w:fldCharType="end"/>
      </w:r>
      <w:r>
        <w:t xml:space="preserve"> by sampling from the Bayesian posterior probability distribution </w:t>
      </w:r>
      <w:proofErr w:type="gramStart"/>
      <w:r>
        <w:t xml:space="preserve">of </w:t>
      </w:r>
      <w:proofErr w:type="gramEnd"/>
      <w:r w:rsidR="002C4D41">
        <w:fldChar w:fldCharType="begin"/>
      </w:r>
      <w:r>
        <w:instrText xml:space="preserve"> QUOTE </w:instrText>
      </w:r>
      <w:r w:rsidR="0008706B">
        <w:rPr>
          <w:position w:val="-9"/>
        </w:rPr>
        <w:pict>
          <v:shape id="_x0000_i1032" type="#_x0000_t75" style="width:9pt;height:14.25pt" equationxml="&lt;">
            <v:imagedata r:id="rId9" o:title="" chromakey="white"/>
          </v:shape>
        </w:pict>
      </w:r>
      <w:r>
        <w:instrText xml:space="preserve"> </w:instrText>
      </w:r>
      <w:r w:rsidR="002C4D41">
        <w:fldChar w:fldCharType="separate"/>
      </w:r>
      <w:r w:rsidR="0008706B">
        <w:rPr>
          <w:position w:val="-9"/>
        </w:rPr>
        <w:pict>
          <v:shape id="_x0000_i1033" type="#_x0000_t75" style="width:9pt;height:14.25pt" equationxml="&lt;">
            <v:imagedata r:id="rId9" o:title="" chromakey="white"/>
          </v:shape>
        </w:pict>
      </w:r>
      <w:r w:rsidR="002C4D41">
        <w:fldChar w:fldCharType="end"/>
      </w:r>
      <w:r>
        <w:t xml:space="preserve">. Let </w:t>
      </w:r>
      <w:r w:rsidR="002C4D41">
        <w:fldChar w:fldCharType="begin"/>
      </w:r>
      <w:r>
        <w:instrText xml:space="preserve"> QUOTE </w:instrText>
      </w:r>
      <w:r w:rsidR="0008706B">
        <w:rPr>
          <w:position w:val="-11"/>
        </w:rPr>
        <w:pict>
          <v:shape id="_x0000_i1034" type="#_x0000_t75" style="width:17.25pt;height:18pt" equationxml="&lt;">
            <v:imagedata r:id="rId10" o:title="" chromakey="white"/>
          </v:shape>
        </w:pict>
      </w:r>
      <w:r>
        <w:instrText xml:space="preserve"> </w:instrText>
      </w:r>
      <w:r w:rsidR="002C4D41">
        <w:fldChar w:fldCharType="separate"/>
      </w:r>
      <w:r w:rsidR="0008706B">
        <w:rPr>
          <w:position w:val="-11"/>
        </w:rPr>
        <w:pict>
          <v:shape id="_x0000_i1035" type="#_x0000_t75" style="width:17.25pt;height:18pt" equationxml="&lt;">
            <v:imagedata r:id="rId10" o:title="" chromakey="white"/>
          </v:shape>
        </w:pict>
      </w:r>
      <w:r w:rsidR="002C4D41">
        <w:fldChar w:fldCharType="end"/>
      </w:r>
      <w:r>
        <w:t xml:space="preserve"> denote </w:t>
      </w:r>
      <w:proofErr w:type="gramStart"/>
      <w:r>
        <w:t xml:space="preserve">the </w:t>
      </w:r>
      <w:proofErr w:type="spellStart"/>
      <w:r>
        <w:rPr>
          <w:i/>
        </w:rPr>
        <w:t>i</w:t>
      </w:r>
      <w:proofErr w:type="gramEnd"/>
      <w:r>
        <w:t>-</w:t>
      </w:r>
      <w:r>
        <w:rPr>
          <w:vertAlign w:val="superscript"/>
        </w:rPr>
        <w:t>th</w:t>
      </w:r>
      <w:proofErr w:type="spellEnd"/>
      <w:r>
        <w:t xml:space="preserve"> of these </w:t>
      </w:r>
      <w:r>
        <w:rPr>
          <w:i/>
        </w:rPr>
        <w:t>N</w:t>
      </w:r>
      <w:r>
        <w:t xml:space="preserve"> randomly sampled numerical values for the </w:t>
      </w:r>
      <w:r>
        <w:rPr>
          <w:i/>
        </w:rPr>
        <w:t>j</w:t>
      </w:r>
      <w:r>
        <w:t>-</w:t>
      </w:r>
      <w:proofErr w:type="spellStart"/>
      <w:r>
        <w:rPr>
          <w:vertAlign w:val="superscript"/>
        </w:rPr>
        <w:t>th</w:t>
      </w:r>
      <w:proofErr w:type="spellEnd"/>
      <w:r>
        <w:t xml:space="preserve"> hospital. </w:t>
      </w:r>
    </w:p>
    <w:p w:rsidR="00C1002C" w:rsidRDefault="00C1002C" w:rsidP="00C1002C">
      <w:pPr>
        <w:spacing w:after="0" w:line="240" w:lineRule="auto"/>
      </w:pPr>
    </w:p>
    <w:p w:rsidR="00C1002C" w:rsidRDefault="00C1002C" w:rsidP="00C1002C">
      <w:pPr>
        <w:spacing w:after="0" w:line="240" w:lineRule="auto"/>
      </w:pPr>
      <w:r>
        <w:t xml:space="preserve">Second, for each </w:t>
      </w:r>
      <w:r>
        <w:rPr>
          <w:i/>
        </w:rPr>
        <w:t>j</w:t>
      </w:r>
      <w:r>
        <w:t xml:space="preserve">, a Bayesian estimate </w:t>
      </w:r>
      <w:r w:rsidR="002C4D41">
        <w:fldChar w:fldCharType="begin"/>
      </w:r>
      <w:r>
        <w:instrText xml:space="preserve"> QUOTE </w:instrText>
      </w:r>
      <w:r w:rsidR="0008706B">
        <w:rPr>
          <w:position w:val="-9"/>
        </w:rPr>
        <w:pict>
          <v:shape id="_x0000_i1036" type="#_x0000_t75" style="width:9pt;height:15pt" equationxml="&lt;">
            <v:imagedata r:id="rId11" o:title="" chromakey="white"/>
          </v:shape>
        </w:pict>
      </w:r>
      <w:r>
        <w:instrText xml:space="preserve"> </w:instrText>
      </w:r>
      <w:r w:rsidR="002C4D41">
        <w:fldChar w:fldCharType="separate"/>
      </w:r>
      <w:r w:rsidR="0008706B">
        <w:rPr>
          <w:position w:val="-9"/>
        </w:rPr>
        <w:pict>
          <v:shape id="_x0000_i1037" type="#_x0000_t75" style="width:9pt;height:15pt" equationxml="&lt;">
            <v:imagedata r:id="rId11" o:title="" chromakey="white"/>
          </v:shape>
        </w:pict>
      </w:r>
      <w:r w:rsidR="002C4D41">
        <w:fldChar w:fldCharType="end"/>
      </w:r>
      <w:r>
        <w:t xml:space="preserve"> of </w:t>
      </w:r>
      <w:r w:rsidR="002C4D41">
        <w:fldChar w:fldCharType="begin"/>
      </w:r>
      <w:r>
        <w:instrText xml:space="preserve"> QUOTE </w:instrText>
      </w:r>
      <w:r w:rsidR="0008706B">
        <w:rPr>
          <w:position w:val="-9"/>
        </w:rPr>
        <w:pict>
          <v:shape id="_x0000_i1038" type="#_x0000_t75" style="width:9pt;height:14.25pt" equationxml="&lt;">
            <v:imagedata r:id="rId9" o:title="" chromakey="white"/>
          </v:shape>
        </w:pict>
      </w:r>
      <w:r>
        <w:instrText xml:space="preserve"> </w:instrText>
      </w:r>
      <w:r w:rsidR="002C4D41">
        <w:fldChar w:fldCharType="separate"/>
      </w:r>
      <w:r w:rsidR="0008706B">
        <w:rPr>
          <w:position w:val="-9"/>
        </w:rPr>
        <w:pict>
          <v:shape id="_x0000_i1039" type="#_x0000_t75" style="width:9pt;height:14.25pt" equationxml="&lt;">
            <v:imagedata r:id="rId9" o:title="" chromakey="white"/>
          </v:shape>
        </w:pict>
      </w:r>
      <w:r w:rsidR="002C4D41">
        <w:fldChar w:fldCharType="end"/>
      </w:r>
      <w:r>
        <w:t xml:space="preserve"> was calculated as the arithmetic average of the randomly sampled values</w:t>
      </w:r>
      <w:r w:rsidR="002C4D41">
        <w:fldChar w:fldCharType="begin"/>
      </w:r>
      <w:r>
        <w:instrText xml:space="preserve"> QUOTE </w:instrText>
      </w:r>
      <w:r w:rsidR="0008706B">
        <w:rPr>
          <w:position w:val="-11"/>
        </w:rPr>
        <w:pict>
          <v:shape id="_x0000_i1040" type="#_x0000_t75" style="width:57pt;height:18pt" equationxml="&lt;">
            <v:imagedata r:id="rId12" o:title="" chromakey="white"/>
          </v:shape>
        </w:pict>
      </w:r>
      <w:r>
        <w:instrText xml:space="preserve"> </w:instrText>
      </w:r>
      <w:r w:rsidR="002C4D41">
        <w:fldChar w:fldCharType="separate"/>
      </w:r>
      <w:r w:rsidR="0008706B">
        <w:rPr>
          <w:position w:val="-11"/>
        </w:rPr>
        <w:pict>
          <v:shape id="_x0000_i1041" type="#_x0000_t75" style="width:57pt;height:18pt" equationxml="&lt;">
            <v:imagedata r:id="rId12" o:title="" chromakey="white"/>
          </v:shape>
        </w:pict>
      </w:r>
      <w:r w:rsidR="002C4D41">
        <w:fldChar w:fldCharType="end"/>
      </w:r>
      <w:r>
        <w:t xml:space="preserve">; in other </w:t>
      </w:r>
      <w:proofErr w:type="gramStart"/>
      <w:r>
        <w:t xml:space="preserve">words  </w:t>
      </w:r>
      <w:proofErr w:type="gramEnd"/>
      <w:r w:rsidR="002C4D41">
        <w:fldChar w:fldCharType="begin"/>
      </w:r>
      <w:r>
        <w:instrText xml:space="preserve"> QUOTE </w:instrText>
      </w:r>
      <w:r w:rsidR="0008706B">
        <w:rPr>
          <w:position w:val="-12"/>
        </w:rPr>
        <w:pict>
          <v:shape id="_x0000_i1042" type="#_x0000_t75" style="width:1in;height:18.75pt" equationxml="&lt;">
            <v:imagedata r:id="rId13" o:title="" chromakey="white"/>
          </v:shape>
        </w:pict>
      </w:r>
      <w:r>
        <w:instrText xml:space="preserve"> </w:instrText>
      </w:r>
      <w:r w:rsidR="002C4D41">
        <w:fldChar w:fldCharType="separate"/>
      </w:r>
      <w:r w:rsidR="0008706B">
        <w:rPr>
          <w:position w:val="-12"/>
        </w:rPr>
        <w:pict>
          <v:shape id="_x0000_i1043" type="#_x0000_t75" style="width:1in;height:18.75pt" equationxml="&lt;">
            <v:imagedata r:id="rId13" o:title="" chromakey="white"/>
          </v:shape>
        </w:pict>
      </w:r>
      <w:r w:rsidR="002C4D41">
        <w:fldChar w:fldCharType="end"/>
      </w:r>
      <w:r>
        <w:t>.</w:t>
      </w:r>
    </w:p>
    <w:p w:rsidR="00C1002C" w:rsidRDefault="00C1002C" w:rsidP="00C1002C">
      <w:pPr>
        <w:spacing w:after="0" w:line="240" w:lineRule="auto"/>
      </w:pPr>
    </w:p>
    <w:p w:rsidR="00C1002C" w:rsidRDefault="00C1002C" w:rsidP="00C1002C">
      <w:pPr>
        <w:spacing w:after="0" w:line="240" w:lineRule="auto"/>
      </w:pPr>
      <w:r>
        <w:t xml:space="preserve">Our reliability measure was defined as the estimated squared correlation between the set of hospital-specific estimates </w:t>
      </w:r>
      <w:r w:rsidR="002C4D41">
        <w:fldChar w:fldCharType="begin"/>
      </w:r>
      <w:r>
        <w:instrText xml:space="preserve"> QUOTE </w:instrText>
      </w:r>
      <w:r w:rsidR="0008706B">
        <w:rPr>
          <w:position w:val="-8"/>
        </w:rPr>
        <w:pict>
          <v:shape id="_x0000_i1044" type="#_x0000_t75" style="width:39pt;height:15pt" equationxml="&lt;">
            <v:imagedata r:id="rId14" o:title="" chromakey="white"/>
          </v:shape>
        </w:pict>
      </w:r>
      <w:r>
        <w:instrText xml:space="preserve"> </w:instrText>
      </w:r>
      <w:r w:rsidR="002C4D41">
        <w:fldChar w:fldCharType="separate"/>
      </w:r>
      <w:r w:rsidR="0008706B">
        <w:rPr>
          <w:position w:val="-8"/>
        </w:rPr>
        <w:pict>
          <v:shape id="_x0000_i1045" type="#_x0000_t75" style="width:39pt;height:15pt" equationxml="&lt;">
            <v:imagedata r:id="rId14" o:title="" chromakey="white"/>
          </v:shape>
        </w:pict>
      </w:r>
      <w:r w:rsidR="002C4D41">
        <w:fldChar w:fldCharType="end"/>
      </w:r>
      <w:r>
        <w:t xml:space="preserve"> and the corresponding unknown true </w:t>
      </w:r>
      <w:proofErr w:type="gramStart"/>
      <w:r>
        <w:t xml:space="preserve">values </w:t>
      </w:r>
      <w:proofErr w:type="gramEnd"/>
      <w:r w:rsidR="002C4D41">
        <w:fldChar w:fldCharType="begin"/>
      </w:r>
      <w:r>
        <w:instrText xml:space="preserve"> QUOTE </w:instrText>
      </w:r>
      <w:r w:rsidR="0008706B">
        <w:rPr>
          <w:position w:val="-8"/>
        </w:rPr>
        <w:pict>
          <v:shape id="_x0000_i1046" type="#_x0000_t75" style="width:39pt;height:14.25pt" equationxml="&lt;">
            <v:imagedata r:id="rId15" o:title="" chromakey="white"/>
          </v:shape>
        </w:pict>
      </w:r>
      <w:r>
        <w:instrText xml:space="preserve"> </w:instrText>
      </w:r>
      <w:r w:rsidR="002C4D41">
        <w:fldChar w:fldCharType="separate"/>
      </w:r>
      <w:r w:rsidR="0008706B">
        <w:rPr>
          <w:position w:val="-8"/>
        </w:rPr>
        <w:pict>
          <v:shape id="_x0000_i1047" type="#_x0000_t75" style="width:39pt;height:14.25pt" equationxml="&lt;">
            <v:imagedata r:id="rId15" o:title="" chromakey="white"/>
          </v:shape>
        </w:pict>
      </w:r>
      <w:r w:rsidR="002C4D41">
        <w:fldChar w:fldCharType="end"/>
      </w:r>
      <w:r>
        <w:t xml:space="preserve">. Let </w:t>
      </w:r>
      <w:r w:rsidR="002C4D41">
        <w:fldChar w:fldCharType="begin"/>
      </w:r>
      <w:r>
        <w:instrText xml:space="preserve"> QUOTE </w:instrText>
      </w:r>
      <w:r w:rsidR="0008706B">
        <w:rPr>
          <w:position w:val="-6"/>
        </w:rPr>
        <w:pict>
          <v:shape id="_x0000_i1048" type="#_x0000_t75" style="width:11.25pt;height:13.5pt" equationxml="&lt;">
            <v:imagedata r:id="rId16" o:title="" chromakey="white"/>
          </v:shape>
        </w:pict>
      </w:r>
      <w:r>
        <w:instrText xml:space="preserve"> </w:instrText>
      </w:r>
      <w:r w:rsidR="002C4D41">
        <w:fldChar w:fldCharType="separate"/>
      </w:r>
      <w:r w:rsidR="0008706B">
        <w:rPr>
          <w:position w:val="-6"/>
        </w:rPr>
        <w:pict>
          <v:shape id="_x0000_i1049" type="#_x0000_t75" style="width:11.25pt;height:13.5pt" equationxml="&lt;">
            <v:imagedata r:id="rId16" o:title="" chromakey="white"/>
          </v:shape>
        </w:pict>
      </w:r>
      <w:r w:rsidR="002C4D41">
        <w:fldChar w:fldCharType="end"/>
      </w:r>
      <w:r>
        <w:t xml:space="preserve"> denote the </w:t>
      </w:r>
      <w:r>
        <w:rPr>
          <w:u w:val="single"/>
        </w:rPr>
        <w:t>unknown true</w:t>
      </w:r>
      <w:r>
        <w:t xml:space="preserve"> squared correlation of interest and let </w:t>
      </w:r>
      <w:r w:rsidR="002C4D41">
        <w:fldChar w:fldCharType="begin"/>
      </w:r>
      <w:r>
        <w:instrText xml:space="preserve"> QUOTE </w:instrText>
      </w:r>
      <w:r w:rsidR="0008706B">
        <w:rPr>
          <w:position w:val="-6"/>
        </w:rPr>
        <w:pict>
          <v:shape id="_x0000_i1050" type="#_x0000_t75" style="width:11.25pt;height:13.5pt" equationxml="&lt;">
            <v:imagedata r:id="rId17" o:title="" chromakey="white"/>
          </v:shape>
        </w:pict>
      </w:r>
      <w:r>
        <w:instrText xml:space="preserve"> </w:instrText>
      </w:r>
      <w:r w:rsidR="002C4D41">
        <w:fldChar w:fldCharType="separate"/>
      </w:r>
      <w:r w:rsidR="0008706B">
        <w:rPr>
          <w:position w:val="-6"/>
        </w:rPr>
        <w:pict>
          <v:shape id="_x0000_i1051" type="#_x0000_t75" style="width:11.25pt;height:13.5pt" equationxml="&lt;">
            <v:imagedata r:id="rId17" o:title="" chromakey="white"/>
          </v:shape>
        </w:pict>
      </w:r>
      <w:r w:rsidR="002C4D41">
        <w:fldChar w:fldCharType="end"/>
      </w:r>
      <w:r>
        <w:t xml:space="preserve"> denote </w:t>
      </w:r>
      <w:r>
        <w:rPr>
          <w:u w:val="single"/>
        </w:rPr>
        <w:t>an estimate</w:t>
      </w:r>
      <w:r>
        <w:t xml:space="preserve"> of this quantity. The estimate was calculated as</w:t>
      </w:r>
    </w:p>
    <w:p w:rsidR="00C1002C" w:rsidRDefault="00C1002C" w:rsidP="008C54A9">
      <w:pPr>
        <w:autoSpaceDE w:val="0"/>
        <w:autoSpaceDN w:val="0"/>
        <w:adjustRightInd w:val="0"/>
        <w:spacing w:after="0" w:line="240" w:lineRule="auto"/>
        <w:rPr>
          <w:rFonts w:cstheme="minorHAnsi"/>
          <w:bCs/>
        </w:rPr>
      </w:pPr>
      <w:r>
        <w:rPr>
          <w:noProof/>
        </w:rPr>
        <w:lastRenderedPageBreak/>
        <w:drawing>
          <wp:inline distT="0" distB="0" distL="0" distR="0">
            <wp:extent cx="5614416" cy="164592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5614416" cy="1645920"/>
                    </a:xfrm>
                    <a:prstGeom prst="rect">
                      <a:avLst/>
                    </a:prstGeom>
                  </pic:spPr>
                </pic:pic>
              </a:graphicData>
            </a:graphic>
          </wp:inline>
        </w:drawing>
      </w:r>
    </w:p>
    <w:p w:rsidR="00C1002C" w:rsidRDefault="00C1002C" w:rsidP="008C54A9">
      <w:pPr>
        <w:autoSpaceDE w:val="0"/>
        <w:autoSpaceDN w:val="0"/>
        <w:adjustRightInd w:val="0"/>
        <w:spacing w:after="0" w:line="240" w:lineRule="auto"/>
        <w:rPr>
          <w:rFonts w:cstheme="minorHAnsi"/>
          <w:bCs/>
        </w:rPr>
      </w:pPr>
    </w:p>
    <w:p w:rsidR="00C1002C" w:rsidRDefault="00C1002C" w:rsidP="00C1002C">
      <w:pPr>
        <w:spacing w:after="0" w:line="240" w:lineRule="auto"/>
      </w:pPr>
      <w:r>
        <w:t xml:space="preserve">A 95% Bayesian probability interval for </w:t>
      </w:r>
      <w:r w:rsidR="002C4D41">
        <w:fldChar w:fldCharType="begin"/>
      </w:r>
      <w:r>
        <w:instrText xml:space="preserve"> QUOTE </w:instrText>
      </w:r>
      <w:r w:rsidR="0008706B">
        <w:rPr>
          <w:position w:val="-6"/>
        </w:rPr>
        <w:pict>
          <v:shape id="_x0000_i1052" type="#_x0000_t75" style="width:11.25pt;height:13.5pt" equationxml="&lt;">
            <v:imagedata r:id="rId16" o:title="" chromakey="white"/>
          </v:shape>
        </w:pict>
      </w:r>
      <w:r>
        <w:instrText xml:space="preserve"> </w:instrText>
      </w:r>
      <w:r w:rsidR="002C4D41">
        <w:fldChar w:fldCharType="separate"/>
      </w:r>
      <w:r w:rsidR="0008706B">
        <w:rPr>
          <w:position w:val="-6"/>
        </w:rPr>
        <w:pict>
          <v:shape id="_x0000_i1053" type="#_x0000_t75" style="width:11.25pt;height:13.5pt" equationxml="&lt;">
            <v:imagedata r:id="rId16" o:title="" chromakey="white"/>
          </v:shape>
        </w:pict>
      </w:r>
      <w:r w:rsidR="002C4D41">
        <w:fldChar w:fldCharType="end"/>
      </w:r>
      <w:r>
        <w:t xml:space="preserve"> was obtained calculating the 2.5</w:t>
      </w:r>
      <w:r>
        <w:rPr>
          <w:vertAlign w:val="superscript"/>
        </w:rPr>
        <w:t>th</w:t>
      </w:r>
      <w:r>
        <w:t xml:space="preserve"> and 97.5</w:t>
      </w:r>
      <w:r>
        <w:rPr>
          <w:vertAlign w:val="superscript"/>
        </w:rPr>
        <w:t>th</w:t>
      </w:r>
      <w:r>
        <w:t xml:space="preserve"> percentiles of the set of numbers </w:t>
      </w:r>
      <w:r w:rsidR="002C4D41">
        <w:fldChar w:fldCharType="begin"/>
      </w:r>
      <w:r>
        <w:instrText xml:space="preserve"> QUOTE </w:instrText>
      </w:r>
      <w:r w:rsidR="0008706B">
        <w:rPr>
          <w:position w:val="-9"/>
        </w:rPr>
        <w:pict>
          <v:shape id="_x0000_i1054" type="#_x0000_t75" style="width:19.5pt;height:15.75pt" equationxml="&lt;">
            <v:imagedata r:id="rId19" o:title="" chromakey="white"/>
          </v:shape>
        </w:pict>
      </w:r>
      <w:r>
        <w:instrText xml:space="preserve"> </w:instrText>
      </w:r>
      <w:r w:rsidR="002C4D41">
        <w:fldChar w:fldCharType="separate"/>
      </w:r>
      <w:r w:rsidR="0008706B">
        <w:rPr>
          <w:position w:val="-9"/>
        </w:rPr>
        <w:pict>
          <v:shape id="_x0000_i1055" type="#_x0000_t75" style="width:19.5pt;height:15.75pt" equationxml="&lt;">
            <v:imagedata r:id="rId19" o:title="" chromakey="white"/>
          </v:shape>
        </w:pict>
      </w:r>
      <w:r w:rsidR="002C4D41">
        <w:fldChar w:fldCharType="end"/>
      </w:r>
      <w:r>
        <w:t>…,</w:t>
      </w:r>
      <w:r w:rsidR="002C4D41">
        <w:fldChar w:fldCharType="begin"/>
      </w:r>
      <w:r>
        <w:instrText xml:space="preserve"> QUOTE </w:instrText>
      </w:r>
      <w:r w:rsidR="0008706B">
        <w:rPr>
          <w:position w:val="-9"/>
        </w:rPr>
        <w:pict>
          <v:shape id="_x0000_i1056" type="#_x0000_t75" style="width:19.5pt;height:15.75pt" equationxml="&lt;">
            <v:imagedata r:id="rId20" o:title="" chromakey="white"/>
          </v:shape>
        </w:pict>
      </w:r>
      <w:r>
        <w:instrText xml:space="preserve"> </w:instrText>
      </w:r>
      <w:r w:rsidR="002C4D41">
        <w:fldChar w:fldCharType="separate"/>
      </w:r>
      <w:r w:rsidR="0008706B">
        <w:rPr>
          <w:position w:val="-9"/>
        </w:rPr>
        <w:pict>
          <v:shape id="_x0000_i1057" type="#_x0000_t75" style="width:19.5pt;height:15.75pt" equationxml="&lt;">
            <v:imagedata r:id="rId20" o:title="" chromakey="white"/>
          </v:shape>
        </w:pict>
      </w:r>
      <w:r w:rsidR="002C4D41">
        <w:fldChar w:fldCharType="end"/>
      </w:r>
      <w:r>
        <w:t>. An analogous calculation was used to estimate reliability for readmission rates not adjusted for case mix.</w:t>
      </w:r>
    </w:p>
    <w:p w:rsidR="00C1002C" w:rsidRDefault="00C1002C" w:rsidP="008C54A9">
      <w:pPr>
        <w:autoSpaceDE w:val="0"/>
        <w:autoSpaceDN w:val="0"/>
        <w:adjustRightInd w:val="0"/>
        <w:spacing w:after="0" w:line="240" w:lineRule="auto"/>
        <w:rPr>
          <w:rFonts w:cstheme="minorHAnsi"/>
          <w:bCs/>
        </w:rPr>
      </w:pPr>
    </w:p>
    <w:p w:rsidR="006D50B6" w:rsidRPr="00A25024" w:rsidRDefault="006D50B6" w:rsidP="008C54A9">
      <w:pPr>
        <w:autoSpaceDE w:val="0"/>
        <w:autoSpaceDN w:val="0"/>
        <w:adjustRightInd w:val="0"/>
        <w:spacing w:after="0" w:line="240" w:lineRule="auto"/>
        <w:rPr>
          <w:rFonts w:cstheme="minorHAnsi"/>
          <w:bCs/>
        </w:rPr>
      </w:pPr>
    </w:p>
    <w:p w:rsidR="007422FD" w:rsidRPr="00B87202" w:rsidRDefault="00092566" w:rsidP="00264DF0">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2a2.</w:t>
      </w:r>
      <w:r w:rsidR="008C54A9" w:rsidRPr="00B87202">
        <w:rPr>
          <w:rFonts w:cstheme="minorHAnsi"/>
          <w:b/>
          <w:bCs/>
          <w:color w:val="000099"/>
        </w:rPr>
        <w:t xml:space="preserve">3. </w:t>
      </w:r>
      <w:proofErr w:type="gramStart"/>
      <w:r w:rsidR="008C54A9" w:rsidRPr="00B87202">
        <w:rPr>
          <w:rFonts w:cstheme="minorHAnsi"/>
          <w:b/>
          <w:bCs/>
          <w:color w:val="000099"/>
        </w:rPr>
        <w:t>For</w:t>
      </w:r>
      <w:proofErr w:type="gramEnd"/>
      <w:r w:rsidR="008C54A9" w:rsidRPr="00B87202">
        <w:rPr>
          <w:rFonts w:cstheme="minorHAnsi"/>
          <w:b/>
          <w:bCs/>
          <w:color w:val="000099"/>
        </w:rPr>
        <w:t xml:space="preserve"> each level checked above, w</w:t>
      </w:r>
      <w:r w:rsidR="00900DBF" w:rsidRPr="00B87202">
        <w:rPr>
          <w:rFonts w:cstheme="minorHAnsi"/>
          <w:b/>
          <w:bCs/>
          <w:color w:val="000099"/>
        </w:rPr>
        <w:t>hat were the statistical results</w:t>
      </w:r>
      <w:r w:rsidR="007422FD" w:rsidRPr="00B87202">
        <w:rPr>
          <w:rFonts w:cstheme="minorHAnsi"/>
          <w:b/>
          <w:bCs/>
          <w:color w:val="000099"/>
        </w:rPr>
        <w:t xml:space="preserve"> from reliability testing</w:t>
      </w:r>
      <w:r w:rsidR="00900DBF" w:rsidRPr="00B87202">
        <w:rPr>
          <w:rFonts w:cstheme="minorHAnsi"/>
          <w:bCs/>
          <w:color w:val="000099"/>
        </w:rPr>
        <w:t>?</w:t>
      </w:r>
      <w:r w:rsidR="00B037BA" w:rsidRPr="00B87202">
        <w:rPr>
          <w:rFonts w:cstheme="minorHAnsi"/>
          <w:bCs/>
          <w:color w:val="000099"/>
        </w:rPr>
        <w:t xml:space="preserve"> </w:t>
      </w:r>
      <w:r w:rsidR="00AA5213" w:rsidRPr="00B87202">
        <w:rPr>
          <w:rFonts w:cstheme="minorHAnsi"/>
          <w:bCs/>
          <w:color w:val="000099"/>
        </w:rPr>
        <w:t xml:space="preserve"> (e</w:t>
      </w:r>
      <w:r w:rsidR="00AA5213" w:rsidRPr="00B87202">
        <w:rPr>
          <w:rFonts w:cstheme="minorHAnsi"/>
          <w:bCs/>
          <w:i/>
          <w:color w:val="000099"/>
        </w:rPr>
        <w:t>.g., percent agreement and kappa for the critical data elements; distribution of reliability statistics from a signal-to-noise analysis</w:t>
      </w:r>
      <w:r w:rsidR="00AA5213" w:rsidRPr="00B87202">
        <w:rPr>
          <w:rFonts w:cstheme="minorHAnsi"/>
          <w:bCs/>
          <w:color w:val="000099"/>
        </w:rPr>
        <w:t>)</w:t>
      </w:r>
    </w:p>
    <w:p w:rsidR="00264DF0" w:rsidRDefault="00264DF0" w:rsidP="008C54A9">
      <w:pPr>
        <w:autoSpaceDE w:val="0"/>
        <w:autoSpaceDN w:val="0"/>
        <w:adjustRightInd w:val="0"/>
        <w:spacing w:after="0" w:line="240" w:lineRule="auto"/>
        <w:rPr>
          <w:rFonts w:cstheme="minorHAnsi"/>
          <w:bCs/>
        </w:rPr>
      </w:pPr>
    </w:p>
    <w:p w:rsidR="00560546" w:rsidRDefault="00560546" w:rsidP="00560546">
      <w:pPr>
        <w:spacing w:after="0" w:line="240" w:lineRule="auto"/>
        <w:rPr>
          <w:rFonts w:eastAsia="Times New Roman"/>
          <w:u w:val="single"/>
        </w:rPr>
      </w:pPr>
      <w:r>
        <w:rPr>
          <w:rFonts w:eastAsia="Times New Roman"/>
          <w:u w:val="single"/>
        </w:rPr>
        <w:t>Analysis #1: Data abstraction reliability</w:t>
      </w:r>
    </w:p>
    <w:p w:rsidR="00560546" w:rsidRDefault="00560546" w:rsidP="00560546">
      <w:pPr>
        <w:spacing w:after="0" w:line="240" w:lineRule="auto"/>
        <w:rPr>
          <w:rFonts w:eastAsia="Times New Roman"/>
        </w:rPr>
      </w:pPr>
      <w:r>
        <w:rPr>
          <w:rFonts w:eastAsia="Times New Roman"/>
        </w:rPr>
        <w:t>The results from the 2011 audit revealed an overall agreement rate of 96.32% for audited data elements. The case log submission agreement was 99.61%. Mismatches were typically related to unscheduled emergency cases.</w:t>
      </w:r>
    </w:p>
    <w:p w:rsidR="00560546" w:rsidRDefault="00560546" w:rsidP="00560546">
      <w:pPr>
        <w:spacing w:after="0" w:line="240" w:lineRule="auto"/>
        <w:rPr>
          <w:rFonts w:eastAsia="Times New Roman"/>
        </w:rPr>
      </w:pPr>
    </w:p>
    <w:p w:rsidR="00560546" w:rsidRDefault="00560546" w:rsidP="00560546">
      <w:pPr>
        <w:spacing w:after="0" w:line="240" w:lineRule="auto"/>
        <w:rPr>
          <w:rFonts w:eastAsia="Times New Roman"/>
          <w:u w:val="single"/>
        </w:rPr>
      </w:pPr>
      <w:r>
        <w:rPr>
          <w:rFonts w:eastAsia="Times New Roman"/>
          <w:u w:val="single"/>
        </w:rPr>
        <w:t>Analysis #2: Statistical reliability (signal-to-noise ratio)</w:t>
      </w:r>
    </w:p>
    <w:p w:rsidR="00560546" w:rsidRDefault="00560546" w:rsidP="00560546">
      <w:pPr>
        <w:spacing w:after="0" w:line="240" w:lineRule="auto"/>
        <w:rPr>
          <w:rFonts w:eastAsia="Times New Roman"/>
        </w:rPr>
      </w:pPr>
      <w:r>
        <w:rPr>
          <w:rFonts w:eastAsia="Times New Roman"/>
        </w:rPr>
        <w:t>We compared the reliability of risk-standardized readmission rates (RSRR’s) estimated with one year and three years of data.</w:t>
      </w:r>
    </w:p>
    <w:p w:rsidR="00560546" w:rsidRDefault="00560546" w:rsidP="00560546">
      <w:pPr>
        <w:spacing w:after="0" w:line="240" w:lineRule="auto"/>
        <w:rPr>
          <w:rFonts w:eastAsia="Times New Roman"/>
        </w:rPr>
      </w:pPr>
    </w:p>
    <w:p w:rsidR="00560546" w:rsidRDefault="00560546" w:rsidP="00560546">
      <w:pPr>
        <w:spacing w:after="0" w:line="240" w:lineRule="auto"/>
        <w:rPr>
          <w:rFonts w:eastAsia="Times New Roman"/>
          <w:b/>
        </w:rPr>
      </w:pPr>
      <w:r>
        <w:rPr>
          <w:rFonts w:eastAsia="Times New Roman"/>
          <w:b/>
        </w:rPr>
        <w:t xml:space="preserve">Estimated Model Reliability by Estimated </w:t>
      </w:r>
      <w:r w:rsidR="002C4D41">
        <w:rPr>
          <w:b/>
        </w:rPr>
        <w:fldChar w:fldCharType="begin"/>
      </w:r>
      <w:r>
        <w:rPr>
          <w:b/>
        </w:rPr>
        <w:instrText xml:space="preserve"> QUOTE </w:instrText>
      </w:r>
      <w:r w:rsidR="0008706B">
        <w:rPr>
          <w:b/>
          <w:position w:val="-6"/>
        </w:rPr>
        <w:pict>
          <v:shape id="_x0000_i1058" type="#_x0000_t75" style="width:11.25pt;height:13.5pt" equationxml="&lt;">
            <v:imagedata r:id="rId16" o:title="" chromakey="white"/>
          </v:shape>
        </w:pict>
      </w:r>
      <w:r>
        <w:rPr>
          <w:b/>
        </w:rPr>
        <w:instrText xml:space="preserve"> </w:instrText>
      </w:r>
      <w:r w:rsidR="002C4D41">
        <w:rPr>
          <w:b/>
        </w:rPr>
        <w:fldChar w:fldCharType="separate"/>
      </w:r>
      <w:r w:rsidR="0008706B">
        <w:rPr>
          <w:b/>
          <w:position w:val="-6"/>
        </w:rPr>
        <w:pict>
          <v:shape id="_x0000_i1059" type="#_x0000_t75" style="width:11.25pt;height:13.5pt" equationxml="&lt;">
            <v:imagedata r:id="rId16" o:title="" chromakey="white"/>
          </v:shape>
        </w:pict>
      </w:r>
      <w:r w:rsidR="002C4D41">
        <w:rPr>
          <w:b/>
        </w:rPr>
        <w:fldChar w:fldCharType="end"/>
      </w:r>
      <w:r>
        <w:rPr>
          <w:b/>
        </w:rPr>
        <w:t xml:space="preserve"> </w:t>
      </w:r>
      <w:r>
        <w:rPr>
          <w:rFonts w:eastAsia="Times New Roman"/>
          <w:b/>
        </w:rPr>
        <w:t>Correlation Statistic with 95% Credible Intervals, Over All Three Years in Hospitals with at Least 10, 30, 50, 100, 200, and 300 Cases in Three Years</w:t>
      </w:r>
    </w:p>
    <w:p w:rsidR="00560546" w:rsidRDefault="00560546" w:rsidP="00560546">
      <w:pPr>
        <w:spacing w:after="0" w:line="240" w:lineRule="auto"/>
        <w:rPr>
          <w:rFonts w:eastAsia="Times New Roman"/>
          <w:b/>
        </w:rPr>
      </w:pPr>
    </w:p>
    <w:tbl>
      <w:tblPr>
        <w:tblW w:w="0" w:type="auto"/>
        <w:jc w:val="center"/>
        <w:tblLook w:val="04A0" w:firstRow="1" w:lastRow="0" w:firstColumn="1" w:lastColumn="0" w:noHBand="0" w:noVBand="1"/>
      </w:tblPr>
      <w:tblGrid>
        <w:gridCol w:w="2142"/>
        <w:gridCol w:w="2537"/>
        <w:gridCol w:w="2537"/>
      </w:tblGrid>
      <w:tr w:rsidR="00560546" w:rsidTr="00560546">
        <w:trPr>
          <w:jc w:val="center"/>
        </w:trPr>
        <w:tc>
          <w:tcPr>
            <w:tcW w:w="2142" w:type="dxa"/>
            <w:tcBorders>
              <w:top w:val="single" w:sz="4" w:space="0" w:color="auto"/>
              <w:left w:val="nil"/>
              <w:bottom w:val="single" w:sz="4" w:space="0" w:color="auto"/>
              <w:right w:val="nil"/>
            </w:tcBorders>
            <w:hideMark/>
          </w:tcPr>
          <w:p w:rsidR="00560546" w:rsidRDefault="00560546" w:rsidP="00560546">
            <w:pPr>
              <w:spacing w:after="0" w:line="240" w:lineRule="auto"/>
              <w:rPr>
                <w:b/>
              </w:rPr>
            </w:pPr>
            <w:r>
              <w:rPr>
                <w:b/>
              </w:rPr>
              <w:t xml:space="preserve">Minimum Number of Included Cases for Hospital Inclusion </w:t>
            </w:r>
          </w:p>
        </w:tc>
        <w:tc>
          <w:tcPr>
            <w:tcW w:w="2537" w:type="dxa"/>
            <w:tcBorders>
              <w:top w:val="single" w:sz="4" w:space="0" w:color="auto"/>
              <w:left w:val="nil"/>
              <w:bottom w:val="single" w:sz="4" w:space="0" w:color="auto"/>
              <w:right w:val="nil"/>
            </w:tcBorders>
            <w:hideMark/>
          </w:tcPr>
          <w:p w:rsidR="00560546" w:rsidRDefault="00560546" w:rsidP="00560546">
            <w:pPr>
              <w:spacing w:after="0" w:line="240" w:lineRule="auto"/>
              <w:rPr>
                <w:b/>
              </w:rPr>
            </w:pPr>
            <w:r>
              <w:rPr>
                <w:b/>
              </w:rPr>
              <w:t>Unadjusted Model Reliability</w:t>
            </w:r>
          </w:p>
        </w:tc>
        <w:tc>
          <w:tcPr>
            <w:tcW w:w="2537" w:type="dxa"/>
            <w:tcBorders>
              <w:top w:val="single" w:sz="4" w:space="0" w:color="auto"/>
              <w:left w:val="nil"/>
              <w:bottom w:val="single" w:sz="4" w:space="0" w:color="auto"/>
              <w:right w:val="nil"/>
            </w:tcBorders>
            <w:hideMark/>
          </w:tcPr>
          <w:p w:rsidR="00560546" w:rsidRDefault="00560546" w:rsidP="00560546">
            <w:pPr>
              <w:spacing w:after="0" w:line="240" w:lineRule="auto"/>
              <w:rPr>
                <w:b/>
              </w:rPr>
            </w:pPr>
            <w:r>
              <w:rPr>
                <w:b/>
              </w:rPr>
              <w:t>Adjusted Model Reliability</w:t>
            </w:r>
          </w:p>
        </w:tc>
      </w:tr>
      <w:tr w:rsidR="00560546" w:rsidTr="00560546">
        <w:trPr>
          <w:jc w:val="center"/>
        </w:trPr>
        <w:tc>
          <w:tcPr>
            <w:tcW w:w="2142" w:type="dxa"/>
            <w:tcBorders>
              <w:top w:val="single" w:sz="4" w:space="0" w:color="auto"/>
              <w:left w:val="nil"/>
              <w:bottom w:val="nil"/>
              <w:right w:val="nil"/>
            </w:tcBorders>
            <w:hideMark/>
          </w:tcPr>
          <w:p w:rsidR="00560546" w:rsidRDefault="00560546" w:rsidP="00560546">
            <w:pPr>
              <w:spacing w:after="0" w:line="240" w:lineRule="auto"/>
            </w:pPr>
            <w:r>
              <w:t>10</w:t>
            </w:r>
          </w:p>
        </w:tc>
        <w:tc>
          <w:tcPr>
            <w:tcW w:w="2537" w:type="dxa"/>
            <w:tcBorders>
              <w:top w:val="single" w:sz="4" w:space="0" w:color="auto"/>
              <w:left w:val="nil"/>
              <w:bottom w:val="nil"/>
              <w:right w:val="nil"/>
            </w:tcBorders>
            <w:hideMark/>
          </w:tcPr>
          <w:p w:rsidR="00560546" w:rsidRDefault="00560546" w:rsidP="00560546">
            <w:pPr>
              <w:spacing w:after="0" w:line="240" w:lineRule="auto"/>
            </w:pPr>
            <w:r>
              <w:t>0.493 (0.447, 0.536)</w:t>
            </w:r>
          </w:p>
        </w:tc>
        <w:tc>
          <w:tcPr>
            <w:tcW w:w="2537" w:type="dxa"/>
            <w:tcBorders>
              <w:top w:val="single" w:sz="4" w:space="0" w:color="auto"/>
              <w:left w:val="nil"/>
              <w:bottom w:val="nil"/>
              <w:right w:val="nil"/>
            </w:tcBorders>
            <w:hideMark/>
          </w:tcPr>
          <w:p w:rsidR="00560546" w:rsidRDefault="00560546" w:rsidP="00560546">
            <w:pPr>
              <w:spacing w:after="0" w:line="240" w:lineRule="auto"/>
            </w:pPr>
            <w:r>
              <w:t>0.455 (0.409, 0.499)</w:t>
            </w:r>
          </w:p>
        </w:tc>
      </w:tr>
      <w:tr w:rsidR="00560546" w:rsidTr="00560546">
        <w:trPr>
          <w:jc w:val="center"/>
        </w:trPr>
        <w:tc>
          <w:tcPr>
            <w:tcW w:w="2142" w:type="dxa"/>
            <w:hideMark/>
          </w:tcPr>
          <w:p w:rsidR="00560546" w:rsidRDefault="00560546" w:rsidP="00560546">
            <w:pPr>
              <w:spacing w:after="0" w:line="240" w:lineRule="auto"/>
            </w:pPr>
            <w:r>
              <w:t>30</w:t>
            </w:r>
          </w:p>
        </w:tc>
        <w:tc>
          <w:tcPr>
            <w:tcW w:w="2537" w:type="dxa"/>
            <w:hideMark/>
          </w:tcPr>
          <w:p w:rsidR="00560546" w:rsidRDefault="00560546" w:rsidP="00560546">
            <w:pPr>
              <w:spacing w:after="0" w:line="240" w:lineRule="auto"/>
            </w:pPr>
            <w:r>
              <w:t>0.510 (0.463, 0.553)</w:t>
            </w:r>
          </w:p>
        </w:tc>
        <w:tc>
          <w:tcPr>
            <w:tcW w:w="2537" w:type="dxa"/>
            <w:hideMark/>
          </w:tcPr>
          <w:p w:rsidR="00560546" w:rsidRDefault="00560546" w:rsidP="00560546">
            <w:pPr>
              <w:spacing w:after="0" w:line="240" w:lineRule="auto"/>
            </w:pPr>
            <w:r>
              <w:t>0.470 (0.424, 0.515)</w:t>
            </w:r>
          </w:p>
        </w:tc>
      </w:tr>
      <w:tr w:rsidR="00560546" w:rsidTr="00560546">
        <w:trPr>
          <w:jc w:val="center"/>
        </w:trPr>
        <w:tc>
          <w:tcPr>
            <w:tcW w:w="2142" w:type="dxa"/>
            <w:hideMark/>
          </w:tcPr>
          <w:p w:rsidR="00560546" w:rsidRDefault="00560546" w:rsidP="00560546">
            <w:pPr>
              <w:spacing w:after="0" w:line="240" w:lineRule="auto"/>
            </w:pPr>
            <w:r>
              <w:t>50</w:t>
            </w:r>
          </w:p>
        </w:tc>
        <w:tc>
          <w:tcPr>
            <w:tcW w:w="2537" w:type="dxa"/>
            <w:hideMark/>
          </w:tcPr>
          <w:p w:rsidR="00560546" w:rsidRDefault="00560546" w:rsidP="00560546">
            <w:pPr>
              <w:spacing w:after="0" w:line="240" w:lineRule="auto"/>
            </w:pPr>
            <w:r>
              <w:t>0.533 (0.486, 0.577)</w:t>
            </w:r>
          </w:p>
        </w:tc>
        <w:tc>
          <w:tcPr>
            <w:tcW w:w="2537" w:type="dxa"/>
            <w:hideMark/>
          </w:tcPr>
          <w:p w:rsidR="00560546" w:rsidRDefault="00560546" w:rsidP="00560546">
            <w:pPr>
              <w:spacing w:after="0" w:line="240" w:lineRule="auto"/>
            </w:pPr>
            <w:r>
              <w:t>0.492 (0.444, 0.537)</w:t>
            </w:r>
          </w:p>
        </w:tc>
      </w:tr>
      <w:tr w:rsidR="00560546" w:rsidTr="00560546">
        <w:trPr>
          <w:jc w:val="center"/>
        </w:trPr>
        <w:tc>
          <w:tcPr>
            <w:tcW w:w="2142" w:type="dxa"/>
            <w:hideMark/>
          </w:tcPr>
          <w:p w:rsidR="00560546" w:rsidRDefault="00560546" w:rsidP="00560546">
            <w:pPr>
              <w:spacing w:after="0" w:line="240" w:lineRule="auto"/>
            </w:pPr>
            <w:r>
              <w:t>100</w:t>
            </w:r>
          </w:p>
        </w:tc>
        <w:tc>
          <w:tcPr>
            <w:tcW w:w="2537" w:type="dxa"/>
            <w:hideMark/>
          </w:tcPr>
          <w:p w:rsidR="00560546" w:rsidRDefault="00560546" w:rsidP="00560546">
            <w:pPr>
              <w:spacing w:after="0" w:line="240" w:lineRule="auto"/>
            </w:pPr>
            <w:r>
              <w:t>0.582 (0.533, 0.627)</w:t>
            </w:r>
          </w:p>
        </w:tc>
        <w:tc>
          <w:tcPr>
            <w:tcW w:w="2537" w:type="dxa"/>
            <w:hideMark/>
          </w:tcPr>
          <w:p w:rsidR="00560546" w:rsidRDefault="00560546" w:rsidP="00560546">
            <w:pPr>
              <w:spacing w:after="0" w:line="240" w:lineRule="auto"/>
            </w:pPr>
            <w:r>
              <w:t>0.543 (0.493, 0.591)</w:t>
            </w:r>
          </w:p>
        </w:tc>
      </w:tr>
      <w:tr w:rsidR="00560546" w:rsidTr="00560546">
        <w:trPr>
          <w:jc w:val="center"/>
        </w:trPr>
        <w:tc>
          <w:tcPr>
            <w:tcW w:w="2142" w:type="dxa"/>
            <w:hideMark/>
          </w:tcPr>
          <w:p w:rsidR="00560546" w:rsidRDefault="00560546" w:rsidP="00560546">
            <w:pPr>
              <w:spacing w:after="0" w:line="240" w:lineRule="auto"/>
            </w:pPr>
            <w:r>
              <w:t>200</w:t>
            </w:r>
          </w:p>
        </w:tc>
        <w:tc>
          <w:tcPr>
            <w:tcW w:w="2537" w:type="dxa"/>
            <w:hideMark/>
          </w:tcPr>
          <w:p w:rsidR="00560546" w:rsidRDefault="00560546" w:rsidP="00560546">
            <w:pPr>
              <w:spacing w:after="0" w:line="240" w:lineRule="auto"/>
            </w:pPr>
            <w:r>
              <w:t>0.686 (0.630, 0.739)</w:t>
            </w:r>
          </w:p>
        </w:tc>
        <w:tc>
          <w:tcPr>
            <w:tcW w:w="2537" w:type="dxa"/>
            <w:hideMark/>
          </w:tcPr>
          <w:p w:rsidR="00560546" w:rsidRDefault="00560546" w:rsidP="00560546">
            <w:pPr>
              <w:spacing w:after="0" w:line="240" w:lineRule="auto"/>
            </w:pPr>
            <w:r>
              <w:t>0.641 (0.582, 0.699)</w:t>
            </w:r>
          </w:p>
        </w:tc>
      </w:tr>
      <w:tr w:rsidR="00560546" w:rsidTr="00560546">
        <w:trPr>
          <w:jc w:val="center"/>
        </w:trPr>
        <w:tc>
          <w:tcPr>
            <w:tcW w:w="2142" w:type="dxa"/>
            <w:tcBorders>
              <w:top w:val="nil"/>
              <w:left w:val="nil"/>
              <w:bottom w:val="single" w:sz="4" w:space="0" w:color="auto"/>
              <w:right w:val="nil"/>
            </w:tcBorders>
            <w:hideMark/>
          </w:tcPr>
          <w:p w:rsidR="00560546" w:rsidRDefault="00560546" w:rsidP="00560546">
            <w:pPr>
              <w:spacing w:after="0" w:line="240" w:lineRule="auto"/>
            </w:pPr>
            <w:r>
              <w:t>300</w:t>
            </w:r>
          </w:p>
        </w:tc>
        <w:tc>
          <w:tcPr>
            <w:tcW w:w="2537" w:type="dxa"/>
            <w:tcBorders>
              <w:top w:val="nil"/>
              <w:left w:val="nil"/>
              <w:bottom w:val="single" w:sz="4" w:space="0" w:color="auto"/>
              <w:right w:val="nil"/>
            </w:tcBorders>
            <w:hideMark/>
          </w:tcPr>
          <w:p w:rsidR="00560546" w:rsidRDefault="00560546" w:rsidP="00560546">
            <w:pPr>
              <w:spacing w:after="0" w:line="240" w:lineRule="auto"/>
            </w:pPr>
            <w:r>
              <w:t>0.786 (0.723, 0.841)</w:t>
            </w:r>
          </w:p>
        </w:tc>
        <w:tc>
          <w:tcPr>
            <w:tcW w:w="2537" w:type="dxa"/>
            <w:tcBorders>
              <w:top w:val="nil"/>
              <w:left w:val="nil"/>
              <w:bottom w:val="single" w:sz="4" w:space="0" w:color="auto"/>
              <w:right w:val="nil"/>
            </w:tcBorders>
            <w:hideMark/>
          </w:tcPr>
          <w:p w:rsidR="00560546" w:rsidRDefault="00560546" w:rsidP="00560546">
            <w:pPr>
              <w:spacing w:after="0" w:line="240" w:lineRule="auto"/>
            </w:pPr>
            <w:r>
              <w:t>0.714 (0.639, 0.781)</w:t>
            </w:r>
          </w:p>
        </w:tc>
      </w:tr>
    </w:tbl>
    <w:p w:rsidR="00560546" w:rsidRDefault="00560546" w:rsidP="00560546">
      <w:pPr>
        <w:spacing w:after="0" w:line="240" w:lineRule="auto"/>
        <w:rPr>
          <w:rFonts w:ascii="Calibri" w:eastAsia="Times New Roman" w:hAnsi="Calibri" w:cs="Calibri"/>
        </w:rPr>
      </w:pPr>
    </w:p>
    <w:p w:rsidR="00560546" w:rsidRPr="00A25024" w:rsidRDefault="00560546" w:rsidP="008C54A9">
      <w:pPr>
        <w:autoSpaceDE w:val="0"/>
        <w:autoSpaceDN w:val="0"/>
        <w:adjustRightInd w:val="0"/>
        <w:spacing w:after="0" w:line="240" w:lineRule="auto"/>
        <w:rPr>
          <w:rFonts w:cstheme="minorHAnsi"/>
          <w:bCs/>
        </w:rPr>
      </w:pPr>
    </w:p>
    <w:p w:rsidR="007422FD" w:rsidRPr="00B87202" w:rsidRDefault="00092566" w:rsidP="00264DF0">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 xml:space="preserve">2a2.4 </w:t>
      </w:r>
      <w:proofErr w:type="gramStart"/>
      <w:r w:rsidR="007422FD" w:rsidRPr="00B87202">
        <w:rPr>
          <w:rFonts w:cstheme="minorHAnsi"/>
          <w:b/>
          <w:bCs/>
          <w:color w:val="000099"/>
        </w:rPr>
        <w:t>What</w:t>
      </w:r>
      <w:proofErr w:type="gramEnd"/>
      <w:r w:rsidR="007422FD" w:rsidRPr="00B87202">
        <w:rPr>
          <w:rFonts w:cstheme="minorHAnsi"/>
          <w:b/>
          <w:bCs/>
          <w:color w:val="000099"/>
        </w:rPr>
        <w:t xml:space="preserve"> </w:t>
      </w:r>
      <w:r w:rsidR="000B2DF7" w:rsidRPr="00B87202">
        <w:rPr>
          <w:rFonts w:cstheme="minorHAnsi"/>
          <w:b/>
          <w:bCs/>
          <w:color w:val="000099"/>
        </w:rPr>
        <w:t>is your interpretation of the results in terms of</w:t>
      </w:r>
      <w:r w:rsidR="007422FD" w:rsidRPr="00B87202">
        <w:rPr>
          <w:rFonts w:cstheme="minorHAnsi"/>
          <w:b/>
          <w:bCs/>
          <w:color w:val="000099"/>
        </w:rPr>
        <w:t xml:space="preserve"> demonstrating reliability</w:t>
      </w:r>
      <w:r w:rsidR="007422FD" w:rsidRPr="00B87202">
        <w:rPr>
          <w:rFonts w:cstheme="minorHAnsi"/>
          <w:bCs/>
          <w:color w:val="000099"/>
        </w:rPr>
        <w:t xml:space="preserve">? </w:t>
      </w:r>
      <w:r w:rsidR="000B2DF7" w:rsidRPr="00B87202">
        <w:rPr>
          <w:rFonts w:cstheme="minorHAnsi"/>
          <w:bCs/>
          <w:color w:val="000099"/>
        </w:rPr>
        <w:t>(i</w:t>
      </w:r>
      <w:r w:rsidR="000B2DF7" w:rsidRPr="00B87202">
        <w:rPr>
          <w:rFonts w:cstheme="minorHAnsi"/>
          <w:bCs/>
          <w:i/>
          <w:color w:val="000099"/>
        </w:rPr>
        <w:t>.e., what do the results mean and what are the norms for the test conducted</w:t>
      </w:r>
      <w:r w:rsidR="007757CE" w:rsidRPr="00B87202">
        <w:rPr>
          <w:rFonts w:cstheme="minorHAnsi"/>
          <w:bCs/>
          <w:i/>
          <w:color w:val="000099"/>
        </w:rPr>
        <w:t>?</w:t>
      </w:r>
      <w:r w:rsidR="000B2DF7" w:rsidRPr="00B87202">
        <w:rPr>
          <w:rFonts w:cstheme="minorHAnsi"/>
          <w:bCs/>
          <w:color w:val="000099"/>
        </w:rPr>
        <w:t>)</w:t>
      </w:r>
    </w:p>
    <w:p w:rsidR="00264DF0" w:rsidRDefault="00560546" w:rsidP="00DB3627">
      <w:pPr>
        <w:autoSpaceDE w:val="0"/>
        <w:autoSpaceDN w:val="0"/>
        <w:adjustRightInd w:val="0"/>
        <w:spacing w:after="0" w:line="240" w:lineRule="auto"/>
        <w:rPr>
          <w:rFonts w:cstheme="minorHAnsi"/>
          <w:bCs/>
        </w:rPr>
      </w:pPr>
      <w:r>
        <w:rPr>
          <w:rFonts w:eastAsia="Times New Roman"/>
        </w:rPr>
        <w:t>Approximately 44% of variation in RSRR’s is explained by true signal variation as opposed to random statistical fluctuations. This level of reliability is comparable or higher than other CMS readmission measures.</w:t>
      </w:r>
    </w:p>
    <w:p w:rsidR="00264DF0" w:rsidRPr="00A25024" w:rsidRDefault="00264DF0" w:rsidP="00DB3627">
      <w:pPr>
        <w:autoSpaceDE w:val="0"/>
        <w:autoSpaceDN w:val="0"/>
        <w:adjustRightInd w:val="0"/>
        <w:spacing w:after="0" w:line="240" w:lineRule="auto"/>
        <w:rPr>
          <w:rFonts w:cstheme="minorHAnsi"/>
          <w:bCs/>
        </w:rPr>
      </w:pPr>
    </w:p>
    <w:p w:rsidR="0057401F" w:rsidRDefault="0008706B" w:rsidP="00192061">
      <w:pPr>
        <w:shd w:val="clear" w:color="auto" w:fill="D9D9D9" w:themeFill="background1" w:themeFillShade="D9"/>
        <w:autoSpaceDE w:val="0"/>
        <w:autoSpaceDN w:val="0"/>
        <w:adjustRightInd w:val="0"/>
        <w:spacing w:after="0" w:line="240" w:lineRule="auto"/>
        <w:rPr>
          <w:rFonts w:cstheme="minorHAnsi"/>
          <w:b/>
          <w:noProof/>
          <w:color w:val="000099"/>
        </w:rPr>
      </w:pPr>
      <w:r>
        <w:rPr>
          <w:rFonts w:cstheme="minorHAnsi"/>
          <w:b/>
          <w:noProof/>
        </w:rPr>
        <w:pict>
          <v:rect id="_x0000_i1060" style="width:0;height:1.5pt" o:hralign="center" o:hrstd="t" o:hr="t" fillcolor="#a0a0a0" stroked="f"/>
        </w:pict>
      </w:r>
    </w:p>
    <w:p w:rsidR="00B037BA" w:rsidRPr="00B87202" w:rsidRDefault="00021170" w:rsidP="00192061">
      <w:pPr>
        <w:shd w:val="clear" w:color="auto" w:fill="D9D9D9" w:themeFill="background1" w:themeFillShade="D9"/>
        <w:autoSpaceDE w:val="0"/>
        <w:autoSpaceDN w:val="0"/>
        <w:adjustRightInd w:val="0"/>
        <w:spacing w:after="0" w:line="240" w:lineRule="auto"/>
        <w:rPr>
          <w:rFonts w:cstheme="minorHAnsi"/>
          <w:b/>
          <w:bCs/>
          <w:color w:val="000099"/>
        </w:rPr>
      </w:pPr>
      <w:r w:rsidRPr="00B87202">
        <w:rPr>
          <w:rFonts w:cstheme="minorHAnsi"/>
          <w:b/>
          <w:noProof/>
          <w:color w:val="000099"/>
        </w:rPr>
        <w:t>2</w:t>
      </w:r>
      <w:r w:rsidR="00EA5F47" w:rsidRPr="00B87202">
        <w:rPr>
          <w:rFonts w:cstheme="minorHAnsi"/>
          <w:b/>
          <w:noProof/>
          <w:color w:val="000099"/>
        </w:rPr>
        <w:t>b</w:t>
      </w:r>
      <w:r w:rsidRPr="00B87202">
        <w:rPr>
          <w:rFonts w:cstheme="minorHAnsi"/>
          <w:b/>
          <w:noProof/>
          <w:color w:val="000099"/>
        </w:rPr>
        <w:t xml:space="preserve">2. </w:t>
      </w:r>
      <w:r w:rsidRPr="00B87202">
        <w:rPr>
          <w:rFonts w:cstheme="minorHAnsi"/>
          <w:b/>
          <w:bCs/>
          <w:color w:val="000099"/>
        </w:rPr>
        <w:t xml:space="preserve">VALIDITY TESTING </w:t>
      </w:r>
    </w:p>
    <w:p w:rsidR="00192061" w:rsidRPr="00B87202" w:rsidRDefault="00092566"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2b2.</w:t>
      </w:r>
      <w:r w:rsidR="007757CE" w:rsidRPr="00B87202">
        <w:rPr>
          <w:rFonts w:cstheme="minorHAnsi"/>
          <w:b/>
          <w:bCs/>
          <w:color w:val="000099"/>
        </w:rPr>
        <w:t xml:space="preserve">1. </w:t>
      </w:r>
      <w:proofErr w:type="gramStart"/>
      <w:r w:rsidR="000968F8" w:rsidRPr="00B87202">
        <w:rPr>
          <w:rFonts w:cstheme="minorHAnsi"/>
          <w:b/>
          <w:bCs/>
          <w:color w:val="000099"/>
        </w:rPr>
        <w:t>What</w:t>
      </w:r>
      <w:proofErr w:type="gramEnd"/>
      <w:r w:rsidR="000968F8" w:rsidRPr="00B87202">
        <w:rPr>
          <w:rFonts w:cstheme="minorHAnsi"/>
          <w:b/>
          <w:bCs/>
          <w:color w:val="000099"/>
        </w:rPr>
        <w:t xml:space="preserve"> level of validity testing was conducted</w:t>
      </w:r>
      <w:r w:rsidR="000968F8" w:rsidRPr="00B87202">
        <w:rPr>
          <w:rFonts w:cstheme="minorHAnsi"/>
          <w:bCs/>
          <w:color w:val="000099"/>
        </w:rPr>
        <w:t>?</w:t>
      </w:r>
      <w:r w:rsidR="00D50704" w:rsidRPr="00B87202">
        <w:rPr>
          <w:rFonts w:cstheme="minorHAnsi"/>
          <w:bCs/>
          <w:color w:val="000099"/>
        </w:rPr>
        <w:t xml:space="preserve"> (</w:t>
      </w:r>
      <w:proofErr w:type="gramStart"/>
      <w:r w:rsidR="00696262" w:rsidRPr="00B87202">
        <w:rPr>
          <w:rFonts w:cstheme="minorHAnsi"/>
          <w:bCs/>
          <w:i/>
          <w:color w:val="000099"/>
        </w:rPr>
        <w:t>may</w:t>
      </w:r>
      <w:proofErr w:type="gramEnd"/>
      <w:r w:rsidR="00D50704" w:rsidRPr="00B87202">
        <w:rPr>
          <w:rFonts w:cstheme="minorHAnsi"/>
          <w:bCs/>
          <w:i/>
          <w:color w:val="000099"/>
        </w:rPr>
        <w:t xml:space="preserve"> be one or both levels</w:t>
      </w:r>
      <w:r w:rsidR="00D50704" w:rsidRPr="00B87202">
        <w:rPr>
          <w:rFonts w:cstheme="minorHAnsi"/>
          <w:bCs/>
          <w:color w:val="000099"/>
        </w:rPr>
        <w:t>)</w:t>
      </w:r>
    </w:p>
    <w:p w:rsidR="00696262" w:rsidRPr="000414E8" w:rsidRDefault="0008706B" w:rsidP="00192061">
      <w:pPr>
        <w:autoSpaceDE w:val="0"/>
        <w:autoSpaceDN w:val="0"/>
        <w:adjustRightInd w:val="0"/>
        <w:spacing w:after="0" w:line="240" w:lineRule="auto"/>
        <w:rPr>
          <w:rFonts w:cstheme="minorHAnsi"/>
          <w:bCs/>
        </w:rPr>
      </w:pPr>
      <w:sdt>
        <w:sdtPr>
          <w:rPr>
            <w:rFonts w:cstheme="minorHAnsi"/>
            <w:bCs/>
            <w:color w:val="0000FF"/>
          </w:rPr>
          <w:id w:val="-297760991"/>
        </w:sdtPr>
        <w:sdtContent>
          <w:r w:rsidR="00192061">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08706B" w:rsidP="00192061">
      <w:pPr>
        <w:autoSpaceDE w:val="0"/>
        <w:autoSpaceDN w:val="0"/>
        <w:adjustRightInd w:val="0"/>
        <w:spacing w:after="0" w:line="240" w:lineRule="auto"/>
        <w:rPr>
          <w:rFonts w:cstheme="minorHAnsi"/>
          <w:b/>
          <w:bCs/>
        </w:rPr>
      </w:pPr>
      <w:sdt>
        <w:sdtPr>
          <w:rPr>
            <w:rFonts w:cstheme="minorHAnsi"/>
            <w:bCs/>
            <w:color w:val="0000FF"/>
          </w:rPr>
          <w:id w:val="-1767844731"/>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08706B" w:rsidP="00192061">
      <w:pPr>
        <w:autoSpaceDE w:val="0"/>
        <w:autoSpaceDN w:val="0"/>
        <w:adjustRightInd w:val="0"/>
        <w:spacing w:after="0" w:line="240" w:lineRule="auto"/>
        <w:ind w:left="255"/>
        <w:rPr>
          <w:rFonts w:cstheme="minorHAnsi"/>
          <w:bCs/>
        </w:rPr>
      </w:pPr>
      <w:sdt>
        <w:sdtPr>
          <w:rPr>
            <w:rFonts w:cstheme="minorHAnsi"/>
            <w:bCs/>
            <w:color w:val="0000FF"/>
          </w:rPr>
          <w:id w:val="-114983144"/>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833325" w:rsidRPr="00B87202" w:rsidRDefault="00092566"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2b2.</w:t>
      </w:r>
      <w:r w:rsidR="007757CE" w:rsidRPr="00B87202">
        <w:rPr>
          <w:rFonts w:cstheme="minorHAnsi"/>
          <w:b/>
          <w:bCs/>
          <w:color w:val="000099"/>
        </w:rPr>
        <w:t>2. For each level checked above, describe the method of validity testing and what it tests</w:t>
      </w:r>
      <w:r w:rsidR="00833325" w:rsidRPr="00B87202">
        <w:rPr>
          <w:rFonts w:cstheme="minorHAnsi"/>
          <w:bCs/>
          <w:color w:val="000099"/>
        </w:rPr>
        <w:t xml:space="preserve"> (</w:t>
      </w:r>
      <w:r w:rsidR="007757CE" w:rsidRPr="00B87202">
        <w:rPr>
          <w:rFonts w:cstheme="minorHAnsi"/>
          <w:bCs/>
          <w:i/>
          <w:color w:val="000099"/>
        </w:rPr>
        <w:t>describe the steps―</w:t>
      </w:r>
      <w:r w:rsidR="00696262" w:rsidRPr="00B87202">
        <w:rPr>
          <w:rFonts w:cstheme="minorHAnsi"/>
          <w:bCs/>
          <w:i/>
          <w:color w:val="000099"/>
        </w:rPr>
        <w:t xml:space="preserve">do </w:t>
      </w:r>
      <w:r w:rsidR="00A25024" w:rsidRPr="00B87202">
        <w:rPr>
          <w:rFonts w:cstheme="minorHAnsi"/>
          <w:bCs/>
          <w:i/>
          <w:color w:val="000099"/>
        </w:rPr>
        <w:t xml:space="preserve">not just name a method; what was </w:t>
      </w:r>
      <w:r w:rsidR="00696262" w:rsidRPr="00B87202">
        <w:rPr>
          <w:rFonts w:cstheme="minorHAnsi"/>
          <w:bCs/>
          <w:i/>
          <w:color w:val="000099"/>
        </w:rPr>
        <w:t>tested, e.g., accuracy of data elements compared to authoritative source, relationship to a</w:t>
      </w:r>
      <w:r w:rsidR="0022691B" w:rsidRPr="00B87202">
        <w:rPr>
          <w:rFonts w:cstheme="minorHAnsi"/>
          <w:bCs/>
          <w:i/>
          <w:color w:val="000099"/>
        </w:rPr>
        <w:t>nother measure as expected; what statistical analysis was used</w:t>
      </w:r>
      <w:r w:rsidR="00696262" w:rsidRPr="00B87202">
        <w:rPr>
          <w:rFonts w:cstheme="minorHAnsi"/>
          <w:bCs/>
          <w:i/>
          <w:color w:val="000099"/>
        </w:rPr>
        <w:t>)</w:t>
      </w:r>
    </w:p>
    <w:p w:rsidR="00BA1C63" w:rsidRDefault="00BA1C63" w:rsidP="00BA1C63">
      <w:pPr>
        <w:spacing w:after="0" w:line="240" w:lineRule="auto"/>
        <w:rPr>
          <w:rFonts w:eastAsia="Times New Roman"/>
        </w:rPr>
      </w:pPr>
      <w:r>
        <w:rPr>
          <w:rFonts w:eastAsia="Times New Roman"/>
        </w:rPr>
        <w:t>Please refer to the reliability testing section above for information about the accuracy of STS data collection and to the risk adjustment section below for information about the validity of the proposed risk adjustment methodology.</w:t>
      </w:r>
    </w:p>
    <w:p w:rsidR="00BA1C63" w:rsidRPr="00A25024" w:rsidRDefault="00BA1C63" w:rsidP="00DB3627">
      <w:pPr>
        <w:autoSpaceDE w:val="0"/>
        <w:autoSpaceDN w:val="0"/>
        <w:adjustRightInd w:val="0"/>
        <w:spacing w:after="0" w:line="240" w:lineRule="auto"/>
        <w:rPr>
          <w:rFonts w:cstheme="minorHAnsi"/>
          <w:bCs/>
        </w:rPr>
      </w:pPr>
    </w:p>
    <w:p w:rsidR="007422FD" w:rsidRPr="00B87202" w:rsidRDefault="00092566"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2b2.</w:t>
      </w:r>
      <w:r w:rsidR="007757CE" w:rsidRPr="00B87202">
        <w:rPr>
          <w:rFonts w:cstheme="minorHAnsi"/>
          <w:b/>
          <w:bCs/>
          <w:color w:val="000099"/>
        </w:rPr>
        <w:t xml:space="preserve">3. </w:t>
      </w:r>
      <w:proofErr w:type="gramStart"/>
      <w:r w:rsidR="00833325" w:rsidRPr="00B87202">
        <w:rPr>
          <w:rFonts w:cstheme="minorHAnsi"/>
          <w:b/>
          <w:bCs/>
          <w:color w:val="000099"/>
        </w:rPr>
        <w:t>What</w:t>
      </w:r>
      <w:proofErr w:type="gramEnd"/>
      <w:r w:rsidR="00833325" w:rsidRPr="00B87202">
        <w:rPr>
          <w:rFonts w:cstheme="minorHAnsi"/>
          <w:b/>
          <w:bCs/>
          <w:color w:val="000099"/>
        </w:rPr>
        <w:t xml:space="preserve"> were the statistical results </w:t>
      </w:r>
      <w:r w:rsidR="007422FD" w:rsidRPr="00B87202">
        <w:rPr>
          <w:rFonts w:cstheme="minorHAnsi"/>
          <w:b/>
          <w:bCs/>
          <w:color w:val="000099"/>
        </w:rPr>
        <w:t xml:space="preserve">from </w:t>
      </w:r>
      <w:r w:rsidR="00EC79DE" w:rsidRPr="00B87202">
        <w:rPr>
          <w:rFonts w:cstheme="minorHAnsi"/>
          <w:b/>
          <w:bCs/>
          <w:color w:val="000099"/>
        </w:rPr>
        <w:t>validity</w:t>
      </w:r>
      <w:r w:rsidR="007422FD" w:rsidRPr="00B87202">
        <w:rPr>
          <w:rFonts w:cstheme="minorHAnsi"/>
          <w:b/>
          <w:bCs/>
          <w:color w:val="000099"/>
        </w:rPr>
        <w:t xml:space="preserve"> testing</w:t>
      </w:r>
      <w:r w:rsidR="00833325" w:rsidRPr="00B87202">
        <w:rPr>
          <w:rFonts w:cstheme="minorHAnsi"/>
          <w:bCs/>
          <w:color w:val="000099"/>
        </w:rPr>
        <w:t xml:space="preserve">? </w:t>
      </w:r>
      <w:r w:rsidR="00AA5213" w:rsidRPr="00B87202">
        <w:rPr>
          <w:rFonts w:cstheme="minorHAnsi"/>
          <w:bCs/>
          <w:color w:val="000099"/>
        </w:rPr>
        <w:t>(</w:t>
      </w:r>
      <w:r w:rsidR="00AA5213" w:rsidRPr="00B87202">
        <w:rPr>
          <w:rFonts w:cstheme="minorHAnsi"/>
          <w:bCs/>
          <w:i/>
          <w:color w:val="000099"/>
        </w:rPr>
        <w:t xml:space="preserve">e.g., correlation; </w:t>
      </w:r>
      <w:r w:rsidR="001F1DA1" w:rsidRPr="00B87202">
        <w:rPr>
          <w:rFonts w:cstheme="minorHAnsi"/>
          <w:bCs/>
          <w:i/>
          <w:color w:val="000099"/>
        </w:rPr>
        <w:t>t-test</w:t>
      </w:r>
      <w:r w:rsidR="00AA5213" w:rsidRPr="00B87202">
        <w:rPr>
          <w:rFonts w:cstheme="minorHAnsi"/>
          <w:bCs/>
          <w:color w:val="000099"/>
        </w:rPr>
        <w:t>)</w:t>
      </w:r>
    </w:p>
    <w:p w:rsidR="00BA1C63" w:rsidRDefault="00BA1C63" w:rsidP="00BA1C63">
      <w:pPr>
        <w:spacing w:after="0" w:line="240" w:lineRule="auto"/>
        <w:rPr>
          <w:rFonts w:eastAsia="Times New Roman"/>
        </w:rPr>
      </w:pPr>
      <w:r>
        <w:rPr>
          <w:rFonts w:eastAsia="Times New Roman"/>
        </w:rPr>
        <w:t>Please refer to the reliability testing section above for information about the accuracy of STS data collection and to the risk adjustment section below for information about the validity of the proposed risk adjustment methodology.</w:t>
      </w:r>
    </w:p>
    <w:p w:rsidR="00192061" w:rsidRDefault="00192061" w:rsidP="00092566">
      <w:pPr>
        <w:autoSpaceDE w:val="0"/>
        <w:autoSpaceDN w:val="0"/>
        <w:adjustRightInd w:val="0"/>
        <w:spacing w:after="0" w:line="240" w:lineRule="auto"/>
        <w:rPr>
          <w:rFonts w:cstheme="minorHAnsi"/>
          <w:bCs/>
        </w:rPr>
      </w:pPr>
    </w:p>
    <w:p w:rsidR="00BA1C63" w:rsidRPr="00092566" w:rsidRDefault="00BA1C63" w:rsidP="00092566">
      <w:pPr>
        <w:autoSpaceDE w:val="0"/>
        <w:autoSpaceDN w:val="0"/>
        <w:adjustRightInd w:val="0"/>
        <w:spacing w:after="0" w:line="240" w:lineRule="auto"/>
        <w:rPr>
          <w:rFonts w:cstheme="minorHAnsi"/>
          <w:bCs/>
        </w:rPr>
      </w:pPr>
    </w:p>
    <w:p w:rsidR="007422FD" w:rsidRPr="00B87202" w:rsidRDefault="00092566"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2b2.</w:t>
      </w:r>
      <w:r w:rsidR="007757CE" w:rsidRPr="00B87202">
        <w:rPr>
          <w:rFonts w:cstheme="minorHAnsi"/>
          <w:b/>
          <w:bCs/>
          <w:color w:val="000099"/>
        </w:rPr>
        <w:t xml:space="preserve">4. </w:t>
      </w:r>
      <w:proofErr w:type="gramStart"/>
      <w:r w:rsidR="000B2DF7" w:rsidRPr="00B87202">
        <w:rPr>
          <w:rFonts w:cstheme="minorHAnsi"/>
          <w:b/>
          <w:bCs/>
          <w:color w:val="000099"/>
        </w:rPr>
        <w:t>What</w:t>
      </w:r>
      <w:proofErr w:type="gramEnd"/>
      <w:r w:rsidR="000B2DF7" w:rsidRPr="00B87202">
        <w:rPr>
          <w:rFonts w:cstheme="minorHAnsi"/>
          <w:b/>
          <w:bCs/>
          <w:color w:val="000099"/>
        </w:rPr>
        <w:t xml:space="preserve"> is your interpretation of the results </w:t>
      </w:r>
      <w:r w:rsidR="007422FD" w:rsidRPr="00B87202">
        <w:rPr>
          <w:rFonts w:cstheme="minorHAnsi"/>
          <w:b/>
          <w:bCs/>
          <w:color w:val="000099"/>
        </w:rPr>
        <w:t>in terms of demonstrating validity</w:t>
      </w:r>
      <w:r w:rsidR="007422FD" w:rsidRPr="00B87202">
        <w:rPr>
          <w:rFonts w:cstheme="minorHAnsi"/>
          <w:bCs/>
          <w:color w:val="000099"/>
        </w:rPr>
        <w:t xml:space="preserve">? </w:t>
      </w:r>
      <w:r w:rsidR="000B2DF7" w:rsidRPr="00B87202">
        <w:rPr>
          <w:rFonts w:cstheme="minorHAnsi"/>
          <w:bCs/>
          <w:color w:val="000099"/>
        </w:rPr>
        <w:t>(i</w:t>
      </w:r>
      <w:r w:rsidR="000B2DF7" w:rsidRPr="00B87202">
        <w:rPr>
          <w:rFonts w:cstheme="minorHAnsi"/>
          <w:bCs/>
          <w:i/>
          <w:color w:val="000099"/>
        </w:rPr>
        <w:t>.e., what do the results mean and what are the norms for the test conducted</w:t>
      </w:r>
      <w:r w:rsidR="00A25024" w:rsidRPr="00B87202">
        <w:rPr>
          <w:rFonts w:cstheme="minorHAnsi"/>
          <w:bCs/>
          <w:i/>
          <w:color w:val="000099"/>
        </w:rPr>
        <w:t>?</w:t>
      </w:r>
      <w:r w:rsidR="000B2DF7" w:rsidRPr="00B87202">
        <w:rPr>
          <w:rFonts w:cstheme="minorHAnsi"/>
          <w:bCs/>
          <w:color w:val="000099"/>
        </w:rPr>
        <w:t>)</w:t>
      </w:r>
    </w:p>
    <w:p w:rsidR="00BA1C63" w:rsidRDefault="00BA1C63" w:rsidP="00BA1C63">
      <w:pPr>
        <w:spacing w:after="0" w:line="240" w:lineRule="auto"/>
        <w:rPr>
          <w:rFonts w:eastAsia="Times New Roman"/>
        </w:rPr>
      </w:pPr>
      <w:r>
        <w:rPr>
          <w:rFonts w:eastAsia="Times New Roman"/>
        </w:rPr>
        <w:t>Please refer to the reliability testing section above for information about the accuracy of STS data collection and to the risk adjustment section below for information about the validity of the proposed risk adjustment methodology.</w:t>
      </w:r>
    </w:p>
    <w:p w:rsidR="00192061" w:rsidRPr="00A25024" w:rsidRDefault="00192061" w:rsidP="00DB3627">
      <w:pPr>
        <w:autoSpaceDE w:val="0"/>
        <w:autoSpaceDN w:val="0"/>
        <w:adjustRightInd w:val="0"/>
        <w:spacing w:after="0" w:line="240" w:lineRule="auto"/>
        <w:rPr>
          <w:rFonts w:cstheme="minorHAnsi"/>
          <w:bCs/>
        </w:rPr>
      </w:pPr>
    </w:p>
    <w:p w:rsidR="00BA1C63" w:rsidRDefault="0008706B" w:rsidP="00192061">
      <w:pPr>
        <w:shd w:val="clear" w:color="auto" w:fill="D9D9D9" w:themeFill="background1" w:themeFillShade="D9"/>
        <w:autoSpaceDE w:val="0"/>
        <w:autoSpaceDN w:val="0"/>
        <w:adjustRightInd w:val="0"/>
        <w:spacing w:after="0" w:line="240" w:lineRule="auto"/>
        <w:rPr>
          <w:rFonts w:cstheme="minorHAnsi"/>
          <w:b/>
          <w:bCs/>
          <w:color w:val="000099"/>
        </w:rPr>
      </w:pPr>
      <w:r>
        <w:rPr>
          <w:rFonts w:cstheme="minorHAnsi"/>
          <w:b/>
          <w:noProof/>
        </w:rPr>
        <w:pict>
          <v:rect id="_x0000_i1061" style="width:0;height:1.5pt" o:hralign="center" o:hrstd="t" o:hr="t" fillcolor="#a0a0a0" stroked="f"/>
        </w:pict>
      </w:r>
    </w:p>
    <w:p w:rsidR="00097012" w:rsidRPr="00B87202" w:rsidRDefault="00021170" w:rsidP="00192061">
      <w:pPr>
        <w:shd w:val="clear" w:color="auto" w:fill="D9D9D9" w:themeFill="background1" w:themeFillShade="D9"/>
        <w:autoSpaceDE w:val="0"/>
        <w:autoSpaceDN w:val="0"/>
        <w:adjustRightInd w:val="0"/>
        <w:spacing w:after="0" w:line="240" w:lineRule="auto"/>
        <w:rPr>
          <w:rFonts w:cstheme="minorHAnsi"/>
          <w:b/>
          <w:bCs/>
          <w:color w:val="000099"/>
        </w:rPr>
      </w:pPr>
      <w:r w:rsidRPr="00B87202">
        <w:rPr>
          <w:rFonts w:cstheme="minorHAnsi"/>
          <w:b/>
          <w:bCs/>
          <w:color w:val="000099"/>
        </w:rPr>
        <w:t>2</w:t>
      </w:r>
      <w:r w:rsidR="00EA5F47" w:rsidRPr="00B87202">
        <w:rPr>
          <w:rFonts w:cstheme="minorHAnsi"/>
          <w:b/>
          <w:bCs/>
          <w:color w:val="000099"/>
        </w:rPr>
        <w:t>b</w:t>
      </w:r>
      <w:r w:rsidRPr="00B87202">
        <w:rPr>
          <w:rFonts w:cstheme="minorHAnsi"/>
          <w:b/>
          <w:bCs/>
          <w:color w:val="000099"/>
        </w:rPr>
        <w:t>3. EXCLUSIONS</w:t>
      </w:r>
      <w:r w:rsidR="005333CC" w:rsidRPr="00B87202">
        <w:rPr>
          <w:rFonts w:cstheme="minorHAnsi"/>
          <w:b/>
          <w:bCs/>
          <w:color w:val="000099"/>
        </w:rPr>
        <w:t xml:space="preserve"> </w:t>
      </w:r>
      <w:r w:rsidR="00356BAD" w:rsidRPr="00B87202">
        <w:rPr>
          <w:rFonts w:cstheme="minorHAnsi"/>
          <w:b/>
          <w:bCs/>
          <w:color w:val="000099"/>
        </w:rPr>
        <w:t>ANALYSIS</w:t>
      </w:r>
    </w:p>
    <w:p w:rsidR="00B037BA" w:rsidRPr="00A25024" w:rsidRDefault="001E4DD4" w:rsidP="00192061">
      <w:pPr>
        <w:shd w:val="clear" w:color="auto" w:fill="D9D9D9" w:themeFill="background1" w:themeFillShade="D9"/>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B87202" w:rsidRDefault="00092566"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shd w:val="clear" w:color="auto" w:fill="D9D9D9" w:themeFill="background1" w:themeFillShade="D9"/>
        </w:rPr>
        <w:t>2b3.</w:t>
      </w:r>
      <w:r w:rsidR="00A25024" w:rsidRPr="00B87202">
        <w:rPr>
          <w:rFonts w:cstheme="minorHAnsi"/>
          <w:b/>
          <w:bCs/>
          <w:color w:val="000099"/>
          <w:shd w:val="clear" w:color="auto" w:fill="D9D9D9" w:themeFill="background1" w:themeFillShade="D9"/>
        </w:rPr>
        <w:t>1. Describe the method of</w:t>
      </w:r>
      <w:r w:rsidR="00E672D6" w:rsidRPr="00B87202">
        <w:rPr>
          <w:rFonts w:cstheme="minorHAnsi"/>
          <w:b/>
          <w:bCs/>
          <w:color w:val="000099"/>
          <w:shd w:val="clear" w:color="auto" w:fill="D9D9D9" w:themeFill="background1" w:themeFillShade="D9"/>
        </w:rPr>
        <w:t xml:space="preserve"> </w:t>
      </w:r>
      <w:r w:rsidR="005333CC" w:rsidRPr="00B87202">
        <w:rPr>
          <w:rFonts w:cstheme="minorHAnsi"/>
          <w:b/>
          <w:bCs/>
          <w:color w:val="000099"/>
          <w:shd w:val="clear" w:color="auto" w:fill="D9D9D9" w:themeFill="background1" w:themeFillShade="D9"/>
        </w:rPr>
        <w:t>testing</w:t>
      </w:r>
      <w:r w:rsidR="00833325" w:rsidRPr="00B87202">
        <w:rPr>
          <w:rFonts w:cstheme="minorHAnsi"/>
          <w:b/>
          <w:bCs/>
          <w:color w:val="000099"/>
          <w:shd w:val="clear" w:color="auto" w:fill="D9D9D9" w:themeFill="background1" w:themeFillShade="D9"/>
        </w:rPr>
        <w:t xml:space="preserve"> </w:t>
      </w:r>
      <w:r w:rsidR="004B6CEE" w:rsidRPr="00B87202">
        <w:rPr>
          <w:rFonts w:cstheme="minorHAnsi"/>
          <w:b/>
          <w:bCs/>
          <w:color w:val="000099"/>
          <w:shd w:val="clear" w:color="auto" w:fill="D9D9D9" w:themeFill="background1" w:themeFillShade="D9"/>
        </w:rPr>
        <w:t xml:space="preserve">exclusions </w:t>
      </w:r>
      <w:r w:rsidR="00A25024" w:rsidRPr="00B87202">
        <w:rPr>
          <w:rFonts w:cstheme="minorHAnsi"/>
          <w:b/>
          <w:bCs/>
          <w:color w:val="000099"/>
          <w:shd w:val="clear" w:color="auto" w:fill="D9D9D9" w:themeFill="background1" w:themeFillShade="D9"/>
        </w:rPr>
        <w:t>and what it tests</w:t>
      </w:r>
      <w:r w:rsidR="00833325" w:rsidRPr="00B87202">
        <w:rPr>
          <w:rFonts w:cstheme="minorHAnsi"/>
          <w:bCs/>
          <w:color w:val="000099"/>
          <w:shd w:val="clear" w:color="auto" w:fill="D9D9D9" w:themeFill="background1" w:themeFillShade="D9"/>
        </w:rPr>
        <w:t xml:space="preserve"> (</w:t>
      </w:r>
      <w:r w:rsidR="00A25024" w:rsidRPr="00B87202">
        <w:rPr>
          <w:rFonts w:cstheme="minorHAnsi"/>
          <w:bCs/>
          <w:i/>
          <w:color w:val="000099"/>
          <w:shd w:val="clear" w:color="auto" w:fill="D9D9D9" w:themeFill="background1" w:themeFillShade="D9"/>
        </w:rPr>
        <w:t>describe the steps―do not just name a method; what was tested, e.g., whether exclusions affect overall performance scores</w:t>
      </w:r>
      <w:r w:rsidR="0022691B" w:rsidRPr="00B87202">
        <w:rPr>
          <w:rFonts w:cstheme="minorHAnsi"/>
          <w:bCs/>
          <w:i/>
          <w:color w:val="000099"/>
          <w:shd w:val="clear" w:color="auto" w:fill="D9D9D9" w:themeFill="background1" w:themeFillShade="D9"/>
        </w:rPr>
        <w:t>; what statistical analysis was used</w:t>
      </w:r>
      <w:r w:rsidR="00833325" w:rsidRPr="00B87202">
        <w:rPr>
          <w:rFonts w:cstheme="minorHAnsi"/>
          <w:bCs/>
          <w:color w:val="000099"/>
          <w:shd w:val="clear" w:color="auto" w:fill="D9D9D9" w:themeFill="background1" w:themeFillShade="D9"/>
        </w:rPr>
        <w:t>)</w:t>
      </w:r>
    </w:p>
    <w:p w:rsidR="00833325" w:rsidRDefault="00BA1C63" w:rsidP="00DB3627">
      <w:pPr>
        <w:autoSpaceDE w:val="0"/>
        <w:autoSpaceDN w:val="0"/>
        <w:adjustRightInd w:val="0"/>
        <w:spacing w:after="0" w:line="240" w:lineRule="auto"/>
        <w:rPr>
          <w:rFonts w:cstheme="minorHAnsi"/>
          <w:bCs/>
        </w:rPr>
      </w:pPr>
      <w:r>
        <w:rPr>
          <w:rFonts w:cstheme="minorHAnsi"/>
          <w:bCs/>
        </w:rPr>
        <w:t>Please refer to section S.9 and S.10 for information on exclusions</w:t>
      </w:r>
    </w:p>
    <w:p w:rsidR="00BA1C63" w:rsidRPr="00A25024" w:rsidRDefault="00BA1C63" w:rsidP="00DB3627">
      <w:pPr>
        <w:autoSpaceDE w:val="0"/>
        <w:autoSpaceDN w:val="0"/>
        <w:adjustRightInd w:val="0"/>
        <w:spacing w:after="0" w:line="240" w:lineRule="auto"/>
        <w:rPr>
          <w:rFonts w:cstheme="minorHAnsi"/>
          <w:bCs/>
        </w:rPr>
      </w:pPr>
    </w:p>
    <w:p w:rsidR="00BA1C63" w:rsidRDefault="00092566" w:rsidP="00BA1C63">
      <w:pPr>
        <w:autoSpaceDE w:val="0"/>
        <w:autoSpaceDN w:val="0"/>
        <w:adjustRightInd w:val="0"/>
        <w:spacing w:after="0" w:line="240" w:lineRule="auto"/>
        <w:rPr>
          <w:rFonts w:cstheme="minorHAnsi"/>
          <w:bCs/>
        </w:rPr>
      </w:pPr>
      <w:r w:rsidRPr="00B87202">
        <w:rPr>
          <w:rFonts w:cstheme="minorHAnsi"/>
          <w:b/>
          <w:bCs/>
          <w:color w:val="000099"/>
          <w:shd w:val="clear" w:color="auto" w:fill="D9D9D9" w:themeFill="background1" w:themeFillShade="D9"/>
        </w:rPr>
        <w:t>2b3.</w:t>
      </w:r>
      <w:r w:rsidR="00A25024" w:rsidRPr="00B87202">
        <w:rPr>
          <w:rFonts w:cstheme="minorHAnsi"/>
          <w:b/>
          <w:bCs/>
          <w:color w:val="000099"/>
          <w:shd w:val="clear" w:color="auto" w:fill="D9D9D9" w:themeFill="background1" w:themeFillShade="D9"/>
        </w:rPr>
        <w:t xml:space="preserve">2. </w:t>
      </w:r>
      <w:proofErr w:type="gramStart"/>
      <w:r w:rsidR="00833325" w:rsidRPr="00B87202">
        <w:rPr>
          <w:rFonts w:cstheme="minorHAnsi"/>
          <w:b/>
          <w:bCs/>
          <w:color w:val="000099"/>
          <w:shd w:val="clear" w:color="auto" w:fill="D9D9D9" w:themeFill="background1" w:themeFillShade="D9"/>
        </w:rPr>
        <w:t>What</w:t>
      </w:r>
      <w:proofErr w:type="gramEnd"/>
      <w:r w:rsidR="00833325" w:rsidRPr="00B87202">
        <w:rPr>
          <w:rFonts w:cstheme="minorHAnsi"/>
          <w:b/>
          <w:bCs/>
          <w:color w:val="000099"/>
          <w:shd w:val="clear" w:color="auto" w:fill="D9D9D9" w:themeFill="background1" w:themeFillShade="D9"/>
        </w:rPr>
        <w:t xml:space="preserve"> were the statistical results </w:t>
      </w:r>
      <w:r w:rsidR="007422FD" w:rsidRPr="00B87202">
        <w:rPr>
          <w:rFonts w:cstheme="minorHAnsi"/>
          <w:b/>
          <w:bCs/>
          <w:color w:val="000099"/>
          <w:shd w:val="clear" w:color="auto" w:fill="D9D9D9" w:themeFill="background1" w:themeFillShade="D9"/>
        </w:rPr>
        <w:t>from testing exclusions</w:t>
      </w:r>
      <w:r w:rsidR="00833325" w:rsidRPr="00B87202">
        <w:rPr>
          <w:rFonts w:cstheme="minorHAnsi"/>
          <w:bCs/>
          <w:color w:val="000099"/>
          <w:shd w:val="clear" w:color="auto" w:fill="D9D9D9" w:themeFill="background1" w:themeFillShade="D9"/>
        </w:rPr>
        <w:t>?</w:t>
      </w:r>
      <w:r w:rsidR="000B2DF7" w:rsidRPr="00B87202">
        <w:rPr>
          <w:rFonts w:cstheme="minorHAnsi"/>
          <w:bCs/>
          <w:color w:val="000099"/>
          <w:shd w:val="clear" w:color="auto" w:fill="D9D9D9" w:themeFill="background1" w:themeFillShade="D9"/>
        </w:rPr>
        <w:t xml:space="preserve"> (</w:t>
      </w:r>
      <w:proofErr w:type="gramStart"/>
      <w:r w:rsidR="000B2DF7" w:rsidRPr="00B87202">
        <w:rPr>
          <w:rFonts w:cstheme="minorHAnsi"/>
          <w:bCs/>
          <w:i/>
          <w:color w:val="000099"/>
          <w:shd w:val="clear" w:color="auto" w:fill="D9D9D9" w:themeFill="background1" w:themeFillShade="D9"/>
        </w:rPr>
        <w:t>include</w:t>
      </w:r>
      <w:proofErr w:type="gramEnd"/>
      <w:r w:rsidR="000B2DF7" w:rsidRPr="00B87202">
        <w:rPr>
          <w:rFonts w:cstheme="minorHAnsi"/>
          <w:bCs/>
          <w:i/>
          <w:color w:val="000099"/>
          <w:shd w:val="clear" w:color="auto" w:fill="D9D9D9" w:themeFill="background1" w:themeFillShade="D9"/>
        </w:rPr>
        <w:t xml:space="preserve"> </w:t>
      </w:r>
      <w:r w:rsidR="00356BAD" w:rsidRPr="00B87202">
        <w:rPr>
          <w:rFonts w:cstheme="minorHAnsi"/>
          <w:bCs/>
          <w:i/>
          <w:color w:val="000099"/>
          <w:shd w:val="clear" w:color="auto" w:fill="D9D9D9" w:themeFill="background1" w:themeFillShade="D9"/>
        </w:rPr>
        <w:t xml:space="preserve">overall </w:t>
      </w:r>
      <w:r w:rsidR="000B2DF7" w:rsidRPr="00B87202">
        <w:rPr>
          <w:rFonts w:cstheme="minorHAnsi"/>
          <w:bCs/>
          <w:i/>
          <w:color w:val="000099"/>
          <w:shd w:val="clear" w:color="auto" w:fill="D9D9D9" w:themeFill="background1" w:themeFillShade="D9"/>
        </w:rPr>
        <w:t>number and percentage of individuals excluded</w:t>
      </w:r>
      <w:r w:rsidR="0025762F" w:rsidRPr="00B87202">
        <w:rPr>
          <w:rFonts w:cstheme="minorHAnsi"/>
          <w:bCs/>
          <w:i/>
          <w:color w:val="000099"/>
          <w:shd w:val="clear" w:color="auto" w:fill="D9D9D9" w:themeFill="background1" w:themeFillShade="D9"/>
        </w:rPr>
        <w:t>, frequency distribution of exclusions across measured entities,</w:t>
      </w:r>
      <w:r w:rsidR="000B2DF7" w:rsidRPr="00B87202">
        <w:rPr>
          <w:rFonts w:cstheme="minorHAnsi"/>
          <w:bCs/>
          <w:i/>
          <w:color w:val="000099"/>
          <w:shd w:val="clear" w:color="auto" w:fill="D9D9D9" w:themeFill="background1" w:themeFillShade="D9"/>
        </w:rPr>
        <w:t xml:space="preserve"> and impact on performance measure scores</w:t>
      </w:r>
      <w:r w:rsidR="000B2DF7" w:rsidRPr="00B87202">
        <w:rPr>
          <w:rFonts w:cstheme="minorHAnsi"/>
          <w:bCs/>
          <w:color w:val="000099"/>
          <w:shd w:val="clear" w:color="auto" w:fill="D9D9D9" w:themeFill="background1" w:themeFillShade="D9"/>
        </w:rPr>
        <w:t>)</w:t>
      </w:r>
      <w:r w:rsidR="00833325" w:rsidRPr="00B87202">
        <w:rPr>
          <w:rFonts w:cstheme="minorHAnsi"/>
          <w:bCs/>
          <w:color w:val="000099"/>
          <w:shd w:val="clear" w:color="auto" w:fill="D9D9D9" w:themeFill="background1" w:themeFillShade="D9"/>
        </w:rPr>
        <w:br/>
      </w:r>
      <w:r w:rsidR="00BA1C63">
        <w:rPr>
          <w:rFonts w:cstheme="minorHAnsi"/>
          <w:bCs/>
        </w:rPr>
        <w:t>Please refer to section S.9 and S.10 for information on exclusions</w:t>
      </w:r>
    </w:p>
    <w:p w:rsidR="00092566" w:rsidRPr="00092566" w:rsidRDefault="00092566" w:rsidP="00092566">
      <w:pPr>
        <w:autoSpaceDE w:val="0"/>
        <w:autoSpaceDN w:val="0"/>
        <w:adjustRightInd w:val="0"/>
        <w:spacing w:after="0" w:line="240" w:lineRule="auto"/>
        <w:rPr>
          <w:rFonts w:cstheme="minorHAnsi"/>
          <w:bCs/>
        </w:rPr>
      </w:pPr>
    </w:p>
    <w:p w:rsidR="007422FD" w:rsidRPr="00B87202" w:rsidRDefault="00092566"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lastRenderedPageBreak/>
        <w:t>2b3.</w:t>
      </w:r>
      <w:r w:rsidR="00A25024" w:rsidRPr="00B87202">
        <w:rPr>
          <w:rFonts w:cstheme="minorHAnsi"/>
          <w:b/>
          <w:bCs/>
          <w:color w:val="000099"/>
        </w:rPr>
        <w:t xml:space="preserve">3. </w:t>
      </w:r>
      <w:proofErr w:type="gramStart"/>
      <w:r w:rsidR="000B2DF7" w:rsidRPr="00B87202">
        <w:rPr>
          <w:rFonts w:cstheme="minorHAnsi"/>
          <w:b/>
          <w:bCs/>
          <w:color w:val="000099"/>
        </w:rPr>
        <w:t>What</w:t>
      </w:r>
      <w:proofErr w:type="gramEnd"/>
      <w:r w:rsidR="000B2DF7" w:rsidRPr="00B87202">
        <w:rPr>
          <w:rFonts w:cstheme="minorHAnsi"/>
          <w:b/>
          <w:bCs/>
          <w:color w:val="000099"/>
        </w:rPr>
        <w:t xml:space="preserve"> is your interpretation of the results </w:t>
      </w:r>
      <w:r w:rsidR="007422FD" w:rsidRPr="00B87202">
        <w:rPr>
          <w:rFonts w:cstheme="minorHAnsi"/>
          <w:b/>
          <w:bCs/>
          <w:color w:val="000099"/>
        </w:rPr>
        <w:t xml:space="preserve">in terms of </w:t>
      </w:r>
      <w:r w:rsidR="00713394" w:rsidRPr="00B87202">
        <w:rPr>
          <w:rFonts w:cstheme="minorHAnsi"/>
          <w:b/>
          <w:bCs/>
          <w:color w:val="000099"/>
        </w:rPr>
        <w:t>demonstrating</w:t>
      </w:r>
      <w:r w:rsidR="007422FD" w:rsidRPr="00B87202">
        <w:rPr>
          <w:rFonts w:cstheme="minorHAnsi"/>
          <w:b/>
          <w:bCs/>
          <w:color w:val="000099"/>
        </w:rPr>
        <w:t xml:space="preserve"> </w:t>
      </w:r>
      <w:r w:rsidR="00713394" w:rsidRPr="00B87202">
        <w:rPr>
          <w:rFonts w:cstheme="minorHAnsi"/>
          <w:b/>
          <w:bCs/>
          <w:color w:val="000099"/>
        </w:rPr>
        <w:t>that exclusions are needed to prevent unfair distortion of performance results</w:t>
      </w:r>
      <w:r w:rsidR="007422FD" w:rsidRPr="00B87202">
        <w:rPr>
          <w:rFonts w:cstheme="minorHAnsi"/>
          <w:b/>
          <w:bCs/>
          <w:color w:val="000099"/>
        </w:rPr>
        <w:t>?</w:t>
      </w:r>
      <w:r w:rsidR="007422FD" w:rsidRPr="00B87202">
        <w:rPr>
          <w:rFonts w:cstheme="minorHAnsi"/>
          <w:bCs/>
          <w:color w:val="000099"/>
        </w:rPr>
        <w:t xml:space="preserve"> </w:t>
      </w:r>
      <w:r w:rsidR="000B2DF7" w:rsidRPr="00B87202">
        <w:rPr>
          <w:rFonts w:cstheme="minorHAnsi"/>
          <w:bCs/>
          <w:color w:val="000099"/>
        </w:rPr>
        <w:t>(</w:t>
      </w:r>
      <w:r w:rsidR="00713394" w:rsidRPr="00B87202">
        <w:rPr>
          <w:rFonts w:cstheme="minorHAnsi"/>
          <w:bCs/>
          <w:i/>
          <w:color w:val="000099"/>
        </w:rPr>
        <w:t>i.e.,</w:t>
      </w:r>
      <w:r w:rsidR="000B2DF7" w:rsidRPr="00B87202">
        <w:rPr>
          <w:rFonts w:cstheme="minorHAnsi"/>
          <w:bCs/>
          <w:i/>
          <w:color w:val="000099"/>
        </w:rPr>
        <w:t xml:space="preserve"> the value </w:t>
      </w:r>
      <w:r w:rsidR="00713394" w:rsidRPr="00B87202">
        <w:rPr>
          <w:rFonts w:cstheme="minorHAnsi"/>
          <w:bCs/>
          <w:i/>
          <w:color w:val="000099"/>
        </w:rPr>
        <w:t>outweighs the</w:t>
      </w:r>
      <w:r w:rsidR="000B2DF7" w:rsidRPr="00B87202">
        <w:rPr>
          <w:rFonts w:cstheme="minorHAnsi"/>
          <w:bCs/>
          <w:i/>
          <w:color w:val="000099"/>
        </w:rPr>
        <w:t xml:space="preserve"> burden of increased data collection and analysi</w:t>
      </w:r>
      <w:r w:rsidR="00CC086A" w:rsidRPr="00B87202">
        <w:rPr>
          <w:rFonts w:cstheme="minorHAnsi"/>
          <w:bCs/>
          <w:i/>
          <w:color w:val="000099"/>
        </w:rPr>
        <w:t xml:space="preserve">s. </w:t>
      </w:r>
      <w:r w:rsidR="00713394" w:rsidRPr="00B87202">
        <w:rPr>
          <w:rFonts w:cstheme="minorHAnsi"/>
          <w:bCs/>
          <w:color w:val="000099"/>
        </w:rPr>
        <w:t xml:space="preserve"> </w:t>
      </w:r>
      <w:r w:rsidR="00713394" w:rsidRPr="00B87202">
        <w:rPr>
          <w:rFonts w:cstheme="minorHAnsi"/>
          <w:bCs/>
          <w:i/>
          <w:color w:val="000099"/>
          <w:u w:val="single"/>
        </w:rPr>
        <w:t>Note</w:t>
      </w:r>
      <w:r w:rsidR="00713394" w:rsidRPr="00B87202">
        <w:rPr>
          <w:rFonts w:cstheme="minorHAnsi"/>
          <w:bCs/>
          <w:i/>
          <w:color w:val="000099"/>
        </w:rPr>
        <w:t xml:space="preserve">: </w:t>
      </w:r>
      <w:r w:rsidR="00713394" w:rsidRPr="00B87202">
        <w:rPr>
          <w:rFonts w:cstheme="minorHAnsi"/>
          <w:b/>
          <w:bCs/>
          <w:i/>
          <w:color w:val="000099"/>
        </w:rPr>
        <w:t xml:space="preserve">If patient preference is </w:t>
      </w:r>
      <w:proofErr w:type="gramStart"/>
      <w:r w:rsidR="00713394" w:rsidRPr="00B87202">
        <w:rPr>
          <w:rFonts w:cstheme="minorHAnsi"/>
          <w:b/>
          <w:bCs/>
          <w:i/>
          <w:color w:val="000099"/>
        </w:rPr>
        <w:t>an exclusion</w:t>
      </w:r>
      <w:proofErr w:type="gramEnd"/>
      <w:r w:rsidR="00713394" w:rsidRPr="00B87202">
        <w:rPr>
          <w:rFonts w:cstheme="minorHAnsi"/>
          <w:bCs/>
          <w:i/>
          <w:color w:val="000099"/>
        </w:rPr>
        <w:t>, the measure must be specified so that the effect on the performance score is transparent, e.g., scores with and without exclusion</w:t>
      </w:r>
      <w:r w:rsidR="00713394" w:rsidRPr="00B87202">
        <w:rPr>
          <w:rFonts w:cstheme="minorHAnsi"/>
          <w:bCs/>
          <w:color w:val="000099"/>
        </w:rPr>
        <w:t>)</w:t>
      </w:r>
    </w:p>
    <w:p w:rsidR="00BA1C63" w:rsidRDefault="00BA1C63" w:rsidP="00BA1C63">
      <w:pPr>
        <w:autoSpaceDE w:val="0"/>
        <w:autoSpaceDN w:val="0"/>
        <w:adjustRightInd w:val="0"/>
        <w:spacing w:after="0" w:line="240" w:lineRule="auto"/>
        <w:rPr>
          <w:rFonts w:cstheme="minorHAnsi"/>
          <w:bCs/>
        </w:rPr>
      </w:pPr>
      <w:r>
        <w:rPr>
          <w:rFonts w:cstheme="minorHAnsi"/>
          <w:bCs/>
        </w:rPr>
        <w:t>Please refer to section S.9 and S.10 for information on exclusions</w:t>
      </w:r>
    </w:p>
    <w:p w:rsidR="00BA1C63" w:rsidRDefault="00BA1C63" w:rsidP="00BA1C63">
      <w:pPr>
        <w:autoSpaceDE w:val="0"/>
        <w:autoSpaceDN w:val="0"/>
        <w:adjustRightInd w:val="0"/>
        <w:spacing w:after="0" w:line="240" w:lineRule="auto"/>
        <w:jc w:val="both"/>
        <w:rPr>
          <w:rFonts w:cstheme="minorHAnsi"/>
          <w:bCs/>
        </w:rPr>
      </w:pPr>
    </w:p>
    <w:p w:rsidR="00AC1D8E" w:rsidRPr="0086464B" w:rsidRDefault="00092566" w:rsidP="00192061">
      <w:pPr>
        <w:shd w:val="clear" w:color="auto" w:fill="D9D9D9" w:themeFill="background1" w:themeFillShade="D9"/>
        <w:autoSpaceDE w:val="0"/>
        <w:autoSpaceDN w:val="0"/>
        <w:adjustRightInd w:val="0"/>
        <w:spacing w:after="0" w:line="240" w:lineRule="auto"/>
        <w:rPr>
          <w:rFonts w:cstheme="minorHAnsi"/>
          <w:b/>
          <w:bCs/>
          <w:i/>
        </w:rPr>
      </w:pPr>
      <w:bookmarkStart w:id="11" w:name="section2b4"/>
      <w:bookmarkEnd w:id="11"/>
      <w:r w:rsidRPr="00B87202">
        <w:rPr>
          <w:rFonts w:cstheme="minorHAnsi"/>
          <w:b/>
          <w:bCs/>
          <w:color w:val="000099"/>
        </w:rPr>
        <w:t>2b4. RISK ADJUSTMENT/STRATIFICATION FOR OUTCOME OR RESOURCE USE MEASURES</w:t>
      </w:r>
      <w:r w:rsidRPr="00B87202">
        <w:rPr>
          <w:rFonts w:cstheme="minorHAnsi"/>
          <w:bCs/>
          <w:color w:val="000099"/>
        </w:rPr>
        <w:br/>
      </w:r>
      <w:r w:rsidR="00AC1D8E" w:rsidRPr="00B87202">
        <w:rPr>
          <w:rFonts w:cstheme="minorHAnsi"/>
          <w:b/>
          <w:bCs/>
          <w:i/>
          <w:color w:val="000099"/>
          <w:highlight w:val="green"/>
        </w:rPr>
        <w:t>If not an intermediate or health outcome</w:t>
      </w:r>
      <w:r w:rsidR="00127C06" w:rsidRPr="00B87202">
        <w:rPr>
          <w:rFonts w:cstheme="minorHAnsi"/>
          <w:b/>
          <w:bCs/>
          <w:i/>
          <w:color w:val="000099"/>
          <w:highlight w:val="green"/>
        </w:rPr>
        <w:t>,</w:t>
      </w:r>
      <w:r w:rsidR="00AC1D8E" w:rsidRPr="00B87202">
        <w:rPr>
          <w:rFonts w:cstheme="minorHAnsi"/>
          <w:b/>
          <w:bCs/>
          <w:i/>
          <w:color w:val="000099"/>
          <w:highlight w:val="green"/>
        </w:rPr>
        <w:t xml:space="preserve"> </w:t>
      </w:r>
      <w:r w:rsidR="00127C06" w:rsidRPr="00B87202">
        <w:rPr>
          <w:rFonts w:cstheme="minorHAnsi"/>
          <w:b/>
          <w:bCs/>
          <w:i/>
          <w:color w:val="000099"/>
          <w:highlight w:val="green"/>
        </w:rPr>
        <w:t xml:space="preserve">or PRO-PM, </w:t>
      </w:r>
      <w:r w:rsidR="00AC1D8E" w:rsidRPr="00B87202">
        <w:rPr>
          <w:rFonts w:cstheme="minorHAnsi"/>
          <w:b/>
          <w:bCs/>
          <w:i/>
          <w:color w:val="000099"/>
          <w:highlight w:val="green"/>
        </w:rPr>
        <w:t xml:space="preserve">or resource use measure, </w:t>
      </w:r>
      <w:r w:rsidR="00BE592D" w:rsidRPr="00B87202">
        <w:rPr>
          <w:rFonts w:cstheme="minorHAnsi"/>
          <w:b/>
          <w:bCs/>
          <w:i/>
          <w:color w:val="000099"/>
          <w:highlight w:val="green"/>
        </w:rPr>
        <w:t xml:space="preserve">skip to section </w:t>
      </w:r>
      <w:hyperlink w:anchor="section2b5" w:history="1">
        <w:r w:rsidR="00BE592D" w:rsidRPr="00B87202">
          <w:rPr>
            <w:rStyle w:val="Hyperlink"/>
            <w:rFonts w:cstheme="minorHAnsi"/>
            <w:b/>
            <w:bCs/>
            <w:i/>
            <w:color w:val="000099"/>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Pr="00B87202" w:rsidRDefault="00092566" w:rsidP="00192061">
      <w:pPr>
        <w:shd w:val="clear" w:color="auto" w:fill="D9D9D9" w:themeFill="background1" w:themeFillShade="D9"/>
        <w:autoSpaceDE w:val="0"/>
        <w:autoSpaceDN w:val="0"/>
        <w:adjustRightInd w:val="0"/>
        <w:spacing w:after="0" w:line="240" w:lineRule="auto"/>
        <w:rPr>
          <w:rFonts w:cstheme="minorHAnsi"/>
          <w:b/>
          <w:bCs/>
          <w:color w:val="000099"/>
        </w:rPr>
      </w:pPr>
      <w:r w:rsidRPr="00B87202">
        <w:rPr>
          <w:rFonts w:cstheme="minorHAnsi"/>
          <w:b/>
          <w:bCs/>
          <w:color w:val="000099"/>
        </w:rPr>
        <w:t xml:space="preserve">2b4.1. </w:t>
      </w:r>
      <w:proofErr w:type="gramStart"/>
      <w:r w:rsidR="00743E46" w:rsidRPr="00B87202">
        <w:rPr>
          <w:rFonts w:cstheme="minorHAnsi"/>
          <w:b/>
          <w:bCs/>
          <w:color w:val="000099"/>
        </w:rPr>
        <w:t>What</w:t>
      </w:r>
      <w:proofErr w:type="gramEnd"/>
      <w:r w:rsidR="00743E46" w:rsidRPr="00B87202">
        <w:rPr>
          <w:rFonts w:cstheme="minorHAnsi"/>
          <w:b/>
          <w:bCs/>
          <w:color w:val="000099"/>
        </w:rPr>
        <w:t xml:space="preserve"> method of controlling for differences in case mix is used?</w:t>
      </w:r>
    </w:p>
    <w:p w:rsidR="00033038" w:rsidRPr="005232D6" w:rsidRDefault="0008706B" w:rsidP="00092566">
      <w:pPr>
        <w:autoSpaceDE w:val="0"/>
        <w:autoSpaceDN w:val="0"/>
        <w:adjustRightInd w:val="0"/>
        <w:spacing w:after="0" w:line="240" w:lineRule="auto"/>
        <w:rPr>
          <w:rFonts w:cstheme="minorHAnsi"/>
          <w:b/>
          <w:bCs/>
        </w:rPr>
      </w:pPr>
      <w:sdt>
        <w:sdtPr>
          <w:rPr>
            <w:rFonts w:cstheme="minorHAnsi"/>
            <w:bCs/>
            <w:color w:val="0000FF"/>
          </w:rPr>
          <w:id w:val="-1450705013"/>
        </w:sdt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08706B" w:rsidP="00092566">
      <w:pPr>
        <w:autoSpaceDE w:val="0"/>
        <w:autoSpaceDN w:val="0"/>
        <w:adjustRightInd w:val="0"/>
        <w:spacing w:after="0" w:line="240" w:lineRule="auto"/>
        <w:rPr>
          <w:rFonts w:cstheme="minorHAnsi"/>
          <w:b/>
          <w:bCs/>
        </w:rPr>
      </w:pPr>
      <w:sdt>
        <w:sdtPr>
          <w:rPr>
            <w:rFonts w:cstheme="minorHAnsi"/>
            <w:bCs/>
            <w:color w:val="0000FF"/>
          </w:rPr>
          <w:id w:val="-912162535"/>
        </w:sdtPr>
        <w:sdtContent>
          <w:r w:rsidR="00FC36CD">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FC36CD">
            <w:rPr>
              <w:rStyle w:val="Style4"/>
              <w:u w:val="none"/>
            </w:rPr>
            <w:t>21 covariates</w:t>
          </w:r>
        </w:sdtContent>
      </w:sdt>
      <w:r w:rsidR="00E562C0" w:rsidRPr="006F22A5">
        <w:rPr>
          <w:rStyle w:val="Style4"/>
          <w:u w:val="none"/>
        </w:rPr>
        <w:t xml:space="preserve"> </w:t>
      </w:r>
      <w:r w:rsidR="00743E46" w:rsidRPr="005232D6">
        <w:rPr>
          <w:rFonts w:cstheme="minorHAnsi"/>
          <w:b/>
          <w:bCs/>
        </w:rPr>
        <w:t>risk factors</w:t>
      </w:r>
    </w:p>
    <w:p w:rsidR="00743E46" w:rsidRPr="005232D6" w:rsidRDefault="0008706B" w:rsidP="00092566">
      <w:pPr>
        <w:autoSpaceDE w:val="0"/>
        <w:autoSpaceDN w:val="0"/>
        <w:adjustRightInd w:val="0"/>
        <w:spacing w:after="0" w:line="240" w:lineRule="auto"/>
        <w:rPr>
          <w:rFonts w:cstheme="minorHAnsi"/>
          <w:b/>
          <w:bCs/>
        </w:rPr>
      </w:pPr>
      <w:sdt>
        <w:sdtPr>
          <w:rPr>
            <w:rFonts w:cstheme="minorHAnsi"/>
            <w:bCs/>
            <w:color w:val="0000FF"/>
          </w:rPr>
          <w:id w:val="-1831823302"/>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08706B" w:rsidP="00092566">
      <w:pPr>
        <w:autoSpaceDE w:val="0"/>
        <w:autoSpaceDN w:val="0"/>
        <w:adjustRightInd w:val="0"/>
        <w:spacing w:after="0" w:line="240" w:lineRule="auto"/>
        <w:rPr>
          <w:rFonts w:cstheme="minorHAnsi"/>
          <w:b/>
          <w:bCs/>
        </w:rPr>
      </w:pPr>
      <w:sdt>
        <w:sdtPr>
          <w:rPr>
            <w:rFonts w:cstheme="minorHAnsi"/>
            <w:bCs/>
            <w:color w:val="0000FF"/>
          </w:rPr>
          <w:id w:val="2076930997"/>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B87202" w:rsidRDefault="00743E46"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 xml:space="preserve">2b4.2. </w:t>
      </w:r>
      <w:proofErr w:type="gramStart"/>
      <w:r w:rsidR="008871A9" w:rsidRPr="00B87202">
        <w:rPr>
          <w:rFonts w:cstheme="minorHAnsi"/>
          <w:b/>
          <w:bCs/>
          <w:color w:val="000099"/>
        </w:rPr>
        <w:t>If</w:t>
      </w:r>
      <w:proofErr w:type="gramEnd"/>
      <w:r w:rsidR="008871A9" w:rsidRPr="00B87202">
        <w:rPr>
          <w:rFonts w:cstheme="minorHAnsi"/>
          <w:b/>
          <w:bCs/>
          <w:color w:val="000099"/>
        </w:rPr>
        <w:t xml:space="preserve"> an outcome </w:t>
      </w:r>
      <w:r w:rsidR="00052A6F" w:rsidRPr="00B87202">
        <w:rPr>
          <w:rFonts w:cstheme="minorHAnsi"/>
          <w:b/>
          <w:bCs/>
          <w:color w:val="000099"/>
        </w:rPr>
        <w:t xml:space="preserve">or resource use </w:t>
      </w:r>
      <w:r w:rsidR="00092566" w:rsidRPr="00B87202">
        <w:rPr>
          <w:rFonts w:cstheme="minorHAnsi"/>
          <w:b/>
          <w:bCs/>
          <w:color w:val="000099"/>
        </w:rPr>
        <w:t xml:space="preserve">measure is </w:t>
      </w:r>
      <w:r w:rsidR="00092566" w:rsidRPr="00B87202">
        <w:rPr>
          <w:rFonts w:cstheme="minorHAnsi"/>
          <w:b/>
          <w:bCs/>
          <w:color w:val="000099"/>
          <w:u w:val="single"/>
        </w:rPr>
        <w:t>not risk adjusted or stratified</w:t>
      </w:r>
      <w:r w:rsidR="00092566" w:rsidRPr="00B87202">
        <w:rPr>
          <w:rFonts w:cstheme="minorHAnsi"/>
          <w:b/>
          <w:bCs/>
          <w:color w:val="000099"/>
        </w:rPr>
        <w:t xml:space="preserve">, provide </w:t>
      </w:r>
      <w:r w:rsidR="00092566" w:rsidRPr="00B87202">
        <w:rPr>
          <w:rFonts w:cstheme="minorHAnsi"/>
          <w:b/>
          <w:bCs/>
          <w:color w:val="000099"/>
          <w:u w:val="single"/>
        </w:rPr>
        <w:t>rationale and analyses</w:t>
      </w:r>
      <w:r w:rsidR="00092566" w:rsidRPr="00B87202">
        <w:rPr>
          <w:rFonts w:cstheme="minorHAnsi"/>
          <w:b/>
          <w:bCs/>
          <w:color w:val="000099"/>
        </w:rPr>
        <w:t xml:space="preserve"> to demonstrate that controlling for differences in patient characteristics (case mix) is not needed to achieve fair comparisons across measured entities</w:t>
      </w:r>
      <w:r w:rsidR="00B32FA2">
        <w:rPr>
          <w:rFonts w:cstheme="minorHAnsi"/>
          <w:bCs/>
          <w:color w:val="000099"/>
        </w:rPr>
        <w:t xml:space="preserve">. </w:t>
      </w:r>
    </w:p>
    <w:p w:rsidR="00B32FA2" w:rsidRDefault="00B32FA2" w:rsidP="00B32FA2">
      <w:pPr>
        <w:pStyle w:val="ListParagraph"/>
        <w:autoSpaceDE w:val="0"/>
        <w:autoSpaceDN w:val="0"/>
        <w:adjustRightInd w:val="0"/>
        <w:spacing w:after="0" w:line="240" w:lineRule="auto"/>
        <w:ind w:left="0"/>
        <w:rPr>
          <w:rFonts w:cstheme="minorHAnsi"/>
          <w:bCs/>
        </w:rPr>
      </w:pPr>
      <w:r>
        <w:rPr>
          <w:rFonts w:cstheme="minorHAnsi"/>
          <w:bCs/>
        </w:rPr>
        <w:t>N/A</w:t>
      </w:r>
    </w:p>
    <w:p w:rsidR="00B32FA2" w:rsidRPr="00A25024" w:rsidRDefault="00B32FA2" w:rsidP="00B32FA2">
      <w:pPr>
        <w:pStyle w:val="ListParagraph"/>
        <w:autoSpaceDE w:val="0"/>
        <w:autoSpaceDN w:val="0"/>
        <w:adjustRightInd w:val="0"/>
        <w:spacing w:after="0" w:line="240" w:lineRule="auto"/>
        <w:ind w:left="0"/>
        <w:rPr>
          <w:rFonts w:cstheme="minorHAnsi"/>
          <w:bCs/>
        </w:rPr>
      </w:pPr>
    </w:p>
    <w:p w:rsidR="00092566" w:rsidRPr="00B87202" w:rsidRDefault="00092566"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 xml:space="preserve">2b4.3. </w:t>
      </w:r>
      <w:r w:rsidR="00927027" w:rsidRPr="00B87202">
        <w:rPr>
          <w:rFonts w:cstheme="minorHAnsi"/>
          <w:b/>
          <w:bCs/>
          <w:color w:val="000099"/>
        </w:rPr>
        <w:t>Describe</w:t>
      </w:r>
      <w:r w:rsidRPr="00B87202">
        <w:rPr>
          <w:rFonts w:cstheme="minorHAnsi"/>
          <w:b/>
          <w:bCs/>
          <w:color w:val="000099"/>
        </w:rPr>
        <w:t xml:space="preserve"> the conceptual/clinical </w:t>
      </w:r>
      <w:r w:rsidRPr="00B87202">
        <w:rPr>
          <w:rFonts w:cstheme="minorHAnsi"/>
          <w:b/>
          <w:bCs/>
          <w:color w:val="000099"/>
          <w:u w:val="single"/>
        </w:rPr>
        <w:t>and</w:t>
      </w:r>
      <w:r w:rsidRPr="00B87202">
        <w:rPr>
          <w:rFonts w:cstheme="minorHAnsi"/>
          <w:b/>
          <w:bCs/>
          <w:color w:val="000099"/>
        </w:rPr>
        <w:t xml:space="preserve"> statistical methods and criteria used to select </w:t>
      </w:r>
      <w:r w:rsidR="005363F1" w:rsidRPr="00B87202">
        <w:rPr>
          <w:rFonts w:cstheme="minorHAnsi"/>
          <w:b/>
          <w:bCs/>
          <w:color w:val="000099"/>
        </w:rPr>
        <w:t xml:space="preserve">patient </w:t>
      </w:r>
      <w:r w:rsidRPr="00B87202">
        <w:rPr>
          <w:rFonts w:cstheme="minorHAnsi"/>
          <w:b/>
          <w:bCs/>
          <w:color w:val="000099"/>
        </w:rPr>
        <w:t>factors used in the statistical risk model or for stratification by risk</w:t>
      </w:r>
      <w:r w:rsidR="00927027" w:rsidRPr="00B87202">
        <w:rPr>
          <w:rFonts w:cstheme="minorHAnsi"/>
          <w:b/>
          <w:bCs/>
          <w:color w:val="000099"/>
        </w:rPr>
        <w:t xml:space="preserve"> </w:t>
      </w:r>
      <w:r w:rsidRPr="00B87202">
        <w:rPr>
          <w:rFonts w:cstheme="minorHAnsi"/>
          <w:bCs/>
          <w:color w:val="000099"/>
        </w:rPr>
        <w:t>(</w:t>
      </w:r>
      <w:r w:rsidRPr="00B87202">
        <w:rPr>
          <w:rFonts w:cstheme="minorHAnsi"/>
          <w:bCs/>
          <w:i/>
          <w:color w:val="000099"/>
        </w:rPr>
        <w:t xml:space="preserve">e.g., potential factors identified in </w:t>
      </w:r>
      <w:r w:rsidR="005363F1" w:rsidRPr="00B87202">
        <w:rPr>
          <w:rFonts w:cstheme="minorHAnsi"/>
          <w:bCs/>
          <w:i/>
          <w:color w:val="000099"/>
        </w:rPr>
        <w:t xml:space="preserve">the </w:t>
      </w:r>
      <w:r w:rsidRPr="00B87202">
        <w:rPr>
          <w:rFonts w:cstheme="minorHAnsi"/>
          <w:bCs/>
          <w:i/>
          <w:color w:val="000099"/>
        </w:rPr>
        <w:t>literature and/or expert panel; regression analysis; statistical significance of p&lt;0.10; correlation of x or higher</w:t>
      </w:r>
      <w:r w:rsidR="005363F1" w:rsidRPr="00B87202">
        <w:rPr>
          <w:rFonts w:cstheme="minorHAnsi"/>
          <w:bCs/>
          <w:i/>
          <w:color w:val="000099"/>
        </w:rPr>
        <w:t>; patient factors should be present at the start of care and not related to disparities</w:t>
      </w:r>
      <w:r w:rsidR="00B32FA2">
        <w:rPr>
          <w:rFonts w:cstheme="minorHAnsi"/>
          <w:bCs/>
          <w:color w:val="000099"/>
        </w:rPr>
        <w:t>)</w:t>
      </w:r>
    </w:p>
    <w:p w:rsidR="00BF7F60" w:rsidRDefault="00BF7F60" w:rsidP="00BF7F60">
      <w:pPr>
        <w:spacing w:after="0" w:line="240" w:lineRule="auto"/>
        <w:rPr>
          <w:rFonts w:eastAsia="Times New Roman"/>
        </w:rPr>
      </w:pPr>
    </w:p>
    <w:p w:rsidR="00BF7F60" w:rsidRDefault="00BF7F60" w:rsidP="00BF7F60">
      <w:pPr>
        <w:spacing w:after="0" w:line="240" w:lineRule="auto"/>
        <w:rPr>
          <w:rFonts w:eastAsia="Times New Roman"/>
        </w:rPr>
      </w:pPr>
      <w:r>
        <w:rPr>
          <w:rFonts w:eastAsia="Times New Roman"/>
        </w:rPr>
        <w:t xml:space="preserve">Risk adjustment procedures were developed and tested using linked STS-CMS data from 2008-2010. The analysis population consisted of Medicare fee-for-service </w:t>
      </w:r>
      <w:proofErr w:type="gramStart"/>
      <w:r>
        <w:rPr>
          <w:rFonts w:eastAsia="Times New Roman"/>
        </w:rPr>
        <w:t>beneficiaries</w:t>
      </w:r>
      <w:proofErr w:type="gramEnd"/>
      <w:r>
        <w:rPr>
          <w:rFonts w:eastAsia="Times New Roman"/>
        </w:rPr>
        <w:t xml:space="preserve"> age 65 years or older at discharge who underwent isolated coronary artery bypass grafting (CABG) during 2008-2010 and were discharged alive. Candidate CABG admissions were identified by selecting Medicare Part A claims with an ICD-9-CM procedural code for CABG (36.1x) in any position. Records were retained for analysis if they met the following additional criteria: </w:t>
      </w:r>
    </w:p>
    <w:p w:rsidR="00BF7F60" w:rsidRDefault="00BF7F60" w:rsidP="00BF7F60">
      <w:pPr>
        <w:numPr>
          <w:ilvl w:val="0"/>
          <w:numId w:val="31"/>
        </w:numPr>
        <w:spacing w:after="0" w:line="240" w:lineRule="auto"/>
        <w:rPr>
          <w:rFonts w:eastAsia="Times New Roman"/>
        </w:rPr>
      </w:pPr>
      <w:r>
        <w:rPr>
          <w:rFonts w:eastAsia="Times New Roman"/>
        </w:rPr>
        <w:t xml:space="preserve">Linked to an STS record for isolated CABG (see below for record linkage criteria and definition of isolated CABG); </w:t>
      </w:r>
    </w:p>
    <w:p w:rsidR="00BF7F60" w:rsidRDefault="00BF7F60" w:rsidP="00BF7F60">
      <w:pPr>
        <w:numPr>
          <w:ilvl w:val="0"/>
          <w:numId w:val="31"/>
        </w:numPr>
        <w:spacing w:after="0" w:line="240" w:lineRule="auto"/>
        <w:rPr>
          <w:rFonts w:eastAsia="Times New Roman"/>
        </w:rPr>
      </w:pPr>
      <w:r>
        <w:rPr>
          <w:rFonts w:eastAsia="Times New Roman"/>
        </w:rPr>
        <w:t xml:space="preserve">Eligible for Medicare fee-for-service (FFS) A and B for at least two months after discharge or until month of death, whichever is first; </w:t>
      </w:r>
    </w:p>
    <w:p w:rsidR="00BF7F60" w:rsidRDefault="00BF7F60" w:rsidP="00BF7F60">
      <w:pPr>
        <w:numPr>
          <w:ilvl w:val="0"/>
          <w:numId w:val="31"/>
        </w:numPr>
        <w:spacing w:after="0" w:line="240" w:lineRule="auto"/>
        <w:rPr>
          <w:rFonts w:eastAsia="Times New Roman"/>
        </w:rPr>
      </w:pPr>
      <w:r>
        <w:rPr>
          <w:rFonts w:eastAsia="Times New Roman"/>
        </w:rPr>
        <w:t xml:space="preserve">Discharged from acute care setting within 1 year of index CABG admission; </w:t>
      </w:r>
    </w:p>
    <w:p w:rsidR="00BF7F60" w:rsidRDefault="00BF7F60" w:rsidP="00BF7F60">
      <w:pPr>
        <w:numPr>
          <w:ilvl w:val="0"/>
          <w:numId w:val="31"/>
        </w:numPr>
        <w:spacing w:after="0" w:line="240" w:lineRule="auto"/>
        <w:rPr>
          <w:rFonts w:eastAsia="Times New Roman"/>
        </w:rPr>
      </w:pPr>
      <w:r>
        <w:rPr>
          <w:rFonts w:eastAsia="Times New Roman"/>
        </w:rPr>
        <w:t xml:space="preserve">Did not leave against medical advice; </w:t>
      </w:r>
    </w:p>
    <w:p w:rsidR="00BF7F60" w:rsidRDefault="00BF7F60" w:rsidP="00BF7F60">
      <w:pPr>
        <w:numPr>
          <w:ilvl w:val="0"/>
          <w:numId w:val="31"/>
        </w:numPr>
        <w:spacing w:after="0" w:line="240" w:lineRule="auto"/>
        <w:rPr>
          <w:rFonts w:eastAsia="Times New Roman"/>
        </w:rPr>
      </w:pPr>
      <w:r>
        <w:rPr>
          <w:rFonts w:eastAsia="Times New Roman"/>
        </w:rPr>
        <w:t xml:space="preserve">No logically inconsistent claims data (e.g. claims with overlapping admission and discharge dates); </w:t>
      </w:r>
    </w:p>
    <w:p w:rsidR="00BF7F60" w:rsidRDefault="00BF7F60" w:rsidP="00BF7F60">
      <w:pPr>
        <w:numPr>
          <w:ilvl w:val="0"/>
          <w:numId w:val="31"/>
        </w:numPr>
        <w:spacing w:after="0" w:line="240" w:lineRule="auto"/>
        <w:rPr>
          <w:rFonts w:eastAsia="Times New Roman"/>
        </w:rPr>
      </w:pPr>
      <w:r>
        <w:rPr>
          <w:rFonts w:eastAsia="Times New Roman"/>
        </w:rPr>
        <w:t>Is the first eligible operation per patient during the measurement period</w:t>
      </w:r>
    </w:p>
    <w:p w:rsidR="00BF7F60" w:rsidRDefault="00BF7F60" w:rsidP="00B32FA2">
      <w:pPr>
        <w:spacing w:after="0" w:line="240" w:lineRule="auto"/>
        <w:rPr>
          <w:rFonts w:eastAsia="Times New Roman"/>
          <w:u w:val="single"/>
        </w:rPr>
      </w:pPr>
    </w:p>
    <w:p w:rsidR="00B32FA2" w:rsidRDefault="00B32FA2" w:rsidP="00B32FA2">
      <w:pPr>
        <w:spacing w:after="0" w:line="240" w:lineRule="auto"/>
        <w:rPr>
          <w:rFonts w:eastAsia="Times New Roman"/>
          <w:u w:val="single"/>
        </w:rPr>
      </w:pPr>
      <w:r>
        <w:rPr>
          <w:rFonts w:eastAsia="Times New Roman"/>
          <w:u w:val="single"/>
        </w:rPr>
        <w:t>Candidate covariates</w:t>
      </w:r>
    </w:p>
    <w:p w:rsidR="00B32FA2" w:rsidRDefault="00B32FA2" w:rsidP="00B32FA2">
      <w:pPr>
        <w:spacing w:after="0" w:line="240" w:lineRule="auto"/>
        <w:rPr>
          <w:rFonts w:eastAsia="Times New Roman"/>
        </w:rPr>
      </w:pPr>
      <w:r>
        <w:rPr>
          <w:rFonts w:eastAsia="Times New Roman"/>
        </w:rPr>
        <w:t xml:space="preserve">Candidate covariates and their functional form were identified from the published STS 2008 isolated CABG mortality and morbidity models (Shahian et al.). Race and ethnicity were candidate covariates in the STS 2008 CABG models but were not candidate covariates for the current readmission measure project. </w:t>
      </w:r>
    </w:p>
    <w:p w:rsidR="00B32FA2" w:rsidRDefault="00B32FA2" w:rsidP="00B32FA2">
      <w:pPr>
        <w:spacing w:after="0" w:line="240" w:lineRule="auto"/>
        <w:rPr>
          <w:rFonts w:eastAsia="Times New Roman"/>
        </w:rPr>
      </w:pPr>
    </w:p>
    <w:p w:rsidR="00B32FA2" w:rsidRDefault="00B32FA2" w:rsidP="00B32FA2">
      <w:pPr>
        <w:spacing w:after="0" w:line="240" w:lineRule="auto"/>
        <w:rPr>
          <w:rFonts w:eastAsia="Times New Roman"/>
          <w:u w:val="single"/>
        </w:rPr>
      </w:pPr>
      <w:r>
        <w:rPr>
          <w:rFonts w:eastAsia="Times New Roman"/>
          <w:u w:val="single"/>
        </w:rPr>
        <w:t>Selection of final model covariates</w:t>
      </w:r>
    </w:p>
    <w:p w:rsidR="00B32FA2" w:rsidRDefault="00B32FA2" w:rsidP="00B32FA2">
      <w:pPr>
        <w:spacing w:after="0" w:line="240" w:lineRule="auto"/>
        <w:rPr>
          <w:rFonts w:eastAsia="Times New Roman"/>
        </w:rPr>
      </w:pPr>
      <w:r>
        <w:rPr>
          <w:rFonts w:eastAsia="Times New Roman"/>
        </w:rPr>
        <w:lastRenderedPageBreak/>
        <w:t>Final model covariates were selected by an expert surgeon panel after performing a variety of exploratory analyses to help inform the surgeon panel’s decision. First, for each of the 2008, 2009, and 2010 datasets separately, we performed the following sets of analyses:</w:t>
      </w:r>
    </w:p>
    <w:p w:rsidR="00B32FA2" w:rsidRDefault="00B32FA2" w:rsidP="00B32FA2">
      <w:pPr>
        <w:numPr>
          <w:ilvl w:val="0"/>
          <w:numId w:val="28"/>
        </w:numPr>
        <w:spacing w:after="0" w:line="240" w:lineRule="auto"/>
        <w:rPr>
          <w:rFonts w:eastAsia="Times New Roman"/>
        </w:rPr>
      </w:pPr>
      <w:r>
        <w:rPr>
          <w:rFonts w:eastAsia="Times New Roman"/>
        </w:rPr>
        <w:t>Ordinary logistic regression with stepwise variable selection.</w:t>
      </w:r>
    </w:p>
    <w:p w:rsidR="00B32FA2" w:rsidRDefault="00B32FA2" w:rsidP="00B32FA2">
      <w:pPr>
        <w:numPr>
          <w:ilvl w:val="0"/>
          <w:numId w:val="29"/>
        </w:numPr>
        <w:spacing w:after="0" w:line="240" w:lineRule="auto"/>
        <w:ind w:left="1440"/>
        <w:rPr>
          <w:rFonts w:eastAsia="Times New Roman"/>
        </w:rPr>
      </w:pPr>
      <w:r>
        <w:rPr>
          <w:rFonts w:eastAsia="Times New Roman"/>
        </w:rPr>
        <w:t>Significance level to enter = 0.05, significance level to stay = 0.05</w:t>
      </w:r>
    </w:p>
    <w:p w:rsidR="00B32FA2" w:rsidRDefault="00B32FA2" w:rsidP="00B32FA2">
      <w:pPr>
        <w:numPr>
          <w:ilvl w:val="0"/>
          <w:numId w:val="29"/>
        </w:numPr>
        <w:spacing w:after="0" w:line="240" w:lineRule="auto"/>
        <w:ind w:left="1440"/>
        <w:rPr>
          <w:rFonts w:eastAsia="Times New Roman"/>
        </w:rPr>
      </w:pPr>
      <w:r>
        <w:rPr>
          <w:rFonts w:eastAsia="Times New Roman"/>
        </w:rPr>
        <w:t>Significance level to enter = 0.01, significance level to stay = 0.01</w:t>
      </w:r>
    </w:p>
    <w:p w:rsidR="00B32FA2" w:rsidRDefault="00B32FA2" w:rsidP="00B32FA2">
      <w:pPr>
        <w:numPr>
          <w:ilvl w:val="0"/>
          <w:numId w:val="28"/>
        </w:numPr>
        <w:spacing w:after="0" w:line="240" w:lineRule="auto"/>
        <w:rPr>
          <w:rFonts w:eastAsia="Times New Roman"/>
        </w:rPr>
      </w:pPr>
      <w:r>
        <w:rPr>
          <w:rFonts w:eastAsia="Times New Roman"/>
        </w:rPr>
        <w:t>Bootstrap analysis of ordinary logistic regression with stepwise variable selection.</w:t>
      </w:r>
    </w:p>
    <w:p w:rsidR="00B32FA2" w:rsidRDefault="00B32FA2" w:rsidP="00B32FA2">
      <w:pPr>
        <w:numPr>
          <w:ilvl w:val="0"/>
          <w:numId w:val="29"/>
        </w:numPr>
        <w:spacing w:after="0" w:line="240" w:lineRule="auto"/>
        <w:ind w:left="1440"/>
        <w:rPr>
          <w:rFonts w:eastAsia="Times New Roman"/>
        </w:rPr>
      </w:pPr>
      <w:r>
        <w:rPr>
          <w:rFonts w:eastAsia="Times New Roman"/>
        </w:rPr>
        <w:t>Significance level to enter = 0.05, significance level to stay = 0.05.</w:t>
      </w:r>
    </w:p>
    <w:p w:rsidR="00B32FA2" w:rsidRDefault="00B32FA2" w:rsidP="00B32FA2">
      <w:pPr>
        <w:numPr>
          <w:ilvl w:val="0"/>
          <w:numId w:val="29"/>
        </w:numPr>
        <w:spacing w:after="0" w:line="240" w:lineRule="auto"/>
        <w:ind w:left="1440"/>
        <w:rPr>
          <w:rFonts w:eastAsia="Times New Roman"/>
        </w:rPr>
      </w:pPr>
      <w:r>
        <w:rPr>
          <w:rFonts w:eastAsia="Times New Roman"/>
        </w:rPr>
        <w:t>1000 bootstrap samples were generated by sampling with replacement from the full dataset.</w:t>
      </w:r>
    </w:p>
    <w:p w:rsidR="00B32FA2" w:rsidRDefault="00B32FA2" w:rsidP="00B32FA2">
      <w:pPr>
        <w:numPr>
          <w:ilvl w:val="0"/>
          <w:numId w:val="29"/>
        </w:numPr>
        <w:spacing w:after="0" w:line="240" w:lineRule="auto"/>
        <w:ind w:left="1440"/>
        <w:rPr>
          <w:rFonts w:eastAsia="Times New Roman"/>
        </w:rPr>
      </w:pPr>
      <w:r>
        <w:rPr>
          <w:rFonts w:eastAsia="Times New Roman"/>
        </w:rPr>
        <w:t>Backward selection was applied to each bootstrap sample independently.</w:t>
      </w:r>
    </w:p>
    <w:p w:rsidR="00B32FA2" w:rsidRDefault="00B32FA2" w:rsidP="00B32FA2">
      <w:pPr>
        <w:numPr>
          <w:ilvl w:val="0"/>
          <w:numId w:val="29"/>
        </w:numPr>
        <w:spacing w:after="0" w:line="240" w:lineRule="auto"/>
        <w:ind w:left="1440"/>
        <w:rPr>
          <w:rFonts w:eastAsia="Times New Roman"/>
        </w:rPr>
      </w:pPr>
      <w:r>
        <w:rPr>
          <w:rFonts w:eastAsia="Times New Roman"/>
        </w:rPr>
        <w:t>For each candidate covariate, we recorded the number of times (out of 1000) that the covariate was selected into the final stepwise model. More important variables will be more likely to be selected in the final models.</w:t>
      </w:r>
    </w:p>
    <w:p w:rsidR="00B32FA2" w:rsidRDefault="00B32FA2" w:rsidP="00B32FA2">
      <w:pPr>
        <w:spacing w:after="0" w:line="240" w:lineRule="auto"/>
        <w:rPr>
          <w:rFonts w:eastAsia="Times New Roman"/>
        </w:rPr>
      </w:pPr>
    </w:p>
    <w:p w:rsidR="00B32FA2" w:rsidRDefault="00B32FA2" w:rsidP="00B32FA2">
      <w:pPr>
        <w:spacing w:after="0" w:line="240" w:lineRule="auto"/>
        <w:rPr>
          <w:rFonts w:eastAsia="Times New Roman"/>
        </w:rPr>
      </w:pPr>
      <w:r>
        <w:rPr>
          <w:rFonts w:eastAsia="Times New Roman"/>
        </w:rPr>
        <w:t xml:space="preserve">The main goal of these analyses was to identify important covariates (i.e. those with large odds ratios) and to assess the consistency of variable selection across calendar years and within bootstrap samples from the same calendar year. A secondary purpose was to explore the functional form of continuous variables and to assess whether categorical variables with several categories could be collapsed into a smaller number of categories. Categorical variables were parameterized such that removing a variable caused 2 adjacent categories to be collapsed into a single category. Continuous variables were modeled as piecewise linear functions and </w:t>
      </w:r>
      <w:proofErr w:type="spellStart"/>
      <w:r>
        <w:rPr>
          <w:rFonts w:eastAsia="Times New Roman"/>
        </w:rPr>
        <w:t>parametrized</w:t>
      </w:r>
      <w:proofErr w:type="spellEnd"/>
      <w:r>
        <w:rPr>
          <w:rFonts w:eastAsia="Times New Roman"/>
        </w:rPr>
        <w:t xml:space="preserve"> such that removing a variable caused two adjacent line segments (2 slopes) to be collapsed into a single line segment (a single slope).</w:t>
      </w:r>
    </w:p>
    <w:p w:rsidR="00B32FA2" w:rsidRDefault="00B32FA2" w:rsidP="00B32FA2">
      <w:pPr>
        <w:spacing w:after="0" w:line="240" w:lineRule="auto"/>
        <w:rPr>
          <w:rFonts w:eastAsia="Times New Roman"/>
        </w:rPr>
      </w:pPr>
    </w:p>
    <w:p w:rsidR="00B32FA2" w:rsidRDefault="00B32FA2" w:rsidP="00B32FA2">
      <w:pPr>
        <w:spacing w:after="0" w:line="240" w:lineRule="auto"/>
        <w:rPr>
          <w:rFonts w:eastAsia="Times New Roman"/>
        </w:rPr>
      </w:pPr>
      <w:r>
        <w:rPr>
          <w:rFonts w:eastAsia="Times New Roman"/>
        </w:rPr>
        <w:t>The final model selected by the surgeon panel included all covariates that were either (1) selected at the 0.05 level in the original full sample for at least one calendar year; or (2) were selected in at least 50% of bootstrap replicates at the 0.05 level in at least one calendar year. Based on these covariates were selected for the final model:</w:t>
      </w:r>
    </w:p>
    <w:p w:rsidR="00B32FA2" w:rsidRDefault="00B32FA2" w:rsidP="00B32FA2">
      <w:pPr>
        <w:numPr>
          <w:ilvl w:val="0"/>
          <w:numId w:val="30"/>
        </w:numPr>
        <w:spacing w:after="0" w:line="240" w:lineRule="auto"/>
        <w:ind w:left="1080"/>
        <w:rPr>
          <w:rFonts w:eastAsia="Times New Roman"/>
        </w:rPr>
      </w:pPr>
      <w:r>
        <w:rPr>
          <w:rFonts w:eastAsia="Times New Roman"/>
        </w:rPr>
        <w:t>Ejection Fraction</w:t>
      </w:r>
    </w:p>
    <w:p w:rsidR="00B32FA2" w:rsidRDefault="00B32FA2" w:rsidP="00B32FA2">
      <w:pPr>
        <w:numPr>
          <w:ilvl w:val="0"/>
          <w:numId w:val="30"/>
        </w:numPr>
        <w:spacing w:after="0" w:line="240" w:lineRule="auto"/>
        <w:ind w:left="1080"/>
        <w:rPr>
          <w:rFonts w:eastAsia="Times New Roman"/>
        </w:rPr>
      </w:pPr>
      <w:r>
        <w:rPr>
          <w:rFonts w:eastAsia="Times New Roman"/>
        </w:rPr>
        <w:t>Preoperative Atrial Fibrillation</w:t>
      </w:r>
    </w:p>
    <w:p w:rsidR="00B32FA2" w:rsidRDefault="00B32FA2" w:rsidP="00B32FA2">
      <w:pPr>
        <w:numPr>
          <w:ilvl w:val="0"/>
          <w:numId w:val="30"/>
        </w:numPr>
        <w:spacing w:after="0" w:line="240" w:lineRule="auto"/>
        <w:ind w:left="1080"/>
        <w:rPr>
          <w:rFonts w:eastAsia="Times New Roman"/>
          <w:lang w:val="it-IT"/>
        </w:rPr>
      </w:pPr>
      <w:r>
        <w:rPr>
          <w:rFonts w:eastAsia="Times New Roman"/>
          <w:lang w:val="it-IT"/>
        </w:rPr>
        <w:t>Unstable Angina (no MI &lt;= 7 days)</w:t>
      </w:r>
    </w:p>
    <w:p w:rsidR="00B32FA2" w:rsidRDefault="00B32FA2" w:rsidP="00B32FA2">
      <w:pPr>
        <w:numPr>
          <w:ilvl w:val="0"/>
          <w:numId w:val="30"/>
        </w:numPr>
        <w:spacing w:after="0" w:line="240" w:lineRule="auto"/>
        <w:ind w:left="1080"/>
        <w:rPr>
          <w:rFonts w:eastAsia="Times New Roman"/>
        </w:rPr>
      </w:pPr>
      <w:r>
        <w:rPr>
          <w:rFonts w:eastAsia="Times New Roman"/>
        </w:rPr>
        <w:t>Myocardial Infarction</w:t>
      </w:r>
    </w:p>
    <w:p w:rsidR="00B32FA2" w:rsidRDefault="00B32FA2" w:rsidP="00B32FA2">
      <w:pPr>
        <w:numPr>
          <w:ilvl w:val="0"/>
          <w:numId w:val="30"/>
        </w:numPr>
        <w:spacing w:after="0" w:line="240" w:lineRule="auto"/>
        <w:ind w:left="1080"/>
        <w:rPr>
          <w:rFonts w:eastAsia="Times New Roman"/>
        </w:rPr>
      </w:pPr>
      <w:r>
        <w:rPr>
          <w:rFonts w:eastAsia="Times New Roman"/>
        </w:rPr>
        <w:t>Age</w:t>
      </w:r>
    </w:p>
    <w:p w:rsidR="00B32FA2" w:rsidRDefault="00D77524" w:rsidP="00B32FA2">
      <w:pPr>
        <w:numPr>
          <w:ilvl w:val="0"/>
          <w:numId w:val="30"/>
        </w:numPr>
        <w:spacing w:after="0" w:line="240" w:lineRule="auto"/>
        <w:ind w:left="1080"/>
        <w:rPr>
          <w:rFonts w:eastAsia="Times New Roman"/>
        </w:rPr>
      </w:pPr>
      <w:r>
        <w:rPr>
          <w:rFonts w:eastAsia="Times New Roman"/>
        </w:rPr>
        <w:t>Congestive Heart Failure</w:t>
      </w:r>
    </w:p>
    <w:p w:rsidR="00B32FA2" w:rsidRDefault="00B32FA2" w:rsidP="00B32FA2">
      <w:pPr>
        <w:numPr>
          <w:ilvl w:val="0"/>
          <w:numId w:val="30"/>
        </w:numPr>
        <w:spacing w:after="0" w:line="240" w:lineRule="auto"/>
        <w:ind w:left="1080"/>
        <w:rPr>
          <w:rFonts w:eastAsia="Times New Roman"/>
        </w:rPr>
      </w:pPr>
      <w:r>
        <w:rPr>
          <w:rFonts w:eastAsia="Times New Roman"/>
        </w:rPr>
        <w:t>Renal Function</w:t>
      </w:r>
    </w:p>
    <w:p w:rsidR="00B32FA2" w:rsidRDefault="00B32FA2" w:rsidP="00B32FA2">
      <w:pPr>
        <w:numPr>
          <w:ilvl w:val="0"/>
          <w:numId w:val="30"/>
        </w:numPr>
        <w:spacing w:after="0" w:line="240" w:lineRule="auto"/>
        <w:ind w:left="1080"/>
        <w:rPr>
          <w:rFonts w:eastAsia="Times New Roman"/>
        </w:rPr>
      </w:pPr>
      <w:r>
        <w:rPr>
          <w:rFonts w:eastAsia="Times New Roman"/>
        </w:rPr>
        <w:t>Status</w:t>
      </w:r>
    </w:p>
    <w:p w:rsidR="00B32FA2" w:rsidRDefault="00B32FA2" w:rsidP="00B32FA2">
      <w:pPr>
        <w:numPr>
          <w:ilvl w:val="0"/>
          <w:numId w:val="30"/>
        </w:numPr>
        <w:spacing w:after="0" w:line="240" w:lineRule="auto"/>
        <w:ind w:left="1080"/>
        <w:rPr>
          <w:rFonts w:eastAsia="Times New Roman"/>
        </w:rPr>
      </w:pPr>
      <w:r>
        <w:rPr>
          <w:rFonts w:eastAsia="Times New Roman"/>
        </w:rPr>
        <w:t>Gender</w:t>
      </w:r>
    </w:p>
    <w:p w:rsidR="00B32FA2" w:rsidRDefault="00B32FA2" w:rsidP="00B32FA2">
      <w:pPr>
        <w:numPr>
          <w:ilvl w:val="0"/>
          <w:numId w:val="30"/>
        </w:numPr>
        <w:spacing w:after="0" w:line="240" w:lineRule="auto"/>
        <w:ind w:left="1080"/>
        <w:rPr>
          <w:rFonts w:eastAsia="Times New Roman"/>
        </w:rPr>
      </w:pPr>
      <w:r>
        <w:rPr>
          <w:rFonts w:eastAsia="Times New Roman"/>
        </w:rPr>
        <w:t>Reoperation</w:t>
      </w:r>
    </w:p>
    <w:p w:rsidR="00B32FA2" w:rsidRDefault="00B32FA2" w:rsidP="00B32FA2">
      <w:pPr>
        <w:numPr>
          <w:ilvl w:val="0"/>
          <w:numId w:val="30"/>
        </w:numPr>
        <w:spacing w:after="0" w:line="240" w:lineRule="auto"/>
        <w:ind w:left="1080"/>
        <w:rPr>
          <w:rFonts w:eastAsia="Times New Roman"/>
        </w:rPr>
      </w:pPr>
      <w:r>
        <w:rPr>
          <w:rFonts w:eastAsia="Times New Roman"/>
        </w:rPr>
        <w:t>Chronic Lung Disease</w:t>
      </w:r>
    </w:p>
    <w:p w:rsidR="00B32FA2" w:rsidRDefault="00B32FA2" w:rsidP="00B32FA2">
      <w:pPr>
        <w:numPr>
          <w:ilvl w:val="0"/>
          <w:numId w:val="30"/>
        </w:numPr>
        <w:spacing w:after="0" w:line="240" w:lineRule="auto"/>
        <w:ind w:left="1080"/>
        <w:rPr>
          <w:rFonts w:eastAsia="Times New Roman"/>
        </w:rPr>
      </w:pPr>
      <w:r>
        <w:rPr>
          <w:rFonts w:eastAsia="Times New Roman"/>
        </w:rPr>
        <w:t>Diabetes</w:t>
      </w:r>
    </w:p>
    <w:p w:rsidR="00B32FA2" w:rsidRDefault="00B32FA2" w:rsidP="00B32FA2">
      <w:pPr>
        <w:numPr>
          <w:ilvl w:val="0"/>
          <w:numId w:val="30"/>
        </w:numPr>
        <w:spacing w:after="0" w:line="240" w:lineRule="auto"/>
        <w:ind w:left="1080"/>
        <w:rPr>
          <w:rFonts w:eastAsia="Times New Roman"/>
        </w:rPr>
      </w:pPr>
      <w:r>
        <w:rPr>
          <w:rFonts w:eastAsia="Times New Roman"/>
        </w:rPr>
        <w:t>Preoperative IAPB or Inotrope</w:t>
      </w:r>
    </w:p>
    <w:p w:rsidR="00B32FA2" w:rsidRDefault="00B32FA2" w:rsidP="00B32FA2">
      <w:pPr>
        <w:numPr>
          <w:ilvl w:val="0"/>
          <w:numId w:val="30"/>
        </w:numPr>
        <w:spacing w:after="0" w:line="240" w:lineRule="auto"/>
        <w:ind w:left="1080"/>
        <w:rPr>
          <w:rFonts w:eastAsia="Times New Roman"/>
        </w:rPr>
      </w:pPr>
      <w:r>
        <w:rPr>
          <w:rFonts w:eastAsia="Times New Roman"/>
        </w:rPr>
        <w:t>Immunosuppressive Treatment</w:t>
      </w:r>
    </w:p>
    <w:p w:rsidR="00B32FA2" w:rsidRDefault="00B32FA2" w:rsidP="00B32FA2">
      <w:pPr>
        <w:numPr>
          <w:ilvl w:val="0"/>
          <w:numId w:val="30"/>
        </w:numPr>
        <w:spacing w:after="0" w:line="240" w:lineRule="auto"/>
        <w:ind w:left="1080"/>
        <w:rPr>
          <w:rFonts w:eastAsia="Times New Roman"/>
        </w:rPr>
      </w:pPr>
      <w:r>
        <w:rPr>
          <w:rFonts w:eastAsia="Times New Roman"/>
        </w:rPr>
        <w:t>PVD</w:t>
      </w:r>
    </w:p>
    <w:p w:rsidR="00B32FA2" w:rsidRDefault="00B32FA2" w:rsidP="00B32FA2">
      <w:pPr>
        <w:numPr>
          <w:ilvl w:val="0"/>
          <w:numId w:val="30"/>
        </w:numPr>
        <w:spacing w:after="0" w:line="240" w:lineRule="auto"/>
        <w:ind w:left="1080"/>
        <w:rPr>
          <w:rFonts w:eastAsia="Times New Roman"/>
        </w:rPr>
      </w:pPr>
      <w:r>
        <w:rPr>
          <w:rFonts w:eastAsia="Times New Roman"/>
        </w:rPr>
        <w:t xml:space="preserve">Body </w:t>
      </w:r>
      <w:r w:rsidR="00D77524">
        <w:rPr>
          <w:rFonts w:eastAsia="Times New Roman"/>
        </w:rPr>
        <w:t>Surface</w:t>
      </w:r>
      <w:r>
        <w:rPr>
          <w:rFonts w:eastAsia="Times New Roman"/>
        </w:rPr>
        <w:t xml:space="preserve"> Area</w:t>
      </w:r>
    </w:p>
    <w:p w:rsidR="00B32FA2" w:rsidRDefault="00B32FA2" w:rsidP="00B32FA2">
      <w:pPr>
        <w:numPr>
          <w:ilvl w:val="0"/>
          <w:numId w:val="30"/>
        </w:numPr>
        <w:spacing w:after="0" w:line="240" w:lineRule="auto"/>
        <w:ind w:left="1080"/>
        <w:rPr>
          <w:rFonts w:eastAsia="Times New Roman"/>
        </w:rPr>
      </w:pPr>
      <w:r>
        <w:rPr>
          <w:rFonts w:eastAsia="Times New Roman"/>
        </w:rPr>
        <w:t>CVD</w:t>
      </w:r>
    </w:p>
    <w:p w:rsidR="00B32FA2" w:rsidRDefault="00B32FA2" w:rsidP="00B32FA2">
      <w:pPr>
        <w:numPr>
          <w:ilvl w:val="0"/>
          <w:numId w:val="30"/>
        </w:numPr>
        <w:spacing w:after="0" w:line="240" w:lineRule="auto"/>
        <w:ind w:left="1080"/>
        <w:rPr>
          <w:rFonts w:eastAsia="Times New Roman"/>
        </w:rPr>
      </w:pPr>
      <w:r>
        <w:rPr>
          <w:rFonts w:eastAsia="Times New Roman"/>
        </w:rPr>
        <w:t>Hypertension</w:t>
      </w:r>
    </w:p>
    <w:p w:rsidR="00B32FA2" w:rsidRDefault="00B32FA2" w:rsidP="00B32FA2">
      <w:pPr>
        <w:numPr>
          <w:ilvl w:val="0"/>
          <w:numId w:val="30"/>
        </w:numPr>
        <w:spacing w:after="0" w:line="240" w:lineRule="auto"/>
        <w:ind w:left="1080"/>
        <w:rPr>
          <w:rFonts w:eastAsia="Times New Roman"/>
        </w:rPr>
      </w:pPr>
      <w:r>
        <w:rPr>
          <w:rFonts w:eastAsia="Times New Roman"/>
        </w:rPr>
        <w:t>PCI &lt;= 6 hours</w:t>
      </w:r>
    </w:p>
    <w:p w:rsidR="00B32FA2" w:rsidRDefault="00B32FA2" w:rsidP="00B32FA2">
      <w:pPr>
        <w:numPr>
          <w:ilvl w:val="0"/>
          <w:numId w:val="30"/>
        </w:numPr>
        <w:spacing w:after="0" w:line="240" w:lineRule="auto"/>
        <w:ind w:left="1080"/>
        <w:rPr>
          <w:rFonts w:eastAsia="Times New Roman"/>
        </w:rPr>
      </w:pPr>
      <w:r>
        <w:rPr>
          <w:rFonts w:eastAsia="Times New Roman"/>
        </w:rPr>
        <w:t>Left Main Disease</w:t>
      </w:r>
    </w:p>
    <w:p w:rsidR="00B32FA2" w:rsidRDefault="00B32FA2" w:rsidP="00B32FA2">
      <w:pPr>
        <w:numPr>
          <w:ilvl w:val="0"/>
          <w:numId w:val="30"/>
        </w:numPr>
        <w:spacing w:after="0" w:line="240" w:lineRule="auto"/>
        <w:ind w:left="1080"/>
        <w:rPr>
          <w:rFonts w:eastAsia="Times New Roman"/>
        </w:rPr>
      </w:pPr>
      <w:r>
        <w:rPr>
          <w:rFonts w:eastAsia="Times New Roman"/>
        </w:rPr>
        <w:lastRenderedPageBreak/>
        <w:t>Surgery Date</w:t>
      </w:r>
    </w:p>
    <w:p w:rsidR="00B32FA2" w:rsidRDefault="00B32FA2" w:rsidP="00B32FA2">
      <w:pPr>
        <w:spacing w:after="0" w:line="240" w:lineRule="auto"/>
        <w:rPr>
          <w:rFonts w:eastAsia="Times New Roman"/>
        </w:rPr>
      </w:pPr>
    </w:p>
    <w:p w:rsidR="00B32FA2" w:rsidRDefault="00B32FA2" w:rsidP="00B32FA2">
      <w:pPr>
        <w:spacing w:after="0" w:line="240" w:lineRule="auto"/>
        <w:rPr>
          <w:rFonts w:eastAsia="Times New Roman"/>
        </w:rPr>
      </w:pPr>
      <w:r>
        <w:rPr>
          <w:rFonts w:eastAsia="Times New Roman"/>
        </w:rPr>
        <w:t xml:space="preserve">After selecting final model covariates, the final model was re-estimated using data from 2008 and tested in data from 2009. In addition, the final model was re-estimated using the entire 2008-2010 dataset. Finally, the model was re-estimated in the 2008-2010 </w:t>
      </w:r>
      <w:proofErr w:type="gramStart"/>
      <w:r>
        <w:rPr>
          <w:rFonts w:eastAsia="Times New Roman"/>
        </w:rPr>
        <w:t>sample</w:t>
      </w:r>
      <w:proofErr w:type="gramEnd"/>
      <w:r>
        <w:rPr>
          <w:rFonts w:eastAsia="Times New Roman"/>
        </w:rPr>
        <w:t xml:space="preserve"> using hierarchical instead of ordinary logistic regression. The hierarchical version of the model was used for calculating hospital-specific risk-standardized readmission rates (RSRR’s) as described below.</w:t>
      </w:r>
    </w:p>
    <w:p w:rsidR="00001D73" w:rsidRDefault="00001D73" w:rsidP="00001D73">
      <w:pPr>
        <w:autoSpaceDE w:val="0"/>
        <w:autoSpaceDN w:val="0"/>
        <w:adjustRightInd w:val="0"/>
        <w:spacing w:after="0" w:line="240" w:lineRule="auto"/>
        <w:rPr>
          <w:rFonts w:cstheme="minorHAnsi"/>
          <w:bCs/>
        </w:rPr>
      </w:pPr>
    </w:p>
    <w:p w:rsidR="00B32FA2" w:rsidRDefault="00B32FA2" w:rsidP="00B32FA2">
      <w:pPr>
        <w:spacing w:after="0" w:line="240" w:lineRule="auto"/>
        <w:rPr>
          <w:rFonts w:eastAsia="Times New Roman"/>
        </w:rPr>
      </w:pPr>
      <w:r>
        <w:rPr>
          <w:rFonts w:eastAsia="Times New Roman"/>
          <w:u w:val="single"/>
        </w:rPr>
        <w:t>Calculation of risk-standardized readmission rates (RSRR’s)</w:t>
      </w:r>
    </w:p>
    <w:p w:rsidR="00B32FA2" w:rsidRDefault="00B32FA2" w:rsidP="00B32FA2">
      <w:pPr>
        <w:spacing w:after="0" w:line="240" w:lineRule="auto"/>
        <w:rPr>
          <w:rFonts w:eastAsia="Times New Roman"/>
        </w:rPr>
      </w:pPr>
      <w:r>
        <w:rPr>
          <w:rFonts w:eastAsia="Times New Roman"/>
        </w:rPr>
        <w:t xml:space="preserve">The methodology of calculating RSRR’s was chosen to be 100% consistent with other existing CMS readmission measures. Briefly, we used hierarchical logistic regression with hospital-specific random intercept parameters. The following description was copied from documentation produced by </w:t>
      </w:r>
      <w:smartTag w:uri="urn:schemas-microsoft-com:office:smarttags" w:element="place">
        <w:smartTag w:uri="urn:schemas-microsoft-com:office:smarttags" w:element="PlaceName">
          <w:r>
            <w:rPr>
              <w:rFonts w:eastAsia="Times New Roman"/>
            </w:rPr>
            <w:t>Yale</w:t>
          </w:r>
        </w:smartTag>
        <w:r>
          <w:rPr>
            <w:rFonts w:eastAsia="Times New Roman"/>
          </w:rPr>
          <w:t xml:space="preserve"> </w:t>
        </w:r>
        <w:smartTag w:uri="urn:schemas-microsoft-com:office:smarttags" w:element="PlaceType">
          <w:r>
            <w:rPr>
              <w:rFonts w:eastAsia="Times New Roman"/>
            </w:rPr>
            <w:t>University</w:t>
          </w:r>
        </w:smartTag>
      </w:smartTag>
      <w:r>
        <w:rPr>
          <w:rFonts w:eastAsia="Times New Roman"/>
        </w:rPr>
        <w:t xml:space="preserve"> for the previous CMS PCI readmission measure: “These rates are calculated as the ratio of the predicted number of readmissions to the expected number of readmissions, multiplied by the national unadjusted readmission rate. The expected number of readmissions for each hospital was estimated using its patient mix and the average hospital-specific intercept. The predicted number of readmissions in each hospital was estimated given the same patient mix but an estimated hospital-specific intercept. Operationally, the expected number of readmissions for each hospital is obtained by summing the expected readmission rates for all patients in the hospital. The expected readmission rate for each patient is calculated via the hierarchical model by applying the subsequent estimated regression coefficients to the observed patient characteristics and adding the average of the hospital-specific intercepts. The predicted number of readmissions for each hospital is calculated by summing the predicted readmission rates for all patients in the hospital. The predicted readmission rate for each patient is calculated through the hierarchical model by applying the estimated regression coefficients to the patient characteristics observed and adding the hospital-specific intercept.” Our method of calculating 95% interval estimates for RSRR’s was also identical to previous CMS readmission measures developed by </w:t>
      </w:r>
      <w:smartTag w:uri="urn:schemas-microsoft-com:office:smarttags" w:element="place">
        <w:smartTag w:uri="urn:schemas-microsoft-com:office:smarttags" w:element="PlaceName">
          <w:r>
            <w:rPr>
              <w:rFonts w:eastAsia="Times New Roman"/>
            </w:rPr>
            <w:t>Yale</w:t>
          </w:r>
        </w:smartTag>
        <w:r>
          <w:rPr>
            <w:rFonts w:eastAsia="Times New Roman"/>
          </w:rPr>
          <w:t xml:space="preserve"> </w:t>
        </w:r>
        <w:smartTag w:uri="urn:schemas-microsoft-com:office:smarttags" w:element="PlaceType">
          <w:r>
            <w:rPr>
              <w:rFonts w:eastAsia="Times New Roman"/>
            </w:rPr>
            <w:t>University</w:t>
          </w:r>
        </w:smartTag>
      </w:smartTag>
      <w:r>
        <w:rPr>
          <w:rFonts w:eastAsia="Times New Roman"/>
        </w:rPr>
        <w:t>.</w:t>
      </w:r>
    </w:p>
    <w:p w:rsidR="00B32FA2" w:rsidRDefault="00B32FA2" w:rsidP="00001D73">
      <w:pPr>
        <w:autoSpaceDE w:val="0"/>
        <w:autoSpaceDN w:val="0"/>
        <w:adjustRightInd w:val="0"/>
        <w:spacing w:after="0" w:line="240" w:lineRule="auto"/>
        <w:rPr>
          <w:rFonts w:cstheme="minorHAnsi"/>
          <w:bCs/>
        </w:rPr>
      </w:pPr>
    </w:p>
    <w:p w:rsidR="00B32FA2" w:rsidRDefault="00732EED" w:rsidP="00732EED">
      <w:pPr>
        <w:autoSpaceDE w:val="0"/>
        <w:autoSpaceDN w:val="0"/>
        <w:adjustRightInd w:val="0"/>
        <w:spacing w:after="0" w:line="240" w:lineRule="auto"/>
        <w:rPr>
          <w:rFonts w:cstheme="minorHAnsi"/>
          <w:bCs/>
          <w:u w:val="single"/>
        </w:rPr>
      </w:pPr>
      <w:r>
        <w:rPr>
          <w:rFonts w:cstheme="minorHAnsi"/>
          <w:bCs/>
          <w:u w:val="single"/>
        </w:rPr>
        <w:t>Testing Results</w:t>
      </w:r>
    </w:p>
    <w:p w:rsidR="00732EED" w:rsidRDefault="00732EED" w:rsidP="00732EED">
      <w:pPr>
        <w:spacing w:after="0" w:line="240" w:lineRule="auto"/>
        <w:rPr>
          <w:rFonts w:cs="Times New Roman"/>
        </w:rPr>
      </w:pPr>
      <w:r>
        <w:rPr>
          <w:rFonts w:cs="Times New Roman"/>
        </w:rPr>
        <w:t xml:space="preserve">After selecting the final list of model covariates, coefficients were re-estimated using data from 2008 only. Calibration and discrimination were then assessed in a separate sample of 2009 data. To assess calibration, we compared observed versus expected all-cause 30-day readmission rates within subgroups based on deciles of predicted risk in 2009 data. Discrimination was assessed by the C-index (area under the receiver operating characteristics [ROC] curve). Predictive ability was further assessed by comparing the average predicted risk in the lowest-risk versus highest-risk </w:t>
      </w:r>
      <w:proofErr w:type="spellStart"/>
      <w:r>
        <w:rPr>
          <w:rFonts w:cs="Times New Roman"/>
        </w:rPr>
        <w:t>decile</w:t>
      </w:r>
      <w:proofErr w:type="spellEnd"/>
      <w:r>
        <w:rPr>
          <w:rFonts w:cs="Times New Roman"/>
        </w:rPr>
        <w:t xml:space="preserve"> of predictive risk.</w:t>
      </w:r>
    </w:p>
    <w:p w:rsidR="00732EED" w:rsidRDefault="00732EED" w:rsidP="00732EED">
      <w:pPr>
        <w:spacing w:after="0" w:line="240" w:lineRule="auto"/>
        <w:rPr>
          <w:rFonts w:cs="Times New Roman"/>
        </w:rPr>
      </w:pPr>
    </w:p>
    <w:p w:rsidR="00732EED" w:rsidRDefault="00732EED" w:rsidP="00732EED">
      <w:pPr>
        <w:numPr>
          <w:ilvl w:val="0"/>
          <w:numId w:val="29"/>
        </w:numPr>
        <w:spacing w:after="0" w:line="240" w:lineRule="auto"/>
        <w:ind w:left="1080"/>
        <w:rPr>
          <w:rFonts w:eastAsia="Times New Roman" w:cs="Calibri"/>
        </w:rPr>
      </w:pPr>
      <w:r>
        <w:rPr>
          <w:rFonts w:eastAsia="Times New Roman"/>
          <w:b/>
        </w:rPr>
        <w:t>Calibration</w:t>
      </w:r>
      <w:r>
        <w:rPr>
          <w:rFonts w:eastAsia="Times New Roman"/>
        </w:rPr>
        <w:t>: As shown in the figure and table below, there was excellent agreement between observed and expected readmission rates.</w:t>
      </w:r>
    </w:p>
    <w:p w:rsidR="00732EED" w:rsidRDefault="00732EED" w:rsidP="00732EED">
      <w:pPr>
        <w:numPr>
          <w:ilvl w:val="0"/>
          <w:numId w:val="29"/>
        </w:numPr>
        <w:spacing w:after="0" w:line="240" w:lineRule="auto"/>
        <w:ind w:left="1080"/>
        <w:rPr>
          <w:rFonts w:eastAsia="Times New Roman"/>
        </w:rPr>
      </w:pPr>
      <w:r>
        <w:rPr>
          <w:rFonts w:eastAsia="Times New Roman"/>
          <w:b/>
        </w:rPr>
        <w:t>Discrimination</w:t>
      </w:r>
      <w:r>
        <w:rPr>
          <w:rFonts w:eastAsia="Times New Roman"/>
        </w:rPr>
        <w:t>: The C-index was 0.632. This level of discrimination is comparable to several other existing CMS readmission measures.</w:t>
      </w:r>
    </w:p>
    <w:p w:rsidR="00732EED" w:rsidRDefault="00732EED" w:rsidP="00732EED">
      <w:pPr>
        <w:numPr>
          <w:ilvl w:val="0"/>
          <w:numId w:val="29"/>
        </w:numPr>
        <w:spacing w:after="0" w:line="240" w:lineRule="auto"/>
        <w:ind w:left="1080"/>
        <w:rPr>
          <w:rFonts w:eastAsia="Times New Roman"/>
        </w:rPr>
      </w:pPr>
      <w:r>
        <w:rPr>
          <w:rFonts w:eastAsia="Times New Roman"/>
          <w:b/>
        </w:rPr>
        <w:t>Predictive ability</w:t>
      </w:r>
      <w:r>
        <w:rPr>
          <w:rFonts w:eastAsia="Times New Roman"/>
        </w:rPr>
        <w:t xml:space="preserve">: Predicted risk ranged from 7.8% in the lowest-risk </w:t>
      </w:r>
      <w:proofErr w:type="spellStart"/>
      <w:r>
        <w:rPr>
          <w:rFonts w:eastAsia="Times New Roman"/>
        </w:rPr>
        <w:t>decile</w:t>
      </w:r>
      <w:proofErr w:type="spellEnd"/>
      <w:r>
        <w:rPr>
          <w:rFonts w:eastAsia="Times New Roman"/>
        </w:rPr>
        <w:t xml:space="preserve"> to 31.5% in the highest-risk </w:t>
      </w:r>
      <w:proofErr w:type="spellStart"/>
      <w:r>
        <w:rPr>
          <w:rFonts w:eastAsia="Times New Roman"/>
        </w:rPr>
        <w:t>decile</w:t>
      </w:r>
      <w:proofErr w:type="spellEnd"/>
      <w:r>
        <w:rPr>
          <w:rFonts w:eastAsia="Times New Roman"/>
        </w:rPr>
        <w:t>.</w:t>
      </w:r>
    </w:p>
    <w:p w:rsidR="00732EED" w:rsidRDefault="00732EED" w:rsidP="00732EED">
      <w:pPr>
        <w:spacing w:after="0" w:line="240" w:lineRule="auto"/>
        <w:ind w:left="1080"/>
        <w:rPr>
          <w:rFonts w:eastAsia="Times New Roman"/>
        </w:rPr>
      </w:pPr>
    </w:p>
    <w:p w:rsidR="00732EED" w:rsidRDefault="00732EED" w:rsidP="00732EED">
      <w:pPr>
        <w:spacing w:after="0" w:line="240" w:lineRule="auto"/>
        <w:jc w:val="center"/>
        <w:rPr>
          <w:rFonts w:eastAsia="Times New Roman"/>
        </w:rPr>
      </w:pPr>
      <w:r>
        <w:rPr>
          <w:noProof/>
        </w:rPr>
        <w:lastRenderedPageBreak/>
        <w:drawing>
          <wp:inline distT="0" distB="0" distL="0" distR="0">
            <wp:extent cx="3914775" cy="3475010"/>
            <wp:effectExtent l="0" t="0" r="0" b="0"/>
            <wp:docPr id="4" name="Picture 4" descr="Description: G:\sts\xh31\readmission\model\OEPlot_Readmission_08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G:\sts\xh31\readmission\model\OEPlot_Readmission_08_Final.pn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8149" b="3084"/>
                    <a:stretch/>
                  </pic:blipFill>
                  <pic:spPr bwMode="auto">
                    <a:xfrm>
                      <a:off x="0" y="0"/>
                      <a:ext cx="3914775" cy="3475010"/>
                    </a:xfrm>
                    <a:prstGeom prst="rect">
                      <a:avLst/>
                    </a:prstGeom>
                    <a:noFill/>
                    <a:ln>
                      <a:noFill/>
                    </a:ln>
                    <a:extLst>
                      <a:ext uri="{53640926-AAD7-44D8-BBD7-CCE9431645EC}">
                        <a14:shadowObscured xmlns:a14="http://schemas.microsoft.com/office/drawing/2010/main"/>
                      </a:ext>
                    </a:extLst>
                  </pic:spPr>
                </pic:pic>
              </a:graphicData>
            </a:graphic>
          </wp:inline>
        </w:drawing>
      </w:r>
    </w:p>
    <w:p w:rsidR="00732EED" w:rsidRDefault="00732EED" w:rsidP="00732EED">
      <w:pPr>
        <w:spacing w:after="0" w:line="240" w:lineRule="auto"/>
        <w:rPr>
          <w:rFonts w:eastAsia="Times New Roman"/>
        </w:rPr>
      </w:pPr>
    </w:p>
    <w:p w:rsidR="00732EED" w:rsidRDefault="00732EED" w:rsidP="00732EED">
      <w:pPr>
        <w:spacing w:after="0" w:line="240" w:lineRule="auto"/>
        <w:jc w:val="center"/>
        <w:rPr>
          <w:rFonts w:eastAsia="Times New Roman"/>
          <w:b/>
        </w:rPr>
      </w:pPr>
      <w:r>
        <w:rPr>
          <w:rFonts w:eastAsia="Times New Roman"/>
          <w:b/>
        </w:rPr>
        <w:t>Predicted risk calculated with the final model fitted on 2008 data</w:t>
      </w:r>
    </w:p>
    <w:tbl>
      <w:tblPr>
        <w:tblW w:w="0" w:type="auto"/>
        <w:jc w:val="center"/>
        <w:tblLook w:val="04A0" w:firstRow="1" w:lastRow="0" w:firstColumn="1" w:lastColumn="0" w:noHBand="0" w:noVBand="1"/>
      </w:tblPr>
      <w:tblGrid>
        <w:gridCol w:w="3192"/>
        <w:gridCol w:w="3192"/>
        <w:gridCol w:w="3192"/>
      </w:tblGrid>
      <w:tr w:rsidR="00732EED" w:rsidTr="00732EED">
        <w:trPr>
          <w:jc w:val="center"/>
        </w:trPr>
        <w:tc>
          <w:tcPr>
            <w:tcW w:w="3192" w:type="dxa"/>
            <w:tcBorders>
              <w:top w:val="single" w:sz="4" w:space="0" w:color="auto"/>
              <w:left w:val="nil"/>
              <w:bottom w:val="nil"/>
              <w:right w:val="nil"/>
            </w:tcBorders>
            <w:hideMark/>
          </w:tcPr>
          <w:p w:rsidR="00732EED" w:rsidRDefault="00732EED" w:rsidP="00732EED">
            <w:pPr>
              <w:spacing w:after="0" w:line="240" w:lineRule="auto"/>
              <w:rPr>
                <w:b/>
              </w:rPr>
            </w:pPr>
            <w:r>
              <w:rPr>
                <w:b/>
              </w:rPr>
              <w:t>Deciles of Predicted Risk of Readmission</w:t>
            </w:r>
          </w:p>
        </w:tc>
        <w:tc>
          <w:tcPr>
            <w:tcW w:w="3192" w:type="dxa"/>
            <w:tcBorders>
              <w:top w:val="single" w:sz="4" w:space="0" w:color="auto"/>
              <w:left w:val="nil"/>
              <w:bottom w:val="nil"/>
              <w:right w:val="nil"/>
            </w:tcBorders>
            <w:hideMark/>
          </w:tcPr>
          <w:p w:rsidR="00732EED" w:rsidRDefault="00732EED" w:rsidP="00732EED">
            <w:pPr>
              <w:spacing w:after="0" w:line="240" w:lineRule="auto"/>
              <w:rPr>
                <w:b/>
              </w:rPr>
            </w:pPr>
            <w:r>
              <w:rPr>
                <w:b/>
              </w:rPr>
              <w:t>Observed Readmission Rate</w:t>
            </w:r>
          </w:p>
        </w:tc>
        <w:tc>
          <w:tcPr>
            <w:tcW w:w="3192" w:type="dxa"/>
            <w:tcBorders>
              <w:top w:val="single" w:sz="4" w:space="0" w:color="auto"/>
              <w:left w:val="nil"/>
              <w:bottom w:val="nil"/>
              <w:right w:val="nil"/>
            </w:tcBorders>
            <w:hideMark/>
          </w:tcPr>
          <w:p w:rsidR="00732EED" w:rsidRDefault="00732EED" w:rsidP="00732EED">
            <w:pPr>
              <w:spacing w:after="0" w:line="240" w:lineRule="auto"/>
              <w:rPr>
                <w:b/>
              </w:rPr>
            </w:pPr>
            <w:r>
              <w:rPr>
                <w:b/>
              </w:rPr>
              <w:t>Predicted Readmission Rate</w:t>
            </w:r>
          </w:p>
        </w:tc>
      </w:tr>
      <w:tr w:rsidR="00732EED" w:rsidTr="00732EED">
        <w:trPr>
          <w:jc w:val="center"/>
        </w:trPr>
        <w:tc>
          <w:tcPr>
            <w:tcW w:w="3192" w:type="dxa"/>
            <w:tcBorders>
              <w:top w:val="single" w:sz="4" w:space="0" w:color="auto"/>
              <w:left w:val="nil"/>
              <w:bottom w:val="nil"/>
              <w:right w:val="nil"/>
            </w:tcBorders>
            <w:vAlign w:val="bottom"/>
            <w:hideMark/>
          </w:tcPr>
          <w:p w:rsidR="00732EED" w:rsidRDefault="00732EED" w:rsidP="00732EED">
            <w:pPr>
              <w:spacing w:after="0" w:line="240" w:lineRule="auto"/>
              <w:jc w:val="center"/>
              <w:rPr>
                <w:color w:val="000000"/>
              </w:rPr>
            </w:pPr>
            <w:r>
              <w:rPr>
                <w:color w:val="000000"/>
              </w:rPr>
              <w:t>1</w:t>
            </w:r>
          </w:p>
        </w:tc>
        <w:tc>
          <w:tcPr>
            <w:tcW w:w="3192" w:type="dxa"/>
            <w:tcBorders>
              <w:top w:val="single" w:sz="4" w:space="0" w:color="auto"/>
              <w:left w:val="nil"/>
              <w:bottom w:val="nil"/>
              <w:right w:val="nil"/>
            </w:tcBorders>
            <w:vAlign w:val="bottom"/>
            <w:hideMark/>
          </w:tcPr>
          <w:p w:rsidR="00732EED" w:rsidRDefault="00732EED" w:rsidP="00732EED">
            <w:pPr>
              <w:spacing w:after="0" w:line="240" w:lineRule="auto"/>
              <w:jc w:val="center"/>
              <w:rPr>
                <w:color w:val="000000"/>
              </w:rPr>
            </w:pPr>
            <w:r>
              <w:rPr>
                <w:color w:val="000000"/>
              </w:rPr>
              <w:t>7.8%</w:t>
            </w:r>
          </w:p>
        </w:tc>
        <w:tc>
          <w:tcPr>
            <w:tcW w:w="3192" w:type="dxa"/>
            <w:tcBorders>
              <w:top w:val="single" w:sz="4" w:space="0" w:color="auto"/>
              <w:left w:val="nil"/>
              <w:bottom w:val="nil"/>
              <w:right w:val="nil"/>
            </w:tcBorders>
            <w:vAlign w:val="bottom"/>
            <w:hideMark/>
          </w:tcPr>
          <w:p w:rsidR="00732EED" w:rsidRDefault="00732EED" w:rsidP="00732EED">
            <w:pPr>
              <w:spacing w:after="0" w:line="240" w:lineRule="auto"/>
              <w:jc w:val="center"/>
              <w:rPr>
                <w:color w:val="000000"/>
              </w:rPr>
            </w:pPr>
            <w:r>
              <w:rPr>
                <w:color w:val="000000"/>
              </w:rPr>
              <w:t>8.9%</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2</w:t>
            </w:r>
          </w:p>
        </w:tc>
        <w:tc>
          <w:tcPr>
            <w:tcW w:w="3192" w:type="dxa"/>
            <w:vAlign w:val="bottom"/>
            <w:hideMark/>
          </w:tcPr>
          <w:p w:rsidR="00732EED" w:rsidRDefault="00732EED" w:rsidP="00732EED">
            <w:pPr>
              <w:spacing w:after="0" w:line="240" w:lineRule="auto"/>
              <w:jc w:val="center"/>
              <w:rPr>
                <w:color w:val="000000"/>
              </w:rPr>
            </w:pPr>
            <w:r>
              <w:rPr>
                <w:color w:val="000000"/>
              </w:rPr>
              <w:t>10.3%</w:t>
            </w:r>
          </w:p>
        </w:tc>
        <w:tc>
          <w:tcPr>
            <w:tcW w:w="3192" w:type="dxa"/>
            <w:vAlign w:val="bottom"/>
            <w:hideMark/>
          </w:tcPr>
          <w:p w:rsidR="00732EED" w:rsidRDefault="00732EED" w:rsidP="00732EED">
            <w:pPr>
              <w:spacing w:after="0" w:line="240" w:lineRule="auto"/>
              <w:jc w:val="center"/>
              <w:rPr>
                <w:color w:val="000000"/>
              </w:rPr>
            </w:pPr>
            <w:r>
              <w:rPr>
                <w:color w:val="000000"/>
              </w:rPr>
              <w:t>10.6%</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3</w:t>
            </w:r>
          </w:p>
        </w:tc>
        <w:tc>
          <w:tcPr>
            <w:tcW w:w="3192" w:type="dxa"/>
            <w:vAlign w:val="bottom"/>
            <w:hideMark/>
          </w:tcPr>
          <w:p w:rsidR="00732EED" w:rsidRDefault="00732EED" w:rsidP="00732EED">
            <w:pPr>
              <w:spacing w:after="0" w:line="240" w:lineRule="auto"/>
              <w:jc w:val="center"/>
              <w:rPr>
                <w:color w:val="000000"/>
              </w:rPr>
            </w:pPr>
            <w:r>
              <w:rPr>
                <w:color w:val="000000"/>
              </w:rPr>
              <w:t>12.0%</w:t>
            </w:r>
          </w:p>
        </w:tc>
        <w:tc>
          <w:tcPr>
            <w:tcW w:w="3192" w:type="dxa"/>
            <w:vAlign w:val="bottom"/>
            <w:hideMark/>
          </w:tcPr>
          <w:p w:rsidR="00732EED" w:rsidRDefault="00732EED" w:rsidP="00732EED">
            <w:pPr>
              <w:spacing w:after="0" w:line="240" w:lineRule="auto"/>
              <w:jc w:val="center"/>
              <w:rPr>
                <w:color w:val="000000"/>
              </w:rPr>
            </w:pPr>
            <w:r>
              <w:rPr>
                <w:color w:val="000000"/>
              </w:rPr>
              <w:t>11.9%</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4</w:t>
            </w:r>
          </w:p>
        </w:tc>
        <w:tc>
          <w:tcPr>
            <w:tcW w:w="3192" w:type="dxa"/>
            <w:vAlign w:val="bottom"/>
            <w:hideMark/>
          </w:tcPr>
          <w:p w:rsidR="00732EED" w:rsidRDefault="00732EED" w:rsidP="00732EED">
            <w:pPr>
              <w:spacing w:after="0" w:line="240" w:lineRule="auto"/>
              <w:jc w:val="center"/>
              <w:rPr>
                <w:color w:val="000000"/>
              </w:rPr>
            </w:pPr>
            <w:r>
              <w:rPr>
                <w:color w:val="000000"/>
              </w:rPr>
              <w:t>13.9%</w:t>
            </w:r>
          </w:p>
        </w:tc>
        <w:tc>
          <w:tcPr>
            <w:tcW w:w="3192" w:type="dxa"/>
            <w:vAlign w:val="bottom"/>
            <w:hideMark/>
          </w:tcPr>
          <w:p w:rsidR="00732EED" w:rsidRDefault="00732EED" w:rsidP="00732EED">
            <w:pPr>
              <w:spacing w:after="0" w:line="240" w:lineRule="auto"/>
              <w:jc w:val="center"/>
              <w:rPr>
                <w:color w:val="000000"/>
              </w:rPr>
            </w:pPr>
            <w:r>
              <w:rPr>
                <w:color w:val="000000"/>
              </w:rPr>
              <w:t>13.2%</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5</w:t>
            </w:r>
          </w:p>
        </w:tc>
        <w:tc>
          <w:tcPr>
            <w:tcW w:w="3192" w:type="dxa"/>
            <w:vAlign w:val="bottom"/>
            <w:hideMark/>
          </w:tcPr>
          <w:p w:rsidR="00732EED" w:rsidRDefault="00732EED" w:rsidP="00732EED">
            <w:pPr>
              <w:spacing w:after="0" w:line="240" w:lineRule="auto"/>
              <w:jc w:val="center"/>
              <w:rPr>
                <w:color w:val="000000"/>
              </w:rPr>
            </w:pPr>
            <w:r>
              <w:rPr>
                <w:color w:val="000000"/>
              </w:rPr>
              <w:t>14.6%</w:t>
            </w:r>
          </w:p>
        </w:tc>
        <w:tc>
          <w:tcPr>
            <w:tcW w:w="3192" w:type="dxa"/>
            <w:vAlign w:val="bottom"/>
            <w:hideMark/>
          </w:tcPr>
          <w:p w:rsidR="00732EED" w:rsidRDefault="00732EED" w:rsidP="00732EED">
            <w:pPr>
              <w:spacing w:after="0" w:line="240" w:lineRule="auto"/>
              <w:jc w:val="center"/>
              <w:rPr>
                <w:color w:val="000000"/>
              </w:rPr>
            </w:pPr>
            <w:r>
              <w:rPr>
                <w:color w:val="000000"/>
              </w:rPr>
              <w:t>14.5%</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6</w:t>
            </w:r>
          </w:p>
        </w:tc>
        <w:tc>
          <w:tcPr>
            <w:tcW w:w="3192" w:type="dxa"/>
            <w:vAlign w:val="bottom"/>
            <w:hideMark/>
          </w:tcPr>
          <w:p w:rsidR="00732EED" w:rsidRDefault="00732EED" w:rsidP="00732EED">
            <w:pPr>
              <w:spacing w:after="0" w:line="240" w:lineRule="auto"/>
              <w:jc w:val="center"/>
              <w:rPr>
                <w:color w:val="000000"/>
              </w:rPr>
            </w:pPr>
            <w:r>
              <w:rPr>
                <w:color w:val="000000"/>
              </w:rPr>
              <w:t>16.8%</w:t>
            </w:r>
          </w:p>
        </w:tc>
        <w:tc>
          <w:tcPr>
            <w:tcW w:w="3192" w:type="dxa"/>
            <w:vAlign w:val="bottom"/>
            <w:hideMark/>
          </w:tcPr>
          <w:p w:rsidR="00732EED" w:rsidRDefault="00732EED" w:rsidP="00732EED">
            <w:pPr>
              <w:spacing w:after="0" w:line="240" w:lineRule="auto"/>
              <w:jc w:val="center"/>
              <w:rPr>
                <w:color w:val="000000"/>
              </w:rPr>
            </w:pPr>
            <w:r>
              <w:rPr>
                <w:color w:val="000000"/>
              </w:rPr>
              <w:t>15.9%</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7</w:t>
            </w:r>
          </w:p>
        </w:tc>
        <w:tc>
          <w:tcPr>
            <w:tcW w:w="3192" w:type="dxa"/>
            <w:vAlign w:val="bottom"/>
            <w:hideMark/>
          </w:tcPr>
          <w:p w:rsidR="00732EED" w:rsidRDefault="00732EED" w:rsidP="00732EED">
            <w:pPr>
              <w:spacing w:after="0" w:line="240" w:lineRule="auto"/>
              <w:jc w:val="center"/>
              <w:rPr>
                <w:color w:val="000000"/>
              </w:rPr>
            </w:pPr>
            <w:r>
              <w:rPr>
                <w:color w:val="000000"/>
              </w:rPr>
              <w:t>19.1%</w:t>
            </w:r>
          </w:p>
        </w:tc>
        <w:tc>
          <w:tcPr>
            <w:tcW w:w="3192" w:type="dxa"/>
            <w:vAlign w:val="bottom"/>
            <w:hideMark/>
          </w:tcPr>
          <w:p w:rsidR="00732EED" w:rsidRDefault="00732EED" w:rsidP="00732EED">
            <w:pPr>
              <w:spacing w:after="0" w:line="240" w:lineRule="auto"/>
              <w:jc w:val="center"/>
              <w:rPr>
                <w:color w:val="000000"/>
              </w:rPr>
            </w:pPr>
            <w:r>
              <w:rPr>
                <w:color w:val="000000"/>
              </w:rPr>
              <w:t>17.6%</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8</w:t>
            </w:r>
          </w:p>
        </w:tc>
        <w:tc>
          <w:tcPr>
            <w:tcW w:w="3192" w:type="dxa"/>
            <w:vAlign w:val="bottom"/>
            <w:hideMark/>
          </w:tcPr>
          <w:p w:rsidR="00732EED" w:rsidRDefault="00732EED" w:rsidP="00732EED">
            <w:pPr>
              <w:spacing w:after="0" w:line="240" w:lineRule="auto"/>
              <w:jc w:val="center"/>
              <w:rPr>
                <w:color w:val="000000"/>
              </w:rPr>
            </w:pPr>
            <w:r>
              <w:rPr>
                <w:color w:val="000000"/>
              </w:rPr>
              <w:t>20.7%</w:t>
            </w:r>
          </w:p>
        </w:tc>
        <w:tc>
          <w:tcPr>
            <w:tcW w:w="3192" w:type="dxa"/>
            <w:vAlign w:val="bottom"/>
            <w:hideMark/>
          </w:tcPr>
          <w:p w:rsidR="00732EED" w:rsidRDefault="00732EED" w:rsidP="00732EED">
            <w:pPr>
              <w:spacing w:after="0" w:line="240" w:lineRule="auto"/>
              <w:jc w:val="center"/>
              <w:rPr>
                <w:color w:val="000000"/>
              </w:rPr>
            </w:pPr>
            <w:r>
              <w:rPr>
                <w:color w:val="000000"/>
              </w:rPr>
              <w:t>19.9%</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9</w:t>
            </w:r>
          </w:p>
        </w:tc>
        <w:tc>
          <w:tcPr>
            <w:tcW w:w="3192" w:type="dxa"/>
            <w:vAlign w:val="bottom"/>
            <w:hideMark/>
          </w:tcPr>
          <w:p w:rsidR="00732EED" w:rsidRDefault="00732EED" w:rsidP="00732EED">
            <w:pPr>
              <w:spacing w:after="0" w:line="240" w:lineRule="auto"/>
              <w:jc w:val="center"/>
              <w:rPr>
                <w:color w:val="000000"/>
              </w:rPr>
            </w:pPr>
            <w:r>
              <w:rPr>
                <w:color w:val="000000"/>
              </w:rPr>
              <w:t>23.5%</w:t>
            </w:r>
          </w:p>
        </w:tc>
        <w:tc>
          <w:tcPr>
            <w:tcW w:w="3192" w:type="dxa"/>
            <w:vAlign w:val="bottom"/>
            <w:hideMark/>
          </w:tcPr>
          <w:p w:rsidR="00732EED" w:rsidRDefault="00732EED" w:rsidP="00732EED">
            <w:pPr>
              <w:spacing w:after="0" w:line="240" w:lineRule="auto"/>
              <w:jc w:val="center"/>
              <w:rPr>
                <w:color w:val="000000"/>
              </w:rPr>
            </w:pPr>
            <w:r>
              <w:rPr>
                <w:color w:val="000000"/>
              </w:rPr>
              <w:t>23.2%</w:t>
            </w:r>
          </w:p>
        </w:tc>
      </w:tr>
      <w:tr w:rsidR="00732EED" w:rsidTr="00732EED">
        <w:trPr>
          <w:jc w:val="center"/>
        </w:trPr>
        <w:tc>
          <w:tcPr>
            <w:tcW w:w="3192" w:type="dxa"/>
            <w:tcBorders>
              <w:top w:val="nil"/>
              <w:left w:val="nil"/>
              <w:bottom w:val="single" w:sz="4" w:space="0" w:color="auto"/>
              <w:right w:val="nil"/>
            </w:tcBorders>
            <w:vAlign w:val="bottom"/>
            <w:hideMark/>
          </w:tcPr>
          <w:p w:rsidR="00732EED" w:rsidRDefault="00732EED" w:rsidP="00732EED">
            <w:pPr>
              <w:spacing w:after="0" w:line="240" w:lineRule="auto"/>
              <w:jc w:val="center"/>
              <w:rPr>
                <w:color w:val="000000"/>
              </w:rPr>
            </w:pPr>
            <w:r>
              <w:rPr>
                <w:color w:val="000000"/>
              </w:rPr>
              <w:t>10</w:t>
            </w:r>
          </w:p>
        </w:tc>
        <w:tc>
          <w:tcPr>
            <w:tcW w:w="3192" w:type="dxa"/>
            <w:tcBorders>
              <w:top w:val="nil"/>
              <w:left w:val="nil"/>
              <w:bottom w:val="single" w:sz="4" w:space="0" w:color="auto"/>
              <w:right w:val="nil"/>
            </w:tcBorders>
            <w:vAlign w:val="bottom"/>
            <w:hideMark/>
          </w:tcPr>
          <w:p w:rsidR="00732EED" w:rsidRDefault="00732EED" w:rsidP="00732EED">
            <w:pPr>
              <w:spacing w:after="0" w:line="240" w:lineRule="auto"/>
              <w:jc w:val="center"/>
              <w:rPr>
                <w:color w:val="000000"/>
              </w:rPr>
            </w:pPr>
            <w:r>
              <w:rPr>
                <w:color w:val="000000"/>
              </w:rPr>
              <w:t>31.5%</w:t>
            </w:r>
          </w:p>
        </w:tc>
        <w:tc>
          <w:tcPr>
            <w:tcW w:w="3192" w:type="dxa"/>
            <w:tcBorders>
              <w:top w:val="nil"/>
              <w:left w:val="nil"/>
              <w:bottom w:val="single" w:sz="4" w:space="0" w:color="auto"/>
              <w:right w:val="nil"/>
            </w:tcBorders>
            <w:vAlign w:val="bottom"/>
            <w:hideMark/>
          </w:tcPr>
          <w:p w:rsidR="00732EED" w:rsidRDefault="00732EED" w:rsidP="00732EED">
            <w:pPr>
              <w:spacing w:after="0" w:line="240" w:lineRule="auto"/>
              <w:jc w:val="center"/>
              <w:rPr>
                <w:color w:val="000000"/>
              </w:rPr>
            </w:pPr>
            <w:r>
              <w:rPr>
                <w:color w:val="000000"/>
              </w:rPr>
              <w:t>32.2%</w:t>
            </w:r>
          </w:p>
        </w:tc>
      </w:tr>
    </w:tbl>
    <w:p w:rsidR="00732EED" w:rsidRDefault="00732EED" w:rsidP="00732EED">
      <w:pPr>
        <w:rPr>
          <w:rFonts w:ascii="Calibri" w:eastAsia="Times New Roman" w:hAnsi="Calibri" w:cs="Calibri"/>
        </w:rPr>
      </w:pPr>
    </w:p>
    <w:p w:rsidR="00732EED" w:rsidRPr="00732EED" w:rsidRDefault="00732EED" w:rsidP="00001D73">
      <w:pPr>
        <w:autoSpaceDE w:val="0"/>
        <w:autoSpaceDN w:val="0"/>
        <w:adjustRightInd w:val="0"/>
        <w:spacing w:after="0" w:line="240" w:lineRule="auto"/>
        <w:rPr>
          <w:rFonts w:cstheme="minorHAnsi"/>
          <w:bCs/>
        </w:rPr>
      </w:pPr>
    </w:p>
    <w:p w:rsidR="00732EED" w:rsidRPr="00001D73" w:rsidRDefault="00732EED" w:rsidP="00001D73">
      <w:pPr>
        <w:autoSpaceDE w:val="0"/>
        <w:autoSpaceDN w:val="0"/>
        <w:adjustRightInd w:val="0"/>
        <w:spacing w:after="0" w:line="240" w:lineRule="auto"/>
        <w:rPr>
          <w:rFonts w:cstheme="minorHAnsi"/>
          <w:bCs/>
        </w:rPr>
      </w:pPr>
    </w:p>
    <w:p w:rsidR="00092566" w:rsidRPr="00B87202" w:rsidRDefault="00092566" w:rsidP="00192061">
      <w:pPr>
        <w:shd w:val="clear" w:color="auto" w:fill="D9D9D9" w:themeFill="background1" w:themeFillShade="D9"/>
        <w:autoSpaceDE w:val="0"/>
        <w:autoSpaceDN w:val="0"/>
        <w:adjustRightInd w:val="0"/>
        <w:spacing w:after="0" w:line="240" w:lineRule="auto"/>
        <w:rPr>
          <w:rFonts w:cstheme="minorHAnsi"/>
          <w:b/>
          <w:bCs/>
          <w:color w:val="000099"/>
        </w:rPr>
      </w:pPr>
      <w:r w:rsidRPr="00B87202">
        <w:rPr>
          <w:rFonts w:cstheme="minorHAnsi"/>
          <w:b/>
          <w:bCs/>
          <w:color w:val="000099"/>
        </w:rPr>
        <w:t xml:space="preserve">2b4.4. </w:t>
      </w:r>
      <w:proofErr w:type="gramStart"/>
      <w:r w:rsidRPr="00B87202">
        <w:rPr>
          <w:rFonts w:cstheme="minorHAnsi"/>
          <w:b/>
          <w:bCs/>
          <w:color w:val="000099"/>
        </w:rPr>
        <w:t>What</w:t>
      </w:r>
      <w:proofErr w:type="gramEnd"/>
      <w:r w:rsidRPr="00B87202">
        <w:rPr>
          <w:rFonts w:cstheme="minorHAnsi"/>
          <w:b/>
          <w:bCs/>
          <w:color w:val="000099"/>
        </w:rPr>
        <w:t xml:space="preserve"> were the statistical results of the analyses used to select risk factors?</w:t>
      </w:r>
    </w:p>
    <w:p w:rsidR="00001D73" w:rsidRPr="00B32FA2" w:rsidRDefault="00B32FA2" w:rsidP="00001D73">
      <w:pPr>
        <w:autoSpaceDE w:val="0"/>
        <w:autoSpaceDN w:val="0"/>
        <w:adjustRightInd w:val="0"/>
        <w:spacing w:after="0" w:line="240" w:lineRule="auto"/>
        <w:rPr>
          <w:rFonts w:cstheme="minorHAnsi"/>
          <w:bCs/>
        </w:rPr>
      </w:pPr>
      <w:r>
        <w:rPr>
          <w:rFonts w:cstheme="minorHAnsi"/>
          <w:bCs/>
        </w:rPr>
        <w:t>Please see response in section 2b4.3 above.</w:t>
      </w:r>
    </w:p>
    <w:p w:rsidR="00B32FA2" w:rsidRPr="00001D73" w:rsidRDefault="00B32FA2" w:rsidP="00001D73">
      <w:pPr>
        <w:autoSpaceDE w:val="0"/>
        <w:autoSpaceDN w:val="0"/>
        <w:adjustRightInd w:val="0"/>
        <w:spacing w:after="0" w:line="240" w:lineRule="auto"/>
        <w:rPr>
          <w:rFonts w:cstheme="minorHAnsi"/>
          <w:b/>
          <w:bCs/>
        </w:rPr>
      </w:pPr>
    </w:p>
    <w:p w:rsidR="00092566" w:rsidRPr="00B87202" w:rsidRDefault="00E1508F"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2b4.</w:t>
      </w:r>
      <w:r w:rsidR="00092566" w:rsidRPr="00B87202">
        <w:rPr>
          <w:rFonts w:cstheme="minorHAnsi"/>
          <w:b/>
          <w:bCs/>
          <w:color w:val="000099"/>
        </w:rPr>
        <w:t xml:space="preserve">5. </w:t>
      </w:r>
      <w:r w:rsidR="008871A9" w:rsidRPr="00B87202">
        <w:rPr>
          <w:rFonts w:cstheme="minorHAnsi"/>
          <w:b/>
          <w:bCs/>
          <w:color w:val="000099"/>
        </w:rPr>
        <w:t>Describe the method of</w:t>
      </w:r>
      <w:r w:rsidR="00092566" w:rsidRPr="00B87202">
        <w:rPr>
          <w:rFonts w:cstheme="minorHAnsi"/>
          <w:b/>
          <w:bCs/>
          <w:color w:val="000099"/>
        </w:rPr>
        <w:t xml:space="preserve"> </w:t>
      </w:r>
      <w:r w:rsidR="008871A9" w:rsidRPr="00B87202">
        <w:rPr>
          <w:rFonts w:cstheme="minorHAnsi"/>
          <w:b/>
          <w:bCs/>
          <w:color w:val="000099"/>
        </w:rPr>
        <w:t xml:space="preserve">testing/analysis used </w:t>
      </w:r>
      <w:r w:rsidR="00092566" w:rsidRPr="00B87202">
        <w:rPr>
          <w:rFonts w:cstheme="minorHAnsi"/>
          <w:b/>
          <w:bCs/>
          <w:color w:val="000099"/>
        </w:rPr>
        <w:t xml:space="preserve">to develop and validate the adequacy of the statistical model </w:t>
      </w:r>
      <w:r w:rsidR="00092566" w:rsidRPr="00B87202">
        <w:rPr>
          <w:rFonts w:cstheme="minorHAnsi"/>
          <w:b/>
          <w:bCs/>
          <w:color w:val="000099"/>
          <w:u w:val="single"/>
        </w:rPr>
        <w:t>or</w:t>
      </w:r>
      <w:r w:rsidR="00092566" w:rsidRPr="00B87202">
        <w:rPr>
          <w:rFonts w:cstheme="minorHAnsi"/>
          <w:b/>
          <w:bCs/>
          <w:color w:val="000099"/>
        </w:rPr>
        <w:t xml:space="preserve"> stratification approach</w:t>
      </w:r>
      <w:r w:rsidR="00092566" w:rsidRPr="00B87202">
        <w:rPr>
          <w:rFonts w:cstheme="minorHAnsi"/>
          <w:bCs/>
          <w:color w:val="000099"/>
        </w:rPr>
        <w:t xml:space="preserve"> (</w:t>
      </w:r>
      <w:r w:rsidR="008871A9" w:rsidRPr="00B87202">
        <w:rPr>
          <w:rFonts w:cstheme="minorHAnsi"/>
          <w:bCs/>
          <w:i/>
          <w:color w:val="000099"/>
        </w:rPr>
        <w:t>describe the steps―do not just name a method</w:t>
      </w:r>
      <w:r w:rsidR="006C3A4F" w:rsidRPr="00B87202">
        <w:rPr>
          <w:rFonts w:cstheme="minorHAnsi"/>
          <w:bCs/>
          <w:i/>
          <w:color w:val="000099"/>
        </w:rPr>
        <w:t>; what statistical analysis was used</w:t>
      </w:r>
      <w:r w:rsidR="00B32FA2">
        <w:rPr>
          <w:rFonts w:cstheme="minorHAnsi"/>
          <w:bCs/>
          <w:color w:val="000099"/>
        </w:rPr>
        <w:t>)</w:t>
      </w:r>
    </w:p>
    <w:p w:rsidR="00B32FA2" w:rsidRPr="00B32FA2" w:rsidRDefault="00B32FA2" w:rsidP="00B32FA2">
      <w:pPr>
        <w:autoSpaceDE w:val="0"/>
        <w:autoSpaceDN w:val="0"/>
        <w:adjustRightInd w:val="0"/>
        <w:spacing w:after="0" w:line="240" w:lineRule="auto"/>
        <w:rPr>
          <w:rFonts w:cstheme="minorHAnsi"/>
          <w:bCs/>
        </w:rPr>
      </w:pPr>
      <w:r>
        <w:rPr>
          <w:rFonts w:cstheme="minorHAnsi"/>
          <w:bCs/>
        </w:rPr>
        <w:t>Please see response in section 2b4.3 above.</w:t>
      </w:r>
    </w:p>
    <w:p w:rsidR="00B32FA2" w:rsidRPr="00A25024" w:rsidRDefault="00B32FA2" w:rsidP="00092566">
      <w:pPr>
        <w:autoSpaceDE w:val="0"/>
        <w:autoSpaceDN w:val="0"/>
        <w:adjustRightInd w:val="0"/>
        <w:spacing w:after="0" w:line="240" w:lineRule="auto"/>
        <w:rPr>
          <w:rFonts w:cstheme="minorHAnsi"/>
          <w:bCs/>
        </w:rPr>
      </w:pPr>
    </w:p>
    <w:p w:rsidR="00743E46" w:rsidRDefault="00001D73" w:rsidP="00B32FA2">
      <w:pPr>
        <w:shd w:val="clear" w:color="auto" w:fill="D9D9D9" w:themeFill="background1" w:themeFillShade="D9"/>
        <w:autoSpaceDE w:val="0"/>
        <w:autoSpaceDN w:val="0"/>
        <w:adjustRightInd w:val="0"/>
        <w:spacing w:after="0" w:line="240" w:lineRule="auto"/>
        <w:rPr>
          <w:rFonts w:cstheme="minorHAnsi"/>
          <w:b/>
          <w:bCs/>
        </w:rPr>
      </w:pPr>
      <w:r w:rsidRPr="00B87202">
        <w:rPr>
          <w:rFonts w:cstheme="minorHAnsi"/>
          <w:bCs/>
          <w:i/>
          <w:color w:val="000099"/>
        </w:rPr>
        <w:lastRenderedPageBreak/>
        <w:t>Provide</w:t>
      </w:r>
      <w:r w:rsidR="00092566" w:rsidRPr="00B87202">
        <w:rPr>
          <w:rFonts w:cstheme="minorHAnsi"/>
          <w:bCs/>
          <w:i/>
          <w:color w:val="000099"/>
        </w:rPr>
        <w:t xml:space="preserve"> the statistical results from testing the approach to controlling for differences in patient characteristics (case mix)</w:t>
      </w:r>
      <w:r w:rsidRPr="00B87202">
        <w:rPr>
          <w:rFonts w:cstheme="minorHAnsi"/>
          <w:bCs/>
          <w:i/>
          <w:color w:val="000099"/>
        </w:rPr>
        <w:t xml:space="preserve"> below</w:t>
      </w:r>
      <w:r w:rsidRPr="00B87202">
        <w:rPr>
          <w:rFonts w:cstheme="minorHAnsi"/>
          <w:bCs/>
          <w:color w:val="000099"/>
        </w:rPr>
        <w:t>.</w:t>
      </w:r>
      <w:r w:rsidR="00092566" w:rsidRPr="00B87202">
        <w:rPr>
          <w:rFonts w:cstheme="minorHAnsi"/>
          <w:bCs/>
          <w:color w:val="000099"/>
        </w:rPr>
        <w:br/>
      </w:r>
      <w:proofErr w:type="gramStart"/>
      <w:r w:rsidR="00743E46" w:rsidRPr="00B87202">
        <w:rPr>
          <w:rFonts w:cstheme="minorHAnsi"/>
          <w:b/>
          <w:bCs/>
          <w:i/>
          <w:color w:val="000099"/>
          <w:highlight w:val="green"/>
        </w:rPr>
        <w:t>if</w:t>
      </w:r>
      <w:proofErr w:type="gramEnd"/>
      <w:r w:rsidR="00743E46" w:rsidRPr="00B87202">
        <w:rPr>
          <w:rFonts w:cstheme="minorHAnsi"/>
          <w:b/>
          <w:bCs/>
          <w:i/>
          <w:color w:val="000099"/>
          <w:highlight w:val="green"/>
        </w:rPr>
        <w:t xml:space="preserve"> stratified, skip to </w:t>
      </w:r>
      <w:hyperlink w:anchor="question2b49" w:history="1">
        <w:r w:rsidR="00743E46" w:rsidRPr="00B87202">
          <w:rPr>
            <w:rStyle w:val="Hyperlink"/>
            <w:rFonts w:cstheme="minorHAnsi"/>
            <w:b/>
            <w:bCs/>
            <w:i/>
            <w:color w:val="000099"/>
            <w:highlight w:val="green"/>
          </w:rPr>
          <w:t>2b4.9</w:t>
        </w:r>
      </w:hyperlink>
    </w:p>
    <w:p w:rsidR="00192061" w:rsidRPr="00B87202" w:rsidRDefault="00743E46" w:rsidP="00192061">
      <w:pPr>
        <w:shd w:val="clear" w:color="auto" w:fill="D9D9D9" w:themeFill="background1" w:themeFillShade="D9"/>
        <w:autoSpaceDE w:val="0"/>
        <w:autoSpaceDN w:val="0"/>
        <w:adjustRightInd w:val="0"/>
        <w:spacing w:after="0" w:line="240" w:lineRule="auto"/>
        <w:rPr>
          <w:rFonts w:cstheme="minorHAnsi"/>
          <w:b/>
          <w:bCs/>
          <w:color w:val="000099"/>
        </w:rPr>
      </w:pPr>
      <w:r w:rsidRPr="00B87202">
        <w:rPr>
          <w:rFonts w:cstheme="minorHAnsi"/>
          <w:b/>
          <w:bCs/>
          <w:color w:val="000099"/>
        </w:rPr>
        <w:t xml:space="preserve">2b4.6. </w:t>
      </w:r>
      <w:r w:rsidR="00001D73" w:rsidRPr="00B87202">
        <w:rPr>
          <w:rFonts w:cstheme="minorHAnsi"/>
          <w:b/>
          <w:bCs/>
          <w:color w:val="000099"/>
        </w:rPr>
        <w:t xml:space="preserve">Statistical </w:t>
      </w:r>
      <w:r w:rsidR="00092566" w:rsidRPr="00B87202">
        <w:rPr>
          <w:rFonts w:cstheme="minorHAnsi"/>
          <w:b/>
          <w:bCs/>
          <w:color w:val="000099"/>
        </w:rPr>
        <w:t>Risk Model Discrimination Statistics</w:t>
      </w:r>
      <w:r w:rsidR="003605B4" w:rsidRPr="00B87202">
        <w:rPr>
          <w:rFonts w:cstheme="minorHAnsi"/>
          <w:bCs/>
          <w:color w:val="000099"/>
        </w:rPr>
        <w:t xml:space="preserve"> (</w:t>
      </w:r>
      <w:r w:rsidR="003605B4" w:rsidRPr="00B87202">
        <w:rPr>
          <w:rFonts w:cstheme="minorHAnsi"/>
          <w:bCs/>
          <w:i/>
          <w:color w:val="000099"/>
        </w:rPr>
        <w:t>e.g., c-statistic, R-squared</w:t>
      </w:r>
      <w:r w:rsidR="003605B4" w:rsidRPr="00B87202">
        <w:rPr>
          <w:rFonts w:cstheme="minorHAnsi"/>
          <w:bCs/>
          <w:color w:val="000099"/>
        </w:rPr>
        <w:t>)</w:t>
      </w:r>
      <w:r w:rsidRPr="00B87202">
        <w:rPr>
          <w:rFonts w:cstheme="minorHAnsi"/>
          <w:b/>
          <w:bCs/>
          <w:color w:val="000099"/>
        </w:rPr>
        <w:t>:</w:t>
      </w:r>
      <w:r w:rsidR="00092566" w:rsidRPr="00B87202">
        <w:rPr>
          <w:rFonts w:cstheme="minorHAnsi"/>
          <w:b/>
          <w:bCs/>
          <w:color w:val="000099"/>
        </w:rPr>
        <w:t xml:space="preserve">  </w:t>
      </w:r>
    </w:p>
    <w:p w:rsidR="00001D73" w:rsidRPr="00732EED" w:rsidRDefault="00732EED" w:rsidP="00192061">
      <w:pPr>
        <w:autoSpaceDE w:val="0"/>
        <w:autoSpaceDN w:val="0"/>
        <w:adjustRightInd w:val="0"/>
        <w:spacing w:after="0" w:line="240" w:lineRule="auto"/>
        <w:rPr>
          <w:rFonts w:cstheme="minorHAnsi"/>
          <w:bCs/>
        </w:rPr>
      </w:pPr>
      <w:r w:rsidRPr="00732EED">
        <w:rPr>
          <w:rFonts w:cstheme="minorHAnsi"/>
        </w:rPr>
        <w:t>The C-index was 0.632. This level of discrimination is comparable to several other existing CMS readmission measures.</w:t>
      </w:r>
      <w:r w:rsidR="00092566" w:rsidRPr="00732EED">
        <w:rPr>
          <w:rFonts w:cstheme="minorHAnsi"/>
        </w:rPr>
        <w:br/>
      </w:r>
    </w:p>
    <w:p w:rsidR="00192061" w:rsidRPr="00B87202" w:rsidRDefault="00743E46"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2b4.7</w:t>
      </w:r>
      <w:r w:rsidR="00001D73" w:rsidRPr="00B87202">
        <w:rPr>
          <w:rFonts w:cstheme="minorHAnsi"/>
          <w:b/>
          <w:bCs/>
          <w:color w:val="000099"/>
        </w:rPr>
        <w:t xml:space="preserve">. </w:t>
      </w:r>
      <w:r w:rsidRPr="00B87202">
        <w:rPr>
          <w:rFonts w:cstheme="minorHAnsi"/>
          <w:b/>
          <w:bCs/>
          <w:color w:val="000099"/>
        </w:rPr>
        <w:t xml:space="preserve">Statistical </w:t>
      </w:r>
      <w:r w:rsidR="00092566" w:rsidRPr="00B87202">
        <w:rPr>
          <w:rFonts w:cstheme="minorHAnsi"/>
          <w:b/>
          <w:bCs/>
          <w:color w:val="000099"/>
        </w:rPr>
        <w:t>Risk Model Calibration Statistics</w:t>
      </w:r>
      <w:r w:rsidR="003605B4" w:rsidRPr="00B87202">
        <w:rPr>
          <w:rFonts w:cstheme="minorHAnsi"/>
          <w:b/>
          <w:bCs/>
          <w:color w:val="000099"/>
        </w:rPr>
        <w:t xml:space="preserve"> </w:t>
      </w:r>
      <w:r w:rsidR="003605B4" w:rsidRPr="00B87202">
        <w:rPr>
          <w:rFonts w:cstheme="minorHAnsi"/>
          <w:bCs/>
          <w:color w:val="000099"/>
        </w:rPr>
        <w:t>(</w:t>
      </w:r>
      <w:r w:rsidR="003605B4" w:rsidRPr="00B87202">
        <w:rPr>
          <w:rFonts w:cstheme="minorHAnsi"/>
          <w:bCs/>
          <w:i/>
          <w:color w:val="000099"/>
        </w:rPr>
        <w:t xml:space="preserve">e.g., </w:t>
      </w:r>
      <w:proofErr w:type="spellStart"/>
      <w:r w:rsidR="003605B4" w:rsidRPr="00B87202">
        <w:rPr>
          <w:rFonts w:cstheme="minorHAnsi"/>
          <w:bCs/>
          <w:i/>
          <w:color w:val="000099"/>
        </w:rPr>
        <w:t>Hosmer-Lemeshow</w:t>
      </w:r>
      <w:proofErr w:type="spellEnd"/>
      <w:r w:rsidR="003605B4" w:rsidRPr="00B87202">
        <w:rPr>
          <w:rFonts w:cstheme="minorHAnsi"/>
          <w:bCs/>
          <w:i/>
          <w:color w:val="000099"/>
        </w:rPr>
        <w:t xml:space="preserve"> statistic</w:t>
      </w:r>
      <w:r w:rsidR="003605B4" w:rsidRPr="00B87202">
        <w:rPr>
          <w:rFonts w:cstheme="minorHAnsi"/>
          <w:bCs/>
          <w:color w:val="000099"/>
        </w:rPr>
        <w:t>)</w:t>
      </w:r>
      <w:r w:rsidR="00092566" w:rsidRPr="00B87202">
        <w:rPr>
          <w:rFonts w:cstheme="minorHAnsi"/>
          <w:bCs/>
          <w:color w:val="000099"/>
        </w:rPr>
        <w:t xml:space="preserve">:  </w:t>
      </w:r>
    </w:p>
    <w:p w:rsidR="00001D73" w:rsidRDefault="00732EED" w:rsidP="00192061">
      <w:pPr>
        <w:autoSpaceDE w:val="0"/>
        <w:autoSpaceDN w:val="0"/>
        <w:adjustRightInd w:val="0"/>
        <w:spacing w:after="0" w:line="240" w:lineRule="auto"/>
        <w:rPr>
          <w:rFonts w:cstheme="minorHAnsi"/>
          <w:b/>
          <w:bCs/>
        </w:rPr>
      </w:pPr>
      <w:r w:rsidRPr="00732EED">
        <w:rPr>
          <w:rFonts w:cstheme="minorHAnsi"/>
          <w:bCs/>
        </w:rPr>
        <w:t>As shown in the figure and table below</w:t>
      </w:r>
      <w:r>
        <w:rPr>
          <w:rFonts w:cstheme="minorHAnsi"/>
          <w:bCs/>
        </w:rPr>
        <w:t xml:space="preserve"> in 2b4.8</w:t>
      </w:r>
      <w:r w:rsidRPr="00732EED">
        <w:rPr>
          <w:rFonts w:cstheme="minorHAnsi"/>
          <w:bCs/>
        </w:rPr>
        <w:t>, there was excellent agreement between observed and expected readmission rates.</w:t>
      </w:r>
      <w:r w:rsidR="00092566" w:rsidRPr="00A25024">
        <w:rPr>
          <w:rFonts w:cstheme="minorHAnsi"/>
          <w:bCs/>
        </w:rPr>
        <w:br/>
      </w:r>
    </w:p>
    <w:p w:rsidR="00732EED" w:rsidRDefault="00743E46" w:rsidP="00732EED">
      <w:pPr>
        <w:shd w:val="clear" w:color="auto" w:fill="D9D9D9" w:themeFill="background1" w:themeFillShade="D9"/>
        <w:spacing w:after="0" w:line="240" w:lineRule="auto"/>
        <w:rPr>
          <w:rFonts w:eastAsia="Times New Roman"/>
        </w:rPr>
      </w:pPr>
      <w:r w:rsidRPr="00B87202">
        <w:rPr>
          <w:rFonts w:cstheme="minorHAnsi"/>
          <w:b/>
          <w:bCs/>
          <w:color w:val="000099"/>
          <w:shd w:val="clear" w:color="auto" w:fill="D9D9D9" w:themeFill="background1" w:themeFillShade="D9"/>
        </w:rPr>
        <w:t>2b4.8</w:t>
      </w:r>
      <w:r w:rsidR="00001D73" w:rsidRPr="00B87202">
        <w:rPr>
          <w:rFonts w:cstheme="minorHAnsi"/>
          <w:b/>
          <w:bCs/>
          <w:color w:val="000099"/>
          <w:shd w:val="clear" w:color="auto" w:fill="D9D9D9" w:themeFill="background1" w:themeFillShade="D9"/>
        </w:rPr>
        <w:t xml:space="preserve">. </w:t>
      </w:r>
      <w:r w:rsidRPr="00B87202">
        <w:rPr>
          <w:rFonts w:cstheme="minorHAnsi"/>
          <w:b/>
          <w:bCs/>
          <w:color w:val="000099"/>
          <w:shd w:val="clear" w:color="auto" w:fill="D9D9D9" w:themeFill="background1" w:themeFillShade="D9"/>
        </w:rPr>
        <w:t xml:space="preserve">Statistical </w:t>
      </w:r>
      <w:r w:rsidR="00092566" w:rsidRPr="00B87202">
        <w:rPr>
          <w:rFonts w:cstheme="minorHAnsi"/>
          <w:b/>
          <w:bCs/>
          <w:color w:val="000099"/>
          <w:shd w:val="clear" w:color="auto" w:fill="D9D9D9" w:themeFill="background1" w:themeFillShade="D9"/>
        </w:rPr>
        <w:t xml:space="preserve">Risk Model Calibration – Risk </w:t>
      </w:r>
      <w:proofErr w:type="spellStart"/>
      <w:r w:rsidR="00092566" w:rsidRPr="00B87202">
        <w:rPr>
          <w:rFonts w:cstheme="minorHAnsi"/>
          <w:b/>
          <w:bCs/>
          <w:color w:val="000099"/>
          <w:shd w:val="clear" w:color="auto" w:fill="D9D9D9" w:themeFill="background1" w:themeFillShade="D9"/>
        </w:rPr>
        <w:t>decile</w:t>
      </w:r>
      <w:proofErr w:type="spellEnd"/>
      <w:r w:rsidR="00092566" w:rsidRPr="00B87202">
        <w:rPr>
          <w:rFonts w:cstheme="minorHAnsi"/>
          <w:b/>
          <w:bCs/>
          <w:color w:val="000099"/>
          <w:shd w:val="clear" w:color="auto" w:fill="D9D9D9" w:themeFill="background1" w:themeFillShade="D9"/>
        </w:rPr>
        <w:t xml:space="preserve"> plots or calibration curves</w:t>
      </w:r>
      <w:r w:rsidR="00732EED">
        <w:rPr>
          <w:rFonts w:cstheme="minorHAnsi"/>
          <w:bCs/>
          <w:color w:val="000099"/>
          <w:shd w:val="clear" w:color="auto" w:fill="D9D9D9" w:themeFill="background1" w:themeFillShade="D9"/>
        </w:rPr>
        <w:t>:</w:t>
      </w:r>
    </w:p>
    <w:p w:rsidR="00732EED" w:rsidRDefault="00732EED" w:rsidP="00732EED">
      <w:pPr>
        <w:spacing w:after="0" w:line="240" w:lineRule="auto"/>
        <w:jc w:val="center"/>
        <w:rPr>
          <w:rFonts w:eastAsia="Times New Roman"/>
        </w:rPr>
      </w:pPr>
      <w:r>
        <w:rPr>
          <w:noProof/>
        </w:rPr>
        <w:drawing>
          <wp:inline distT="0" distB="0" distL="0" distR="0">
            <wp:extent cx="4324350" cy="3838575"/>
            <wp:effectExtent l="0" t="0" r="0" b="9525"/>
            <wp:docPr id="2" name="Picture 2" descr="Description: G:\sts\xh31\readmission\model\OEPlot_Readmission_08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G:\sts\xh31\readmission\model\OEPlot_Readmission_08_Final.pn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8369" b="2864"/>
                    <a:stretch/>
                  </pic:blipFill>
                  <pic:spPr bwMode="auto">
                    <a:xfrm>
                      <a:off x="0" y="0"/>
                      <a:ext cx="4324350" cy="3838575"/>
                    </a:xfrm>
                    <a:prstGeom prst="rect">
                      <a:avLst/>
                    </a:prstGeom>
                    <a:noFill/>
                    <a:ln>
                      <a:noFill/>
                    </a:ln>
                    <a:extLst>
                      <a:ext uri="{53640926-AAD7-44D8-BBD7-CCE9431645EC}">
                        <a14:shadowObscured xmlns:a14="http://schemas.microsoft.com/office/drawing/2010/main"/>
                      </a:ext>
                    </a:extLst>
                  </pic:spPr>
                </pic:pic>
              </a:graphicData>
            </a:graphic>
          </wp:inline>
        </w:drawing>
      </w:r>
    </w:p>
    <w:p w:rsidR="00732EED" w:rsidRDefault="00732EED" w:rsidP="00732EED">
      <w:pPr>
        <w:spacing w:after="0" w:line="240" w:lineRule="auto"/>
        <w:rPr>
          <w:rFonts w:eastAsia="Times New Roman"/>
        </w:rPr>
      </w:pPr>
    </w:p>
    <w:p w:rsidR="00732EED" w:rsidRDefault="00732EED" w:rsidP="00732EED">
      <w:pPr>
        <w:spacing w:after="0" w:line="240" w:lineRule="auto"/>
        <w:jc w:val="center"/>
        <w:rPr>
          <w:rFonts w:eastAsia="Times New Roman"/>
          <w:b/>
        </w:rPr>
      </w:pPr>
      <w:r>
        <w:rPr>
          <w:rFonts w:eastAsia="Times New Roman"/>
          <w:b/>
        </w:rPr>
        <w:t>Predicted risk calculated with the final model fitted on 2008 data</w:t>
      </w:r>
    </w:p>
    <w:tbl>
      <w:tblPr>
        <w:tblW w:w="0" w:type="auto"/>
        <w:jc w:val="center"/>
        <w:tblLook w:val="04A0" w:firstRow="1" w:lastRow="0" w:firstColumn="1" w:lastColumn="0" w:noHBand="0" w:noVBand="1"/>
      </w:tblPr>
      <w:tblGrid>
        <w:gridCol w:w="3192"/>
        <w:gridCol w:w="3192"/>
        <w:gridCol w:w="3192"/>
      </w:tblGrid>
      <w:tr w:rsidR="00732EED" w:rsidTr="00732EED">
        <w:trPr>
          <w:jc w:val="center"/>
        </w:trPr>
        <w:tc>
          <w:tcPr>
            <w:tcW w:w="3192" w:type="dxa"/>
            <w:tcBorders>
              <w:top w:val="single" w:sz="4" w:space="0" w:color="auto"/>
              <w:left w:val="nil"/>
              <w:bottom w:val="nil"/>
              <w:right w:val="nil"/>
            </w:tcBorders>
            <w:hideMark/>
          </w:tcPr>
          <w:p w:rsidR="00732EED" w:rsidRDefault="00732EED" w:rsidP="00732EED">
            <w:pPr>
              <w:spacing w:after="0" w:line="240" w:lineRule="auto"/>
              <w:rPr>
                <w:b/>
              </w:rPr>
            </w:pPr>
            <w:r>
              <w:rPr>
                <w:b/>
              </w:rPr>
              <w:t>Deciles of Predicted Risk of Readmission</w:t>
            </w:r>
          </w:p>
        </w:tc>
        <w:tc>
          <w:tcPr>
            <w:tcW w:w="3192" w:type="dxa"/>
            <w:tcBorders>
              <w:top w:val="single" w:sz="4" w:space="0" w:color="auto"/>
              <w:left w:val="nil"/>
              <w:bottom w:val="nil"/>
              <w:right w:val="nil"/>
            </w:tcBorders>
            <w:hideMark/>
          </w:tcPr>
          <w:p w:rsidR="00732EED" w:rsidRDefault="00732EED" w:rsidP="00732EED">
            <w:pPr>
              <w:spacing w:after="0" w:line="240" w:lineRule="auto"/>
              <w:rPr>
                <w:b/>
              </w:rPr>
            </w:pPr>
            <w:r>
              <w:rPr>
                <w:b/>
              </w:rPr>
              <w:t>Observed Readmission Rate</w:t>
            </w:r>
          </w:p>
        </w:tc>
        <w:tc>
          <w:tcPr>
            <w:tcW w:w="3192" w:type="dxa"/>
            <w:tcBorders>
              <w:top w:val="single" w:sz="4" w:space="0" w:color="auto"/>
              <w:left w:val="nil"/>
              <w:bottom w:val="nil"/>
              <w:right w:val="nil"/>
            </w:tcBorders>
            <w:hideMark/>
          </w:tcPr>
          <w:p w:rsidR="00732EED" w:rsidRDefault="00732EED" w:rsidP="00732EED">
            <w:pPr>
              <w:spacing w:after="0" w:line="240" w:lineRule="auto"/>
              <w:rPr>
                <w:b/>
              </w:rPr>
            </w:pPr>
            <w:r>
              <w:rPr>
                <w:b/>
              </w:rPr>
              <w:t>Predicted Readmission Rate</w:t>
            </w:r>
          </w:p>
        </w:tc>
      </w:tr>
      <w:tr w:rsidR="00732EED" w:rsidTr="00732EED">
        <w:trPr>
          <w:jc w:val="center"/>
        </w:trPr>
        <w:tc>
          <w:tcPr>
            <w:tcW w:w="3192" w:type="dxa"/>
            <w:tcBorders>
              <w:top w:val="single" w:sz="4" w:space="0" w:color="auto"/>
              <w:left w:val="nil"/>
              <w:bottom w:val="nil"/>
              <w:right w:val="nil"/>
            </w:tcBorders>
            <w:vAlign w:val="bottom"/>
            <w:hideMark/>
          </w:tcPr>
          <w:p w:rsidR="00732EED" w:rsidRDefault="00732EED" w:rsidP="00732EED">
            <w:pPr>
              <w:spacing w:after="0" w:line="240" w:lineRule="auto"/>
              <w:jc w:val="center"/>
              <w:rPr>
                <w:color w:val="000000"/>
              </w:rPr>
            </w:pPr>
            <w:r>
              <w:rPr>
                <w:color w:val="000000"/>
              </w:rPr>
              <w:t>1</w:t>
            </w:r>
          </w:p>
        </w:tc>
        <w:tc>
          <w:tcPr>
            <w:tcW w:w="3192" w:type="dxa"/>
            <w:tcBorders>
              <w:top w:val="single" w:sz="4" w:space="0" w:color="auto"/>
              <w:left w:val="nil"/>
              <w:bottom w:val="nil"/>
              <w:right w:val="nil"/>
            </w:tcBorders>
            <w:vAlign w:val="bottom"/>
            <w:hideMark/>
          </w:tcPr>
          <w:p w:rsidR="00732EED" w:rsidRDefault="00732EED" w:rsidP="00732EED">
            <w:pPr>
              <w:spacing w:after="0" w:line="240" w:lineRule="auto"/>
              <w:jc w:val="center"/>
              <w:rPr>
                <w:color w:val="000000"/>
              </w:rPr>
            </w:pPr>
            <w:r>
              <w:rPr>
                <w:color w:val="000000"/>
              </w:rPr>
              <w:t>7.8%</w:t>
            </w:r>
          </w:p>
        </w:tc>
        <w:tc>
          <w:tcPr>
            <w:tcW w:w="3192" w:type="dxa"/>
            <w:tcBorders>
              <w:top w:val="single" w:sz="4" w:space="0" w:color="auto"/>
              <w:left w:val="nil"/>
              <w:bottom w:val="nil"/>
              <w:right w:val="nil"/>
            </w:tcBorders>
            <w:vAlign w:val="bottom"/>
            <w:hideMark/>
          </w:tcPr>
          <w:p w:rsidR="00732EED" w:rsidRDefault="00732EED" w:rsidP="00732EED">
            <w:pPr>
              <w:spacing w:after="0" w:line="240" w:lineRule="auto"/>
              <w:jc w:val="center"/>
              <w:rPr>
                <w:color w:val="000000"/>
              </w:rPr>
            </w:pPr>
            <w:r>
              <w:rPr>
                <w:color w:val="000000"/>
              </w:rPr>
              <w:t>8.9%</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2</w:t>
            </w:r>
          </w:p>
        </w:tc>
        <w:tc>
          <w:tcPr>
            <w:tcW w:w="3192" w:type="dxa"/>
            <w:vAlign w:val="bottom"/>
            <w:hideMark/>
          </w:tcPr>
          <w:p w:rsidR="00732EED" w:rsidRDefault="00732EED" w:rsidP="00732EED">
            <w:pPr>
              <w:spacing w:after="0" w:line="240" w:lineRule="auto"/>
              <w:jc w:val="center"/>
              <w:rPr>
                <w:color w:val="000000"/>
              </w:rPr>
            </w:pPr>
            <w:r>
              <w:rPr>
                <w:color w:val="000000"/>
              </w:rPr>
              <w:t>10.3%</w:t>
            </w:r>
          </w:p>
        </w:tc>
        <w:tc>
          <w:tcPr>
            <w:tcW w:w="3192" w:type="dxa"/>
            <w:vAlign w:val="bottom"/>
            <w:hideMark/>
          </w:tcPr>
          <w:p w:rsidR="00732EED" w:rsidRDefault="00732EED" w:rsidP="00732EED">
            <w:pPr>
              <w:spacing w:after="0" w:line="240" w:lineRule="auto"/>
              <w:jc w:val="center"/>
              <w:rPr>
                <w:color w:val="000000"/>
              </w:rPr>
            </w:pPr>
            <w:r>
              <w:rPr>
                <w:color w:val="000000"/>
              </w:rPr>
              <w:t>10.6%</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3</w:t>
            </w:r>
          </w:p>
        </w:tc>
        <w:tc>
          <w:tcPr>
            <w:tcW w:w="3192" w:type="dxa"/>
            <w:vAlign w:val="bottom"/>
            <w:hideMark/>
          </w:tcPr>
          <w:p w:rsidR="00732EED" w:rsidRDefault="00732EED" w:rsidP="00732EED">
            <w:pPr>
              <w:spacing w:after="0" w:line="240" w:lineRule="auto"/>
              <w:jc w:val="center"/>
              <w:rPr>
                <w:color w:val="000000"/>
              </w:rPr>
            </w:pPr>
            <w:r>
              <w:rPr>
                <w:color w:val="000000"/>
              </w:rPr>
              <w:t>12.0%</w:t>
            </w:r>
          </w:p>
        </w:tc>
        <w:tc>
          <w:tcPr>
            <w:tcW w:w="3192" w:type="dxa"/>
            <w:vAlign w:val="bottom"/>
            <w:hideMark/>
          </w:tcPr>
          <w:p w:rsidR="00732EED" w:rsidRDefault="00732EED" w:rsidP="00732EED">
            <w:pPr>
              <w:spacing w:after="0" w:line="240" w:lineRule="auto"/>
              <w:jc w:val="center"/>
              <w:rPr>
                <w:color w:val="000000"/>
              </w:rPr>
            </w:pPr>
            <w:r>
              <w:rPr>
                <w:color w:val="000000"/>
              </w:rPr>
              <w:t>11.9%</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4</w:t>
            </w:r>
          </w:p>
        </w:tc>
        <w:tc>
          <w:tcPr>
            <w:tcW w:w="3192" w:type="dxa"/>
            <w:vAlign w:val="bottom"/>
            <w:hideMark/>
          </w:tcPr>
          <w:p w:rsidR="00732EED" w:rsidRDefault="00732EED" w:rsidP="00732EED">
            <w:pPr>
              <w:spacing w:after="0" w:line="240" w:lineRule="auto"/>
              <w:jc w:val="center"/>
              <w:rPr>
                <w:color w:val="000000"/>
              </w:rPr>
            </w:pPr>
            <w:r>
              <w:rPr>
                <w:color w:val="000000"/>
              </w:rPr>
              <w:t>13.9%</w:t>
            </w:r>
          </w:p>
        </w:tc>
        <w:tc>
          <w:tcPr>
            <w:tcW w:w="3192" w:type="dxa"/>
            <w:vAlign w:val="bottom"/>
            <w:hideMark/>
          </w:tcPr>
          <w:p w:rsidR="00732EED" w:rsidRDefault="00732EED" w:rsidP="00732EED">
            <w:pPr>
              <w:spacing w:after="0" w:line="240" w:lineRule="auto"/>
              <w:jc w:val="center"/>
              <w:rPr>
                <w:color w:val="000000"/>
              </w:rPr>
            </w:pPr>
            <w:r>
              <w:rPr>
                <w:color w:val="000000"/>
              </w:rPr>
              <w:t>13.2%</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5</w:t>
            </w:r>
          </w:p>
        </w:tc>
        <w:tc>
          <w:tcPr>
            <w:tcW w:w="3192" w:type="dxa"/>
            <w:vAlign w:val="bottom"/>
            <w:hideMark/>
          </w:tcPr>
          <w:p w:rsidR="00732EED" w:rsidRDefault="00732EED" w:rsidP="00732EED">
            <w:pPr>
              <w:spacing w:after="0" w:line="240" w:lineRule="auto"/>
              <w:jc w:val="center"/>
              <w:rPr>
                <w:color w:val="000000"/>
              </w:rPr>
            </w:pPr>
            <w:r>
              <w:rPr>
                <w:color w:val="000000"/>
              </w:rPr>
              <w:t>14.6%</w:t>
            </w:r>
          </w:p>
        </w:tc>
        <w:tc>
          <w:tcPr>
            <w:tcW w:w="3192" w:type="dxa"/>
            <w:vAlign w:val="bottom"/>
            <w:hideMark/>
          </w:tcPr>
          <w:p w:rsidR="00732EED" w:rsidRDefault="00732EED" w:rsidP="00732EED">
            <w:pPr>
              <w:spacing w:after="0" w:line="240" w:lineRule="auto"/>
              <w:jc w:val="center"/>
              <w:rPr>
                <w:color w:val="000000"/>
              </w:rPr>
            </w:pPr>
            <w:r>
              <w:rPr>
                <w:color w:val="000000"/>
              </w:rPr>
              <w:t>14.5%</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6</w:t>
            </w:r>
          </w:p>
        </w:tc>
        <w:tc>
          <w:tcPr>
            <w:tcW w:w="3192" w:type="dxa"/>
            <w:vAlign w:val="bottom"/>
            <w:hideMark/>
          </w:tcPr>
          <w:p w:rsidR="00732EED" w:rsidRDefault="00732EED" w:rsidP="00732EED">
            <w:pPr>
              <w:spacing w:after="0" w:line="240" w:lineRule="auto"/>
              <w:jc w:val="center"/>
              <w:rPr>
                <w:color w:val="000000"/>
              </w:rPr>
            </w:pPr>
            <w:r>
              <w:rPr>
                <w:color w:val="000000"/>
              </w:rPr>
              <w:t>16.8%</w:t>
            </w:r>
          </w:p>
        </w:tc>
        <w:tc>
          <w:tcPr>
            <w:tcW w:w="3192" w:type="dxa"/>
            <w:vAlign w:val="bottom"/>
            <w:hideMark/>
          </w:tcPr>
          <w:p w:rsidR="00732EED" w:rsidRDefault="00732EED" w:rsidP="00732EED">
            <w:pPr>
              <w:spacing w:after="0" w:line="240" w:lineRule="auto"/>
              <w:jc w:val="center"/>
              <w:rPr>
                <w:color w:val="000000"/>
              </w:rPr>
            </w:pPr>
            <w:r>
              <w:rPr>
                <w:color w:val="000000"/>
              </w:rPr>
              <w:t>15.9%</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7</w:t>
            </w:r>
          </w:p>
        </w:tc>
        <w:tc>
          <w:tcPr>
            <w:tcW w:w="3192" w:type="dxa"/>
            <w:vAlign w:val="bottom"/>
            <w:hideMark/>
          </w:tcPr>
          <w:p w:rsidR="00732EED" w:rsidRDefault="00732EED" w:rsidP="00732EED">
            <w:pPr>
              <w:spacing w:after="0" w:line="240" w:lineRule="auto"/>
              <w:jc w:val="center"/>
              <w:rPr>
                <w:color w:val="000000"/>
              </w:rPr>
            </w:pPr>
            <w:r>
              <w:rPr>
                <w:color w:val="000000"/>
              </w:rPr>
              <w:t>19.1%</w:t>
            </w:r>
          </w:p>
        </w:tc>
        <w:tc>
          <w:tcPr>
            <w:tcW w:w="3192" w:type="dxa"/>
            <w:vAlign w:val="bottom"/>
            <w:hideMark/>
          </w:tcPr>
          <w:p w:rsidR="00732EED" w:rsidRDefault="00732EED" w:rsidP="00732EED">
            <w:pPr>
              <w:spacing w:after="0" w:line="240" w:lineRule="auto"/>
              <w:jc w:val="center"/>
              <w:rPr>
                <w:color w:val="000000"/>
              </w:rPr>
            </w:pPr>
            <w:r>
              <w:rPr>
                <w:color w:val="000000"/>
              </w:rPr>
              <w:t>17.6%</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8</w:t>
            </w:r>
          </w:p>
        </w:tc>
        <w:tc>
          <w:tcPr>
            <w:tcW w:w="3192" w:type="dxa"/>
            <w:vAlign w:val="bottom"/>
            <w:hideMark/>
          </w:tcPr>
          <w:p w:rsidR="00732EED" w:rsidRDefault="00732EED" w:rsidP="00732EED">
            <w:pPr>
              <w:spacing w:after="0" w:line="240" w:lineRule="auto"/>
              <w:jc w:val="center"/>
              <w:rPr>
                <w:color w:val="000000"/>
              </w:rPr>
            </w:pPr>
            <w:r>
              <w:rPr>
                <w:color w:val="000000"/>
              </w:rPr>
              <w:t>20.7%</w:t>
            </w:r>
          </w:p>
        </w:tc>
        <w:tc>
          <w:tcPr>
            <w:tcW w:w="3192" w:type="dxa"/>
            <w:vAlign w:val="bottom"/>
            <w:hideMark/>
          </w:tcPr>
          <w:p w:rsidR="00732EED" w:rsidRDefault="00732EED" w:rsidP="00732EED">
            <w:pPr>
              <w:spacing w:after="0" w:line="240" w:lineRule="auto"/>
              <w:jc w:val="center"/>
              <w:rPr>
                <w:color w:val="000000"/>
              </w:rPr>
            </w:pPr>
            <w:r>
              <w:rPr>
                <w:color w:val="000000"/>
              </w:rPr>
              <w:t>19.9%</w:t>
            </w:r>
          </w:p>
        </w:tc>
      </w:tr>
      <w:tr w:rsidR="00732EED" w:rsidTr="00732EED">
        <w:trPr>
          <w:jc w:val="center"/>
        </w:trPr>
        <w:tc>
          <w:tcPr>
            <w:tcW w:w="3192" w:type="dxa"/>
            <w:vAlign w:val="bottom"/>
            <w:hideMark/>
          </w:tcPr>
          <w:p w:rsidR="00732EED" w:rsidRDefault="00732EED" w:rsidP="00732EED">
            <w:pPr>
              <w:spacing w:after="0" w:line="240" w:lineRule="auto"/>
              <w:jc w:val="center"/>
              <w:rPr>
                <w:color w:val="000000"/>
              </w:rPr>
            </w:pPr>
            <w:r>
              <w:rPr>
                <w:color w:val="000000"/>
              </w:rPr>
              <w:t>9</w:t>
            </w:r>
          </w:p>
        </w:tc>
        <w:tc>
          <w:tcPr>
            <w:tcW w:w="3192" w:type="dxa"/>
            <w:vAlign w:val="bottom"/>
            <w:hideMark/>
          </w:tcPr>
          <w:p w:rsidR="00732EED" w:rsidRDefault="00732EED" w:rsidP="00732EED">
            <w:pPr>
              <w:spacing w:after="0" w:line="240" w:lineRule="auto"/>
              <w:jc w:val="center"/>
              <w:rPr>
                <w:color w:val="000000"/>
              </w:rPr>
            </w:pPr>
            <w:r>
              <w:rPr>
                <w:color w:val="000000"/>
              </w:rPr>
              <w:t>23.5%</w:t>
            </w:r>
          </w:p>
        </w:tc>
        <w:tc>
          <w:tcPr>
            <w:tcW w:w="3192" w:type="dxa"/>
            <w:vAlign w:val="bottom"/>
            <w:hideMark/>
          </w:tcPr>
          <w:p w:rsidR="00732EED" w:rsidRDefault="00732EED" w:rsidP="00732EED">
            <w:pPr>
              <w:spacing w:after="0" w:line="240" w:lineRule="auto"/>
              <w:jc w:val="center"/>
              <w:rPr>
                <w:color w:val="000000"/>
              </w:rPr>
            </w:pPr>
            <w:r>
              <w:rPr>
                <w:color w:val="000000"/>
              </w:rPr>
              <w:t>23.2%</w:t>
            </w:r>
          </w:p>
        </w:tc>
      </w:tr>
      <w:tr w:rsidR="00732EED" w:rsidTr="00732EED">
        <w:trPr>
          <w:jc w:val="center"/>
        </w:trPr>
        <w:tc>
          <w:tcPr>
            <w:tcW w:w="3192" w:type="dxa"/>
            <w:tcBorders>
              <w:top w:val="nil"/>
              <w:left w:val="nil"/>
              <w:bottom w:val="single" w:sz="4" w:space="0" w:color="auto"/>
              <w:right w:val="nil"/>
            </w:tcBorders>
            <w:vAlign w:val="bottom"/>
            <w:hideMark/>
          </w:tcPr>
          <w:p w:rsidR="00732EED" w:rsidRDefault="00732EED" w:rsidP="00732EED">
            <w:pPr>
              <w:spacing w:after="0" w:line="240" w:lineRule="auto"/>
              <w:jc w:val="center"/>
              <w:rPr>
                <w:color w:val="000000"/>
              </w:rPr>
            </w:pPr>
            <w:r>
              <w:rPr>
                <w:color w:val="000000"/>
              </w:rPr>
              <w:lastRenderedPageBreak/>
              <w:t>10</w:t>
            </w:r>
          </w:p>
        </w:tc>
        <w:tc>
          <w:tcPr>
            <w:tcW w:w="3192" w:type="dxa"/>
            <w:tcBorders>
              <w:top w:val="nil"/>
              <w:left w:val="nil"/>
              <w:bottom w:val="single" w:sz="4" w:space="0" w:color="auto"/>
              <w:right w:val="nil"/>
            </w:tcBorders>
            <w:vAlign w:val="bottom"/>
            <w:hideMark/>
          </w:tcPr>
          <w:p w:rsidR="00732EED" w:rsidRDefault="00732EED" w:rsidP="00732EED">
            <w:pPr>
              <w:spacing w:after="0" w:line="240" w:lineRule="auto"/>
              <w:jc w:val="center"/>
              <w:rPr>
                <w:color w:val="000000"/>
              </w:rPr>
            </w:pPr>
            <w:r>
              <w:rPr>
                <w:color w:val="000000"/>
              </w:rPr>
              <w:t>31.5%</w:t>
            </w:r>
          </w:p>
        </w:tc>
        <w:tc>
          <w:tcPr>
            <w:tcW w:w="3192" w:type="dxa"/>
            <w:tcBorders>
              <w:top w:val="nil"/>
              <w:left w:val="nil"/>
              <w:bottom w:val="single" w:sz="4" w:space="0" w:color="auto"/>
              <w:right w:val="nil"/>
            </w:tcBorders>
            <w:vAlign w:val="bottom"/>
            <w:hideMark/>
          </w:tcPr>
          <w:p w:rsidR="00732EED" w:rsidRDefault="00732EED" w:rsidP="00732EED">
            <w:pPr>
              <w:spacing w:after="0" w:line="240" w:lineRule="auto"/>
              <w:jc w:val="center"/>
              <w:rPr>
                <w:color w:val="000000"/>
              </w:rPr>
            </w:pPr>
            <w:r>
              <w:rPr>
                <w:color w:val="000000"/>
              </w:rPr>
              <w:t>32.2%</w:t>
            </w:r>
          </w:p>
        </w:tc>
      </w:tr>
    </w:tbl>
    <w:p w:rsidR="00743E46" w:rsidRPr="00B87202" w:rsidRDefault="00092566" w:rsidP="00192061">
      <w:pPr>
        <w:autoSpaceDE w:val="0"/>
        <w:autoSpaceDN w:val="0"/>
        <w:adjustRightInd w:val="0"/>
        <w:spacing w:after="0" w:line="240" w:lineRule="auto"/>
        <w:rPr>
          <w:rFonts w:cstheme="minorHAnsi"/>
          <w:b/>
          <w:color w:val="000099"/>
        </w:rPr>
      </w:pPr>
      <w:r w:rsidRPr="00B87202">
        <w:rPr>
          <w:rFonts w:cstheme="minorHAnsi"/>
          <w:color w:val="000099"/>
        </w:rPr>
        <w:br/>
      </w:r>
    </w:p>
    <w:p w:rsidR="00092566" w:rsidRPr="00B87202" w:rsidRDefault="00743E46" w:rsidP="00192061">
      <w:pPr>
        <w:shd w:val="clear" w:color="auto" w:fill="D9D9D9" w:themeFill="background1" w:themeFillShade="D9"/>
        <w:autoSpaceDE w:val="0"/>
        <w:autoSpaceDN w:val="0"/>
        <w:adjustRightInd w:val="0"/>
        <w:spacing w:after="0" w:line="240" w:lineRule="auto"/>
        <w:rPr>
          <w:rFonts w:cstheme="minorHAnsi"/>
          <w:bCs/>
          <w:color w:val="000099"/>
        </w:rPr>
      </w:pPr>
      <w:bookmarkStart w:id="12" w:name="question2b49"/>
      <w:bookmarkEnd w:id="12"/>
      <w:r w:rsidRPr="00B87202">
        <w:rPr>
          <w:rFonts w:cstheme="minorHAnsi"/>
          <w:b/>
          <w:color w:val="000099"/>
        </w:rPr>
        <w:t>2b4.9</w:t>
      </w:r>
      <w:r w:rsidR="00001D73" w:rsidRPr="00B87202">
        <w:rPr>
          <w:rFonts w:cstheme="minorHAnsi"/>
          <w:b/>
          <w:color w:val="000099"/>
        </w:rPr>
        <w:t xml:space="preserve">. Results of </w:t>
      </w:r>
      <w:r w:rsidR="00092566" w:rsidRPr="00B87202">
        <w:rPr>
          <w:rFonts w:cstheme="minorHAnsi"/>
          <w:b/>
          <w:color w:val="000099"/>
        </w:rPr>
        <w:t>Risk Stratification Analysis</w:t>
      </w:r>
      <w:r w:rsidR="00092566" w:rsidRPr="00B87202">
        <w:rPr>
          <w:rFonts w:cstheme="minorHAnsi"/>
          <w:color w:val="000099"/>
        </w:rPr>
        <w:t xml:space="preserve">: </w:t>
      </w:r>
      <w:r w:rsidR="00092566" w:rsidRPr="00B87202">
        <w:rPr>
          <w:rFonts w:cstheme="minorHAnsi"/>
          <w:bCs/>
          <w:color w:val="000099"/>
        </w:rPr>
        <w:t xml:space="preserve"> </w:t>
      </w:r>
    </w:p>
    <w:p w:rsidR="00092566" w:rsidRPr="00A25024" w:rsidRDefault="00732EED" w:rsidP="00192061">
      <w:pPr>
        <w:pStyle w:val="ListParagraph"/>
        <w:ind w:left="0"/>
        <w:rPr>
          <w:rFonts w:cstheme="minorHAnsi"/>
          <w:bCs/>
        </w:rPr>
      </w:pPr>
      <w:r>
        <w:rPr>
          <w:rFonts w:cstheme="minorHAnsi"/>
          <w:bCs/>
        </w:rPr>
        <w:t>N/A</w:t>
      </w:r>
    </w:p>
    <w:p w:rsidR="00092566" w:rsidRPr="00B87202" w:rsidRDefault="00743E46"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2b4.10</w:t>
      </w:r>
      <w:r w:rsidR="00001D73" w:rsidRPr="00B87202">
        <w:rPr>
          <w:rFonts w:cstheme="minorHAnsi"/>
          <w:b/>
          <w:bCs/>
          <w:color w:val="000099"/>
        </w:rPr>
        <w:t xml:space="preserve">. </w:t>
      </w:r>
      <w:proofErr w:type="gramStart"/>
      <w:r w:rsidR="00092566" w:rsidRPr="00B87202">
        <w:rPr>
          <w:rFonts w:cstheme="minorHAnsi"/>
          <w:b/>
          <w:bCs/>
          <w:color w:val="000099"/>
        </w:rPr>
        <w:t>What</w:t>
      </w:r>
      <w:proofErr w:type="gramEnd"/>
      <w:r w:rsidR="00092566" w:rsidRPr="00B87202">
        <w:rPr>
          <w:rFonts w:cstheme="minorHAnsi"/>
          <w:b/>
          <w:bCs/>
          <w:color w:val="000099"/>
        </w:rPr>
        <w:t xml:space="preserve"> is your interpretation of the results in terms of demonstrating adequacy of controlling for differences in patient characteristics (case mix)?</w:t>
      </w:r>
      <w:r w:rsidR="00092566" w:rsidRPr="00B87202">
        <w:rPr>
          <w:rFonts w:cstheme="minorHAnsi"/>
          <w:bCs/>
          <w:color w:val="000099"/>
        </w:rPr>
        <w:t xml:space="preserve"> (i</w:t>
      </w:r>
      <w:r w:rsidR="00092566" w:rsidRPr="00B87202">
        <w:rPr>
          <w:rFonts w:cstheme="minorHAnsi"/>
          <w:bCs/>
          <w:i/>
          <w:color w:val="000099"/>
        </w:rPr>
        <w:t xml:space="preserve">.e., what do the results mean and what are the norms for the test </w:t>
      </w:r>
      <w:proofErr w:type="gramStart"/>
      <w:r w:rsidR="00092566" w:rsidRPr="00B87202">
        <w:rPr>
          <w:rFonts w:cstheme="minorHAnsi"/>
          <w:bCs/>
          <w:i/>
          <w:color w:val="000099"/>
        </w:rPr>
        <w:t>conducted</w:t>
      </w:r>
      <w:proofErr w:type="gramEnd"/>
      <w:r w:rsidR="00732EED">
        <w:rPr>
          <w:rFonts w:cstheme="minorHAnsi"/>
          <w:bCs/>
          <w:color w:val="000099"/>
        </w:rPr>
        <w:t>)</w:t>
      </w:r>
    </w:p>
    <w:p w:rsidR="00092566" w:rsidRDefault="00732EED" w:rsidP="00092566">
      <w:pPr>
        <w:spacing w:after="0" w:line="240" w:lineRule="auto"/>
        <w:rPr>
          <w:rFonts w:cstheme="minorHAnsi"/>
        </w:rPr>
      </w:pPr>
      <w:r w:rsidRPr="00732EED">
        <w:rPr>
          <w:rFonts w:cstheme="minorHAnsi"/>
        </w:rPr>
        <w:t>Please see response in section 2b4.3 above.</w:t>
      </w:r>
    </w:p>
    <w:p w:rsidR="00BF7F60" w:rsidRPr="00A25024" w:rsidRDefault="00BF7F60" w:rsidP="00092566">
      <w:pPr>
        <w:spacing w:after="0" w:line="240" w:lineRule="auto"/>
        <w:rPr>
          <w:rFonts w:cstheme="minorHAnsi"/>
        </w:rPr>
      </w:pPr>
    </w:p>
    <w:p w:rsidR="003755CB" w:rsidRPr="00BF7F60" w:rsidRDefault="00092566" w:rsidP="00BF7F60">
      <w:pPr>
        <w:shd w:val="clear" w:color="auto" w:fill="D9D9D9" w:themeFill="background1" w:themeFillShade="D9"/>
        <w:spacing w:after="0" w:line="240" w:lineRule="auto"/>
        <w:rPr>
          <w:rFonts w:cstheme="minorHAnsi"/>
          <w:color w:val="000099"/>
        </w:rPr>
      </w:pPr>
      <w:proofErr w:type="gramStart"/>
      <w:r w:rsidRPr="00B87202">
        <w:rPr>
          <w:rFonts w:cstheme="minorHAnsi"/>
          <w:color w:val="000099"/>
          <w:highlight w:val="green"/>
        </w:rPr>
        <w:t>*</w:t>
      </w:r>
      <w:r w:rsidR="009B1A15" w:rsidRPr="00B87202">
        <w:rPr>
          <w:rFonts w:cstheme="minorHAnsi"/>
          <w:b/>
          <w:color w:val="000099"/>
          <w:highlight w:val="green"/>
        </w:rPr>
        <w:t>2b4.11.</w:t>
      </w:r>
      <w:proofErr w:type="gramEnd"/>
      <w:r w:rsidR="009B1A15" w:rsidRPr="00B87202">
        <w:rPr>
          <w:rFonts w:cstheme="minorHAnsi"/>
          <w:color w:val="000099"/>
          <w:highlight w:val="green"/>
        </w:rPr>
        <w:t xml:space="preserve"> </w:t>
      </w:r>
      <w:r w:rsidRPr="00B87202">
        <w:rPr>
          <w:rFonts w:cstheme="minorHAnsi"/>
          <w:b/>
          <w:color w:val="000099"/>
          <w:highlight w:val="green"/>
        </w:rPr>
        <w:t>Optional</w:t>
      </w:r>
      <w:r w:rsidR="009B1A15" w:rsidRPr="00B87202">
        <w:rPr>
          <w:rFonts w:cstheme="minorHAnsi"/>
          <w:b/>
          <w:color w:val="000099"/>
          <w:highlight w:val="green"/>
        </w:rPr>
        <w:t xml:space="preserve"> Additional Testing</w:t>
      </w:r>
      <w:r w:rsidR="004756E1" w:rsidRPr="00B87202">
        <w:rPr>
          <w:rFonts w:cstheme="minorHAnsi"/>
          <w:b/>
          <w:color w:val="000099"/>
          <w:highlight w:val="green"/>
        </w:rPr>
        <w:t xml:space="preserve"> for Risk Adjustment</w:t>
      </w:r>
      <w:r w:rsidRPr="00B87202">
        <w:rPr>
          <w:rFonts w:cstheme="minorHAnsi"/>
          <w:b/>
          <w:color w:val="000099"/>
        </w:rPr>
        <w:t xml:space="preserve"> </w:t>
      </w:r>
      <w:r w:rsidRPr="00B87202">
        <w:rPr>
          <w:rFonts w:cstheme="minorHAnsi"/>
          <w:color w:val="000099"/>
        </w:rPr>
        <w:t>(</w:t>
      </w:r>
      <w:r w:rsidRPr="00B87202">
        <w:rPr>
          <w:rFonts w:cstheme="minorHAnsi"/>
          <w:i/>
          <w:color w:val="000099"/>
          <w:u w:val="single"/>
        </w:rPr>
        <w:t>not required</w:t>
      </w:r>
      <w:r w:rsidRPr="00B87202">
        <w:rPr>
          <w:rFonts w:cstheme="minorHAnsi"/>
          <w:i/>
          <w:color w:val="000099"/>
        </w:rPr>
        <w:t>, but would provide additional support of adequacy of risk model</w:t>
      </w:r>
      <w:r w:rsidR="009B1A15" w:rsidRPr="00B87202">
        <w:rPr>
          <w:rFonts w:cstheme="minorHAnsi"/>
          <w:i/>
          <w:color w:val="000099"/>
        </w:rPr>
        <w:t>, e.g., testing of risk model in another data se</w:t>
      </w:r>
      <w:r w:rsidR="002408E4" w:rsidRPr="00B87202">
        <w:rPr>
          <w:rFonts w:cstheme="minorHAnsi"/>
          <w:i/>
          <w:color w:val="000099"/>
        </w:rPr>
        <w:t>t</w:t>
      </w:r>
      <w:r w:rsidR="009B1A15" w:rsidRPr="00B87202">
        <w:rPr>
          <w:rFonts w:cstheme="minorHAnsi"/>
          <w:i/>
          <w:color w:val="000099"/>
        </w:rPr>
        <w:t>; sensitivity analysis for missing data</w:t>
      </w:r>
      <w:r w:rsidR="002408E4" w:rsidRPr="00B87202">
        <w:rPr>
          <w:rFonts w:cstheme="minorHAnsi"/>
          <w:i/>
          <w:color w:val="000099"/>
        </w:rPr>
        <w:t>;</w:t>
      </w:r>
      <w:r w:rsidR="009B1A15" w:rsidRPr="00B87202">
        <w:rPr>
          <w:rFonts w:cstheme="minorHAnsi"/>
          <w:i/>
          <w:color w:val="000099"/>
        </w:rPr>
        <w:t xml:space="preserve"> other methods</w:t>
      </w:r>
      <w:r w:rsidR="009B1A15" w:rsidRPr="00B87202">
        <w:rPr>
          <w:rFonts w:cstheme="minorHAnsi"/>
          <w:color w:val="000099"/>
        </w:rPr>
        <w:t>)</w:t>
      </w:r>
    </w:p>
    <w:p w:rsidR="00BF7F60" w:rsidRDefault="00BF7F60" w:rsidP="00D61410">
      <w:pPr>
        <w:autoSpaceDE w:val="0"/>
        <w:autoSpaceDN w:val="0"/>
        <w:adjustRightInd w:val="0"/>
        <w:spacing w:after="0" w:line="240" w:lineRule="auto"/>
        <w:rPr>
          <w:rFonts w:cstheme="minorHAnsi"/>
          <w:bCs/>
        </w:rPr>
      </w:pP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BF7F60">
      <w:pPr>
        <w:shd w:val="clear" w:color="auto" w:fill="D9D9D9" w:themeFill="background1" w:themeFillShade="D9"/>
        <w:autoSpaceDE w:val="0"/>
        <w:autoSpaceDN w:val="0"/>
        <w:adjustRightInd w:val="0"/>
        <w:spacing w:after="0" w:line="240" w:lineRule="auto"/>
        <w:rPr>
          <w:rFonts w:cstheme="minorHAnsi"/>
          <w:b/>
          <w:bCs/>
          <w:color w:val="000099"/>
        </w:rPr>
      </w:pPr>
      <w:bookmarkStart w:id="13" w:name="section2b5"/>
      <w:bookmarkEnd w:id="13"/>
      <w:r w:rsidRPr="00B87202">
        <w:rPr>
          <w:rFonts w:cstheme="minorHAnsi"/>
          <w:b/>
          <w:bCs/>
          <w:color w:val="000099"/>
        </w:rPr>
        <w:t>2b5. IDENTIFICATION OF STATISTICALLY SIGNIFICANT &amp; MEANINGFUL DIFFERENCES IN PERFORMANCE</w:t>
      </w:r>
    </w:p>
    <w:p w:rsidR="00BF7F60" w:rsidRPr="00B87202" w:rsidRDefault="0008706B" w:rsidP="00192061">
      <w:pPr>
        <w:shd w:val="clear" w:color="auto" w:fill="D9D9D9" w:themeFill="background1" w:themeFillShade="D9"/>
        <w:autoSpaceDE w:val="0"/>
        <w:autoSpaceDN w:val="0"/>
        <w:adjustRightInd w:val="0"/>
        <w:spacing w:after="0" w:line="240" w:lineRule="auto"/>
        <w:rPr>
          <w:rFonts w:cstheme="minorHAnsi"/>
          <w:b/>
          <w:bCs/>
          <w:color w:val="000099"/>
        </w:rPr>
      </w:pPr>
      <w:r>
        <w:rPr>
          <w:rFonts w:cstheme="minorHAnsi"/>
          <w:b/>
          <w:noProof/>
        </w:rPr>
        <w:pict>
          <v:rect id="_x0000_i1062" style="width:0;height:1.5pt" o:hralign="center" o:hrstd="t" o:hr="t" fillcolor="#a0a0a0" stroked="f"/>
        </w:pict>
      </w:r>
    </w:p>
    <w:p w:rsidR="00D61410" w:rsidRPr="00B87202" w:rsidRDefault="00D61410"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2b5.1. Describe the method for determining if statistically significant and clinically/practically meaningful differences in performance measure scores among the measured entities can be identified</w:t>
      </w:r>
      <w:r w:rsidRPr="00B87202">
        <w:rPr>
          <w:rFonts w:cstheme="minorHAnsi"/>
          <w:bCs/>
          <w:color w:val="000099"/>
        </w:rPr>
        <w:t xml:space="preserve"> (</w:t>
      </w:r>
      <w:r w:rsidRPr="00B87202">
        <w:rPr>
          <w:rFonts w:cstheme="minorHAnsi"/>
          <w:bCs/>
          <w:i/>
          <w:color w:val="000099"/>
        </w:rPr>
        <w:t xml:space="preserve">describe the steps―do not just name a method; what statistical analysis was used? Do not just repeat the information provided related to performance gap in 1b) </w:t>
      </w:r>
    </w:p>
    <w:p w:rsidR="00D61410" w:rsidRDefault="00D61410" w:rsidP="00D61410">
      <w:pPr>
        <w:autoSpaceDE w:val="0"/>
        <w:autoSpaceDN w:val="0"/>
        <w:adjustRightInd w:val="0"/>
        <w:spacing w:after="0" w:line="240" w:lineRule="auto"/>
        <w:rPr>
          <w:rFonts w:cstheme="minorHAnsi"/>
          <w:bCs/>
        </w:rPr>
      </w:pPr>
    </w:p>
    <w:p w:rsidR="00BF7F60" w:rsidRDefault="00BF7F60" w:rsidP="00D61410">
      <w:pPr>
        <w:autoSpaceDE w:val="0"/>
        <w:autoSpaceDN w:val="0"/>
        <w:adjustRightInd w:val="0"/>
        <w:spacing w:after="0" w:line="240" w:lineRule="auto"/>
        <w:rPr>
          <w:rFonts w:cstheme="minorHAnsi"/>
          <w:bCs/>
        </w:rPr>
      </w:pPr>
      <w:r w:rsidRPr="00BF7F60">
        <w:rPr>
          <w:rFonts w:cstheme="minorHAnsi"/>
          <w:bCs/>
        </w:rPr>
        <w:t xml:space="preserve">The proposed readmission measure was pilot tested by applying it to linked STS-CMS data from 2008-2010. The analysis population consisted of Medicare fee-for-service </w:t>
      </w:r>
      <w:proofErr w:type="gramStart"/>
      <w:r w:rsidRPr="00BF7F60">
        <w:rPr>
          <w:rFonts w:cstheme="minorHAnsi"/>
          <w:bCs/>
        </w:rPr>
        <w:t>beneficiaries</w:t>
      </w:r>
      <w:proofErr w:type="gramEnd"/>
      <w:r w:rsidRPr="00BF7F60">
        <w:rPr>
          <w:rFonts w:cstheme="minorHAnsi"/>
          <w:bCs/>
        </w:rPr>
        <w:t xml:space="preserve"> age 65 years or older at discharge who underwent isolated coronary artery bypass grafting (CABG) during 2008-2010 and were discharged alive. Candidate CABG admissions were identified by selecting Medicare Part A claims with an ICD-9-CM procedural code for CABG (36.1x) in any position. Records were retained for analysis if they met the following additional criteria: (1) linked to an STS record for isolated CABG (see below for record linkage criteria and definition of isolated CABG); (2) eligible for Medicare fee-for-service (FFS) A and B for at least two months after discharge or until month of death, whichever is first; (3) discharged from acute care setting within 1 year of index CABG admission; (4) did not leave against medical advice; (5) no logically inconsistent claims data (e.g. claims with overlapping admission and discharge dates); (6) is the first eligible operation per patient during the measurement period. After applying these inclusion/exclusion criteria, the analysis population included 162,503 index CABG admissions from 1010 CMS hospitals. Results are reported for the subset of 885 hospitals with at least 30 eligible cases during 2008-2010.</w:t>
      </w:r>
    </w:p>
    <w:p w:rsidR="00BF7F60" w:rsidRDefault="00BF7F60" w:rsidP="00D61410">
      <w:pPr>
        <w:autoSpaceDE w:val="0"/>
        <w:autoSpaceDN w:val="0"/>
        <w:adjustRightInd w:val="0"/>
        <w:spacing w:after="0" w:line="240" w:lineRule="auto"/>
        <w:rPr>
          <w:rFonts w:cstheme="minorHAnsi"/>
          <w:bCs/>
        </w:rPr>
      </w:pPr>
    </w:p>
    <w:p w:rsidR="00BF7F60" w:rsidRDefault="00BF7F60" w:rsidP="00D61410">
      <w:pPr>
        <w:autoSpaceDE w:val="0"/>
        <w:autoSpaceDN w:val="0"/>
        <w:adjustRightInd w:val="0"/>
        <w:spacing w:after="0" w:line="240" w:lineRule="auto"/>
        <w:rPr>
          <w:rFonts w:cstheme="minorHAnsi"/>
          <w:bCs/>
        </w:rPr>
      </w:pPr>
      <w:r w:rsidRPr="00BF7F60">
        <w:rPr>
          <w:rFonts w:cstheme="minorHAnsi"/>
          <w:bCs/>
        </w:rPr>
        <w:t>We calculated risk-standardized readmission rates (RSRR’s) for a subset of 885 hospitals having at least 30 eligible CABG cases during 2008-2010. We then summarized the distribution of RSRR’s across these hospitals.</w:t>
      </w:r>
    </w:p>
    <w:p w:rsidR="00BF7F60" w:rsidRPr="00A25024" w:rsidRDefault="00BF7F60" w:rsidP="00D61410">
      <w:pPr>
        <w:autoSpaceDE w:val="0"/>
        <w:autoSpaceDN w:val="0"/>
        <w:adjustRightInd w:val="0"/>
        <w:spacing w:after="0" w:line="240" w:lineRule="auto"/>
        <w:rPr>
          <w:rFonts w:cstheme="minorHAnsi"/>
          <w:bCs/>
        </w:rPr>
      </w:pPr>
    </w:p>
    <w:p w:rsidR="00D61410" w:rsidRPr="00B87202" w:rsidRDefault="00D61410"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 xml:space="preserve">2b5.2. </w:t>
      </w:r>
      <w:proofErr w:type="gramStart"/>
      <w:r w:rsidRPr="00B87202">
        <w:rPr>
          <w:rFonts w:cstheme="minorHAnsi"/>
          <w:b/>
          <w:bCs/>
          <w:color w:val="000099"/>
        </w:rPr>
        <w:t>What</w:t>
      </w:r>
      <w:proofErr w:type="gramEnd"/>
      <w:r w:rsidRPr="00B87202">
        <w:rPr>
          <w:rFonts w:cstheme="minorHAnsi"/>
          <w:b/>
          <w:bCs/>
          <w:color w:val="000099"/>
        </w:rPr>
        <w:t xml:space="preserve"> were the statistical results from testing the ability to identify </w:t>
      </w:r>
      <w:r w:rsidR="001E69DC" w:rsidRPr="00B87202">
        <w:rPr>
          <w:rFonts w:cstheme="minorHAnsi"/>
          <w:b/>
          <w:bCs/>
          <w:color w:val="000099"/>
        </w:rPr>
        <w:t xml:space="preserve">statistically significant and/or clinically/practically meaningful </w:t>
      </w:r>
      <w:r w:rsidRPr="00B87202">
        <w:rPr>
          <w:rFonts w:cstheme="minorHAnsi"/>
          <w:b/>
          <w:bCs/>
          <w:color w:val="000099"/>
        </w:rPr>
        <w:t>differences in performance measure scores across measured entities?</w:t>
      </w:r>
      <w:r w:rsidRPr="00B87202">
        <w:rPr>
          <w:rFonts w:cstheme="minorHAnsi"/>
          <w:bCs/>
          <w:color w:val="000099"/>
        </w:rPr>
        <w:t xml:space="preserve"> (e.g., </w:t>
      </w:r>
      <w:r w:rsidRPr="00B87202">
        <w:rPr>
          <w:rFonts w:cstheme="minorHAnsi"/>
          <w:bCs/>
          <w:i/>
          <w:color w:val="000099"/>
        </w:rPr>
        <w:t xml:space="preserve">number and percentage </w:t>
      </w:r>
      <w:r w:rsidR="001E69DC" w:rsidRPr="00B87202">
        <w:rPr>
          <w:rFonts w:cstheme="minorHAnsi"/>
          <w:bCs/>
          <w:i/>
          <w:color w:val="000099"/>
        </w:rPr>
        <w:t xml:space="preserve">of entities with scores </w:t>
      </w:r>
      <w:r w:rsidRPr="00B87202">
        <w:rPr>
          <w:rFonts w:cstheme="minorHAnsi"/>
          <w:bCs/>
          <w:i/>
          <w:color w:val="000099"/>
        </w:rPr>
        <w:t xml:space="preserve">that were statistically significantly different from mean </w:t>
      </w:r>
      <w:r w:rsidR="001E69DC" w:rsidRPr="00B87202">
        <w:rPr>
          <w:rFonts w:cstheme="minorHAnsi"/>
          <w:bCs/>
          <w:i/>
          <w:color w:val="000099"/>
        </w:rPr>
        <w:t>or some benchmark, different from expected; how was meaningful difference defined</w:t>
      </w:r>
      <w:r w:rsidR="00BF7F60">
        <w:rPr>
          <w:rFonts w:cstheme="minorHAnsi"/>
          <w:bCs/>
          <w:color w:val="000099"/>
        </w:rPr>
        <w:t>)</w:t>
      </w:r>
    </w:p>
    <w:p w:rsidR="00BF7F60" w:rsidRDefault="00BF7F60" w:rsidP="00BF7F60">
      <w:pPr>
        <w:spacing w:after="0" w:line="240" w:lineRule="auto"/>
        <w:rPr>
          <w:rFonts w:eastAsia="Times New Roman"/>
          <w:b/>
        </w:rPr>
      </w:pPr>
      <w:r>
        <w:rPr>
          <w:rFonts w:ascii="Times New Roman" w:hAnsi="Times New Roman"/>
          <w:noProof/>
          <w:sz w:val="18"/>
          <w:szCs w:val="18"/>
        </w:rPr>
        <w:lastRenderedPageBreak/>
        <w:drawing>
          <wp:inline distT="0" distB="0" distL="0" distR="0">
            <wp:extent cx="4381500" cy="4305300"/>
            <wp:effectExtent l="0" t="0" r="0" b="0"/>
            <wp:docPr id="5" name="Picture 5" descr="The risk standardized hospital level readmission rates at 30 days includes data from 844 hospitals collected from 2008 through 2010. The mean is 17.0%, with a range of 12.5% to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e risk standardized hospital level readmission rates at 30 days includes data from 844 hospitals collected from 2008 through 2010. The mean is 17.0%, with a range of 12.5% to 34.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381500" cy="4305300"/>
                    </a:xfrm>
                    <a:prstGeom prst="rect">
                      <a:avLst/>
                    </a:prstGeom>
                    <a:noFill/>
                    <a:ln>
                      <a:noFill/>
                    </a:ln>
                  </pic:spPr>
                </pic:pic>
              </a:graphicData>
            </a:graphic>
          </wp:inline>
        </w:drawing>
      </w:r>
    </w:p>
    <w:p w:rsidR="00BF7F60" w:rsidRDefault="00BF7F60" w:rsidP="00BF7F60">
      <w:pPr>
        <w:spacing w:after="0" w:line="240" w:lineRule="auto"/>
        <w:jc w:val="center"/>
        <w:rPr>
          <w:rFonts w:eastAsia="Times New Roman"/>
          <w:b/>
        </w:rPr>
      </w:pPr>
    </w:p>
    <w:tbl>
      <w:tblPr>
        <w:tblW w:w="0" w:type="auto"/>
        <w:tblInd w:w="1638" w:type="dxa"/>
        <w:tblLook w:val="04A0" w:firstRow="1" w:lastRow="0" w:firstColumn="1" w:lastColumn="0" w:noHBand="0" w:noVBand="1"/>
      </w:tblPr>
      <w:tblGrid>
        <w:gridCol w:w="2790"/>
        <w:gridCol w:w="3690"/>
      </w:tblGrid>
      <w:tr w:rsidR="00BF7F60" w:rsidTr="00BF7F60">
        <w:tc>
          <w:tcPr>
            <w:tcW w:w="2790" w:type="dxa"/>
            <w:tcBorders>
              <w:top w:val="single" w:sz="4" w:space="0" w:color="auto"/>
              <w:left w:val="nil"/>
              <w:bottom w:val="single" w:sz="4" w:space="0" w:color="auto"/>
              <w:right w:val="nil"/>
            </w:tcBorders>
            <w:hideMark/>
          </w:tcPr>
          <w:p w:rsidR="00BF7F60" w:rsidRDefault="00BF7F60" w:rsidP="00BF7F60">
            <w:pPr>
              <w:spacing w:after="0" w:line="240" w:lineRule="auto"/>
              <w:rPr>
                <w:b/>
              </w:rPr>
            </w:pPr>
            <w:r>
              <w:rPr>
                <w:b/>
              </w:rPr>
              <w:t>Distribution Statistic</w:t>
            </w:r>
          </w:p>
        </w:tc>
        <w:tc>
          <w:tcPr>
            <w:tcW w:w="3690" w:type="dxa"/>
            <w:tcBorders>
              <w:top w:val="single" w:sz="4" w:space="0" w:color="auto"/>
              <w:left w:val="nil"/>
              <w:bottom w:val="single" w:sz="4" w:space="0" w:color="auto"/>
              <w:right w:val="nil"/>
            </w:tcBorders>
            <w:hideMark/>
          </w:tcPr>
          <w:p w:rsidR="00BF7F60" w:rsidRDefault="00BF7F60" w:rsidP="00BF7F60">
            <w:pPr>
              <w:spacing w:after="0" w:line="240" w:lineRule="auto"/>
              <w:jc w:val="right"/>
              <w:rPr>
                <w:b/>
              </w:rPr>
            </w:pPr>
            <w:r>
              <w:rPr>
                <w:b/>
              </w:rPr>
              <w:t>Risk Standardized Readmission Rate</w:t>
            </w:r>
          </w:p>
        </w:tc>
      </w:tr>
      <w:tr w:rsidR="00BF7F60" w:rsidTr="00BF7F60">
        <w:tc>
          <w:tcPr>
            <w:tcW w:w="2790" w:type="dxa"/>
            <w:tcBorders>
              <w:top w:val="single" w:sz="4" w:space="0" w:color="auto"/>
              <w:left w:val="nil"/>
              <w:bottom w:val="nil"/>
              <w:right w:val="nil"/>
            </w:tcBorders>
            <w:hideMark/>
          </w:tcPr>
          <w:p w:rsidR="00BF7F60" w:rsidRDefault="00BF7F60" w:rsidP="00BF7F60">
            <w:pPr>
              <w:spacing w:after="0" w:line="240" w:lineRule="auto"/>
              <w:rPr>
                <w:b/>
              </w:rPr>
            </w:pPr>
            <w:r>
              <w:rPr>
                <w:b/>
              </w:rPr>
              <w:t>Number of Hospitals</w:t>
            </w:r>
          </w:p>
        </w:tc>
        <w:tc>
          <w:tcPr>
            <w:tcW w:w="3690" w:type="dxa"/>
            <w:tcBorders>
              <w:top w:val="single" w:sz="4" w:space="0" w:color="auto"/>
              <w:left w:val="nil"/>
              <w:bottom w:val="nil"/>
              <w:right w:val="nil"/>
            </w:tcBorders>
            <w:vAlign w:val="bottom"/>
            <w:hideMark/>
          </w:tcPr>
          <w:p w:rsidR="00BF7F60" w:rsidRDefault="00BF7F60" w:rsidP="00BF7F60">
            <w:pPr>
              <w:spacing w:after="0" w:line="240" w:lineRule="auto"/>
              <w:jc w:val="right"/>
              <w:rPr>
                <w:color w:val="000000"/>
              </w:rPr>
            </w:pPr>
            <w:r>
              <w:rPr>
                <w:color w:val="000000"/>
              </w:rPr>
              <w:t>844</w:t>
            </w:r>
          </w:p>
        </w:tc>
      </w:tr>
      <w:tr w:rsidR="00BF7F60" w:rsidTr="00BF7F60">
        <w:tc>
          <w:tcPr>
            <w:tcW w:w="2790" w:type="dxa"/>
            <w:hideMark/>
          </w:tcPr>
          <w:p w:rsidR="00BF7F60" w:rsidRDefault="00BF7F60" w:rsidP="00BF7F60">
            <w:pPr>
              <w:spacing w:after="0" w:line="240" w:lineRule="auto"/>
              <w:rPr>
                <w:b/>
              </w:rPr>
            </w:pPr>
            <w:r>
              <w:rPr>
                <w:b/>
              </w:rPr>
              <w:t>Minimum</w:t>
            </w:r>
          </w:p>
        </w:tc>
        <w:tc>
          <w:tcPr>
            <w:tcW w:w="3690" w:type="dxa"/>
            <w:vAlign w:val="bottom"/>
            <w:hideMark/>
          </w:tcPr>
          <w:p w:rsidR="00BF7F60" w:rsidRDefault="00BF7F60" w:rsidP="00BF7F60">
            <w:pPr>
              <w:spacing w:after="0" w:line="240" w:lineRule="auto"/>
              <w:jc w:val="right"/>
              <w:rPr>
                <w:color w:val="000000"/>
              </w:rPr>
            </w:pPr>
            <w:r>
              <w:rPr>
                <w:color w:val="000000"/>
              </w:rPr>
              <w:t>12.5%</w:t>
            </w:r>
          </w:p>
        </w:tc>
      </w:tr>
      <w:tr w:rsidR="00BF7F60" w:rsidTr="00BF7F60">
        <w:tc>
          <w:tcPr>
            <w:tcW w:w="2790" w:type="dxa"/>
            <w:hideMark/>
          </w:tcPr>
          <w:p w:rsidR="00BF7F60" w:rsidRDefault="00BF7F60" w:rsidP="00BF7F60">
            <w:pPr>
              <w:spacing w:after="0" w:line="240" w:lineRule="auto"/>
              <w:rPr>
                <w:b/>
              </w:rPr>
            </w:pPr>
            <w:r>
              <w:rPr>
                <w:b/>
              </w:rPr>
              <w:t>10%</w:t>
            </w:r>
          </w:p>
        </w:tc>
        <w:tc>
          <w:tcPr>
            <w:tcW w:w="3690" w:type="dxa"/>
            <w:vAlign w:val="bottom"/>
            <w:hideMark/>
          </w:tcPr>
          <w:p w:rsidR="00BF7F60" w:rsidRDefault="00BF7F60" w:rsidP="00BF7F60">
            <w:pPr>
              <w:spacing w:after="0" w:line="240" w:lineRule="auto"/>
              <w:jc w:val="right"/>
              <w:rPr>
                <w:color w:val="000000"/>
              </w:rPr>
            </w:pPr>
            <w:r>
              <w:rPr>
                <w:color w:val="000000"/>
              </w:rPr>
              <w:t>14.5%</w:t>
            </w:r>
          </w:p>
        </w:tc>
      </w:tr>
      <w:tr w:rsidR="00BF7F60" w:rsidTr="00BF7F60">
        <w:tc>
          <w:tcPr>
            <w:tcW w:w="2790" w:type="dxa"/>
            <w:hideMark/>
          </w:tcPr>
          <w:p w:rsidR="00BF7F60" w:rsidRDefault="00BF7F60" w:rsidP="00BF7F60">
            <w:pPr>
              <w:spacing w:after="0" w:line="240" w:lineRule="auto"/>
              <w:rPr>
                <w:b/>
              </w:rPr>
            </w:pPr>
            <w:r>
              <w:rPr>
                <w:b/>
              </w:rPr>
              <w:t>25%</w:t>
            </w:r>
          </w:p>
        </w:tc>
        <w:tc>
          <w:tcPr>
            <w:tcW w:w="3690" w:type="dxa"/>
            <w:vAlign w:val="bottom"/>
            <w:hideMark/>
          </w:tcPr>
          <w:p w:rsidR="00BF7F60" w:rsidRDefault="00BF7F60" w:rsidP="00BF7F60">
            <w:pPr>
              <w:spacing w:after="0" w:line="240" w:lineRule="auto"/>
              <w:jc w:val="right"/>
              <w:rPr>
                <w:color w:val="000000"/>
              </w:rPr>
            </w:pPr>
            <w:r>
              <w:rPr>
                <w:color w:val="000000"/>
              </w:rPr>
              <w:t>15.6%</w:t>
            </w:r>
          </w:p>
        </w:tc>
      </w:tr>
      <w:tr w:rsidR="00BF7F60" w:rsidTr="00BF7F60">
        <w:tc>
          <w:tcPr>
            <w:tcW w:w="2790" w:type="dxa"/>
            <w:hideMark/>
          </w:tcPr>
          <w:p w:rsidR="00BF7F60" w:rsidRDefault="00BF7F60" w:rsidP="00BF7F60">
            <w:pPr>
              <w:spacing w:after="0" w:line="240" w:lineRule="auto"/>
              <w:rPr>
                <w:b/>
              </w:rPr>
            </w:pPr>
            <w:r>
              <w:rPr>
                <w:b/>
              </w:rPr>
              <w:t>50%</w:t>
            </w:r>
          </w:p>
        </w:tc>
        <w:tc>
          <w:tcPr>
            <w:tcW w:w="3690" w:type="dxa"/>
            <w:vAlign w:val="bottom"/>
            <w:hideMark/>
          </w:tcPr>
          <w:p w:rsidR="00BF7F60" w:rsidRDefault="00BF7F60" w:rsidP="00BF7F60">
            <w:pPr>
              <w:spacing w:after="0" w:line="240" w:lineRule="auto"/>
              <w:jc w:val="right"/>
              <w:rPr>
                <w:color w:val="000000"/>
              </w:rPr>
            </w:pPr>
            <w:r>
              <w:rPr>
                <w:color w:val="000000"/>
              </w:rPr>
              <w:t>16.9%</w:t>
            </w:r>
          </w:p>
        </w:tc>
      </w:tr>
      <w:tr w:rsidR="00BF7F60" w:rsidTr="00BF7F60">
        <w:tc>
          <w:tcPr>
            <w:tcW w:w="2790" w:type="dxa"/>
            <w:hideMark/>
          </w:tcPr>
          <w:p w:rsidR="00BF7F60" w:rsidRDefault="00BF7F60" w:rsidP="00BF7F60">
            <w:pPr>
              <w:spacing w:after="0" w:line="240" w:lineRule="auto"/>
              <w:rPr>
                <w:b/>
              </w:rPr>
            </w:pPr>
            <w:r>
              <w:rPr>
                <w:b/>
              </w:rPr>
              <w:t>75%</w:t>
            </w:r>
          </w:p>
        </w:tc>
        <w:tc>
          <w:tcPr>
            <w:tcW w:w="3690" w:type="dxa"/>
            <w:vAlign w:val="bottom"/>
            <w:hideMark/>
          </w:tcPr>
          <w:p w:rsidR="00BF7F60" w:rsidRDefault="00BF7F60" w:rsidP="00BF7F60">
            <w:pPr>
              <w:spacing w:after="0" w:line="240" w:lineRule="auto"/>
              <w:jc w:val="right"/>
              <w:rPr>
                <w:color w:val="000000"/>
              </w:rPr>
            </w:pPr>
            <w:r>
              <w:rPr>
                <w:color w:val="000000"/>
              </w:rPr>
              <w:t>18.3%</w:t>
            </w:r>
          </w:p>
        </w:tc>
      </w:tr>
      <w:tr w:rsidR="00BF7F60" w:rsidTr="00BF7F60">
        <w:tc>
          <w:tcPr>
            <w:tcW w:w="2790" w:type="dxa"/>
            <w:hideMark/>
          </w:tcPr>
          <w:p w:rsidR="00BF7F60" w:rsidRDefault="00BF7F60" w:rsidP="00BF7F60">
            <w:pPr>
              <w:spacing w:after="0" w:line="240" w:lineRule="auto"/>
              <w:rPr>
                <w:b/>
              </w:rPr>
            </w:pPr>
            <w:r>
              <w:rPr>
                <w:b/>
              </w:rPr>
              <w:t>90%</w:t>
            </w:r>
          </w:p>
        </w:tc>
        <w:tc>
          <w:tcPr>
            <w:tcW w:w="3690" w:type="dxa"/>
            <w:vAlign w:val="bottom"/>
            <w:hideMark/>
          </w:tcPr>
          <w:p w:rsidR="00BF7F60" w:rsidRDefault="00BF7F60" w:rsidP="00BF7F60">
            <w:pPr>
              <w:spacing w:after="0" w:line="240" w:lineRule="auto"/>
              <w:jc w:val="right"/>
              <w:rPr>
                <w:color w:val="000000"/>
              </w:rPr>
            </w:pPr>
            <w:r>
              <w:rPr>
                <w:color w:val="000000"/>
              </w:rPr>
              <w:t>19.8%</w:t>
            </w:r>
          </w:p>
        </w:tc>
      </w:tr>
      <w:tr w:rsidR="00BF7F60" w:rsidTr="00BF7F60">
        <w:tc>
          <w:tcPr>
            <w:tcW w:w="2790" w:type="dxa"/>
            <w:hideMark/>
          </w:tcPr>
          <w:p w:rsidR="00BF7F60" w:rsidRDefault="00BF7F60" w:rsidP="00BF7F60">
            <w:pPr>
              <w:spacing w:after="0" w:line="240" w:lineRule="auto"/>
              <w:rPr>
                <w:b/>
              </w:rPr>
            </w:pPr>
            <w:r>
              <w:rPr>
                <w:b/>
              </w:rPr>
              <w:t>Maximum</w:t>
            </w:r>
          </w:p>
        </w:tc>
        <w:tc>
          <w:tcPr>
            <w:tcW w:w="3690" w:type="dxa"/>
            <w:vAlign w:val="bottom"/>
            <w:hideMark/>
          </w:tcPr>
          <w:p w:rsidR="00BF7F60" w:rsidRDefault="00BF7F60" w:rsidP="00BF7F60">
            <w:pPr>
              <w:spacing w:after="0" w:line="240" w:lineRule="auto"/>
              <w:jc w:val="right"/>
              <w:rPr>
                <w:color w:val="000000"/>
              </w:rPr>
            </w:pPr>
            <w:r>
              <w:rPr>
                <w:color w:val="000000"/>
              </w:rPr>
              <w:t>34.2%</w:t>
            </w:r>
          </w:p>
        </w:tc>
      </w:tr>
      <w:tr w:rsidR="00BF7F60" w:rsidTr="00BF7F60">
        <w:tc>
          <w:tcPr>
            <w:tcW w:w="2790" w:type="dxa"/>
            <w:tcBorders>
              <w:top w:val="nil"/>
              <w:left w:val="nil"/>
              <w:bottom w:val="single" w:sz="4" w:space="0" w:color="auto"/>
              <w:right w:val="nil"/>
            </w:tcBorders>
            <w:hideMark/>
          </w:tcPr>
          <w:p w:rsidR="00BF7F60" w:rsidRDefault="00BF7F60" w:rsidP="00BF7F60">
            <w:pPr>
              <w:spacing w:after="0" w:line="240" w:lineRule="auto"/>
              <w:rPr>
                <w:b/>
              </w:rPr>
            </w:pPr>
            <w:r>
              <w:rPr>
                <w:b/>
              </w:rPr>
              <w:t>Mean</w:t>
            </w:r>
          </w:p>
        </w:tc>
        <w:tc>
          <w:tcPr>
            <w:tcW w:w="3690" w:type="dxa"/>
            <w:tcBorders>
              <w:top w:val="nil"/>
              <w:left w:val="nil"/>
              <w:bottom w:val="single" w:sz="4" w:space="0" w:color="auto"/>
              <w:right w:val="nil"/>
            </w:tcBorders>
            <w:vAlign w:val="bottom"/>
            <w:hideMark/>
          </w:tcPr>
          <w:p w:rsidR="00BF7F60" w:rsidRDefault="00BF7F60" w:rsidP="00BF7F60">
            <w:pPr>
              <w:spacing w:after="0" w:line="240" w:lineRule="auto"/>
              <w:jc w:val="right"/>
              <w:rPr>
                <w:color w:val="000000"/>
              </w:rPr>
            </w:pPr>
            <w:r>
              <w:rPr>
                <w:color w:val="000000"/>
              </w:rPr>
              <w:t>17.0%</w:t>
            </w:r>
          </w:p>
        </w:tc>
      </w:tr>
    </w:tbl>
    <w:p w:rsidR="00D61410" w:rsidRDefault="00D61410" w:rsidP="00D61410">
      <w:pPr>
        <w:autoSpaceDE w:val="0"/>
        <w:autoSpaceDN w:val="0"/>
        <w:adjustRightInd w:val="0"/>
        <w:spacing w:after="0" w:line="240" w:lineRule="auto"/>
        <w:rPr>
          <w:rFonts w:cstheme="minorHAnsi"/>
          <w:bCs/>
        </w:rPr>
      </w:pPr>
    </w:p>
    <w:p w:rsidR="00BF7F60" w:rsidRPr="00927027" w:rsidRDefault="00BF7F60" w:rsidP="00D61410">
      <w:pPr>
        <w:autoSpaceDE w:val="0"/>
        <w:autoSpaceDN w:val="0"/>
        <w:adjustRightInd w:val="0"/>
        <w:spacing w:after="0" w:line="240" w:lineRule="auto"/>
        <w:rPr>
          <w:rFonts w:cstheme="minorHAnsi"/>
          <w:bCs/>
        </w:rPr>
      </w:pPr>
    </w:p>
    <w:p w:rsidR="00D61410" w:rsidRPr="00B87202" w:rsidRDefault="00D61410"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 xml:space="preserve">2b5.3. </w:t>
      </w:r>
      <w:proofErr w:type="gramStart"/>
      <w:r w:rsidRPr="00B87202">
        <w:rPr>
          <w:rFonts w:cstheme="minorHAnsi"/>
          <w:b/>
          <w:bCs/>
          <w:color w:val="000099"/>
        </w:rPr>
        <w:t>What</w:t>
      </w:r>
      <w:proofErr w:type="gramEnd"/>
      <w:r w:rsidRPr="00B87202">
        <w:rPr>
          <w:rFonts w:cstheme="minorHAnsi"/>
          <w:b/>
          <w:bCs/>
          <w:color w:val="000099"/>
        </w:rPr>
        <w:t xml:space="preserve"> is your interpretation of the results in terms of demonstrating the ability to identify statistically significant and</w:t>
      </w:r>
      <w:r w:rsidR="005038D5" w:rsidRPr="00B87202">
        <w:rPr>
          <w:rFonts w:cstheme="minorHAnsi"/>
          <w:b/>
          <w:bCs/>
          <w:color w:val="000099"/>
        </w:rPr>
        <w:t>/or</w:t>
      </w:r>
      <w:r w:rsidRPr="00B87202">
        <w:rPr>
          <w:rFonts w:cstheme="minorHAnsi"/>
          <w:b/>
          <w:bCs/>
          <w:color w:val="000099"/>
        </w:rPr>
        <w:t xml:space="preserve"> clinically/practically meaningful differences in performance across measured entities?</w:t>
      </w:r>
      <w:r w:rsidRPr="00B87202">
        <w:rPr>
          <w:rFonts w:cstheme="minorHAnsi"/>
          <w:bCs/>
          <w:color w:val="000099"/>
        </w:rPr>
        <w:t xml:space="preserve"> (i</w:t>
      </w:r>
      <w:r w:rsidRPr="00B87202">
        <w:rPr>
          <w:rFonts w:cstheme="minorHAnsi"/>
          <w:bCs/>
          <w:i/>
          <w:color w:val="000099"/>
        </w:rPr>
        <w:t>.e., what d</w:t>
      </w:r>
      <w:r w:rsidR="004C2443" w:rsidRPr="00B87202">
        <w:rPr>
          <w:rFonts w:cstheme="minorHAnsi"/>
          <w:bCs/>
          <w:i/>
          <w:color w:val="000099"/>
        </w:rPr>
        <w:t>o the results mean in terms of statistical and meaningful differences?</w:t>
      </w:r>
      <w:r w:rsidR="00BF7F60">
        <w:rPr>
          <w:rFonts w:cstheme="minorHAnsi"/>
          <w:bCs/>
          <w:color w:val="000099"/>
        </w:rPr>
        <w:t>)</w:t>
      </w:r>
    </w:p>
    <w:p w:rsidR="0008706B" w:rsidRDefault="0008706B" w:rsidP="0008706B">
      <w:pPr>
        <w:spacing w:after="0" w:line="240" w:lineRule="auto"/>
        <w:ind w:left="720" w:right="630"/>
        <w:jc w:val="center"/>
        <w:rPr>
          <w:rFonts w:cstheme="minorHAnsi"/>
          <w:noProof/>
        </w:rPr>
      </w:pPr>
    </w:p>
    <w:p w:rsidR="0008706B" w:rsidRDefault="0008706B" w:rsidP="0008706B">
      <w:pPr>
        <w:spacing w:after="0" w:line="240" w:lineRule="auto"/>
        <w:ind w:left="720" w:right="630"/>
        <w:jc w:val="center"/>
        <w:rPr>
          <w:rFonts w:cstheme="minorHAnsi"/>
          <w:noProof/>
        </w:rPr>
      </w:pPr>
      <w:r w:rsidRPr="0008706B">
        <w:rPr>
          <w:rFonts w:cstheme="minorHAnsi"/>
          <w:noProof/>
        </w:rPr>
        <w:t>Number of Hospital</w:t>
      </w:r>
      <w:r>
        <w:rPr>
          <w:rFonts w:cstheme="minorHAnsi"/>
          <w:noProof/>
        </w:rPr>
        <w:t>s</w:t>
      </w:r>
      <w:r w:rsidRPr="0008706B">
        <w:rPr>
          <w:rFonts w:cstheme="minorHAnsi"/>
          <w:noProof/>
        </w:rPr>
        <w:t xml:space="preserve"> With 95% Interval Estimators Excluding the National Rate in 2008-2010 Data, Subset of Hospitals With At Least 30 Cases and Linkage Rate At Least 90%</w:t>
      </w:r>
    </w:p>
    <w:tbl>
      <w:tblPr>
        <w:tblStyle w:val="TableGrid2"/>
        <w:tblW w:w="0" w:type="auto"/>
        <w:jc w:val="center"/>
        <w:tblBorders>
          <w:top w:val="double" w:sz="4" w:space="0" w:color="auto"/>
          <w:bottom w:val="double" w:sz="4" w:space="0" w:color="auto"/>
        </w:tblBorders>
        <w:tblLook w:val="04A0" w:firstRow="1" w:lastRow="0" w:firstColumn="1" w:lastColumn="0" w:noHBand="0" w:noVBand="1"/>
      </w:tblPr>
      <w:tblGrid>
        <w:gridCol w:w="2682"/>
        <w:gridCol w:w="2682"/>
        <w:gridCol w:w="2682"/>
      </w:tblGrid>
      <w:tr w:rsidR="0008706B" w:rsidRPr="0008706B" w:rsidTr="0008706B">
        <w:trPr>
          <w:jc w:val="center"/>
        </w:trPr>
        <w:tc>
          <w:tcPr>
            <w:tcW w:w="2682" w:type="dxa"/>
          </w:tcPr>
          <w:p w:rsidR="0008706B" w:rsidRPr="0008706B" w:rsidRDefault="0008706B" w:rsidP="0008706B">
            <w:pPr>
              <w:jc w:val="center"/>
              <w:rPr>
                <w:rFonts w:asciiTheme="minorHAnsi" w:hAnsiTheme="minorHAnsi" w:cstheme="minorHAnsi"/>
                <w:b/>
                <w:noProof/>
              </w:rPr>
            </w:pPr>
            <w:r w:rsidRPr="0008706B">
              <w:rPr>
                <w:rFonts w:asciiTheme="minorHAnsi" w:hAnsiTheme="minorHAnsi" w:cstheme="minorHAnsi"/>
                <w:b/>
                <w:noProof/>
              </w:rPr>
              <w:t># better than</w:t>
            </w:r>
            <w:r w:rsidRPr="0008706B">
              <w:rPr>
                <w:rFonts w:asciiTheme="minorHAnsi" w:hAnsiTheme="minorHAnsi" w:cstheme="minorHAnsi"/>
                <w:b/>
                <w:noProof/>
              </w:rPr>
              <w:br/>
              <w:t xml:space="preserve"> expected</w:t>
            </w:r>
          </w:p>
        </w:tc>
        <w:tc>
          <w:tcPr>
            <w:tcW w:w="2682" w:type="dxa"/>
          </w:tcPr>
          <w:p w:rsidR="0008706B" w:rsidRPr="0008706B" w:rsidRDefault="0008706B" w:rsidP="0008706B">
            <w:pPr>
              <w:jc w:val="center"/>
              <w:rPr>
                <w:rFonts w:asciiTheme="minorHAnsi" w:hAnsiTheme="minorHAnsi" w:cstheme="minorHAnsi"/>
                <w:b/>
                <w:noProof/>
              </w:rPr>
            </w:pPr>
            <w:r w:rsidRPr="0008706B">
              <w:rPr>
                <w:rFonts w:asciiTheme="minorHAnsi" w:hAnsiTheme="minorHAnsi" w:cstheme="minorHAnsi"/>
                <w:b/>
                <w:noProof/>
              </w:rPr>
              <w:t xml:space="preserve"># as </w:t>
            </w:r>
            <w:r w:rsidRPr="0008706B">
              <w:rPr>
                <w:rFonts w:asciiTheme="minorHAnsi" w:hAnsiTheme="minorHAnsi" w:cstheme="minorHAnsi"/>
                <w:b/>
                <w:noProof/>
              </w:rPr>
              <w:br/>
              <w:t>expected</w:t>
            </w:r>
          </w:p>
        </w:tc>
        <w:tc>
          <w:tcPr>
            <w:tcW w:w="2682" w:type="dxa"/>
          </w:tcPr>
          <w:p w:rsidR="0008706B" w:rsidRPr="0008706B" w:rsidRDefault="0008706B" w:rsidP="0008706B">
            <w:pPr>
              <w:jc w:val="center"/>
              <w:rPr>
                <w:rFonts w:asciiTheme="minorHAnsi" w:hAnsiTheme="minorHAnsi" w:cstheme="minorHAnsi"/>
                <w:b/>
                <w:noProof/>
              </w:rPr>
            </w:pPr>
            <w:r w:rsidRPr="0008706B">
              <w:rPr>
                <w:rFonts w:asciiTheme="minorHAnsi" w:hAnsiTheme="minorHAnsi" w:cstheme="minorHAnsi"/>
                <w:b/>
                <w:noProof/>
              </w:rPr>
              <w:t xml:space="preserve"># worse than </w:t>
            </w:r>
            <w:r w:rsidRPr="0008706B">
              <w:rPr>
                <w:rFonts w:asciiTheme="minorHAnsi" w:hAnsiTheme="minorHAnsi" w:cstheme="minorHAnsi"/>
                <w:b/>
                <w:noProof/>
              </w:rPr>
              <w:br/>
              <w:t>expected</w:t>
            </w:r>
          </w:p>
        </w:tc>
      </w:tr>
      <w:tr w:rsidR="0008706B" w:rsidRPr="0008706B" w:rsidTr="0008706B">
        <w:trPr>
          <w:jc w:val="center"/>
        </w:trPr>
        <w:tc>
          <w:tcPr>
            <w:tcW w:w="2682" w:type="dxa"/>
          </w:tcPr>
          <w:p w:rsidR="0008706B" w:rsidRPr="0008706B" w:rsidRDefault="0008706B" w:rsidP="0008706B">
            <w:pPr>
              <w:jc w:val="center"/>
              <w:rPr>
                <w:rFonts w:asciiTheme="minorHAnsi" w:hAnsiTheme="minorHAnsi" w:cstheme="minorHAnsi"/>
                <w:noProof/>
              </w:rPr>
            </w:pPr>
            <w:r w:rsidRPr="0008706B">
              <w:rPr>
                <w:rFonts w:asciiTheme="minorHAnsi" w:hAnsiTheme="minorHAnsi" w:cstheme="minorHAnsi"/>
                <w:noProof/>
              </w:rPr>
              <w:t>25</w:t>
            </w:r>
          </w:p>
        </w:tc>
        <w:tc>
          <w:tcPr>
            <w:tcW w:w="2682" w:type="dxa"/>
          </w:tcPr>
          <w:p w:rsidR="0008706B" w:rsidRPr="0008706B" w:rsidRDefault="0008706B" w:rsidP="0008706B">
            <w:pPr>
              <w:jc w:val="center"/>
              <w:rPr>
                <w:rFonts w:asciiTheme="minorHAnsi" w:hAnsiTheme="minorHAnsi" w:cstheme="minorHAnsi"/>
                <w:noProof/>
              </w:rPr>
            </w:pPr>
            <w:r w:rsidRPr="0008706B">
              <w:rPr>
                <w:rFonts w:asciiTheme="minorHAnsi" w:hAnsiTheme="minorHAnsi" w:cstheme="minorHAnsi"/>
                <w:noProof/>
              </w:rPr>
              <w:t>794</w:t>
            </w:r>
          </w:p>
        </w:tc>
        <w:tc>
          <w:tcPr>
            <w:tcW w:w="2682" w:type="dxa"/>
          </w:tcPr>
          <w:p w:rsidR="0008706B" w:rsidRPr="0008706B" w:rsidRDefault="0008706B" w:rsidP="0008706B">
            <w:pPr>
              <w:jc w:val="center"/>
              <w:rPr>
                <w:rFonts w:asciiTheme="minorHAnsi" w:hAnsiTheme="minorHAnsi" w:cstheme="minorHAnsi"/>
                <w:noProof/>
              </w:rPr>
            </w:pPr>
            <w:r w:rsidRPr="0008706B">
              <w:rPr>
                <w:rFonts w:asciiTheme="minorHAnsi" w:hAnsiTheme="minorHAnsi" w:cstheme="minorHAnsi"/>
                <w:noProof/>
              </w:rPr>
              <w:t>27</w:t>
            </w:r>
          </w:p>
        </w:tc>
      </w:tr>
    </w:tbl>
    <w:p w:rsidR="0008706B" w:rsidRPr="0008706B" w:rsidRDefault="0008706B" w:rsidP="0008706B">
      <w:pPr>
        <w:spacing w:after="0" w:line="240" w:lineRule="auto"/>
        <w:rPr>
          <w:rFonts w:cstheme="minorHAnsi"/>
          <w:noProof/>
        </w:rPr>
      </w:pPr>
    </w:p>
    <w:p w:rsidR="0008706B" w:rsidRPr="0008706B" w:rsidRDefault="0008706B" w:rsidP="0008706B">
      <w:pPr>
        <w:spacing w:after="0" w:line="240" w:lineRule="auto"/>
        <w:rPr>
          <w:rFonts w:cstheme="minorHAnsi"/>
          <w:noProof/>
        </w:rPr>
      </w:pPr>
      <w:r w:rsidRPr="0008706B">
        <w:rPr>
          <w:rFonts w:cstheme="minorHAnsi"/>
          <w:noProof/>
        </w:rPr>
        <w:t>For comparison, consider the current (February 3, 2014) Hospital Compare website display for readmission rates of acute MI patients discharged between July 1, 2009 and June 30, 2012. The overall U.S. national rate of readmission = 18.3%. Among 4</w:t>
      </w:r>
      <w:r w:rsidR="00F42356">
        <w:rPr>
          <w:rFonts w:cstheme="minorHAnsi"/>
          <w:noProof/>
        </w:rPr>
        <w:t>,</w:t>
      </w:r>
      <w:r w:rsidRPr="0008706B">
        <w:rPr>
          <w:rFonts w:cstheme="minorHAnsi"/>
          <w:noProof/>
        </w:rPr>
        <w:t>464 hospitals in the United States, 23 hospitals (0.5%) were Better than U.S. National Rate, 2</w:t>
      </w:r>
      <w:r w:rsidR="00F42356">
        <w:rPr>
          <w:rFonts w:cstheme="minorHAnsi"/>
          <w:noProof/>
        </w:rPr>
        <w:t>,</w:t>
      </w:r>
      <w:r w:rsidRPr="0008706B">
        <w:rPr>
          <w:rFonts w:cstheme="minorHAnsi"/>
          <w:noProof/>
        </w:rPr>
        <w:t>327 hospitals were No different than the U.S. National Rate, 29 (0.6%) were Worse than the U.S. National Rate, and 2</w:t>
      </w:r>
      <w:r w:rsidR="00F42356">
        <w:rPr>
          <w:rFonts w:cstheme="minorHAnsi"/>
          <w:noProof/>
        </w:rPr>
        <w:t>,</w:t>
      </w:r>
      <w:r w:rsidRPr="0008706B">
        <w:rPr>
          <w:rFonts w:cstheme="minorHAnsi"/>
          <w:noProof/>
        </w:rPr>
        <w:t>085 hospitals did not have enough cases to reliably tell how well they are performing</w:t>
      </w:r>
      <w:r w:rsidR="00574754">
        <w:rPr>
          <w:rFonts w:cstheme="minorHAnsi"/>
          <w:noProof/>
        </w:rPr>
        <w:t>.</w:t>
      </w:r>
      <w:bookmarkStart w:id="14" w:name="_GoBack"/>
      <w:bookmarkEnd w:id="14"/>
    </w:p>
    <w:p w:rsidR="00853A46" w:rsidRDefault="00853A46" w:rsidP="0086464B">
      <w:pPr>
        <w:spacing w:after="0" w:line="240" w:lineRule="auto"/>
        <w:rPr>
          <w:rFonts w:cstheme="minorHAnsi"/>
          <w:b/>
          <w:bCs/>
        </w:rPr>
      </w:pPr>
    </w:p>
    <w:p w:rsidR="004B1BA0" w:rsidRPr="00B87202" w:rsidRDefault="00021170" w:rsidP="00192061">
      <w:pPr>
        <w:shd w:val="clear" w:color="auto" w:fill="D9D9D9" w:themeFill="background1" w:themeFillShade="D9"/>
        <w:autoSpaceDE w:val="0"/>
        <w:autoSpaceDN w:val="0"/>
        <w:adjustRightInd w:val="0"/>
        <w:spacing w:after="0" w:line="240" w:lineRule="auto"/>
        <w:rPr>
          <w:rFonts w:cstheme="minorHAnsi"/>
          <w:b/>
          <w:bCs/>
          <w:color w:val="000099"/>
        </w:rPr>
      </w:pPr>
      <w:r w:rsidRPr="00B87202">
        <w:rPr>
          <w:rFonts w:cstheme="minorHAnsi"/>
          <w:b/>
          <w:bCs/>
          <w:color w:val="000099"/>
        </w:rPr>
        <w:t>2</w:t>
      </w:r>
      <w:r w:rsidR="00EA5F47" w:rsidRPr="00B87202">
        <w:rPr>
          <w:rFonts w:cstheme="minorHAnsi"/>
          <w:b/>
          <w:bCs/>
          <w:color w:val="000099"/>
        </w:rPr>
        <w:t>b</w:t>
      </w:r>
      <w:r w:rsidRPr="00B87202">
        <w:rPr>
          <w:rFonts w:cstheme="minorHAnsi"/>
          <w:b/>
          <w:bCs/>
          <w:color w:val="000099"/>
        </w:rPr>
        <w:t xml:space="preserve">6. COMPARABILITY OF PERFORMANCE SCORES </w:t>
      </w:r>
      <w:r w:rsidR="004C498F" w:rsidRPr="00B87202">
        <w:rPr>
          <w:rFonts w:cstheme="minorHAnsi"/>
          <w:b/>
          <w:bCs/>
          <w:color w:val="000099"/>
        </w:rPr>
        <w:t>WHEN</w:t>
      </w:r>
      <w:r w:rsidR="002B2116" w:rsidRPr="00B87202">
        <w:rPr>
          <w:rFonts w:cstheme="minorHAnsi"/>
          <w:b/>
          <w:bCs/>
          <w:color w:val="000099"/>
        </w:rPr>
        <w:t xml:space="preserve"> MORE THAN ONE SET OF SPECIFICATIONS </w:t>
      </w:r>
    </w:p>
    <w:p w:rsidR="00567D12" w:rsidRPr="00B87202" w:rsidRDefault="00567D12" w:rsidP="00853A46">
      <w:pPr>
        <w:shd w:val="clear" w:color="auto" w:fill="D9D9D9" w:themeFill="background1" w:themeFillShade="D9"/>
        <w:spacing w:after="0" w:line="240" w:lineRule="auto"/>
        <w:rPr>
          <w:rFonts w:cstheme="minorHAnsi"/>
          <w:b/>
          <w:bCs/>
          <w:color w:val="000099"/>
        </w:rPr>
      </w:pPr>
      <w:r w:rsidRPr="00B87202">
        <w:rPr>
          <w:rFonts w:cstheme="minorHAnsi"/>
          <w:b/>
          <w:bCs/>
          <w:i/>
          <w:color w:val="000099"/>
          <w:highlight w:val="green"/>
        </w:rPr>
        <w:t xml:space="preserve">If only one set of specifications, this section can be </w:t>
      </w:r>
      <w:r w:rsidR="00BE592D" w:rsidRPr="00B87202">
        <w:rPr>
          <w:rFonts w:cstheme="minorHAnsi"/>
          <w:b/>
          <w:bCs/>
          <w:i/>
          <w:color w:val="000099"/>
          <w:highlight w:val="green"/>
        </w:rPr>
        <w:t>skipped</w:t>
      </w:r>
      <w:r w:rsidR="00BE592D" w:rsidRPr="00B87202">
        <w:rPr>
          <w:rFonts w:cstheme="minorHAnsi"/>
          <w:b/>
          <w:bCs/>
          <w:i/>
          <w:color w:val="000099"/>
        </w:rPr>
        <w:t>.</w:t>
      </w:r>
    </w:p>
    <w:p w:rsidR="00052A6F" w:rsidRPr="00B87202" w:rsidRDefault="002B2116" w:rsidP="00192061">
      <w:pPr>
        <w:shd w:val="clear" w:color="auto" w:fill="D9D9D9" w:themeFill="background1" w:themeFillShade="D9"/>
        <w:autoSpaceDE w:val="0"/>
        <w:autoSpaceDN w:val="0"/>
        <w:adjustRightInd w:val="0"/>
        <w:spacing w:after="0" w:line="240" w:lineRule="auto"/>
        <w:rPr>
          <w:rFonts w:cstheme="minorHAnsi"/>
          <w:bCs/>
          <w:i/>
          <w:color w:val="000099"/>
        </w:rPr>
      </w:pPr>
      <w:r w:rsidRPr="00B87202">
        <w:rPr>
          <w:rFonts w:cstheme="minorHAnsi"/>
          <w:b/>
          <w:bCs/>
          <w:color w:val="000099"/>
          <w:u w:val="single"/>
        </w:rPr>
        <w:t>Note</w:t>
      </w:r>
      <w:r w:rsidRPr="00B87202">
        <w:rPr>
          <w:rFonts w:cstheme="minorHAnsi"/>
          <w:bCs/>
          <w:i/>
          <w:color w:val="000099"/>
        </w:rPr>
        <w:t xml:space="preserve">: This criterion is directed to measures with more than one set of specifications/instructions (e.g., </w:t>
      </w:r>
      <w:r w:rsidR="00947F78" w:rsidRPr="00B87202">
        <w:rPr>
          <w:rFonts w:cstheme="minorHAnsi"/>
          <w:bCs/>
          <w:i/>
          <w:color w:val="000099"/>
        </w:rPr>
        <w:t>one</w:t>
      </w:r>
      <w:r w:rsidRPr="00B87202">
        <w:rPr>
          <w:rFonts w:cstheme="minorHAnsi"/>
          <w:bCs/>
          <w:i/>
          <w:color w:val="000099"/>
        </w:rPr>
        <w:t xml:space="preserve"> set of </w:t>
      </w:r>
      <w:r w:rsidR="00947F78" w:rsidRPr="00B87202">
        <w:rPr>
          <w:rFonts w:cstheme="minorHAnsi"/>
          <w:bCs/>
          <w:i/>
          <w:color w:val="000099"/>
        </w:rPr>
        <w:t>specifications for</w:t>
      </w:r>
      <w:r w:rsidRPr="00B87202">
        <w:rPr>
          <w:rFonts w:cstheme="minorHAnsi"/>
          <w:bCs/>
          <w:i/>
          <w:color w:val="000099"/>
        </w:rPr>
        <w:t xml:space="preserve"> how to identify and compute the measure f</w:t>
      </w:r>
      <w:r w:rsidR="00947F78" w:rsidRPr="00B87202">
        <w:rPr>
          <w:rFonts w:cstheme="minorHAnsi"/>
          <w:bCs/>
          <w:i/>
          <w:color w:val="000099"/>
        </w:rPr>
        <w:t>ro</w:t>
      </w:r>
      <w:r w:rsidRPr="00B87202">
        <w:rPr>
          <w:rFonts w:cstheme="minorHAnsi"/>
          <w:bCs/>
          <w:i/>
          <w:color w:val="000099"/>
        </w:rPr>
        <w:t xml:space="preserve">m medical </w:t>
      </w:r>
      <w:r w:rsidR="00947F78" w:rsidRPr="00B87202">
        <w:rPr>
          <w:rFonts w:cstheme="minorHAnsi"/>
          <w:bCs/>
          <w:i/>
          <w:color w:val="000099"/>
        </w:rPr>
        <w:t>record</w:t>
      </w:r>
      <w:r w:rsidR="000D7C84" w:rsidRPr="00B87202">
        <w:rPr>
          <w:rFonts w:cstheme="minorHAnsi"/>
          <w:bCs/>
          <w:i/>
          <w:color w:val="000099"/>
        </w:rPr>
        <w:t xml:space="preserve"> abstraction</w:t>
      </w:r>
      <w:r w:rsidR="00947F78" w:rsidRPr="00B87202">
        <w:rPr>
          <w:rFonts w:cstheme="minorHAnsi"/>
          <w:bCs/>
          <w:i/>
          <w:color w:val="000099"/>
        </w:rPr>
        <w:t xml:space="preserve"> and a different set of specifications </w:t>
      </w:r>
      <w:r w:rsidRPr="00B87202">
        <w:rPr>
          <w:rFonts w:cstheme="minorHAnsi"/>
          <w:bCs/>
          <w:i/>
          <w:color w:val="000099"/>
        </w:rPr>
        <w:t>for claims</w:t>
      </w:r>
      <w:r w:rsidR="00840A41" w:rsidRPr="00B87202">
        <w:rPr>
          <w:rFonts w:cstheme="minorHAnsi"/>
          <w:bCs/>
          <w:i/>
          <w:color w:val="000099"/>
        </w:rPr>
        <w:t xml:space="preserve"> or eMeasures</w:t>
      </w:r>
      <w:r w:rsidRPr="00B87202">
        <w:rPr>
          <w:rFonts w:cstheme="minorHAnsi"/>
          <w:bCs/>
          <w:i/>
          <w:color w:val="000099"/>
        </w:rPr>
        <w:t xml:space="preserve">). It does not apply to measures that use more than one </w:t>
      </w:r>
      <w:r w:rsidR="00840A41" w:rsidRPr="00B87202">
        <w:rPr>
          <w:rFonts w:cstheme="minorHAnsi"/>
          <w:bCs/>
          <w:i/>
          <w:color w:val="000099"/>
        </w:rPr>
        <w:t xml:space="preserve">source </w:t>
      </w:r>
      <w:r w:rsidRPr="00B87202">
        <w:rPr>
          <w:rFonts w:cstheme="minorHAnsi"/>
          <w:bCs/>
          <w:i/>
          <w:color w:val="000099"/>
        </w:rPr>
        <w:t>of data in one set of specifications/instructions (e.g., claims data to identify the denominator and medical record abstraction for the numerator).</w:t>
      </w:r>
      <w:r w:rsidR="00127C06" w:rsidRPr="00B87202">
        <w:rPr>
          <w:rFonts w:cstheme="minorHAnsi"/>
          <w:bCs/>
          <w:i/>
          <w:color w:val="000099"/>
        </w:rPr>
        <w:t xml:space="preserve"> </w:t>
      </w:r>
      <w:r w:rsidR="00D61410" w:rsidRPr="00B87202">
        <w:rPr>
          <w:rFonts w:cstheme="minorHAnsi"/>
          <w:b/>
          <w:bCs/>
          <w:i/>
          <w:color w:val="000099"/>
        </w:rPr>
        <w:t xml:space="preserve">If comparability is not demonstrated, the different specifications </w:t>
      </w:r>
      <w:r w:rsidR="003605B4" w:rsidRPr="00B87202">
        <w:rPr>
          <w:rFonts w:cstheme="minorHAnsi"/>
          <w:b/>
          <w:bCs/>
          <w:i/>
          <w:color w:val="000099"/>
        </w:rPr>
        <w:t xml:space="preserve">should </w:t>
      </w:r>
      <w:r w:rsidR="00D61410" w:rsidRPr="00B87202">
        <w:rPr>
          <w:rFonts w:cstheme="minorHAnsi"/>
          <w:b/>
          <w:bCs/>
          <w:i/>
          <w:color w:val="000099"/>
        </w:rPr>
        <w:t>be submitted as separate measures.</w:t>
      </w:r>
    </w:p>
    <w:p w:rsidR="000F06B5" w:rsidRPr="00B87202" w:rsidRDefault="000F06B5" w:rsidP="00192061">
      <w:pPr>
        <w:shd w:val="clear" w:color="auto" w:fill="D9D9D9" w:themeFill="background1" w:themeFillShade="D9"/>
        <w:autoSpaceDE w:val="0"/>
        <w:autoSpaceDN w:val="0"/>
        <w:adjustRightInd w:val="0"/>
        <w:spacing w:after="0" w:line="240" w:lineRule="auto"/>
        <w:rPr>
          <w:rFonts w:cstheme="minorHAnsi"/>
          <w:bCs/>
          <w:color w:val="000099"/>
        </w:rPr>
      </w:pPr>
    </w:p>
    <w:p w:rsidR="000F06B5" w:rsidRPr="00A25024" w:rsidRDefault="00E1508F" w:rsidP="00192061">
      <w:pPr>
        <w:shd w:val="clear" w:color="auto" w:fill="D9D9D9" w:themeFill="background1" w:themeFillShade="D9"/>
        <w:autoSpaceDE w:val="0"/>
        <w:autoSpaceDN w:val="0"/>
        <w:adjustRightInd w:val="0"/>
        <w:spacing w:after="0" w:line="240" w:lineRule="auto"/>
        <w:rPr>
          <w:rFonts w:cstheme="minorHAnsi"/>
          <w:bCs/>
        </w:rPr>
      </w:pPr>
      <w:r w:rsidRPr="00B87202">
        <w:rPr>
          <w:rFonts w:cstheme="minorHAnsi"/>
          <w:b/>
          <w:bCs/>
          <w:color w:val="000099"/>
        </w:rPr>
        <w:t xml:space="preserve">2b6.1. </w:t>
      </w:r>
      <w:r w:rsidR="008871A9" w:rsidRPr="00B87202">
        <w:rPr>
          <w:rFonts w:cstheme="minorHAnsi"/>
          <w:b/>
          <w:bCs/>
          <w:color w:val="000099"/>
        </w:rPr>
        <w:t xml:space="preserve">Describe the method of </w:t>
      </w:r>
      <w:r w:rsidR="000F06B5" w:rsidRPr="00B87202">
        <w:rPr>
          <w:rFonts w:cstheme="minorHAnsi"/>
          <w:b/>
          <w:bCs/>
          <w:color w:val="000099"/>
        </w:rPr>
        <w:t>testing conducted</w:t>
      </w:r>
      <w:r w:rsidR="008871A9" w:rsidRPr="00B87202">
        <w:rPr>
          <w:rFonts w:cstheme="minorHAnsi"/>
          <w:b/>
          <w:bCs/>
          <w:color w:val="000099"/>
        </w:rPr>
        <w:t xml:space="preserve"> to demonstrate </w:t>
      </w:r>
      <w:r w:rsidR="00127C06" w:rsidRPr="00B87202">
        <w:rPr>
          <w:rFonts w:cstheme="minorHAnsi"/>
          <w:b/>
          <w:bCs/>
          <w:color w:val="000099"/>
        </w:rPr>
        <w:t>comparability</w:t>
      </w:r>
      <w:r w:rsidR="004B6CEE" w:rsidRPr="00B87202">
        <w:rPr>
          <w:rFonts w:cstheme="minorHAnsi"/>
          <w:b/>
          <w:bCs/>
          <w:color w:val="000099"/>
        </w:rPr>
        <w:t xml:space="preserve"> of performance scores </w:t>
      </w:r>
      <w:r w:rsidR="00A35F8F" w:rsidRPr="00B87202">
        <w:rPr>
          <w:rFonts w:cstheme="minorHAnsi"/>
          <w:b/>
          <w:bCs/>
          <w:color w:val="000099"/>
        </w:rPr>
        <w:t xml:space="preserve">for the same entities </w:t>
      </w:r>
      <w:r w:rsidR="00287649" w:rsidRPr="00B87202">
        <w:rPr>
          <w:rFonts w:cstheme="minorHAnsi"/>
          <w:b/>
          <w:bCs/>
          <w:color w:val="000099"/>
        </w:rPr>
        <w:t xml:space="preserve">across the different </w:t>
      </w:r>
      <w:proofErr w:type="spellStart"/>
      <w:r w:rsidR="00864CA8" w:rsidRPr="00B87202">
        <w:rPr>
          <w:rFonts w:cstheme="minorHAnsi"/>
          <w:b/>
          <w:bCs/>
          <w:color w:val="000099"/>
        </w:rPr>
        <w:t>datasources</w:t>
      </w:r>
      <w:proofErr w:type="spellEnd"/>
      <w:r w:rsidR="00864CA8" w:rsidRPr="00B87202">
        <w:rPr>
          <w:rFonts w:cstheme="minorHAnsi"/>
          <w:b/>
          <w:bCs/>
          <w:color w:val="000099"/>
        </w:rPr>
        <w:t>/</w:t>
      </w:r>
      <w:r w:rsidR="00287649" w:rsidRPr="00B87202">
        <w:rPr>
          <w:rFonts w:cstheme="minorHAnsi"/>
          <w:b/>
          <w:bCs/>
          <w:color w:val="000099"/>
        </w:rPr>
        <w:t>specifications</w:t>
      </w:r>
      <w:r w:rsidR="000F06B5" w:rsidRPr="00B87202">
        <w:rPr>
          <w:rFonts w:cstheme="minorHAnsi"/>
          <w:bCs/>
          <w:color w:val="000099"/>
        </w:rPr>
        <w:t xml:space="preserve"> (</w:t>
      </w:r>
      <w:r w:rsidR="008871A9" w:rsidRPr="00B87202">
        <w:rPr>
          <w:rFonts w:cstheme="minorHAnsi"/>
          <w:bCs/>
          <w:i/>
          <w:color w:val="000099"/>
        </w:rPr>
        <w:t>describe the steps―do not just name a method</w:t>
      </w:r>
      <w:r w:rsidR="006C3A4F" w:rsidRPr="00B87202">
        <w:rPr>
          <w:rFonts w:cstheme="minorHAnsi"/>
          <w:bCs/>
          <w:i/>
          <w:color w:val="000099"/>
        </w:rPr>
        <w:t>; what statistical analysis was used</w:t>
      </w:r>
      <w:r w:rsidR="000F06B5" w:rsidRPr="00B87202">
        <w:rPr>
          <w:rFonts w:cstheme="minorHAnsi"/>
          <w:bCs/>
          <w:color w:val="000099"/>
        </w:rPr>
        <w:t>)</w:t>
      </w:r>
    </w:p>
    <w:p w:rsidR="000F06B5" w:rsidRDefault="00853A46" w:rsidP="00DB3627">
      <w:pPr>
        <w:pStyle w:val="ListParagraph"/>
        <w:autoSpaceDE w:val="0"/>
        <w:autoSpaceDN w:val="0"/>
        <w:adjustRightInd w:val="0"/>
        <w:spacing w:after="0" w:line="240" w:lineRule="auto"/>
        <w:ind w:left="0"/>
        <w:rPr>
          <w:rFonts w:cstheme="minorHAnsi"/>
          <w:bCs/>
        </w:rPr>
      </w:pPr>
      <w:r>
        <w:rPr>
          <w:rFonts w:cstheme="minorHAnsi"/>
          <w:bCs/>
        </w:rPr>
        <w:t>N/A</w:t>
      </w:r>
    </w:p>
    <w:p w:rsidR="00853A46" w:rsidRPr="00A25024" w:rsidRDefault="00853A46" w:rsidP="00DB3627">
      <w:pPr>
        <w:pStyle w:val="ListParagraph"/>
        <w:autoSpaceDE w:val="0"/>
        <w:autoSpaceDN w:val="0"/>
        <w:adjustRightInd w:val="0"/>
        <w:spacing w:after="0" w:line="240" w:lineRule="auto"/>
        <w:ind w:left="0"/>
        <w:rPr>
          <w:rFonts w:cstheme="minorHAnsi"/>
          <w:bCs/>
        </w:rPr>
      </w:pPr>
    </w:p>
    <w:p w:rsidR="00A35F8F" w:rsidRPr="00B87202" w:rsidRDefault="00E1508F"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 xml:space="preserve">2b6.2. </w:t>
      </w:r>
      <w:proofErr w:type="gramStart"/>
      <w:r w:rsidR="000F06B5" w:rsidRPr="00B87202">
        <w:rPr>
          <w:rFonts w:cstheme="minorHAnsi"/>
          <w:b/>
          <w:bCs/>
          <w:color w:val="000099"/>
        </w:rPr>
        <w:t>What</w:t>
      </w:r>
      <w:proofErr w:type="gramEnd"/>
      <w:r w:rsidR="000F06B5" w:rsidRPr="00B87202">
        <w:rPr>
          <w:rFonts w:cstheme="minorHAnsi"/>
          <w:b/>
          <w:bCs/>
          <w:color w:val="000099"/>
        </w:rPr>
        <w:t xml:space="preserve"> were the statistical results </w:t>
      </w:r>
      <w:r w:rsidR="00A35F8F" w:rsidRPr="00B87202">
        <w:rPr>
          <w:rFonts w:cstheme="minorHAnsi"/>
          <w:b/>
          <w:bCs/>
          <w:color w:val="000099"/>
        </w:rPr>
        <w:t>from testing</w:t>
      </w:r>
      <w:r w:rsidR="000F06B5" w:rsidRPr="00B87202">
        <w:rPr>
          <w:rFonts w:cstheme="minorHAnsi"/>
          <w:b/>
          <w:bCs/>
          <w:color w:val="000099"/>
        </w:rPr>
        <w:t xml:space="preserve"> comparability of performance scores for the same entities when using different </w:t>
      </w:r>
      <w:r w:rsidR="00864CA8" w:rsidRPr="00B87202">
        <w:rPr>
          <w:rFonts w:cstheme="minorHAnsi"/>
          <w:b/>
          <w:bCs/>
          <w:color w:val="000099"/>
        </w:rPr>
        <w:t>data sources/</w:t>
      </w:r>
      <w:r w:rsidR="000F06B5" w:rsidRPr="00B87202">
        <w:rPr>
          <w:rFonts w:cstheme="minorHAnsi"/>
          <w:b/>
          <w:bCs/>
          <w:color w:val="000099"/>
        </w:rPr>
        <w:t>specifications?</w:t>
      </w:r>
      <w:r w:rsidR="000F06B5" w:rsidRPr="00B87202">
        <w:rPr>
          <w:rFonts w:cstheme="minorHAnsi"/>
          <w:bCs/>
          <w:color w:val="000099"/>
        </w:rPr>
        <w:t xml:space="preserve"> </w:t>
      </w:r>
      <w:r w:rsidR="00287649" w:rsidRPr="00B87202">
        <w:rPr>
          <w:rFonts w:cstheme="minorHAnsi"/>
          <w:bCs/>
          <w:color w:val="000099"/>
        </w:rPr>
        <w:t>(</w:t>
      </w:r>
      <w:r w:rsidR="00287649" w:rsidRPr="00B87202">
        <w:rPr>
          <w:rFonts w:cstheme="minorHAnsi"/>
          <w:bCs/>
          <w:i/>
          <w:color w:val="000099"/>
        </w:rPr>
        <w:t>e.g., correlation</w:t>
      </w:r>
      <w:r w:rsidR="006C3A4F" w:rsidRPr="00B87202">
        <w:rPr>
          <w:rFonts w:cstheme="minorHAnsi"/>
          <w:bCs/>
          <w:i/>
          <w:color w:val="000099"/>
        </w:rPr>
        <w:t>, rank order</w:t>
      </w:r>
      <w:r w:rsidR="00287649" w:rsidRPr="00B87202">
        <w:rPr>
          <w:rFonts w:cstheme="minorHAnsi"/>
          <w:bCs/>
          <w:color w:val="000099"/>
        </w:rPr>
        <w:t>)</w:t>
      </w:r>
    </w:p>
    <w:p w:rsidR="00853A46" w:rsidRDefault="00853A46" w:rsidP="00853A46">
      <w:pPr>
        <w:pStyle w:val="ListParagraph"/>
        <w:autoSpaceDE w:val="0"/>
        <w:autoSpaceDN w:val="0"/>
        <w:adjustRightInd w:val="0"/>
        <w:spacing w:after="0" w:line="240" w:lineRule="auto"/>
        <w:ind w:left="0"/>
        <w:rPr>
          <w:rFonts w:cstheme="minorHAnsi"/>
          <w:bCs/>
        </w:rPr>
      </w:pPr>
      <w:r>
        <w:rPr>
          <w:rFonts w:cstheme="minorHAnsi"/>
          <w:bCs/>
        </w:rPr>
        <w:t>N/A</w:t>
      </w:r>
    </w:p>
    <w:p w:rsidR="00853A46" w:rsidRPr="00E1508F" w:rsidRDefault="00853A46" w:rsidP="00E1508F">
      <w:pPr>
        <w:autoSpaceDE w:val="0"/>
        <w:autoSpaceDN w:val="0"/>
        <w:adjustRightInd w:val="0"/>
        <w:spacing w:after="0" w:line="240" w:lineRule="auto"/>
        <w:rPr>
          <w:rFonts w:cstheme="minorHAnsi"/>
          <w:bCs/>
        </w:rPr>
      </w:pPr>
    </w:p>
    <w:p w:rsidR="0079180E" w:rsidRDefault="00E1508F" w:rsidP="00192061">
      <w:pPr>
        <w:shd w:val="clear" w:color="auto" w:fill="D9D9D9" w:themeFill="background1" w:themeFillShade="D9"/>
        <w:autoSpaceDE w:val="0"/>
        <w:autoSpaceDN w:val="0"/>
        <w:adjustRightInd w:val="0"/>
        <w:spacing w:after="0" w:line="240" w:lineRule="auto"/>
        <w:rPr>
          <w:rFonts w:cstheme="minorHAnsi"/>
          <w:bCs/>
          <w:color w:val="000099"/>
        </w:rPr>
      </w:pPr>
      <w:r w:rsidRPr="00B87202">
        <w:rPr>
          <w:rFonts w:cstheme="minorHAnsi"/>
          <w:b/>
          <w:bCs/>
          <w:color w:val="000099"/>
        </w:rPr>
        <w:t xml:space="preserve">2b6.3. </w:t>
      </w:r>
      <w:proofErr w:type="gramStart"/>
      <w:r w:rsidR="002B0C3A" w:rsidRPr="00B87202">
        <w:rPr>
          <w:rFonts w:cstheme="minorHAnsi"/>
          <w:b/>
          <w:bCs/>
          <w:color w:val="000099"/>
        </w:rPr>
        <w:t>What</w:t>
      </w:r>
      <w:proofErr w:type="gramEnd"/>
      <w:r w:rsidR="002B0C3A" w:rsidRPr="00B87202">
        <w:rPr>
          <w:rFonts w:cstheme="minorHAnsi"/>
          <w:b/>
          <w:bCs/>
          <w:color w:val="000099"/>
        </w:rPr>
        <w:t xml:space="preserve"> is your interpretation of the results </w:t>
      </w:r>
      <w:r w:rsidR="00A35F8F" w:rsidRPr="00B87202">
        <w:rPr>
          <w:rFonts w:cstheme="minorHAnsi"/>
          <w:b/>
          <w:bCs/>
          <w:color w:val="000099"/>
        </w:rPr>
        <w:t xml:space="preserve">in terms of demonstrating </w:t>
      </w:r>
      <w:r w:rsidR="002B0C3A" w:rsidRPr="00B87202">
        <w:rPr>
          <w:rFonts w:cstheme="minorHAnsi"/>
          <w:b/>
          <w:bCs/>
          <w:color w:val="000099"/>
        </w:rPr>
        <w:t xml:space="preserve">comparability of performance measure scores </w:t>
      </w:r>
      <w:r w:rsidR="00287649" w:rsidRPr="00B87202">
        <w:rPr>
          <w:rFonts w:cstheme="minorHAnsi"/>
          <w:b/>
          <w:bCs/>
          <w:color w:val="000099"/>
        </w:rPr>
        <w:t xml:space="preserve">for the same entities across the different </w:t>
      </w:r>
      <w:r w:rsidR="00864CA8" w:rsidRPr="00B87202">
        <w:rPr>
          <w:rFonts w:cstheme="minorHAnsi"/>
          <w:b/>
          <w:bCs/>
          <w:color w:val="000099"/>
        </w:rPr>
        <w:t>data sources/</w:t>
      </w:r>
      <w:r w:rsidR="00287649" w:rsidRPr="00B87202">
        <w:rPr>
          <w:rFonts w:cstheme="minorHAnsi"/>
          <w:b/>
          <w:bCs/>
          <w:color w:val="000099"/>
        </w:rPr>
        <w:t>specifications</w:t>
      </w:r>
      <w:r w:rsidR="002B0C3A" w:rsidRPr="00B87202">
        <w:rPr>
          <w:rFonts w:cstheme="minorHAnsi"/>
          <w:b/>
          <w:bCs/>
          <w:color w:val="000099"/>
        </w:rPr>
        <w:t>?</w:t>
      </w:r>
      <w:r w:rsidR="00A35F8F" w:rsidRPr="00B87202">
        <w:rPr>
          <w:rFonts w:cstheme="minorHAnsi"/>
          <w:bCs/>
          <w:color w:val="000099"/>
        </w:rPr>
        <w:t xml:space="preserve"> </w:t>
      </w:r>
      <w:r w:rsidR="002B0C3A" w:rsidRPr="00B87202">
        <w:rPr>
          <w:rFonts w:cstheme="minorHAnsi"/>
          <w:bCs/>
          <w:color w:val="000099"/>
        </w:rPr>
        <w:t>(i</w:t>
      </w:r>
      <w:r w:rsidR="002B0C3A" w:rsidRPr="00B87202">
        <w:rPr>
          <w:rFonts w:cstheme="minorHAnsi"/>
          <w:bCs/>
          <w:i/>
          <w:color w:val="000099"/>
        </w:rPr>
        <w:t xml:space="preserve">.e., what do the results mean and what are the norms for the test </w:t>
      </w:r>
      <w:proofErr w:type="gramStart"/>
      <w:r w:rsidR="002B0C3A" w:rsidRPr="00B87202">
        <w:rPr>
          <w:rFonts w:cstheme="minorHAnsi"/>
          <w:bCs/>
          <w:i/>
          <w:color w:val="000099"/>
        </w:rPr>
        <w:t>conducted</w:t>
      </w:r>
      <w:proofErr w:type="gramEnd"/>
      <w:r w:rsidR="002B0C3A" w:rsidRPr="00B87202">
        <w:rPr>
          <w:rFonts w:cstheme="minorHAnsi"/>
          <w:bCs/>
          <w:color w:val="000099"/>
        </w:rPr>
        <w:t>)</w:t>
      </w:r>
    </w:p>
    <w:p w:rsidR="00853A46" w:rsidRDefault="00853A46" w:rsidP="00853A46">
      <w:pPr>
        <w:pStyle w:val="ListParagraph"/>
        <w:autoSpaceDE w:val="0"/>
        <w:autoSpaceDN w:val="0"/>
        <w:adjustRightInd w:val="0"/>
        <w:spacing w:after="0" w:line="240" w:lineRule="auto"/>
        <w:ind w:left="0"/>
        <w:rPr>
          <w:rFonts w:cstheme="minorHAnsi"/>
          <w:bCs/>
        </w:rPr>
      </w:pPr>
      <w:r>
        <w:rPr>
          <w:rFonts w:cstheme="minorHAnsi"/>
          <w:bCs/>
        </w:rPr>
        <w:t>N/A</w:t>
      </w:r>
    </w:p>
    <w:p w:rsidR="00853A46" w:rsidRPr="00B87202" w:rsidRDefault="00853A46" w:rsidP="00853A46">
      <w:pPr>
        <w:autoSpaceDE w:val="0"/>
        <w:autoSpaceDN w:val="0"/>
        <w:adjustRightInd w:val="0"/>
        <w:spacing w:after="0" w:line="240" w:lineRule="auto"/>
        <w:rPr>
          <w:rFonts w:cstheme="minorHAnsi"/>
          <w:bCs/>
          <w:color w:val="000099"/>
        </w:rPr>
      </w:pPr>
    </w:p>
    <w:sectPr w:rsidR="00853A46" w:rsidRPr="00B87202" w:rsidSect="008505D1">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06B" w:rsidRDefault="0008706B" w:rsidP="005C73CA">
      <w:pPr>
        <w:spacing w:after="0" w:line="240" w:lineRule="auto"/>
      </w:pPr>
      <w:r>
        <w:separator/>
      </w:r>
    </w:p>
  </w:endnote>
  <w:endnote w:type="continuationSeparator" w:id="0">
    <w:p w:rsidR="0008706B" w:rsidRDefault="0008706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06B" w:rsidRDefault="0008706B">
    <w:pPr>
      <w:pStyle w:val="Footer"/>
    </w:pPr>
    <w:r>
      <w:t xml:space="preserve">Version </w:t>
    </w:r>
    <w:proofErr w:type="gramStart"/>
    <w:r>
      <w:t>6.5  05</w:t>
    </w:r>
    <w:proofErr w:type="gramEnd"/>
    <w:r>
      <w:t>/29/13</w:t>
    </w:r>
    <w:r>
      <w:ptab w:relativeTo="margin" w:alignment="center" w:leader="none"/>
    </w:r>
    <w:r>
      <w:ptab w:relativeTo="margin" w:alignment="right" w:leader="none"/>
    </w:r>
    <w:r>
      <w:fldChar w:fldCharType="begin"/>
    </w:r>
    <w:r>
      <w:instrText xml:space="preserve"> PAGE   \* MERGEFORMAT </w:instrText>
    </w:r>
    <w:r>
      <w:fldChar w:fldCharType="separate"/>
    </w:r>
    <w:r w:rsidR="00574754">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06B" w:rsidRDefault="0008706B" w:rsidP="005C73CA">
      <w:pPr>
        <w:spacing w:after="0" w:line="240" w:lineRule="auto"/>
      </w:pPr>
      <w:r>
        <w:separator/>
      </w:r>
    </w:p>
  </w:footnote>
  <w:footnote w:type="continuationSeparator" w:id="0">
    <w:p w:rsidR="0008706B" w:rsidRDefault="0008706B"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08706B" w:rsidRPr="00105D8B" w:rsidRDefault="0008706B"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CB2086"/>
    <w:multiLevelType w:val="hybridMultilevel"/>
    <w:tmpl w:val="4A285C7A"/>
    <w:lvl w:ilvl="0" w:tplc="5F583C6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8490E76"/>
    <w:multiLevelType w:val="hybridMultilevel"/>
    <w:tmpl w:val="EB1ADC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1048E4"/>
    <w:multiLevelType w:val="hybridMultilevel"/>
    <w:tmpl w:val="0114C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71B60B3"/>
    <w:multiLevelType w:val="hybridMultilevel"/>
    <w:tmpl w:val="4A285C7A"/>
    <w:lvl w:ilvl="0" w:tplc="5F583C6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EAB3FFD"/>
    <w:multiLevelType w:val="hybridMultilevel"/>
    <w:tmpl w:val="11C4011C"/>
    <w:lvl w:ilvl="0" w:tplc="5AA86DDA">
      <w:start w:val="3"/>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num>
  <w:num w:numId="3">
    <w:abstractNumId w:val="2"/>
  </w:num>
  <w:num w:numId="4">
    <w:abstractNumId w:val="7"/>
  </w:num>
  <w:num w:numId="5">
    <w:abstractNumId w:val="1"/>
  </w:num>
  <w:num w:numId="6">
    <w:abstractNumId w:val="0"/>
  </w:num>
  <w:num w:numId="7">
    <w:abstractNumId w:val="5"/>
  </w:num>
  <w:num w:numId="8">
    <w:abstractNumId w:val="22"/>
  </w:num>
  <w:num w:numId="9">
    <w:abstractNumId w:val="12"/>
  </w:num>
  <w:num w:numId="10">
    <w:abstractNumId w:val="28"/>
  </w:num>
  <w:num w:numId="11">
    <w:abstractNumId w:val="14"/>
  </w:num>
  <w:num w:numId="12">
    <w:abstractNumId w:val="26"/>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10"/>
  </w:num>
  <w:num w:numId="17">
    <w:abstractNumId w:val="27"/>
  </w:num>
  <w:num w:numId="18">
    <w:abstractNumId w:val="24"/>
  </w:num>
  <w:num w:numId="19">
    <w:abstractNumId w:val="23"/>
  </w:num>
  <w:num w:numId="20">
    <w:abstractNumId w:val="18"/>
  </w:num>
  <w:num w:numId="21">
    <w:abstractNumId w:val="21"/>
  </w:num>
  <w:num w:numId="22">
    <w:abstractNumId w:val="17"/>
  </w:num>
  <w:num w:numId="23">
    <w:abstractNumId w:val="9"/>
  </w:num>
  <w:num w:numId="24">
    <w:abstractNumId w:val="16"/>
  </w:num>
  <w:num w:numId="25">
    <w:abstractNumId w:val="15"/>
  </w:num>
  <w:num w:numId="26">
    <w:abstractNumId w:val="29"/>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2"/>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8706B"/>
    <w:rsid w:val="00092566"/>
    <w:rsid w:val="000968F8"/>
    <w:rsid w:val="00097012"/>
    <w:rsid w:val="000B032A"/>
    <w:rsid w:val="000B2DF7"/>
    <w:rsid w:val="000B3880"/>
    <w:rsid w:val="000D7948"/>
    <w:rsid w:val="000D7C84"/>
    <w:rsid w:val="000E4E13"/>
    <w:rsid w:val="000E78F6"/>
    <w:rsid w:val="000F06B5"/>
    <w:rsid w:val="000F39E9"/>
    <w:rsid w:val="00104B45"/>
    <w:rsid w:val="00105D8B"/>
    <w:rsid w:val="0011342F"/>
    <w:rsid w:val="001202E9"/>
    <w:rsid w:val="0012454F"/>
    <w:rsid w:val="00127C06"/>
    <w:rsid w:val="00145149"/>
    <w:rsid w:val="0014773C"/>
    <w:rsid w:val="0017696D"/>
    <w:rsid w:val="001848FC"/>
    <w:rsid w:val="00190B01"/>
    <w:rsid w:val="00192061"/>
    <w:rsid w:val="001969C5"/>
    <w:rsid w:val="001A6CDD"/>
    <w:rsid w:val="001B1659"/>
    <w:rsid w:val="001C12EE"/>
    <w:rsid w:val="001C7B02"/>
    <w:rsid w:val="001E4DD4"/>
    <w:rsid w:val="001E69DC"/>
    <w:rsid w:val="001F169D"/>
    <w:rsid w:val="001F1DA1"/>
    <w:rsid w:val="0021195A"/>
    <w:rsid w:val="00213383"/>
    <w:rsid w:val="00220250"/>
    <w:rsid w:val="0022691B"/>
    <w:rsid w:val="00232163"/>
    <w:rsid w:val="002376F8"/>
    <w:rsid w:val="002408E4"/>
    <w:rsid w:val="00241591"/>
    <w:rsid w:val="00250B4F"/>
    <w:rsid w:val="0025762F"/>
    <w:rsid w:val="00264DF0"/>
    <w:rsid w:val="00287649"/>
    <w:rsid w:val="00287E84"/>
    <w:rsid w:val="0029286C"/>
    <w:rsid w:val="0029300E"/>
    <w:rsid w:val="002B0C3A"/>
    <w:rsid w:val="002B2116"/>
    <w:rsid w:val="002B2D9B"/>
    <w:rsid w:val="002B5016"/>
    <w:rsid w:val="002B7F4D"/>
    <w:rsid w:val="002C285C"/>
    <w:rsid w:val="002C4D41"/>
    <w:rsid w:val="002C7BE4"/>
    <w:rsid w:val="002D417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60546"/>
    <w:rsid w:val="005612CC"/>
    <w:rsid w:val="00563029"/>
    <w:rsid w:val="00567D12"/>
    <w:rsid w:val="0057401F"/>
    <w:rsid w:val="00574754"/>
    <w:rsid w:val="00575677"/>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35952"/>
    <w:rsid w:val="0064070A"/>
    <w:rsid w:val="00643A01"/>
    <w:rsid w:val="006574D2"/>
    <w:rsid w:val="00663BFA"/>
    <w:rsid w:val="006676D4"/>
    <w:rsid w:val="00675535"/>
    <w:rsid w:val="00681359"/>
    <w:rsid w:val="00696262"/>
    <w:rsid w:val="006C3A4F"/>
    <w:rsid w:val="006C4845"/>
    <w:rsid w:val="006D50B6"/>
    <w:rsid w:val="006D65A5"/>
    <w:rsid w:val="006D6BC1"/>
    <w:rsid w:val="006E2BFC"/>
    <w:rsid w:val="006E5C57"/>
    <w:rsid w:val="006F22A5"/>
    <w:rsid w:val="00702C73"/>
    <w:rsid w:val="00713394"/>
    <w:rsid w:val="00724677"/>
    <w:rsid w:val="00725AC2"/>
    <w:rsid w:val="00732880"/>
    <w:rsid w:val="00732EED"/>
    <w:rsid w:val="007416B9"/>
    <w:rsid w:val="007422FD"/>
    <w:rsid w:val="00743E46"/>
    <w:rsid w:val="00747C45"/>
    <w:rsid w:val="00756FDB"/>
    <w:rsid w:val="007665BF"/>
    <w:rsid w:val="007757CE"/>
    <w:rsid w:val="00775800"/>
    <w:rsid w:val="0079180E"/>
    <w:rsid w:val="007950CC"/>
    <w:rsid w:val="0079538B"/>
    <w:rsid w:val="007961B8"/>
    <w:rsid w:val="007A4828"/>
    <w:rsid w:val="007B093D"/>
    <w:rsid w:val="007B2069"/>
    <w:rsid w:val="007C04A1"/>
    <w:rsid w:val="007C21FA"/>
    <w:rsid w:val="007D4351"/>
    <w:rsid w:val="007D7019"/>
    <w:rsid w:val="007E18DB"/>
    <w:rsid w:val="007E26DB"/>
    <w:rsid w:val="007E6F1C"/>
    <w:rsid w:val="007E795B"/>
    <w:rsid w:val="00804C69"/>
    <w:rsid w:val="0080711D"/>
    <w:rsid w:val="008155CD"/>
    <w:rsid w:val="00833325"/>
    <w:rsid w:val="00840A41"/>
    <w:rsid w:val="00842F3C"/>
    <w:rsid w:val="008505D1"/>
    <w:rsid w:val="00853A46"/>
    <w:rsid w:val="00855158"/>
    <w:rsid w:val="00857EE8"/>
    <w:rsid w:val="0086464B"/>
    <w:rsid w:val="008647FC"/>
    <w:rsid w:val="00864CA8"/>
    <w:rsid w:val="0086533B"/>
    <w:rsid w:val="00865E2D"/>
    <w:rsid w:val="00870E6C"/>
    <w:rsid w:val="00884486"/>
    <w:rsid w:val="008871A9"/>
    <w:rsid w:val="008916BA"/>
    <w:rsid w:val="00892176"/>
    <w:rsid w:val="008A1DB7"/>
    <w:rsid w:val="008A403A"/>
    <w:rsid w:val="008A4C13"/>
    <w:rsid w:val="008C54A9"/>
    <w:rsid w:val="008E67C3"/>
    <w:rsid w:val="008F589F"/>
    <w:rsid w:val="008F76A9"/>
    <w:rsid w:val="00900DBF"/>
    <w:rsid w:val="009048B9"/>
    <w:rsid w:val="00904E91"/>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97798"/>
    <w:rsid w:val="00AA5213"/>
    <w:rsid w:val="00AA65A6"/>
    <w:rsid w:val="00AB7D79"/>
    <w:rsid w:val="00AC1D8E"/>
    <w:rsid w:val="00AC48FA"/>
    <w:rsid w:val="00AD0240"/>
    <w:rsid w:val="00AD4137"/>
    <w:rsid w:val="00B037BA"/>
    <w:rsid w:val="00B20139"/>
    <w:rsid w:val="00B218DA"/>
    <w:rsid w:val="00B32FA2"/>
    <w:rsid w:val="00B342FA"/>
    <w:rsid w:val="00B53E8B"/>
    <w:rsid w:val="00B774D2"/>
    <w:rsid w:val="00B8015A"/>
    <w:rsid w:val="00B82A57"/>
    <w:rsid w:val="00B87202"/>
    <w:rsid w:val="00BA1C63"/>
    <w:rsid w:val="00BB35AE"/>
    <w:rsid w:val="00BC03A1"/>
    <w:rsid w:val="00BC0D25"/>
    <w:rsid w:val="00BD2505"/>
    <w:rsid w:val="00BE592D"/>
    <w:rsid w:val="00BF52B0"/>
    <w:rsid w:val="00BF5697"/>
    <w:rsid w:val="00BF7F60"/>
    <w:rsid w:val="00C1002C"/>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77524"/>
    <w:rsid w:val="00D8181D"/>
    <w:rsid w:val="00D968D8"/>
    <w:rsid w:val="00DA3E23"/>
    <w:rsid w:val="00DA563D"/>
    <w:rsid w:val="00DA7277"/>
    <w:rsid w:val="00DB3627"/>
    <w:rsid w:val="00DB4724"/>
    <w:rsid w:val="00DC4746"/>
    <w:rsid w:val="00DE7149"/>
    <w:rsid w:val="00E0314C"/>
    <w:rsid w:val="00E1508F"/>
    <w:rsid w:val="00E27240"/>
    <w:rsid w:val="00E27EDD"/>
    <w:rsid w:val="00E310B9"/>
    <w:rsid w:val="00E354D5"/>
    <w:rsid w:val="00E37E1B"/>
    <w:rsid w:val="00E562C0"/>
    <w:rsid w:val="00E672D6"/>
    <w:rsid w:val="00E76024"/>
    <w:rsid w:val="00E856A2"/>
    <w:rsid w:val="00E96884"/>
    <w:rsid w:val="00EA5435"/>
    <w:rsid w:val="00EA5F47"/>
    <w:rsid w:val="00EC79DE"/>
    <w:rsid w:val="00ED4ACE"/>
    <w:rsid w:val="00EE3854"/>
    <w:rsid w:val="00EF2DA7"/>
    <w:rsid w:val="00F42356"/>
    <w:rsid w:val="00F435AA"/>
    <w:rsid w:val="00F5738A"/>
    <w:rsid w:val="00F612D4"/>
    <w:rsid w:val="00F77F1D"/>
    <w:rsid w:val="00F87CCB"/>
    <w:rsid w:val="00FA48C7"/>
    <w:rsid w:val="00FB73C1"/>
    <w:rsid w:val="00FC36CD"/>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D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table" w:customStyle="1" w:styleId="TableGrid2">
    <w:name w:val="Table Grid2"/>
    <w:basedOn w:val="TableNormal"/>
    <w:next w:val="TableGrid"/>
    <w:uiPriority w:val="59"/>
    <w:rsid w:val="0008706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8673">
      <w:bodyDiv w:val="1"/>
      <w:marLeft w:val="0"/>
      <w:marRight w:val="0"/>
      <w:marTop w:val="0"/>
      <w:marBottom w:val="0"/>
      <w:divBdr>
        <w:top w:val="none" w:sz="0" w:space="0" w:color="auto"/>
        <w:left w:val="none" w:sz="0" w:space="0" w:color="auto"/>
        <w:bottom w:val="none" w:sz="0" w:space="0" w:color="auto"/>
        <w:right w:val="none" w:sz="0" w:space="0" w:color="auto"/>
      </w:divBdr>
    </w:div>
    <w:div w:id="112332989">
      <w:bodyDiv w:val="1"/>
      <w:marLeft w:val="0"/>
      <w:marRight w:val="0"/>
      <w:marTop w:val="0"/>
      <w:marBottom w:val="0"/>
      <w:divBdr>
        <w:top w:val="none" w:sz="0" w:space="0" w:color="auto"/>
        <w:left w:val="none" w:sz="0" w:space="0" w:color="auto"/>
        <w:bottom w:val="none" w:sz="0" w:space="0" w:color="auto"/>
        <w:right w:val="none" w:sz="0" w:space="0" w:color="auto"/>
      </w:divBdr>
    </w:div>
    <w:div w:id="224295325">
      <w:bodyDiv w:val="1"/>
      <w:marLeft w:val="0"/>
      <w:marRight w:val="0"/>
      <w:marTop w:val="0"/>
      <w:marBottom w:val="0"/>
      <w:divBdr>
        <w:top w:val="none" w:sz="0" w:space="0" w:color="auto"/>
        <w:left w:val="none" w:sz="0" w:space="0" w:color="auto"/>
        <w:bottom w:val="none" w:sz="0" w:space="0" w:color="auto"/>
        <w:right w:val="none" w:sz="0" w:space="0" w:color="auto"/>
      </w:divBdr>
    </w:div>
    <w:div w:id="262886922">
      <w:bodyDiv w:val="1"/>
      <w:marLeft w:val="0"/>
      <w:marRight w:val="0"/>
      <w:marTop w:val="0"/>
      <w:marBottom w:val="0"/>
      <w:divBdr>
        <w:top w:val="none" w:sz="0" w:space="0" w:color="auto"/>
        <w:left w:val="none" w:sz="0" w:space="0" w:color="auto"/>
        <w:bottom w:val="none" w:sz="0" w:space="0" w:color="auto"/>
        <w:right w:val="none" w:sz="0" w:space="0" w:color="auto"/>
      </w:divBdr>
    </w:div>
    <w:div w:id="281420409">
      <w:bodyDiv w:val="1"/>
      <w:marLeft w:val="0"/>
      <w:marRight w:val="0"/>
      <w:marTop w:val="0"/>
      <w:marBottom w:val="0"/>
      <w:divBdr>
        <w:top w:val="none" w:sz="0" w:space="0" w:color="auto"/>
        <w:left w:val="none" w:sz="0" w:space="0" w:color="auto"/>
        <w:bottom w:val="none" w:sz="0" w:space="0" w:color="auto"/>
        <w:right w:val="none" w:sz="0" w:space="0" w:color="auto"/>
      </w:divBdr>
    </w:div>
    <w:div w:id="489058042">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14345619">
      <w:bodyDiv w:val="1"/>
      <w:marLeft w:val="0"/>
      <w:marRight w:val="0"/>
      <w:marTop w:val="0"/>
      <w:marBottom w:val="0"/>
      <w:divBdr>
        <w:top w:val="none" w:sz="0" w:space="0" w:color="auto"/>
        <w:left w:val="none" w:sz="0" w:space="0" w:color="auto"/>
        <w:bottom w:val="none" w:sz="0" w:space="0" w:color="auto"/>
        <w:right w:val="none" w:sz="0" w:space="0" w:color="auto"/>
      </w:divBdr>
    </w:div>
    <w:div w:id="538208237">
      <w:bodyDiv w:val="1"/>
      <w:marLeft w:val="0"/>
      <w:marRight w:val="0"/>
      <w:marTop w:val="0"/>
      <w:marBottom w:val="0"/>
      <w:divBdr>
        <w:top w:val="none" w:sz="0" w:space="0" w:color="auto"/>
        <w:left w:val="none" w:sz="0" w:space="0" w:color="auto"/>
        <w:bottom w:val="none" w:sz="0" w:space="0" w:color="auto"/>
        <w:right w:val="none" w:sz="0" w:space="0" w:color="auto"/>
      </w:divBdr>
    </w:div>
    <w:div w:id="576133763">
      <w:bodyDiv w:val="1"/>
      <w:marLeft w:val="0"/>
      <w:marRight w:val="0"/>
      <w:marTop w:val="0"/>
      <w:marBottom w:val="0"/>
      <w:divBdr>
        <w:top w:val="none" w:sz="0" w:space="0" w:color="auto"/>
        <w:left w:val="none" w:sz="0" w:space="0" w:color="auto"/>
        <w:bottom w:val="none" w:sz="0" w:space="0" w:color="auto"/>
        <w:right w:val="none" w:sz="0" w:space="0" w:color="auto"/>
      </w:divBdr>
    </w:div>
    <w:div w:id="901528681">
      <w:bodyDiv w:val="1"/>
      <w:marLeft w:val="0"/>
      <w:marRight w:val="0"/>
      <w:marTop w:val="0"/>
      <w:marBottom w:val="0"/>
      <w:divBdr>
        <w:top w:val="none" w:sz="0" w:space="0" w:color="auto"/>
        <w:left w:val="none" w:sz="0" w:space="0" w:color="auto"/>
        <w:bottom w:val="none" w:sz="0" w:space="0" w:color="auto"/>
        <w:right w:val="none" w:sz="0" w:space="0" w:color="auto"/>
      </w:divBdr>
    </w:div>
    <w:div w:id="1143741981">
      <w:bodyDiv w:val="1"/>
      <w:marLeft w:val="0"/>
      <w:marRight w:val="0"/>
      <w:marTop w:val="0"/>
      <w:marBottom w:val="0"/>
      <w:divBdr>
        <w:top w:val="none" w:sz="0" w:space="0" w:color="auto"/>
        <w:left w:val="none" w:sz="0" w:space="0" w:color="auto"/>
        <w:bottom w:val="none" w:sz="0" w:space="0" w:color="auto"/>
        <w:right w:val="none" w:sz="0" w:space="0" w:color="auto"/>
      </w:divBdr>
    </w:div>
    <w:div w:id="1236865307">
      <w:bodyDiv w:val="1"/>
      <w:marLeft w:val="0"/>
      <w:marRight w:val="0"/>
      <w:marTop w:val="0"/>
      <w:marBottom w:val="0"/>
      <w:divBdr>
        <w:top w:val="none" w:sz="0" w:space="0" w:color="auto"/>
        <w:left w:val="none" w:sz="0" w:space="0" w:color="auto"/>
        <w:bottom w:val="none" w:sz="0" w:space="0" w:color="auto"/>
        <w:right w:val="none" w:sz="0" w:space="0" w:color="auto"/>
      </w:divBdr>
    </w:div>
    <w:div w:id="1241603146">
      <w:bodyDiv w:val="1"/>
      <w:marLeft w:val="0"/>
      <w:marRight w:val="0"/>
      <w:marTop w:val="0"/>
      <w:marBottom w:val="0"/>
      <w:divBdr>
        <w:top w:val="none" w:sz="0" w:space="0" w:color="auto"/>
        <w:left w:val="none" w:sz="0" w:space="0" w:color="auto"/>
        <w:bottom w:val="none" w:sz="0" w:space="0" w:color="auto"/>
        <w:right w:val="none" w:sz="0" w:space="0" w:color="auto"/>
      </w:divBdr>
    </w:div>
    <w:div w:id="1287812766">
      <w:bodyDiv w:val="1"/>
      <w:marLeft w:val="0"/>
      <w:marRight w:val="0"/>
      <w:marTop w:val="0"/>
      <w:marBottom w:val="0"/>
      <w:divBdr>
        <w:top w:val="none" w:sz="0" w:space="0" w:color="auto"/>
        <w:left w:val="none" w:sz="0" w:space="0" w:color="auto"/>
        <w:bottom w:val="none" w:sz="0" w:space="0" w:color="auto"/>
        <w:right w:val="none" w:sz="0" w:space="0" w:color="auto"/>
      </w:divBdr>
    </w:div>
    <w:div w:id="141138459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84949736">
      <w:bodyDiv w:val="1"/>
      <w:marLeft w:val="0"/>
      <w:marRight w:val="0"/>
      <w:marTop w:val="0"/>
      <w:marBottom w:val="0"/>
      <w:divBdr>
        <w:top w:val="none" w:sz="0" w:space="0" w:color="auto"/>
        <w:left w:val="none" w:sz="0" w:space="0" w:color="auto"/>
        <w:bottom w:val="none" w:sz="0" w:space="0" w:color="auto"/>
        <w:right w:val="none" w:sz="0" w:space="0" w:color="auto"/>
      </w:divBdr>
    </w:div>
    <w:div w:id="1717924625">
      <w:bodyDiv w:val="1"/>
      <w:marLeft w:val="0"/>
      <w:marRight w:val="0"/>
      <w:marTop w:val="0"/>
      <w:marBottom w:val="0"/>
      <w:divBdr>
        <w:top w:val="none" w:sz="0" w:space="0" w:color="auto"/>
        <w:left w:val="none" w:sz="0" w:space="0" w:color="auto"/>
        <w:bottom w:val="none" w:sz="0" w:space="0" w:color="auto"/>
        <w:right w:val="none" w:sz="0" w:space="0" w:color="auto"/>
      </w:divBdr>
    </w:div>
    <w:div w:id="1900629957">
      <w:bodyDiv w:val="1"/>
      <w:marLeft w:val="0"/>
      <w:marRight w:val="0"/>
      <w:marTop w:val="0"/>
      <w:marBottom w:val="0"/>
      <w:divBdr>
        <w:top w:val="none" w:sz="0" w:space="0" w:color="auto"/>
        <w:left w:val="none" w:sz="0" w:space="0" w:color="auto"/>
        <w:bottom w:val="none" w:sz="0" w:space="0" w:color="auto"/>
        <w:right w:val="none" w:sz="0" w:space="0" w:color="auto"/>
      </w:divBdr>
    </w:div>
    <w:div w:id="203734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glossaryDocument" Target="glossary/document.xml"/><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127222"/>
    <w:rsid w:val="00190AF4"/>
    <w:rsid w:val="00223FA3"/>
    <w:rsid w:val="002A288F"/>
    <w:rsid w:val="002F052A"/>
    <w:rsid w:val="00350176"/>
    <w:rsid w:val="003840F0"/>
    <w:rsid w:val="0053654E"/>
    <w:rsid w:val="00632A7E"/>
    <w:rsid w:val="00632AB6"/>
    <w:rsid w:val="006562F5"/>
    <w:rsid w:val="00730B33"/>
    <w:rsid w:val="00772B2A"/>
    <w:rsid w:val="007C672A"/>
    <w:rsid w:val="007D4368"/>
    <w:rsid w:val="00822666"/>
    <w:rsid w:val="00823ECC"/>
    <w:rsid w:val="00866C97"/>
    <w:rsid w:val="009017AE"/>
    <w:rsid w:val="009C542D"/>
    <w:rsid w:val="00A95183"/>
    <w:rsid w:val="00AB4AF7"/>
    <w:rsid w:val="00AD7C4F"/>
    <w:rsid w:val="00B445F5"/>
    <w:rsid w:val="00B72197"/>
    <w:rsid w:val="00BD40CB"/>
    <w:rsid w:val="00C90121"/>
    <w:rsid w:val="00CA344F"/>
    <w:rsid w:val="00D1676E"/>
    <w:rsid w:val="00DB2607"/>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2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15</Pages>
  <Words>5398</Words>
  <Characters>30775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Han, Jane</cp:lastModifiedBy>
  <cp:revision>22</cp:revision>
  <dcterms:created xsi:type="dcterms:W3CDTF">2014-02-03T04:11:00Z</dcterms:created>
  <dcterms:modified xsi:type="dcterms:W3CDTF">2014-02-05T18:28:00Z</dcterms:modified>
</cp:coreProperties>
</file>