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162E43"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3DF98A25" w14:textId="3F99B072" w:rsidR="00CA26B1" w:rsidRPr="00CA26B1" w:rsidRDefault="00CA26B1" w:rsidP="00927027">
      <w:pPr>
        <w:contextualSpacing/>
        <w:jc w:val="center"/>
        <w:rPr>
          <w:rFonts w:cstheme="minorHAnsi"/>
          <w:i/>
          <w:noProof/>
        </w:rPr>
      </w:pPr>
      <w:r w:rsidRPr="00CA26B1">
        <w:rPr>
          <w:rFonts w:cstheme="minorHAnsi"/>
          <w:i/>
          <w:noProof/>
        </w:rPr>
        <w:t>Last Updated 1/</w:t>
      </w:r>
      <w:r w:rsidR="000B1929">
        <w:rPr>
          <w:rFonts w:cstheme="minorHAnsi"/>
          <w:i/>
          <w:noProof/>
        </w:rPr>
        <w:t>19</w:t>
      </w:r>
      <w:r w:rsidRPr="00CA26B1">
        <w:rPr>
          <w:rFonts w:cstheme="minorHAnsi"/>
          <w:i/>
          <w:noProof/>
        </w:rPr>
        <w:t>/</w:t>
      </w:r>
      <w:r w:rsidR="000B1929">
        <w:rPr>
          <w:rFonts w:cstheme="minorHAnsi"/>
          <w:i/>
          <w:noProof/>
        </w:rPr>
        <w:t>16</w:t>
      </w:r>
    </w:p>
    <w:p w14:paraId="2935840F" w14:textId="77777777" w:rsidR="00797624" w:rsidRDefault="00797624" w:rsidP="00105D8B">
      <w:pPr>
        <w:contextualSpacing/>
        <w:rPr>
          <w:rFonts w:cstheme="minorHAnsi"/>
          <w:b/>
          <w:noProof/>
        </w:rPr>
      </w:pPr>
    </w:p>
    <w:p w14:paraId="05180C65"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14:paraId="06A0231C" w14:textId="0AA95F82"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A30837">
            <w:t>Hybrid</w:t>
          </w:r>
          <w:r w:rsidR="001B630A" w:rsidRPr="000607DE">
            <w:t xml:space="preserve"> Hospital-Wide Readmission Measure with Claims and Electronic Health Record Data </w:t>
          </w:r>
        </w:sdtContent>
      </w:sdt>
    </w:p>
    <w:p w14:paraId="486FA74A" w14:textId="698C1046"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6-01-29T00:00:00Z">
            <w:dateFormat w:val="M/d/yyyy"/>
            <w:lid w:val="en-US"/>
            <w:storeMappedDataAs w:val="dateTime"/>
            <w:calendar w:val="gregorian"/>
          </w:date>
        </w:sdtPr>
        <w:sdtEndPr>
          <w:rPr>
            <w:rStyle w:val="DefaultParagraphFont"/>
            <w:noProof/>
            <w:color w:val="auto"/>
            <w:u w:val="none"/>
          </w:rPr>
        </w:sdtEndPr>
        <w:sdtContent>
          <w:r w:rsidR="000B1929">
            <w:rPr>
              <w:rStyle w:val="Style2"/>
              <w:rFonts w:cstheme="minorHAnsi"/>
            </w:rPr>
            <w:t>1/29/2016</w:t>
          </w:r>
        </w:sdtContent>
      </w:sdt>
    </w:p>
    <w:p w14:paraId="7E718B9C" w14:textId="3D592C5D" w:rsidR="00CD364B" w:rsidRPr="009E1846" w:rsidRDefault="009E1846" w:rsidP="009E1846">
      <w:pPr>
        <w:spacing w:after="0"/>
        <w:rPr>
          <w:rFonts w:cstheme="minorHAnsi"/>
          <w:b/>
        </w:rPr>
      </w:pPr>
      <w:r>
        <w:rPr>
          <w:rStyle w:val="Style2"/>
          <w:rFonts w:cstheme="minorHAnsi"/>
          <w:b/>
          <w:color w:val="auto"/>
          <w:u w:val="none"/>
        </w:rPr>
        <w:t>Type of Measure:</w:t>
      </w:r>
      <w:r w:rsidR="000B1929">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14:paraId="5074527D" w14:textId="77777777" w:rsidTr="000B3880">
        <w:trPr>
          <w:jc w:val="center"/>
        </w:trPr>
        <w:tc>
          <w:tcPr>
            <w:tcW w:w="2547" w:type="pct"/>
          </w:tcPr>
          <w:p w14:paraId="6505D5AF" w14:textId="77777777" w:rsidR="00CD364B" w:rsidRPr="00B82A57" w:rsidRDefault="004C33A9"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2BE377B6" w14:textId="77777777" w:rsidR="00CD364B" w:rsidRPr="00B82A57" w:rsidRDefault="004C33A9"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eiryo"/>
                  <w14:uncheckedState w14:val="2610" w14:font="Meiryo"/>
                </w14:checkbox>
              </w:sdtPr>
              <w:sdtEndPr/>
              <w:sdtContent>
                <w:r w:rsidR="002B362B">
                  <w:rPr>
                    <w:rFonts w:ascii="Meiryo" w:hAnsi="Meiryo" w:cstheme="minorHAnsi"/>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4EC20379" w14:textId="77777777" w:rsidTr="000B3880">
        <w:trPr>
          <w:jc w:val="center"/>
        </w:trPr>
        <w:tc>
          <w:tcPr>
            <w:tcW w:w="2547" w:type="pct"/>
          </w:tcPr>
          <w:p w14:paraId="198D694B" w14:textId="77777777" w:rsidR="00CD364B" w:rsidRPr="00B82A57" w:rsidRDefault="004C33A9"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610D1A97" w14:textId="77777777" w:rsidR="00CD364B" w:rsidRPr="00B82A57" w:rsidRDefault="004C33A9"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3A3728B8" w14:textId="77777777" w:rsidTr="000B3880">
        <w:trPr>
          <w:jc w:val="center"/>
        </w:trPr>
        <w:tc>
          <w:tcPr>
            <w:tcW w:w="2547" w:type="pct"/>
          </w:tcPr>
          <w:p w14:paraId="040C1306" w14:textId="77777777" w:rsidR="00CD364B" w:rsidRPr="00B82A57" w:rsidRDefault="004C33A9"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E428D64" w14:textId="77777777" w:rsidR="00CD364B" w:rsidRPr="00B82A57" w:rsidRDefault="004C33A9"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7121EA31"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2062C239" w14:textId="77777777" w:rsidTr="00145149">
        <w:trPr>
          <w:jc w:val="center"/>
        </w:trPr>
        <w:tc>
          <w:tcPr>
            <w:tcW w:w="9576" w:type="dxa"/>
          </w:tcPr>
          <w:p w14:paraId="3D22415A" w14:textId="77777777" w:rsidR="00B53E8B" w:rsidRPr="00B53E8B" w:rsidRDefault="00B53E8B" w:rsidP="00B53E8B">
            <w:pPr>
              <w:rPr>
                <w:rFonts w:cstheme="minorHAnsi"/>
                <w:b/>
                <w:noProof/>
              </w:rPr>
            </w:pPr>
            <w:r w:rsidRPr="00B53E8B">
              <w:rPr>
                <w:rFonts w:cstheme="minorHAnsi"/>
                <w:b/>
                <w:noProof/>
              </w:rPr>
              <w:t>Instructions</w:t>
            </w:r>
          </w:p>
          <w:p w14:paraId="6631F4BB"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25869E60"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387686B1"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361A0885"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FC5B674"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7EF53556"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200C2319"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3D7E"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07C1C812"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5D91740B" w14:textId="77777777" w:rsidTr="00145149">
        <w:trPr>
          <w:jc w:val="center"/>
        </w:trPr>
        <w:tc>
          <w:tcPr>
            <w:tcW w:w="9576" w:type="dxa"/>
          </w:tcPr>
          <w:p w14:paraId="30251955"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1A498D99" w14:textId="77777777" w:rsidR="00B53E8B" w:rsidRPr="00A831B4" w:rsidRDefault="00B53E8B" w:rsidP="00702C73">
            <w:pPr>
              <w:rPr>
                <w:rFonts w:cstheme="minorHAnsi"/>
                <w:b/>
                <w:bCs/>
                <w:sz w:val="20"/>
                <w:szCs w:val="20"/>
              </w:rPr>
            </w:pPr>
          </w:p>
          <w:p w14:paraId="12C9F782"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6928F04B" w14:textId="77777777" w:rsidR="00145149" w:rsidRPr="000F034A" w:rsidRDefault="00145149" w:rsidP="00145149">
            <w:pPr>
              <w:autoSpaceDE w:val="0"/>
              <w:autoSpaceDN w:val="0"/>
              <w:adjustRightInd w:val="0"/>
              <w:rPr>
                <w:rFonts w:cstheme="minorHAnsi"/>
                <w:b/>
                <w:iCs/>
              </w:rPr>
            </w:pPr>
          </w:p>
          <w:p w14:paraId="629764AE"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64FE5594" w14:textId="77777777" w:rsidR="00145149" w:rsidRPr="000F034A" w:rsidRDefault="00145149" w:rsidP="00145149">
            <w:pPr>
              <w:rPr>
                <w:rFonts w:cstheme="minorHAnsi"/>
              </w:rPr>
            </w:pPr>
            <w:bookmarkStart w:id="0" w:name="_Toc256067249"/>
          </w:p>
          <w:p w14:paraId="0C25FDF6"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288C8F20" w14:textId="77777777" w:rsidR="00145149" w:rsidRPr="000F034A" w:rsidRDefault="00145149" w:rsidP="00145149">
            <w:pPr>
              <w:rPr>
                <w:rFonts w:cstheme="minorHAnsi"/>
                <w:b/>
              </w:rPr>
            </w:pPr>
            <w:r w:rsidRPr="000F034A">
              <w:rPr>
                <w:rFonts w:cstheme="minorHAnsi"/>
                <w:b/>
              </w:rPr>
              <w:t xml:space="preserve">AND </w:t>
            </w:r>
          </w:p>
          <w:p w14:paraId="335B806A" w14:textId="7485BAD9" w:rsidR="00145149" w:rsidRPr="000F034A" w:rsidRDefault="00145149" w:rsidP="00145149">
            <w:pPr>
              <w:rPr>
                <w:rFonts w:cstheme="minorHAnsi"/>
              </w:rPr>
            </w:pPr>
            <w:r w:rsidRPr="000F034A">
              <w:rPr>
                <w:rFonts w:cstheme="minorHAnsi"/>
              </w:rPr>
              <w:lastRenderedPageBreak/>
              <w:t>If patient preference (e.g., informed decision</w:t>
            </w:r>
            <w:r w:rsidR="001B630A">
              <w:rPr>
                <w:rFonts w:cstheme="minorHAnsi"/>
              </w:rPr>
              <w:t xml:space="preserve"> </w:t>
            </w:r>
            <w:r w:rsidRPr="000F034A">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585A286A" w14:textId="77777777" w:rsidR="00145149" w:rsidRPr="000F034A" w:rsidRDefault="00145149" w:rsidP="00145149">
            <w:pPr>
              <w:rPr>
                <w:rFonts w:cstheme="minorHAnsi"/>
                <w:b/>
                <w:bCs/>
              </w:rPr>
            </w:pPr>
          </w:p>
          <w:p w14:paraId="15CD5668"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1789CD7"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B259B68" w14:textId="77777777" w:rsidR="00145149" w:rsidRPr="000F034A" w:rsidRDefault="00145149" w:rsidP="00145149">
            <w:pPr>
              <w:rPr>
                <w:rFonts w:cstheme="minorHAnsi"/>
                <w:b/>
              </w:rPr>
            </w:pPr>
            <w:r w:rsidRPr="000F034A">
              <w:rPr>
                <w:rFonts w:cstheme="minorHAnsi"/>
                <w:b/>
              </w:rPr>
              <w:t>OR</w:t>
            </w:r>
          </w:p>
          <w:p w14:paraId="3CC79A35"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5073B5C9" w14:textId="77777777" w:rsidR="00145149" w:rsidRPr="000F034A" w:rsidRDefault="00145149" w:rsidP="00145149">
            <w:pPr>
              <w:rPr>
                <w:rFonts w:cstheme="minorHAnsi"/>
                <w:b/>
                <w:bCs/>
              </w:rPr>
            </w:pPr>
          </w:p>
          <w:bookmarkEnd w:id="1"/>
          <w:p w14:paraId="0211CFF7"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063F872" w14:textId="77777777" w:rsidR="00145149" w:rsidRPr="000F034A" w:rsidRDefault="00145149" w:rsidP="00145149">
            <w:pPr>
              <w:rPr>
                <w:rFonts w:cstheme="minorHAnsi"/>
              </w:rPr>
            </w:pPr>
            <w:r w:rsidRPr="000F034A">
              <w:rPr>
                <w:rFonts w:cstheme="minorHAnsi"/>
                <w:b/>
              </w:rPr>
              <w:t>OR</w:t>
            </w:r>
          </w:p>
          <w:p w14:paraId="163EEC5C"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6FE3FB7" w14:textId="77777777" w:rsidR="00145149" w:rsidRPr="000F034A" w:rsidRDefault="00145149" w:rsidP="00145149">
            <w:pPr>
              <w:rPr>
                <w:rFonts w:cstheme="minorHAnsi"/>
                <w:b/>
                <w:bCs/>
              </w:rPr>
            </w:pPr>
          </w:p>
          <w:p w14:paraId="62DEFED5"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1FE329CA" w14:textId="77777777" w:rsidR="00E30584" w:rsidRPr="000F034A" w:rsidRDefault="00E30584" w:rsidP="00145149">
            <w:pPr>
              <w:rPr>
                <w:rFonts w:cstheme="minorHAnsi"/>
              </w:rPr>
            </w:pPr>
          </w:p>
          <w:p w14:paraId="68C70040"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14:paraId="3561773C" w14:textId="77777777" w:rsidR="00145149" w:rsidRPr="00A831B4" w:rsidRDefault="00145149" w:rsidP="00145149">
            <w:pPr>
              <w:rPr>
                <w:rFonts w:cstheme="minorHAnsi"/>
                <w:b/>
                <w:bCs/>
                <w:sz w:val="20"/>
                <w:szCs w:val="20"/>
              </w:rPr>
            </w:pPr>
          </w:p>
          <w:p w14:paraId="7728066B"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558B3DF7"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59D519C0"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5F49BF9A"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2B486385"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131EA05D"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18FAC85C"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67E52A37"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7E36E27C" w14:textId="77777777" w:rsidR="00702C73" w:rsidRPr="00702C73" w:rsidRDefault="00702C73" w:rsidP="00702C73">
      <w:pPr>
        <w:spacing w:after="0" w:line="240" w:lineRule="auto"/>
        <w:rPr>
          <w:rFonts w:cstheme="minorHAnsi"/>
          <w:noProof/>
        </w:rPr>
      </w:pPr>
    </w:p>
    <w:p w14:paraId="1A9BB3AC"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62489471"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15738D6B" w14:textId="77777777" w:rsidR="000574AB" w:rsidRPr="00A25024" w:rsidRDefault="000574AB" w:rsidP="008A403A">
      <w:pPr>
        <w:spacing w:after="0" w:line="240" w:lineRule="auto"/>
        <w:rPr>
          <w:rFonts w:cstheme="minorHAnsi"/>
          <w:noProof/>
        </w:rPr>
      </w:pPr>
    </w:p>
    <w:p w14:paraId="0D04F799"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3690A894" w14:textId="77777777" w:rsidTr="0014773C">
        <w:trPr>
          <w:jc w:val="center"/>
        </w:trPr>
        <w:tc>
          <w:tcPr>
            <w:tcW w:w="5208" w:type="dxa"/>
            <w:shd w:val="clear" w:color="auto" w:fill="D9D9D9" w:themeFill="background1" w:themeFillShade="D9"/>
          </w:tcPr>
          <w:p w14:paraId="129B6521"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E834D78"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3E3FF46C"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32FDA8CE" w14:textId="77777777" w:rsidTr="0014773C">
        <w:trPr>
          <w:jc w:val="center"/>
        </w:trPr>
        <w:tc>
          <w:tcPr>
            <w:tcW w:w="5208" w:type="dxa"/>
          </w:tcPr>
          <w:p w14:paraId="66A00B55" w14:textId="77777777" w:rsidR="00A01494" w:rsidRPr="00A01494" w:rsidRDefault="004C33A9"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24DFA65B" w14:textId="77777777" w:rsidR="00A01494" w:rsidRPr="00A01494" w:rsidRDefault="004C33A9"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429555D5" w14:textId="77777777" w:rsidTr="0014773C">
        <w:trPr>
          <w:jc w:val="center"/>
        </w:trPr>
        <w:tc>
          <w:tcPr>
            <w:tcW w:w="5208" w:type="dxa"/>
          </w:tcPr>
          <w:p w14:paraId="4841C612" w14:textId="77777777" w:rsidR="00A01494" w:rsidRPr="00A01494" w:rsidRDefault="004C33A9"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eiryo"/>
                  <w14:uncheckedState w14:val="2610" w14:font="Meiryo"/>
                </w14:checkbox>
              </w:sdtPr>
              <w:sdtEndPr/>
              <w:sdtContent>
                <w:r w:rsidR="000D36D5">
                  <w:rPr>
                    <w:rFonts w:ascii="Meiryo" w:eastAsia="Meiryo" w:hAnsi="Meiryo"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1E587536" w14:textId="77777777" w:rsidR="00A01494" w:rsidRPr="00A01494" w:rsidRDefault="004C33A9"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eiryo"/>
                  <w14:uncheckedState w14:val="2610" w14:font="Meiryo"/>
                </w14:checkbox>
              </w:sdtPr>
              <w:sdtEndPr/>
              <w:sdtContent>
                <w:r w:rsidR="000D36D5">
                  <w:rPr>
                    <w:rFonts w:ascii="Meiryo" w:eastAsia="Meiryo" w:hAnsi="Meiryo"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4B133281" w14:textId="77777777" w:rsidTr="0014773C">
        <w:trPr>
          <w:jc w:val="center"/>
        </w:trPr>
        <w:tc>
          <w:tcPr>
            <w:tcW w:w="5208" w:type="dxa"/>
          </w:tcPr>
          <w:p w14:paraId="760AB593" w14:textId="77777777" w:rsidR="00A01494" w:rsidRPr="00A01494" w:rsidRDefault="004C33A9"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13E4C982" w14:textId="77777777" w:rsidR="00A01494" w:rsidRPr="00A01494" w:rsidRDefault="004C33A9"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eiryo"/>
                  <w14:uncheckedState w14:val="2610" w14:font="Meiryo"/>
                </w14:checkbox>
              </w:sdtPr>
              <w:sdtEndPr/>
              <w:sdtContent>
                <w:r w:rsidR="000D36D5">
                  <w:rPr>
                    <w:rFonts w:ascii="Meiryo" w:eastAsia="Meiryo" w:hAnsi="Meiryo"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688DAE0" w14:textId="77777777" w:rsidTr="0014773C">
        <w:trPr>
          <w:jc w:val="center"/>
        </w:trPr>
        <w:tc>
          <w:tcPr>
            <w:tcW w:w="5208" w:type="dxa"/>
          </w:tcPr>
          <w:p w14:paraId="3A855422" w14:textId="77777777" w:rsidR="00A01494" w:rsidRPr="00A01494" w:rsidRDefault="004C33A9"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eiryo"/>
                  <w14:uncheckedState w14:val="2610" w14:font="Meiryo"/>
                </w14:checkbox>
              </w:sdtPr>
              <w:sdtEndPr/>
              <w:sdtContent>
                <w:r w:rsidR="00BA1237">
                  <w:rPr>
                    <w:rFonts w:ascii="Meiryo" w:eastAsia="Meiryo" w:hAnsi="Meiryo" w:cs="Meiryo"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27F96AF4" w14:textId="787D82A9" w:rsidR="00A01494" w:rsidRPr="00A01494" w:rsidRDefault="004C33A9"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eiryo"/>
                  <w14:uncheckedState w14:val="2610" w14:font="Meiryo"/>
                </w14:checkbox>
              </w:sdtPr>
              <w:sdtEndPr/>
              <w:sdtContent>
                <w:r w:rsidR="00740F49">
                  <w:rPr>
                    <w:rFonts w:ascii="Meiryo" w:eastAsia="Meiryo" w:hAnsi="Meiryo" w:cs="Meiryo"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35ED5281" w14:textId="77777777" w:rsidTr="0014773C">
        <w:trPr>
          <w:jc w:val="center"/>
        </w:trPr>
        <w:tc>
          <w:tcPr>
            <w:tcW w:w="5208" w:type="dxa"/>
          </w:tcPr>
          <w:p w14:paraId="6B417ABF" w14:textId="77777777" w:rsidR="00A01494" w:rsidRPr="00A01494" w:rsidRDefault="004C33A9"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eiryo"/>
                  <w14:uncheckedState w14:val="2610" w14:font="Meiryo"/>
                </w14:checkbox>
              </w:sdtPr>
              <w:sdtEndPr/>
              <w:sdtContent>
                <w:r w:rsidR="000D36D5">
                  <w:rPr>
                    <w:rFonts w:ascii="Meiryo" w:eastAsia="Meiryo" w:hAnsi="Meiryo"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4A0ED424" w14:textId="09A42073" w:rsidR="00A01494" w:rsidRPr="00A01494" w:rsidRDefault="004C33A9"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eiryo"/>
                  <w14:uncheckedState w14:val="2610" w14:font="Meiryo"/>
                </w14:checkbox>
              </w:sdtPr>
              <w:sdtEndPr/>
              <w:sdtContent>
                <w:r w:rsidR="00740F49">
                  <w:rPr>
                    <w:rFonts w:ascii="Meiryo" w:eastAsia="Meiryo" w:hAnsi="Meiryo" w:cs="Meiryo"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19C94C71" w14:textId="77777777" w:rsidTr="0014773C">
        <w:trPr>
          <w:jc w:val="center"/>
        </w:trPr>
        <w:tc>
          <w:tcPr>
            <w:tcW w:w="5208" w:type="dxa"/>
          </w:tcPr>
          <w:p w14:paraId="6C82E824" w14:textId="77777777" w:rsidR="00A01494" w:rsidRPr="00A01494" w:rsidRDefault="004C33A9"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75109FA4" w14:textId="234ADA44" w:rsidR="00A01494" w:rsidRPr="00A01494" w:rsidRDefault="004C33A9" w:rsidP="00BA1237">
            <w:pPr>
              <w:autoSpaceDE w:val="0"/>
              <w:autoSpaceDN w:val="0"/>
              <w:adjustRightInd w:val="0"/>
              <w:rPr>
                <w:rFonts w:cstheme="minorHAnsi"/>
                <w:bCs/>
              </w:rPr>
            </w:pPr>
            <w:sdt>
              <w:sdtPr>
                <w:rPr>
                  <w:rFonts w:cstheme="minorHAnsi"/>
                  <w:bCs/>
                  <w:color w:val="0000FF"/>
                </w:rPr>
                <w:id w:val="1689098749"/>
                <w14:checkbox>
                  <w14:checked w14:val="0"/>
                  <w14:checkedState w14:val="2612" w14:font="Meiryo"/>
                  <w14:uncheckedState w14:val="2610" w14:font="Meiryo"/>
                </w14:checkbox>
              </w:sdtPr>
              <w:sdtEndPr/>
              <w:sdtContent>
                <w:r w:rsidR="008469F7">
                  <w:rPr>
                    <w:rFonts w:ascii="Meiryo" w:eastAsia="Meiryo" w:hAnsi="Meiryo" w:cs="Meiryo"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color w:val="auto"/>
                </w:rPr>
                <w:id w:val="1976178076"/>
                <w:text/>
              </w:sdtPr>
              <w:sdtEndPr>
                <w:rPr>
                  <w:rStyle w:val="DefaultParagraphFont"/>
                  <w:rFonts w:cstheme="minorHAnsi"/>
                  <w:bCs/>
                </w:rPr>
              </w:sdtEndPr>
              <w:sdtContent>
                <w:r w:rsidR="00BA1237" w:rsidRPr="00B879EF">
                  <w:rPr>
                    <w:rStyle w:val="Style1"/>
                    <w:color w:val="auto"/>
                  </w:rPr>
                  <w:t>Electronically abstracted from EHRs</w:t>
                </w:r>
              </w:sdtContent>
            </w:sdt>
          </w:p>
        </w:tc>
      </w:tr>
    </w:tbl>
    <w:p w14:paraId="5A865A40"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6F4122DD"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tbl>
      <w:tblPr>
        <w:tblStyle w:val="TableGrid"/>
        <w:tblW w:w="0" w:type="auto"/>
        <w:tblLook w:val="04A0" w:firstRow="1" w:lastRow="0" w:firstColumn="1" w:lastColumn="0" w:noHBand="0" w:noVBand="1"/>
      </w:tblPr>
      <w:tblGrid>
        <w:gridCol w:w="9350"/>
      </w:tblGrid>
      <w:tr w:rsidR="008159E3" w14:paraId="1D36D756" w14:textId="77777777" w:rsidTr="00F521B4">
        <w:tc>
          <w:tcPr>
            <w:tcW w:w="9350" w:type="dxa"/>
            <w:shd w:val="clear" w:color="auto" w:fill="auto"/>
          </w:tcPr>
          <w:p w14:paraId="30E35B6B" w14:textId="68C0C689" w:rsidR="008159E3" w:rsidRDefault="008159E3" w:rsidP="00740F49">
            <w:pPr>
              <w:autoSpaceDE w:val="0"/>
              <w:autoSpaceDN w:val="0"/>
              <w:adjustRightInd w:val="0"/>
              <w:rPr>
                <w:rFonts w:cstheme="minorHAnsi"/>
                <w:bCs/>
              </w:rPr>
            </w:pPr>
            <w:r w:rsidRPr="002A32F0">
              <w:rPr>
                <w:rFonts w:cstheme="minorHAnsi"/>
                <w:bCs/>
              </w:rPr>
              <w:t xml:space="preserve">The datasets used for testing included </w:t>
            </w:r>
            <w:r w:rsidR="003F7F78" w:rsidRPr="002A32F0">
              <w:t>Medicare Parts A and B claims</w:t>
            </w:r>
            <w:r w:rsidR="003F7F78" w:rsidRPr="002A32F0">
              <w:rPr>
                <w:rFonts w:cstheme="minorHAnsi"/>
                <w:bCs/>
              </w:rPr>
              <w:t xml:space="preserve"> </w:t>
            </w:r>
            <w:r w:rsidRPr="002A32F0">
              <w:rPr>
                <w:rFonts w:cstheme="minorHAnsi"/>
                <w:bCs/>
              </w:rPr>
              <w:t xml:space="preserve">inpatient claims, </w:t>
            </w:r>
            <w:r w:rsidR="00740F49" w:rsidRPr="002A32F0">
              <w:rPr>
                <w:rFonts w:cstheme="minorHAnsi"/>
                <w:bCs/>
              </w:rPr>
              <w:t xml:space="preserve">as well as </w:t>
            </w:r>
            <w:r w:rsidRPr="002A32F0">
              <w:rPr>
                <w:rFonts w:cstheme="minorHAnsi"/>
                <w:bCs/>
              </w:rPr>
              <w:t xml:space="preserve">electronically </w:t>
            </w:r>
            <w:r w:rsidR="00740F49" w:rsidRPr="002A32F0">
              <w:rPr>
                <w:rFonts w:cstheme="minorHAnsi"/>
                <w:bCs/>
              </w:rPr>
              <w:t xml:space="preserve">and manually </w:t>
            </w:r>
            <w:r w:rsidRPr="002A32F0">
              <w:rPr>
                <w:rFonts w:cstheme="minorHAnsi"/>
                <w:bCs/>
              </w:rPr>
              <w:t xml:space="preserve">abstracted electronic health record (EHR) data from </w:t>
            </w:r>
            <w:r w:rsidR="00740F49" w:rsidRPr="002A32F0">
              <w:rPr>
                <w:rFonts w:cstheme="minorHAnsi"/>
                <w:bCs/>
              </w:rPr>
              <w:t>several</w:t>
            </w:r>
            <w:r w:rsidRPr="002A32F0">
              <w:rPr>
                <w:rFonts w:cstheme="minorHAnsi"/>
                <w:bCs/>
              </w:rPr>
              <w:t xml:space="preserve"> health system</w:t>
            </w:r>
            <w:r w:rsidR="00740F49" w:rsidRPr="002A32F0">
              <w:rPr>
                <w:rFonts w:cstheme="minorHAnsi"/>
                <w:bCs/>
              </w:rPr>
              <w:t>s</w:t>
            </w:r>
            <w:r w:rsidRPr="002A32F0">
              <w:rPr>
                <w:rFonts w:cstheme="minorHAnsi"/>
                <w:bCs/>
              </w:rPr>
              <w:t>. Data</w:t>
            </w:r>
            <w:r w:rsidRPr="00B879EF">
              <w:rPr>
                <w:rFonts w:cstheme="minorHAnsi"/>
                <w:bCs/>
              </w:rPr>
              <w:t xml:space="preserve"> set varies by testing type; see Section 1.7 for details. </w:t>
            </w:r>
          </w:p>
        </w:tc>
      </w:tr>
    </w:tbl>
    <w:p w14:paraId="5BEFD24F" w14:textId="77777777" w:rsidR="00C355B9" w:rsidRDefault="00C355B9" w:rsidP="00DB3627">
      <w:pPr>
        <w:autoSpaceDE w:val="0"/>
        <w:autoSpaceDN w:val="0"/>
        <w:adjustRightInd w:val="0"/>
        <w:spacing w:after="0" w:line="240" w:lineRule="auto"/>
        <w:rPr>
          <w:rFonts w:cstheme="minorHAnsi"/>
          <w:bCs/>
        </w:rPr>
      </w:pPr>
    </w:p>
    <w:p w14:paraId="1D420A39" w14:textId="77777777" w:rsidR="003F7F78" w:rsidRDefault="002B5016" w:rsidP="00DB3627">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p>
    <w:p w14:paraId="3CBCB5C6" w14:textId="77777777" w:rsidR="003F7F78" w:rsidRPr="00746AD5" w:rsidRDefault="003F7F78" w:rsidP="003F7F78">
      <w:pPr>
        <w:pBdr>
          <w:top w:val="single" w:sz="4" w:space="1" w:color="auto"/>
          <w:left w:val="single" w:sz="4" w:space="4" w:color="auto"/>
          <w:bottom w:val="single" w:sz="4" w:space="1" w:color="auto"/>
          <w:right w:val="single" w:sz="4" w:space="4" w:color="auto"/>
        </w:pBdr>
        <w:autoSpaceDE w:val="0"/>
        <w:autoSpaceDN w:val="0"/>
        <w:adjustRightInd w:val="0"/>
        <w:spacing w:after="160" w:line="240" w:lineRule="auto"/>
      </w:pPr>
      <w:r>
        <w:t>The dates used vary</w:t>
      </w:r>
      <w:r w:rsidRPr="000A13CD">
        <w:t xml:space="preserve"> by testing type; see Section 1.7 for details.</w:t>
      </w:r>
    </w:p>
    <w:p w14:paraId="35D3636E"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748F4345" w14:textId="77777777" w:rsidTr="000414E8">
        <w:trPr>
          <w:jc w:val="center"/>
        </w:trPr>
        <w:tc>
          <w:tcPr>
            <w:tcW w:w="5027" w:type="dxa"/>
            <w:shd w:val="clear" w:color="auto" w:fill="D9D9D9" w:themeFill="background1" w:themeFillShade="D9"/>
          </w:tcPr>
          <w:p w14:paraId="099A4CA7"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7F7B6666"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3C145F0D"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49F4A7E6" w14:textId="77777777" w:rsidTr="000414E8">
        <w:trPr>
          <w:jc w:val="center"/>
        </w:trPr>
        <w:tc>
          <w:tcPr>
            <w:tcW w:w="5027" w:type="dxa"/>
          </w:tcPr>
          <w:p w14:paraId="3714AE32" w14:textId="77777777" w:rsidR="000414E8" w:rsidRPr="00A01494" w:rsidRDefault="004C33A9"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2F6B7F05" w14:textId="77777777" w:rsidR="000414E8" w:rsidRPr="00A01494" w:rsidRDefault="004C33A9"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483D62B7" w14:textId="77777777" w:rsidTr="000414E8">
        <w:trPr>
          <w:jc w:val="center"/>
        </w:trPr>
        <w:tc>
          <w:tcPr>
            <w:tcW w:w="5027" w:type="dxa"/>
          </w:tcPr>
          <w:p w14:paraId="49DA0E87" w14:textId="77777777" w:rsidR="000414E8" w:rsidRPr="00A01494" w:rsidRDefault="004C33A9"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4D6C2111" w14:textId="77777777" w:rsidR="000414E8" w:rsidRPr="00A01494" w:rsidRDefault="004C33A9"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73D609F0" w14:textId="77777777" w:rsidTr="000414E8">
        <w:trPr>
          <w:jc w:val="center"/>
        </w:trPr>
        <w:tc>
          <w:tcPr>
            <w:tcW w:w="5027" w:type="dxa"/>
          </w:tcPr>
          <w:p w14:paraId="7600E2A4" w14:textId="77777777" w:rsidR="000414E8" w:rsidRPr="00A01494" w:rsidRDefault="004C33A9"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eiryo"/>
                  <w14:uncheckedState w14:val="2610" w14:font="Meiryo"/>
                </w14:checkbox>
              </w:sdtPr>
              <w:sdtEndPr/>
              <w:sdtContent>
                <w:r w:rsidR="008159E3">
                  <w:rPr>
                    <w:rFonts w:ascii="Meiryo" w:eastAsia="Meiryo" w:hAnsi="Meiryo" w:cs="Meiryo"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B039774" w14:textId="77777777" w:rsidR="000414E8" w:rsidRPr="00A01494" w:rsidRDefault="004C33A9"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eiryo"/>
                  <w14:uncheckedState w14:val="2610" w14:font="Meiryo"/>
                </w14:checkbox>
              </w:sdtPr>
              <w:sdtEndPr/>
              <w:sdtContent>
                <w:r w:rsidR="008159E3">
                  <w:rPr>
                    <w:rFonts w:ascii="Meiryo" w:eastAsia="Meiryo" w:hAnsi="Meiryo" w:cs="Meiryo"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5252434C" w14:textId="77777777" w:rsidTr="000414E8">
        <w:trPr>
          <w:jc w:val="center"/>
        </w:trPr>
        <w:tc>
          <w:tcPr>
            <w:tcW w:w="5027" w:type="dxa"/>
          </w:tcPr>
          <w:p w14:paraId="7548435B" w14:textId="77777777" w:rsidR="000414E8" w:rsidRPr="00A01494" w:rsidRDefault="004C33A9"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704CEDF8" w14:textId="77777777" w:rsidR="000414E8" w:rsidRPr="00A01494" w:rsidRDefault="004C33A9"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2C4655FA" w14:textId="77777777" w:rsidTr="000414E8">
        <w:trPr>
          <w:jc w:val="center"/>
        </w:trPr>
        <w:tc>
          <w:tcPr>
            <w:tcW w:w="5027" w:type="dxa"/>
          </w:tcPr>
          <w:p w14:paraId="38EC8C5B" w14:textId="77777777" w:rsidR="000414E8" w:rsidRPr="00A01494" w:rsidRDefault="004C33A9"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65D15F6A" w14:textId="77777777" w:rsidR="000414E8" w:rsidRPr="00A01494" w:rsidRDefault="004C33A9"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215D23F3" w14:textId="77777777" w:rsidR="000414E8" w:rsidRPr="00A25024" w:rsidRDefault="000414E8" w:rsidP="00DB3627">
      <w:pPr>
        <w:autoSpaceDE w:val="0"/>
        <w:autoSpaceDN w:val="0"/>
        <w:adjustRightInd w:val="0"/>
        <w:spacing w:after="0" w:line="240" w:lineRule="auto"/>
        <w:rPr>
          <w:rFonts w:cstheme="minorHAnsi"/>
          <w:bCs/>
        </w:rPr>
      </w:pPr>
    </w:p>
    <w:p w14:paraId="0D38E9BD" w14:textId="77777777" w:rsidR="008159E3"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tbl>
      <w:tblPr>
        <w:tblStyle w:val="TableGrid"/>
        <w:tblW w:w="0" w:type="auto"/>
        <w:tblLook w:val="04A0" w:firstRow="1" w:lastRow="0" w:firstColumn="1" w:lastColumn="0" w:noHBand="0" w:noVBand="1"/>
      </w:tblPr>
      <w:tblGrid>
        <w:gridCol w:w="9350"/>
      </w:tblGrid>
      <w:tr w:rsidR="008159E3" w14:paraId="4A88E6CB" w14:textId="77777777" w:rsidTr="008159E3">
        <w:tc>
          <w:tcPr>
            <w:tcW w:w="9350" w:type="dxa"/>
          </w:tcPr>
          <w:p w14:paraId="5B6B9D93" w14:textId="687A8355" w:rsidR="008159E3" w:rsidRDefault="00740F49" w:rsidP="00740F49">
            <w:pPr>
              <w:autoSpaceDE w:val="0"/>
              <w:autoSpaceDN w:val="0"/>
              <w:adjustRightInd w:val="0"/>
              <w:rPr>
                <w:rFonts w:cstheme="minorHAnsi"/>
                <w:bCs/>
              </w:rPr>
            </w:pPr>
            <w:r w:rsidRPr="00740F49">
              <w:rPr>
                <w:rFonts w:cstheme="minorHAnsi"/>
                <w:bCs/>
              </w:rPr>
              <w:t xml:space="preserve">The number of </w:t>
            </w:r>
            <w:r>
              <w:rPr>
                <w:rFonts w:cstheme="minorHAnsi"/>
                <w:bCs/>
              </w:rPr>
              <w:t>measured entities</w:t>
            </w:r>
            <w:r w:rsidRPr="00740F49">
              <w:rPr>
                <w:rFonts w:cstheme="minorHAnsi"/>
                <w:bCs/>
              </w:rPr>
              <w:t xml:space="preserve"> varies by testing type: see Section 1.7 for details</w:t>
            </w:r>
            <w:r w:rsidR="00A11B4F">
              <w:rPr>
                <w:rFonts w:cstheme="minorHAnsi"/>
                <w:bCs/>
              </w:rPr>
              <w:t>.</w:t>
            </w:r>
          </w:p>
        </w:tc>
      </w:tr>
    </w:tbl>
    <w:p w14:paraId="19DF3696" w14:textId="77777777" w:rsidR="002B5016" w:rsidRPr="00A25024" w:rsidRDefault="002B5016" w:rsidP="00DB3627">
      <w:pPr>
        <w:autoSpaceDE w:val="0"/>
        <w:autoSpaceDN w:val="0"/>
        <w:adjustRightInd w:val="0"/>
        <w:spacing w:after="0" w:line="240" w:lineRule="auto"/>
        <w:rPr>
          <w:rFonts w:cstheme="minorHAnsi"/>
          <w:bCs/>
        </w:rPr>
      </w:pPr>
    </w:p>
    <w:p w14:paraId="233DD57D" w14:textId="77777777" w:rsidR="008159E3"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tbl>
      <w:tblPr>
        <w:tblStyle w:val="TableGrid"/>
        <w:tblW w:w="0" w:type="auto"/>
        <w:tblLook w:val="04A0" w:firstRow="1" w:lastRow="0" w:firstColumn="1" w:lastColumn="0" w:noHBand="0" w:noVBand="1"/>
      </w:tblPr>
      <w:tblGrid>
        <w:gridCol w:w="9350"/>
      </w:tblGrid>
      <w:tr w:rsidR="008159E3" w14:paraId="5D9F8EDB" w14:textId="77777777" w:rsidTr="008159E3">
        <w:tc>
          <w:tcPr>
            <w:tcW w:w="9350" w:type="dxa"/>
          </w:tcPr>
          <w:p w14:paraId="1633D5D8" w14:textId="7740857D" w:rsidR="008159E3" w:rsidRDefault="00DF241F" w:rsidP="00DB3627">
            <w:pPr>
              <w:autoSpaceDE w:val="0"/>
              <w:autoSpaceDN w:val="0"/>
              <w:adjustRightInd w:val="0"/>
              <w:rPr>
                <w:rFonts w:cstheme="minorHAnsi"/>
                <w:bCs/>
              </w:rPr>
            </w:pPr>
            <w:r w:rsidRPr="0052052E">
              <w:rPr>
                <w:rFonts w:cstheme="minorHAnsi"/>
                <w:bCs/>
              </w:rPr>
              <w:t xml:space="preserve">Number of </w:t>
            </w:r>
            <w:r w:rsidR="003F7F78">
              <w:t>admissions</w:t>
            </w:r>
            <w:r w:rsidR="003F7F78">
              <w:rPr>
                <w:rFonts w:cstheme="minorHAnsi"/>
                <w:bCs/>
              </w:rPr>
              <w:t>/</w:t>
            </w:r>
            <w:r w:rsidRPr="0052052E">
              <w:rPr>
                <w:rFonts w:cstheme="minorHAnsi"/>
                <w:bCs/>
              </w:rPr>
              <w:t xml:space="preserve">patients varies by testing type; see Section 1.7 for details. </w:t>
            </w:r>
          </w:p>
        </w:tc>
      </w:tr>
    </w:tbl>
    <w:p w14:paraId="4D383F69" w14:textId="77777777" w:rsidR="007422FD" w:rsidRDefault="007422FD" w:rsidP="00DB3627">
      <w:pPr>
        <w:autoSpaceDE w:val="0"/>
        <w:autoSpaceDN w:val="0"/>
        <w:adjustRightInd w:val="0"/>
        <w:spacing w:after="0" w:line="240" w:lineRule="auto"/>
        <w:rPr>
          <w:rFonts w:cstheme="minorHAnsi"/>
          <w:bCs/>
        </w:rPr>
      </w:pPr>
    </w:p>
    <w:p w14:paraId="01E58B32"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tbl>
      <w:tblPr>
        <w:tblStyle w:val="TableGrid"/>
        <w:tblW w:w="0" w:type="auto"/>
        <w:tblLook w:val="04A0" w:firstRow="1" w:lastRow="0" w:firstColumn="1" w:lastColumn="0" w:noHBand="0" w:noVBand="1"/>
      </w:tblPr>
      <w:tblGrid>
        <w:gridCol w:w="9350"/>
      </w:tblGrid>
      <w:tr w:rsidR="00DF241F" w14:paraId="732B4032" w14:textId="77777777" w:rsidTr="00DF241F">
        <w:tc>
          <w:tcPr>
            <w:tcW w:w="9350" w:type="dxa"/>
          </w:tcPr>
          <w:p w14:paraId="5E19ADCB" w14:textId="502C55B8" w:rsidR="00DF241F" w:rsidRPr="00927ED3" w:rsidRDefault="00DF241F" w:rsidP="00E37E1B">
            <w:pPr>
              <w:autoSpaceDE w:val="0"/>
              <w:autoSpaceDN w:val="0"/>
              <w:adjustRightInd w:val="0"/>
              <w:rPr>
                <w:rFonts w:cstheme="minorHAnsi"/>
                <w:bCs/>
              </w:rPr>
            </w:pPr>
            <w:r w:rsidRPr="00927ED3">
              <w:rPr>
                <w:rFonts w:cstheme="minorHAnsi"/>
                <w:bCs/>
              </w:rPr>
              <w:t>Please note this model</w:t>
            </w:r>
            <w:r w:rsidR="008472F5" w:rsidRPr="00927ED3">
              <w:rPr>
                <w:rFonts w:cstheme="minorHAnsi"/>
                <w:bCs/>
              </w:rPr>
              <w:t xml:space="preserve"> was developed using </w:t>
            </w:r>
            <w:r w:rsidR="008472F5" w:rsidRPr="00A04E42">
              <w:rPr>
                <w:rFonts w:cstheme="minorHAnsi"/>
                <w:bCs/>
              </w:rPr>
              <w:t xml:space="preserve">electronically </w:t>
            </w:r>
            <w:r w:rsidR="00A04E42" w:rsidRPr="00A04E42">
              <w:rPr>
                <w:rFonts w:cstheme="minorHAnsi"/>
                <w:bCs/>
              </w:rPr>
              <w:t xml:space="preserve">extracted </w:t>
            </w:r>
            <w:r w:rsidR="008472F5" w:rsidRPr="00A04E42">
              <w:rPr>
                <w:rFonts w:cstheme="minorHAnsi"/>
                <w:bCs/>
              </w:rPr>
              <w:t>EHR data</w:t>
            </w:r>
            <w:r w:rsidR="008472F5" w:rsidRPr="00927ED3">
              <w:rPr>
                <w:rFonts w:cstheme="minorHAnsi"/>
                <w:bCs/>
              </w:rPr>
              <w:t xml:space="preserve"> and merged </w:t>
            </w:r>
            <w:r w:rsidR="00927ED3">
              <w:rPr>
                <w:rFonts w:cstheme="minorHAnsi"/>
                <w:bCs/>
              </w:rPr>
              <w:t xml:space="preserve">inpatient </w:t>
            </w:r>
            <w:r w:rsidR="008472F5" w:rsidRPr="00927ED3">
              <w:rPr>
                <w:rFonts w:cstheme="minorHAnsi"/>
                <w:bCs/>
              </w:rPr>
              <w:t>claims data</w:t>
            </w:r>
            <w:r w:rsidR="0078507B">
              <w:rPr>
                <w:rFonts w:cstheme="minorHAnsi"/>
                <w:bCs/>
              </w:rPr>
              <w:t>.</w:t>
            </w:r>
            <w:r w:rsidR="008472F5" w:rsidRPr="00927ED3">
              <w:rPr>
                <w:rFonts w:cstheme="minorHAnsi"/>
                <w:bCs/>
              </w:rPr>
              <w:t xml:space="preserve"> </w:t>
            </w:r>
          </w:p>
          <w:p w14:paraId="1A2D1A2B" w14:textId="77777777" w:rsidR="00DF241F" w:rsidRPr="00927ED3" w:rsidRDefault="00DF241F" w:rsidP="00E37E1B">
            <w:pPr>
              <w:autoSpaceDE w:val="0"/>
              <w:autoSpaceDN w:val="0"/>
              <w:adjustRightInd w:val="0"/>
              <w:rPr>
                <w:rFonts w:cstheme="minorHAnsi"/>
                <w:bCs/>
              </w:rPr>
            </w:pPr>
          </w:p>
          <w:p w14:paraId="4F51B0CC" w14:textId="77777777" w:rsidR="00DF241F" w:rsidRPr="00927ED3" w:rsidRDefault="00DF241F" w:rsidP="00E37E1B">
            <w:pPr>
              <w:autoSpaceDE w:val="0"/>
              <w:autoSpaceDN w:val="0"/>
              <w:adjustRightInd w:val="0"/>
              <w:rPr>
                <w:rFonts w:cstheme="minorHAnsi"/>
                <w:bCs/>
              </w:rPr>
            </w:pPr>
            <w:r w:rsidRPr="00927ED3">
              <w:rPr>
                <w:rFonts w:cstheme="minorHAnsi"/>
                <w:bCs/>
              </w:rPr>
              <w:t>The datasets, dates, number of measured entities</w:t>
            </w:r>
            <w:r w:rsidR="008472F5" w:rsidRPr="00927ED3">
              <w:rPr>
                <w:rFonts w:cstheme="minorHAnsi"/>
                <w:bCs/>
              </w:rPr>
              <w:t xml:space="preserve">, and number of admissions used in each type of testing are as follows: </w:t>
            </w:r>
          </w:p>
          <w:p w14:paraId="0BF85F66" w14:textId="77777777" w:rsidR="008472F5" w:rsidRPr="00927ED3" w:rsidRDefault="008472F5" w:rsidP="00E37E1B">
            <w:pPr>
              <w:autoSpaceDE w:val="0"/>
              <w:autoSpaceDN w:val="0"/>
              <w:adjustRightInd w:val="0"/>
              <w:rPr>
                <w:rFonts w:cstheme="minorHAnsi"/>
                <w:bCs/>
              </w:rPr>
            </w:pPr>
          </w:p>
          <w:p w14:paraId="52708500" w14:textId="37EB2B99" w:rsidR="008472F5" w:rsidRPr="00927ED3" w:rsidRDefault="008472F5" w:rsidP="00E37E1B">
            <w:pPr>
              <w:autoSpaceDE w:val="0"/>
              <w:autoSpaceDN w:val="0"/>
              <w:adjustRightInd w:val="0"/>
              <w:rPr>
                <w:rFonts w:cstheme="minorHAnsi"/>
                <w:bCs/>
              </w:rPr>
            </w:pPr>
            <w:r w:rsidRPr="00927ED3">
              <w:rPr>
                <w:rFonts w:cstheme="minorHAnsi"/>
                <w:bCs/>
                <w:u w:val="single"/>
              </w:rPr>
              <w:t>Measure Development and Testing</w:t>
            </w:r>
            <w:r w:rsidRPr="00927ED3">
              <w:rPr>
                <w:rFonts w:cstheme="minorHAnsi"/>
                <w:bCs/>
              </w:rPr>
              <w:t>:</w:t>
            </w:r>
          </w:p>
          <w:p w14:paraId="6ECC233B" w14:textId="4279DC5B" w:rsidR="009630E4" w:rsidRDefault="00740F49" w:rsidP="009630E4">
            <w:pPr>
              <w:autoSpaceDE w:val="0"/>
              <w:autoSpaceDN w:val="0"/>
              <w:adjustRightInd w:val="0"/>
            </w:pPr>
            <w:r w:rsidRPr="00927ED3">
              <w:rPr>
                <w:rFonts w:cstheme="minorHAnsi"/>
                <w:bCs/>
              </w:rPr>
              <w:t>For</w:t>
            </w:r>
            <w:r w:rsidR="008472F5" w:rsidRPr="00927ED3">
              <w:rPr>
                <w:rFonts w:cstheme="minorHAnsi"/>
                <w:bCs/>
              </w:rPr>
              <w:t xml:space="preserve"> measure</w:t>
            </w:r>
            <w:r w:rsidR="00A330A4" w:rsidRPr="00927ED3">
              <w:rPr>
                <w:rFonts w:cstheme="minorHAnsi"/>
                <w:bCs/>
              </w:rPr>
              <w:t xml:space="preserve"> development and testing, we used </w:t>
            </w:r>
            <w:r w:rsidRPr="00927ED3">
              <w:rPr>
                <w:rFonts w:cstheme="minorHAnsi"/>
                <w:bCs/>
              </w:rPr>
              <w:t xml:space="preserve">a </w:t>
            </w:r>
            <w:r w:rsidR="00396A76">
              <w:rPr>
                <w:rFonts w:cstheme="minorHAnsi"/>
                <w:bCs/>
              </w:rPr>
              <w:t xml:space="preserve">three-year </w:t>
            </w:r>
            <w:r w:rsidRPr="00927ED3">
              <w:rPr>
                <w:rFonts w:cstheme="minorHAnsi"/>
                <w:bCs/>
              </w:rPr>
              <w:t>dataset</w:t>
            </w:r>
            <w:r w:rsidR="00BA01C3">
              <w:rPr>
                <w:rFonts w:cstheme="minorHAnsi"/>
                <w:bCs/>
              </w:rPr>
              <w:t xml:space="preserve"> (</w:t>
            </w:r>
            <w:r w:rsidR="00BA01C3" w:rsidRPr="00BA01C3">
              <w:rPr>
                <w:rFonts w:cstheme="minorHAnsi"/>
                <w:b/>
                <w:bCs/>
              </w:rPr>
              <w:t>Dataset 1</w:t>
            </w:r>
            <w:r w:rsidR="00BA01C3">
              <w:rPr>
                <w:rFonts w:cstheme="minorHAnsi"/>
                <w:bCs/>
              </w:rPr>
              <w:t>)</w:t>
            </w:r>
            <w:r w:rsidRPr="00927ED3">
              <w:rPr>
                <w:rFonts w:cstheme="minorHAnsi"/>
                <w:bCs/>
              </w:rPr>
              <w:t xml:space="preserve"> provided by Kaiser Permanente of Northern California. The dataset contained merged inpatient claims with clinical data elements derived from patients’ electronic health records (EHRs). </w:t>
            </w:r>
            <w:r w:rsidR="00CA51D1">
              <w:rPr>
                <w:rFonts w:cstheme="minorHAnsi"/>
                <w:bCs/>
              </w:rPr>
              <w:t xml:space="preserve">This health system uses an Epic EHR system. </w:t>
            </w:r>
            <w:r w:rsidRPr="00927ED3">
              <w:rPr>
                <w:rFonts w:cstheme="minorHAnsi"/>
                <w:bCs/>
              </w:rPr>
              <w:t>The merged data were provided for all patients discharged</w:t>
            </w:r>
            <w:r w:rsidR="00927ED3">
              <w:rPr>
                <w:rFonts w:cstheme="minorHAnsi"/>
                <w:bCs/>
              </w:rPr>
              <w:t xml:space="preserve"> </w:t>
            </w:r>
            <w:r w:rsidR="00F521B4">
              <w:rPr>
                <w:rFonts w:cstheme="minorHAnsi"/>
                <w:bCs/>
              </w:rPr>
              <w:t xml:space="preserve">from </w:t>
            </w:r>
            <w:r w:rsidR="00927ED3">
              <w:rPr>
                <w:rFonts w:cstheme="minorHAnsi"/>
                <w:bCs/>
              </w:rPr>
              <w:t>any of their 21 acute care hospitals</w:t>
            </w:r>
            <w:r w:rsidR="00A330A4" w:rsidRPr="00927ED3">
              <w:t xml:space="preserve"> </w:t>
            </w:r>
            <w:r w:rsidR="00396A76">
              <w:t>from</w:t>
            </w:r>
            <w:r w:rsidR="00396A76" w:rsidRPr="00927ED3">
              <w:t xml:space="preserve"> </w:t>
            </w:r>
            <w:r w:rsidR="00A330A4" w:rsidRPr="00927ED3">
              <w:t xml:space="preserve">January 1, 2010 </w:t>
            </w:r>
            <w:r w:rsidR="00396A76">
              <w:t>through</w:t>
            </w:r>
            <w:r w:rsidR="00396A76" w:rsidRPr="00927ED3">
              <w:t xml:space="preserve"> </w:t>
            </w:r>
            <w:r w:rsidR="00A330A4" w:rsidRPr="00927ED3">
              <w:t>December 31</w:t>
            </w:r>
            <w:r w:rsidR="00120ABA" w:rsidRPr="00927ED3">
              <w:t>,</w:t>
            </w:r>
            <w:r w:rsidR="00A330A4" w:rsidRPr="00927ED3">
              <w:t xml:space="preserve"> </w:t>
            </w:r>
            <w:r w:rsidR="008469F7" w:rsidRPr="00927ED3">
              <w:t>201</w:t>
            </w:r>
            <w:r w:rsidR="008469F7">
              <w:t>2</w:t>
            </w:r>
            <w:r w:rsidRPr="00927ED3">
              <w:t>. We</w:t>
            </w:r>
            <w:r w:rsidR="00A330A4" w:rsidRPr="00927ED3">
              <w:t xml:space="preserve"> randomly split </w:t>
            </w:r>
            <w:r w:rsidR="008469F7" w:rsidRPr="00927ED3">
              <w:t>th</w:t>
            </w:r>
            <w:r w:rsidR="008469F7">
              <w:t>e first</w:t>
            </w:r>
            <w:r w:rsidR="008469F7" w:rsidRPr="00927ED3">
              <w:t xml:space="preserve"> </w:t>
            </w:r>
            <w:r w:rsidR="00927ED3" w:rsidRPr="00927ED3">
              <w:t>2-year</w:t>
            </w:r>
            <w:r w:rsidR="008469F7">
              <w:t>s of this</w:t>
            </w:r>
            <w:r w:rsidR="00927ED3" w:rsidRPr="00927ED3">
              <w:t xml:space="preserve"> dataset </w:t>
            </w:r>
            <w:r w:rsidR="008469F7">
              <w:t xml:space="preserve">(January 1, 2010 – December 31, 2011) </w:t>
            </w:r>
            <w:r w:rsidR="00A330A4" w:rsidRPr="00927ED3">
              <w:t xml:space="preserve">into </w:t>
            </w:r>
            <w:r w:rsidR="005A3006" w:rsidRPr="00927ED3">
              <w:t xml:space="preserve">a </w:t>
            </w:r>
            <w:r w:rsidR="00927ED3" w:rsidRPr="00927ED3">
              <w:t>“d</w:t>
            </w:r>
            <w:r w:rsidR="00E734B2" w:rsidRPr="00927ED3">
              <w:t xml:space="preserve">evelopment </w:t>
            </w:r>
            <w:r w:rsidR="00927ED3" w:rsidRPr="00927ED3">
              <w:t>s</w:t>
            </w:r>
            <w:r w:rsidR="00A330A4" w:rsidRPr="00927ED3">
              <w:t>ample</w:t>
            </w:r>
            <w:r w:rsidR="00927ED3" w:rsidRPr="00927ED3">
              <w:t>”</w:t>
            </w:r>
            <w:r w:rsidR="00A330A4" w:rsidRPr="00927ED3">
              <w:t xml:space="preserve"> </w:t>
            </w:r>
            <w:r w:rsidR="00120ABA" w:rsidRPr="00927ED3">
              <w:t>(</w:t>
            </w:r>
            <w:r w:rsidR="00A330A4" w:rsidRPr="00927ED3">
              <w:t>used to develop a risk model</w:t>
            </w:r>
            <w:r w:rsidR="00120ABA" w:rsidRPr="00927ED3">
              <w:t>)</w:t>
            </w:r>
            <w:r w:rsidR="00A330A4" w:rsidRPr="00927ED3">
              <w:t xml:space="preserve"> and a </w:t>
            </w:r>
            <w:r w:rsidR="00927ED3">
              <w:t>“v</w:t>
            </w:r>
            <w:r w:rsidR="00927ED3" w:rsidRPr="00927ED3">
              <w:t xml:space="preserve">alidation </w:t>
            </w:r>
            <w:r w:rsidR="00927ED3">
              <w:t>s</w:t>
            </w:r>
            <w:r w:rsidR="00927ED3" w:rsidRPr="00927ED3">
              <w:t>ample</w:t>
            </w:r>
            <w:r w:rsidR="00927ED3">
              <w:t>”</w:t>
            </w:r>
            <w:r w:rsidR="00927ED3" w:rsidRPr="00927ED3">
              <w:t xml:space="preserve"> </w:t>
            </w:r>
            <w:r w:rsidR="00120ABA" w:rsidRPr="00927ED3">
              <w:t>(u</w:t>
            </w:r>
            <w:r w:rsidR="00A330A4" w:rsidRPr="00927ED3">
              <w:t>sed to re-test the model</w:t>
            </w:r>
            <w:r w:rsidR="00120ABA" w:rsidRPr="00927ED3">
              <w:t>)</w:t>
            </w:r>
            <w:r w:rsidR="00A330A4" w:rsidRPr="00927ED3">
              <w:t xml:space="preserve">; the random split was stratified by hospital and </w:t>
            </w:r>
            <w:r w:rsidR="00F521B4">
              <w:t xml:space="preserve">the measure’s </w:t>
            </w:r>
            <w:r w:rsidR="008469F7">
              <w:t xml:space="preserve">five </w:t>
            </w:r>
            <w:r w:rsidR="00A330A4" w:rsidRPr="00927ED3">
              <w:t>specialty cohort</w:t>
            </w:r>
            <w:r w:rsidR="008469F7">
              <w:t>s used to calculate the measure score</w:t>
            </w:r>
            <w:r w:rsidR="00A330A4" w:rsidRPr="00927ED3">
              <w:t>.</w:t>
            </w:r>
            <w:r w:rsidR="00E734B2" w:rsidRPr="00927ED3">
              <w:t xml:space="preserve"> </w:t>
            </w:r>
            <w:r w:rsidR="00927ED3">
              <w:t>W</w:t>
            </w:r>
            <w:r w:rsidR="00927ED3" w:rsidRPr="00927ED3">
              <w:t xml:space="preserve">e re-tested the </w:t>
            </w:r>
            <w:r w:rsidR="008469F7">
              <w:t xml:space="preserve">five risk </w:t>
            </w:r>
            <w:r w:rsidR="00927ED3" w:rsidRPr="00927ED3">
              <w:t xml:space="preserve">models </w:t>
            </w:r>
            <w:r w:rsidR="008469F7">
              <w:t xml:space="preserve">that make up the measure </w:t>
            </w:r>
            <w:r w:rsidR="00927ED3" w:rsidRPr="00927ED3">
              <w:t xml:space="preserve">in </w:t>
            </w:r>
            <w:r w:rsidR="00F521B4">
              <w:t>the third year of data,</w:t>
            </w:r>
            <w:r w:rsidR="00927ED3">
              <w:t xml:space="preserve"> from </w:t>
            </w:r>
            <w:r w:rsidR="00396A76">
              <w:t>January 1, 2012 through December 31, 2012</w:t>
            </w:r>
            <w:r w:rsidR="00F521B4">
              <w:t xml:space="preserve">. This </w:t>
            </w:r>
            <w:r w:rsidR="00927ED3">
              <w:t>“2012 sample</w:t>
            </w:r>
            <w:r w:rsidR="00BA01C3">
              <w:t>,</w:t>
            </w:r>
            <w:r w:rsidR="00927ED3">
              <w:t xml:space="preserve">” </w:t>
            </w:r>
            <w:r w:rsidR="00F521B4">
              <w:t xml:space="preserve">was used </w:t>
            </w:r>
            <w:r w:rsidR="00927ED3" w:rsidRPr="00927ED3">
              <w:t xml:space="preserve">to look for temporal stability in the models’ performance. </w:t>
            </w:r>
          </w:p>
          <w:p w14:paraId="47DDD77C" w14:textId="77777777" w:rsidR="009630E4" w:rsidRDefault="009630E4" w:rsidP="009630E4">
            <w:pPr>
              <w:autoSpaceDE w:val="0"/>
              <w:autoSpaceDN w:val="0"/>
              <w:adjustRightInd w:val="0"/>
            </w:pPr>
          </w:p>
          <w:p w14:paraId="6FAC891F" w14:textId="38B8005F" w:rsidR="009630E4" w:rsidRDefault="009630E4" w:rsidP="009630E4">
            <w:pPr>
              <w:autoSpaceDE w:val="0"/>
              <w:autoSpaceDN w:val="0"/>
              <w:adjustRightInd w:val="0"/>
            </w:pPr>
            <w:r>
              <w:t xml:space="preserve">In </w:t>
            </w:r>
            <w:r w:rsidRPr="009630E4">
              <w:rPr>
                <w:b/>
              </w:rPr>
              <w:t>Dataset 1</w:t>
            </w:r>
            <w:r>
              <w:t xml:space="preserve">: </w:t>
            </w:r>
          </w:p>
          <w:p w14:paraId="56D3E87C" w14:textId="1FC476A8" w:rsidR="009630E4" w:rsidRDefault="009630E4" w:rsidP="009630E4">
            <w:pPr>
              <w:autoSpaceDE w:val="0"/>
              <w:autoSpaceDN w:val="0"/>
              <w:adjustRightInd w:val="0"/>
            </w:pPr>
            <w:r>
              <w:t>N</w:t>
            </w:r>
            <w:r w:rsidRPr="009630E4">
              <w:t xml:space="preserve">umber of admissions </w:t>
            </w:r>
            <w:r>
              <w:t>=</w:t>
            </w:r>
            <w:r w:rsidRPr="009630E4">
              <w:t xml:space="preserve"> </w:t>
            </w:r>
            <w:r>
              <w:t>381,980</w:t>
            </w:r>
          </w:p>
          <w:p w14:paraId="295F47B1" w14:textId="4F08D5E2" w:rsidR="009630E4" w:rsidRDefault="009630E4" w:rsidP="009630E4">
            <w:pPr>
              <w:autoSpaceDE w:val="0"/>
              <w:autoSpaceDN w:val="0"/>
              <w:adjustRightInd w:val="0"/>
            </w:pPr>
            <w:r>
              <w:t>Number of hospitals = 21</w:t>
            </w:r>
          </w:p>
          <w:p w14:paraId="78F776B3" w14:textId="77777777" w:rsidR="009630E4" w:rsidRDefault="009630E4" w:rsidP="009630E4">
            <w:pPr>
              <w:autoSpaceDE w:val="0"/>
              <w:autoSpaceDN w:val="0"/>
              <w:adjustRightInd w:val="0"/>
            </w:pPr>
            <w:r>
              <w:t>Patient Descriptive Characteristics: mean age = 58 years; standard deviation = 21 years</w:t>
            </w:r>
          </w:p>
          <w:p w14:paraId="6B7D8A2D" w14:textId="598E6C4E" w:rsidR="009630E4" w:rsidRDefault="009630E4" w:rsidP="009630E4">
            <w:pPr>
              <w:autoSpaceDE w:val="0"/>
              <w:autoSpaceDN w:val="0"/>
              <w:adjustRightInd w:val="0"/>
            </w:pPr>
            <w:r>
              <w:t>%female  = 62.6</w:t>
            </w:r>
            <w:r w:rsidRPr="00927ED3">
              <w:t xml:space="preserve"> </w:t>
            </w:r>
          </w:p>
          <w:p w14:paraId="32242B60" w14:textId="24A08026" w:rsidR="00927ED3" w:rsidRDefault="009630E4" w:rsidP="00A330A4">
            <w:pPr>
              <w:autoSpaceDE w:val="0"/>
              <w:autoSpaceDN w:val="0"/>
              <w:adjustRightInd w:val="0"/>
            </w:pPr>
            <w:r w:rsidRPr="00927ED3">
              <w:t xml:space="preserve">The number of index admissions </w:t>
            </w:r>
            <w:r>
              <w:t>is</w:t>
            </w:r>
            <w:r w:rsidRPr="00927ED3">
              <w:t xml:space="preserve"> listed below by specialty cohort.</w:t>
            </w:r>
          </w:p>
          <w:p w14:paraId="7259F9D0" w14:textId="2C9C59DD" w:rsidR="00927ED3" w:rsidRDefault="00AD54A2" w:rsidP="00927ED3">
            <w:pPr>
              <w:autoSpaceDE w:val="0"/>
              <w:autoSpaceDN w:val="0"/>
              <w:adjustRightInd w:val="0"/>
            </w:pPr>
            <w:r>
              <w:t xml:space="preserve">Surgery: </w:t>
            </w:r>
          </w:p>
          <w:p w14:paraId="09058D6A" w14:textId="0530311B" w:rsidR="00927ED3" w:rsidRDefault="00927ED3" w:rsidP="00927ED3">
            <w:pPr>
              <w:pStyle w:val="ListParagraph"/>
              <w:numPr>
                <w:ilvl w:val="0"/>
                <w:numId w:val="28"/>
              </w:numPr>
              <w:autoSpaceDE w:val="0"/>
              <w:autoSpaceDN w:val="0"/>
              <w:adjustRightInd w:val="0"/>
            </w:pPr>
            <w:r>
              <w:t xml:space="preserve">Development sample: 23,201 </w:t>
            </w:r>
            <w:r w:rsidRPr="00927ED3">
              <w:t>admissions</w:t>
            </w:r>
          </w:p>
          <w:p w14:paraId="436CAA77" w14:textId="5B6E9052" w:rsidR="00927ED3" w:rsidRDefault="00927ED3" w:rsidP="00927ED3">
            <w:pPr>
              <w:pStyle w:val="ListParagraph"/>
              <w:numPr>
                <w:ilvl w:val="0"/>
                <w:numId w:val="28"/>
              </w:numPr>
              <w:autoSpaceDE w:val="0"/>
              <w:autoSpaceDN w:val="0"/>
              <w:adjustRightInd w:val="0"/>
            </w:pPr>
            <w:r>
              <w:t xml:space="preserve">Validation sample: 23,490 </w:t>
            </w:r>
            <w:r w:rsidRPr="00927ED3">
              <w:t>admissions</w:t>
            </w:r>
          </w:p>
          <w:p w14:paraId="7BB7E5BC" w14:textId="48D94C8A" w:rsidR="00927ED3" w:rsidRDefault="00927ED3" w:rsidP="00927ED3">
            <w:pPr>
              <w:pStyle w:val="ListParagraph"/>
              <w:numPr>
                <w:ilvl w:val="0"/>
                <w:numId w:val="28"/>
              </w:numPr>
              <w:autoSpaceDE w:val="0"/>
              <w:autoSpaceDN w:val="0"/>
              <w:adjustRightInd w:val="0"/>
            </w:pPr>
            <w:r>
              <w:t xml:space="preserve">2012 sample: 25,471 </w:t>
            </w:r>
            <w:r w:rsidRPr="00927ED3">
              <w:t>admissions</w:t>
            </w:r>
          </w:p>
          <w:p w14:paraId="44C83EC1" w14:textId="77777777" w:rsidR="00927ED3" w:rsidRDefault="00927ED3" w:rsidP="00927ED3">
            <w:pPr>
              <w:autoSpaceDE w:val="0"/>
              <w:autoSpaceDN w:val="0"/>
              <w:adjustRightInd w:val="0"/>
            </w:pPr>
            <w:r>
              <w:lastRenderedPageBreak/>
              <w:t>Cardiorespiratory</w:t>
            </w:r>
          </w:p>
          <w:p w14:paraId="215A290A" w14:textId="241470A1" w:rsidR="00927ED3" w:rsidRDefault="00927ED3" w:rsidP="00927ED3">
            <w:pPr>
              <w:pStyle w:val="ListParagraph"/>
              <w:numPr>
                <w:ilvl w:val="0"/>
                <w:numId w:val="29"/>
              </w:numPr>
              <w:autoSpaceDE w:val="0"/>
              <w:autoSpaceDN w:val="0"/>
              <w:adjustRightInd w:val="0"/>
            </w:pPr>
            <w:r>
              <w:t xml:space="preserve">Development sample: 9,261 </w:t>
            </w:r>
            <w:r w:rsidRPr="00927ED3">
              <w:t>admissions</w:t>
            </w:r>
          </w:p>
          <w:p w14:paraId="76A08C58" w14:textId="054EB0E9" w:rsidR="00927ED3" w:rsidRDefault="00927ED3" w:rsidP="00927ED3">
            <w:pPr>
              <w:pStyle w:val="ListParagraph"/>
              <w:numPr>
                <w:ilvl w:val="0"/>
                <w:numId w:val="29"/>
              </w:numPr>
              <w:autoSpaceDE w:val="0"/>
              <w:autoSpaceDN w:val="0"/>
              <w:adjustRightInd w:val="0"/>
            </w:pPr>
            <w:r>
              <w:t xml:space="preserve">Validation sample: 9,364 </w:t>
            </w:r>
            <w:r w:rsidRPr="00927ED3">
              <w:t>admissions</w:t>
            </w:r>
          </w:p>
          <w:p w14:paraId="44375A16" w14:textId="77777777" w:rsidR="00927ED3" w:rsidRDefault="00927ED3" w:rsidP="00927ED3">
            <w:pPr>
              <w:pStyle w:val="ListParagraph"/>
              <w:numPr>
                <w:ilvl w:val="0"/>
                <w:numId w:val="29"/>
              </w:numPr>
              <w:autoSpaceDE w:val="0"/>
              <w:autoSpaceDN w:val="0"/>
              <w:adjustRightInd w:val="0"/>
            </w:pPr>
            <w:r>
              <w:t xml:space="preserve">2012 sample: 9,070 </w:t>
            </w:r>
            <w:r w:rsidRPr="00927ED3">
              <w:t xml:space="preserve">admissions </w:t>
            </w:r>
          </w:p>
          <w:p w14:paraId="2454E5EB" w14:textId="77777777" w:rsidR="00927ED3" w:rsidRDefault="00927ED3" w:rsidP="00927ED3">
            <w:pPr>
              <w:autoSpaceDE w:val="0"/>
              <w:autoSpaceDN w:val="0"/>
              <w:adjustRightInd w:val="0"/>
            </w:pPr>
            <w:r>
              <w:t>Cardiovascular</w:t>
            </w:r>
            <w:r>
              <w:tab/>
            </w:r>
          </w:p>
          <w:p w14:paraId="685E7CBE" w14:textId="7591AFE7" w:rsidR="00927ED3" w:rsidRDefault="00927ED3" w:rsidP="00BA01C3">
            <w:pPr>
              <w:pStyle w:val="ListParagraph"/>
              <w:numPr>
                <w:ilvl w:val="0"/>
                <w:numId w:val="30"/>
              </w:numPr>
              <w:autoSpaceDE w:val="0"/>
              <w:autoSpaceDN w:val="0"/>
              <w:adjustRightInd w:val="0"/>
            </w:pPr>
            <w:r>
              <w:t xml:space="preserve">Development sample: 8,108 </w:t>
            </w:r>
            <w:r w:rsidRPr="00927ED3">
              <w:t>admissions</w:t>
            </w:r>
          </w:p>
          <w:p w14:paraId="72C9B545" w14:textId="3591505E" w:rsidR="00927ED3" w:rsidRDefault="00927ED3" w:rsidP="00BA01C3">
            <w:pPr>
              <w:pStyle w:val="ListParagraph"/>
              <w:numPr>
                <w:ilvl w:val="0"/>
                <w:numId w:val="30"/>
              </w:numPr>
              <w:autoSpaceDE w:val="0"/>
              <w:autoSpaceDN w:val="0"/>
              <w:adjustRightInd w:val="0"/>
            </w:pPr>
            <w:r>
              <w:t xml:space="preserve">Validation sample: 8,037 </w:t>
            </w:r>
            <w:r w:rsidRPr="00927ED3">
              <w:t>admissions</w:t>
            </w:r>
          </w:p>
          <w:p w14:paraId="55000C7A" w14:textId="68AC49E9" w:rsidR="00927ED3" w:rsidRDefault="00927ED3" w:rsidP="00BA01C3">
            <w:pPr>
              <w:pStyle w:val="ListParagraph"/>
              <w:numPr>
                <w:ilvl w:val="0"/>
                <w:numId w:val="30"/>
              </w:numPr>
              <w:autoSpaceDE w:val="0"/>
              <w:autoSpaceDN w:val="0"/>
              <w:adjustRightInd w:val="0"/>
            </w:pPr>
            <w:r>
              <w:t xml:space="preserve">2012 sample: 8,338 </w:t>
            </w:r>
            <w:r w:rsidRPr="00927ED3">
              <w:t>admissions</w:t>
            </w:r>
          </w:p>
          <w:p w14:paraId="349C6D86" w14:textId="50D081D1" w:rsidR="00927ED3" w:rsidRDefault="00AD54A2" w:rsidP="00927ED3">
            <w:pPr>
              <w:autoSpaceDE w:val="0"/>
              <w:autoSpaceDN w:val="0"/>
              <w:adjustRightInd w:val="0"/>
            </w:pPr>
            <w:r>
              <w:t>Neurology</w:t>
            </w:r>
          </w:p>
          <w:p w14:paraId="722347C0" w14:textId="77777777" w:rsidR="00927ED3" w:rsidRDefault="00927ED3" w:rsidP="00BA01C3">
            <w:pPr>
              <w:pStyle w:val="ListParagraph"/>
              <w:numPr>
                <w:ilvl w:val="0"/>
                <w:numId w:val="31"/>
              </w:numPr>
              <w:autoSpaceDE w:val="0"/>
              <w:autoSpaceDN w:val="0"/>
              <w:adjustRightInd w:val="0"/>
            </w:pPr>
            <w:r>
              <w:t>Development sample: 4,400</w:t>
            </w:r>
          </w:p>
          <w:p w14:paraId="67841FD6" w14:textId="77777777" w:rsidR="00BA01C3" w:rsidRDefault="00927ED3" w:rsidP="00BA01C3">
            <w:pPr>
              <w:pStyle w:val="ListParagraph"/>
              <w:numPr>
                <w:ilvl w:val="0"/>
                <w:numId w:val="31"/>
              </w:numPr>
              <w:autoSpaceDE w:val="0"/>
              <w:autoSpaceDN w:val="0"/>
              <w:adjustRightInd w:val="0"/>
            </w:pPr>
            <w:r>
              <w:t>Validation sample: 4,348</w:t>
            </w:r>
          </w:p>
          <w:p w14:paraId="7DEB8A38" w14:textId="18C1F29F" w:rsidR="00927ED3" w:rsidRDefault="00BA01C3" w:rsidP="00BA01C3">
            <w:pPr>
              <w:pStyle w:val="ListParagraph"/>
              <w:numPr>
                <w:ilvl w:val="0"/>
                <w:numId w:val="31"/>
              </w:numPr>
              <w:autoSpaceDE w:val="0"/>
              <w:autoSpaceDN w:val="0"/>
              <w:adjustRightInd w:val="0"/>
            </w:pPr>
            <w:r>
              <w:t xml:space="preserve">2012 sample: </w:t>
            </w:r>
            <w:r w:rsidR="00927ED3">
              <w:t>4,487</w:t>
            </w:r>
          </w:p>
          <w:p w14:paraId="63857F19" w14:textId="21B307E5" w:rsidR="00BA01C3" w:rsidRDefault="00AD54A2" w:rsidP="00927ED3">
            <w:pPr>
              <w:autoSpaceDE w:val="0"/>
              <w:autoSpaceDN w:val="0"/>
              <w:adjustRightInd w:val="0"/>
            </w:pPr>
            <w:r>
              <w:t>Medicine</w:t>
            </w:r>
          </w:p>
          <w:p w14:paraId="09A802C2" w14:textId="77777777" w:rsidR="00BA01C3" w:rsidRDefault="00BA01C3" w:rsidP="00BA01C3">
            <w:pPr>
              <w:pStyle w:val="ListParagraph"/>
              <w:numPr>
                <w:ilvl w:val="0"/>
                <w:numId w:val="32"/>
              </w:numPr>
              <w:autoSpaceDE w:val="0"/>
              <w:autoSpaceDN w:val="0"/>
              <w:adjustRightInd w:val="0"/>
            </w:pPr>
            <w:r>
              <w:t xml:space="preserve">Development sample: </w:t>
            </w:r>
            <w:r w:rsidR="00927ED3">
              <w:t>34,619</w:t>
            </w:r>
          </w:p>
          <w:p w14:paraId="13DB4813" w14:textId="77777777" w:rsidR="00BA01C3" w:rsidRDefault="00BA01C3" w:rsidP="00BA01C3">
            <w:pPr>
              <w:pStyle w:val="ListParagraph"/>
              <w:numPr>
                <w:ilvl w:val="0"/>
                <w:numId w:val="32"/>
              </w:numPr>
              <w:autoSpaceDE w:val="0"/>
              <w:autoSpaceDN w:val="0"/>
              <w:adjustRightInd w:val="0"/>
            </w:pPr>
            <w:r>
              <w:t xml:space="preserve">Validation sample: </w:t>
            </w:r>
            <w:r w:rsidR="00927ED3">
              <w:t>34,574</w:t>
            </w:r>
          </w:p>
          <w:p w14:paraId="502287BF" w14:textId="731610D0" w:rsidR="00927ED3" w:rsidRDefault="00BA01C3" w:rsidP="00BA01C3">
            <w:pPr>
              <w:pStyle w:val="ListParagraph"/>
              <w:numPr>
                <w:ilvl w:val="0"/>
                <w:numId w:val="32"/>
              </w:numPr>
              <w:autoSpaceDE w:val="0"/>
              <w:autoSpaceDN w:val="0"/>
              <w:adjustRightInd w:val="0"/>
            </w:pPr>
            <w:r>
              <w:t xml:space="preserve">2012 sample: </w:t>
            </w:r>
            <w:r w:rsidR="00927ED3">
              <w:t>35,747</w:t>
            </w:r>
          </w:p>
          <w:p w14:paraId="5EDC48AC" w14:textId="77777777" w:rsidR="00120ABA" w:rsidRPr="00C9749F" w:rsidRDefault="00120ABA" w:rsidP="00A330A4">
            <w:pPr>
              <w:autoSpaceDE w:val="0"/>
              <w:autoSpaceDN w:val="0"/>
              <w:adjustRightInd w:val="0"/>
              <w:rPr>
                <w:highlight w:val="cyan"/>
              </w:rPr>
            </w:pPr>
          </w:p>
          <w:p w14:paraId="6B4D9435" w14:textId="41165750" w:rsidR="00E734B2" w:rsidRPr="00BA01C3" w:rsidRDefault="00BA01C3" w:rsidP="00A330A4">
            <w:pPr>
              <w:autoSpaceDE w:val="0"/>
              <w:autoSpaceDN w:val="0"/>
              <w:adjustRightInd w:val="0"/>
              <w:rPr>
                <w:u w:val="single"/>
              </w:rPr>
            </w:pPr>
            <w:r>
              <w:rPr>
                <w:u w:val="single"/>
              </w:rPr>
              <w:t>For testing d</w:t>
            </w:r>
            <w:r w:rsidR="00927ED3" w:rsidRPr="00BA01C3">
              <w:rPr>
                <w:u w:val="single"/>
              </w:rPr>
              <w:t xml:space="preserve">ata Element </w:t>
            </w:r>
            <w:r w:rsidR="00310B81">
              <w:rPr>
                <w:u w:val="single"/>
              </w:rPr>
              <w:t xml:space="preserve">and Measure </w:t>
            </w:r>
            <w:r w:rsidR="00E734B2" w:rsidRPr="00BA01C3">
              <w:rPr>
                <w:u w:val="single"/>
              </w:rPr>
              <w:t>Reliability Testing (Section 2</w:t>
            </w:r>
            <w:r w:rsidR="00E45904" w:rsidRPr="00BA01C3">
              <w:rPr>
                <w:u w:val="single"/>
              </w:rPr>
              <w:t>a</w:t>
            </w:r>
            <w:r w:rsidR="00E734B2" w:rsidRPr="00BA01C3">
              <w:rPr>
                <w:u w:val="single"/>
              </w:rPr>
              <w:t>2)</w:t>
            </w:r>
          </w:p>
          <w:p w14:paraId="64624FDB" w14:textId="2A9E7AB9" w:rsidR="00BA01C3" w:rsidRPr="00BA01C3" w:rsidRDefault="00BA01C3" w:rsidP="00A330A4">
            <w:pPr>
              <w:autoSpaceDE w:val="0"/>
              <w:autoSpaceDN w:val="0"/>
              <w:adjustRightInd w:val="0"/>
              <w:rPr>
                <w:b/>
              </w:rPr>
            </w:pPr>
            <w:r w:rsidRPr="00BA01C3">
              <w:rPr>
                <w:b/>
              </w:rPr>
              <w:t>Dataset 1</w:t>
            </w:r>
          </w:p>
          <w:p w14:paraId="1B7FF67C" w14:textId="77777777" w:rsidR="00BA01C3" w:rsidRPr="00BA01C3" w:rsidRDefault="00BA01C3" w:rsidP="00A330A4">
            <w:pPr>
              <w:autoSpaceDE w:val="0"/>
              <w:autoSpaceDN w:val="0"/>
              <w:adjustRightInd w:val="0"/>
              <w:rPr>
                <w:b/>
                <w:highlight w:val="cyan"/>
              </w:rPr>
            </w:pPr>
          </w:p>
          <w:p w14:paraId="7F143CE4" w14:textId="77777777" w:rsidR="00BA01C3" w:rsidRDefault="00BA01C3" w:rsidP="00BA01C3">
            <w:pPr>
              <w:autoSpaceDE w:val="0"/>
              <w:autoSpaceDN w:val="0"/>
              <w:adjustRightInd w:val="0"/>
              <w:rPr>
                <w:bCs/>
                <w:u w:val="single"/>
              </w:rPr>
            </w:pPr>
            <w:r w:rsidRPr="00BA01C3">
              <w:rPr>
                <w:bCs/>
                <w:u w:val="single"/>
              </w:rPr>
              <w:t xml:space="preserve">Validity Testing (Section 2b2) </w:t>
            </w:r>
          </w:p>
          <w:p w14:paraId="6541DB84" w14:textId="1F99A874" w:rsidR="009630E4" w:rsidRDefault="00BA01C3" w:rsidP="00BA01C3">
            <w:pPr>
              <w:autoSpaceDE w:val="0"/>
              <w:autoSpaceDN w:val="0"/>
              <w:adjustRightInd w:val="0"/>
              <w:rPr>
                <w:bCs/>
              </w:rPr>
            </w:pPr>
            <w:r w:rsidRPr="00BA01C3">
              <w:rPr>
                <w:b/>
                <w:bCs/>
              </w:rPr>
              <w:t>Dataset 1</w:t>
            </w:r>
            <w:r w:rsidRPr="00BA01C3">
              <w:rPr>
                <w:bCs/>
              </w:rPr>
              <w:t> was used for measure validity testing</w:t>
            </w:r>
            <w:r w:rsidR="00E02C6E">
              <w:rPr>
                <w:bCs/>
              </w:rPr>
              <w:t>.</w:t>
            </w:r>
          </w:p>
          <w:p w14:paraId="550A2DFE" w14:textId="77777777" w:rsidR="009630E4" w:rsidRDefault="009630E4" w:rsidP="00BA01C3">
            <w:pPr>
              <w:autoSpaceDE w:val="0"/>
              <w:autoSpaceDN w:val="0"/>
              <w:adjustRightInd w:val="0"/>
              <w:rPr>
                <w:bCs/>
              </w:rPr>
            </w:pPr>
          </w:p>
          <w:p w14:paraId="28047217" w14:textId="2CBDCED8" w:rsidR="009630E4" w:rsidRDefault="00BA01C3" w:rsidP="00BA01C3">
            <w:pPr>
              <w:autoSpaceDE w:val="0"/>
              <w:autoSpaceDN w:val="0"/>
              <w:adjustRightInd w:val="0"/>
              <w:rPr>
                <w:bCs/>
              </w:rPr>
            </w:pPr>
            <w:r w:rsidRPr="00BA01C3">
              <w:rPr>
                <w:bCs/>
              </w:rPr>
              <w:t xml:space="preserve">Three datasets were used to assess the feasibility </w:t>
            </w:r>
            <w:r w:rsidR="001112BA">
              <w:rPr>
                <w:bCs/>
              </w:rPr>
              <w:t>or</w:t>
            </w:r>
            <w:r w:rsidR="001112BA" w:rsidRPr="00BA01C3">
              <w:rPr>
                <w:bCs/>
              </w:rPr>
              <w:t> </w:t>
            </w:r>
            <w:r w:rsidRPr="00BA01C3">
              <w:rPr>
                <w:bCs/>
              </w:rPr>
              <w:t>validity of </w:t>
            </w:r>
            <w:r w:rsidR="009630E4">
              <w:rPr>
                <w:bCs/>
              </w:rPr>
              <w:t>the</w:t>
            </w:r>
            <w:r w:rsidRPr="00BA01C3">
              <w:rPr>
                <w:bCs/>
              </w:rPr>
              <w:t xml:space="preserve"> </w:t>
            </w:r>
            <w:r w:rsidR="009630E4">
              <w:rPr>
                <w:bCs/>
              </w:rPr>
              <w:t>clinical</w:t>
            </w:r>
            <w:r w:rsidRPr="00BA01C3">
              <w:rPr>
                <w:bCs/>
              </w:rPr>
              <w:t xml:space="preserve"> data</w:t>
            </w:r>
            <w:r w:rsidRPr="00BA01C3">
              <w:rPr>
                <w:bCs/>
              </w:rPr>
              <w:br/>
              <w:t>elements</w:t>
            </w:r>
            <w:r w:rsidR="009630E4">
              <w:rPr>
                <w:bCs/>
              </w:rPr>
              <w:t xml:space="preserve"> used in the measure’s risk models:</w:t>
            </w:r>
          </w:p>
          <w:p w14:paraId="2B64814F" w14:textId="1CD08AAE" w:rsidR="009630E4" w:rsidRDefault="00BA01C3" w:rsidP="00BA01C3">
            <w:pPr>
              <w:autoSpaceDE w:val="0"/>
              <w:autoSpaceDN w:val="0"/>
              <w:adjustRightInd w:val="0"/>
              <w:rPr>
                <w:b/>
                <w:bCs/>
              </w:rPr>
            </w:pPr>
            <w:r w:rsidRPr="00BA01C3">
              <w:rPr>
                <w:bCs/>
              </w:rPr>
              <w:br/>
            </w:r>
            <w:r w:rsidR="009630E4">
              <w:rPr>
                <w:b/>
                <w:bCs/>
              </w:rPr>
              <w:t xml:space="preserve">Dataset 1: </w:t>
            </w:r>
            <w:r w:rsidR="009630E4" w:rsidRPr="009630E4">
              <w:rPr>
                <w:bCs/>
              </w:rPr>
              <w:t>(data element feasibility testing)</w:t>
            </w:r>
          </w:p>
          <w:p w14:paraId="104FC4C3" w14:textId="6EDBDAA3" w:rsidR="009630E4" w:rsidRDefault="00BA01C3" w:rsidP="009630E4">
            <w:pPr>
              <w:autoSpaceDE w:val="0"/>
              <w:autoSpaceDN w:val="0"/>
              <w:adjustRightInd w:val="0"/>
              <w:rPr>
                <w:bCs/>
              </w:rPr>
            </w:pPr>
            <w:r w:rsidRPr="009630E4">
              <w:rPr>
                <w:b/>
                <w:bCs/>
              </w:rPr>
              <w:t xml:space="preserve">Dataset </w:t>
            </w:r>
            <w:r w:rsidR="009630E4" w:rsidRPr="009630E4">
              <w:rPr>
                <w:b/>
                <w:bCs/>
              </w:rPr>
              <w:t>2</w:t>
            </w:r>
            <w:r w:rsidRPr="009630E4">
              <w:rPr>
                <w:bCs/>
              </w:rPr>
              <w:t xml:space="preserve">: </w:t>
            </w:r>
            <w:r w:rsidR="009630E4" w:rsidRPr="009630E4">
              <w:rPr>
                <w:bCs/>
              </w:rPr>
              <w:t>(data element feasibility and validity testing)</w:t>
            </w:r>
          </w:p>
          <w:p w14:paraId="3CD2DB77" w14:textId="5F3C1C6B" w:rsidR="009630E4" w:rsidRDefault="009630E4" w:rsidP="009630E4">
            <w:pPr>
              <w:autoSpaceDE w:val="0"/>
              <w:autoSpaceDN w:val="0"/>
              <w:adjustRightInd w:val="0"/>
              <w:rPr>
                <w:bCs/>
              </w:rPr>
            </w:pPr>
            <w:r w:rsidRPr="009630E4">
              <w:rPr>
                <w:bCs/>
              </w:rPr>
              <w:t>E</w:t>
            </w:r>
            <w:r w:rsidR="00BA01C3" w:rsidRPr="009630E4">
              <w:rPr>
                <w:bCs/>
              </w:rPr>
              <w:t xml:space="preserve">lectronically extracted </w:t>
            </w:r>
            <w:r w:rsidRPr="009630E4">
              <w:rPr>
                <w:bCs/>
              </w:rPr>
              <w:t xml:space="preserve">clinical data </w:t>
            </w:r>
            <w:r w:rsidR="00BA01C3" w:rsidRPr="009630E4">
              <w:rPr>
                <w:bCs/>
              </w:rPr>
              <w:t xml:space="preserve">from </w:t>
            </w:r>
            <w:r>
              <w:rPr>
                <w:bCs/>
              </w:rPr>
              <w:t>three</w:t>
            </w:r>
            <w:r w:rsidRPr="009630E4">
              <w:rPr>
                <w:bCs/>
              </w:rPr>
              <w:t xml:space="preserve"> </w:t>
            </w:r>
            <w:r w:rsidR="00BA01C3" w:rsidRPr="009630E4">
              <w:rPr>
                <w:bCs/>
              </w:rPr>
              <w:t>hospital</w:t>
            </w:r>
            <w:r>
              <w:rPr>
                <w:bCs/>
              </w:rPr>
              <w:t>s</w:t>
            </w:r>
            <w:r w:rsidR="00BA01C3" w:rsidRPr="009630E4">
              <w:rPr>
                <w:bCs/>
              </w:rPr>
              <w:t xml:space="preserve"> that used Cerner as their clinical EHR.</w:t>
            </w:r>
          </w:p>
          <w:p w14:paraId="47D49BDD" w14:textId="229439A9" w:rsidR="009630E4" w:rsidRDefault="009630E4" w:rsidP="009630E4">
            <w:pPr>
              <w:pStyle w:val="ListParagraph"/>
              <w:numPr>
                <w:ilvl w:val="0"/>
                <w:numId w:val="35"/>
              </w:numPr>
              <w:autoSpaceDE w:val="0"/>
              <w:autoSpaceDN w:val="0"/>
              <w:adjustRightInd w:val="0"/>
              <w:rPr>
                <w:bCs/>
              </w:rPr>
            </w:pPr>
            <w:r>
              <w:rPr>
                <w:bCs/>
              </w:rPr>
              <w:t xml:space="preserve">Feasibility testing: 3 hospitals with </w:t>
            </w:r>
            <w:r w:rsidRPr="009630E4">
              <w:rPr>
                <w:bCs/>
              </w:rPr>
              <w:t>25,829</w:t>
            </w:r>
            <w:r w:rsidR="001112BA">
              <w:rPr>
                <w:bCs/>
              </w:rPr>
              <w:t>;</w:t>
            </w:r>
            <w:r w:rsidRPr="009630E4">
              <w:rPr>
                <w:bCs/>
              </w:rPr>
              <w:t xml:space="preserve"> 56,</w:t>
            </w:r>
            <w:r>
              <w:rPr>
                <w:bCs/>
              </w:rPr>
              <w:t>812</w:t>
            </w:r>
            <w:r w:rsidR="001112BA">
              <w:rPr>
                <w:bCs/>
              </w:rPr>
              <w:t>;</w:t>
            </w:r>
            <w:r w:rsidR="001112BA" w:rsidRPr="009630E4">
              <w:rPr>
                <w:bCs/>
              </w:rPr>
              <w:t xml:space="preserve"> </w:t>
            </w:r>
            <w:r>
              <w:rPr>
                <w:bCs/>
              </w:rPr>
              <w:t xml:space="preserve">and </w:t>
            </w:r>
            <w:r w:rsidRPr="009630E4">
              <w:rPr>
                <w:bCs/>
              </w:rPr>
              <w:t xml:space="preserve">29,586 </w:t>
            </w:r>
            <w:r>
              <w:rPr>
                <w:bCs/>
              </w:rPr>
              <w:t>admissions</w:t>
            </w:r>
          </w:p>
          <w:p w14:paraId="438E79EE" w14:textId="7816132B" w:rsidR="009630E4" w:rsidRDefault="009630E4" w:rsidP="009630E4">
            <w:pPr>
              <w:pStyle w:val="ListParagraph"/>
              <w:numPr>
                <w:ilvl w:val="0"/>
                <w:numId w:val="35"/>
              </w:numPr>
              <w:autoSpaceDE w:val="0"/>
              <w:autoSpaceDN w:val="0"/>
              <w:adjustRightInd w:val="0"/>
              <w:rPr>
                <w:bCs/>
              </w:rPr>
            </w:pPr>
            <w:r>
              <w:rPr>
                <w:bCs/>
              </w:rPr>
              <w:t xml:space="preserve">Validity testing: 1 hospital with data abstracted from </w:t>
            </w:r>
            <w:r w:rsidR="00BA01C3" w:rsidRPr="009630E4">
              <w:rPr>
                <w:bCs/>
              </w:rPr>
              <w:t>368</w:t>
            </w:r>
            <w:r>
              <w:rPr>
                <w:bCs/>
              </w:rPr>
              <w:t xml:space="preserve"> admission</w:t>
            </w:r>
            <w:r w:rsidR="00E02C6E">
              <w:rPr>
                <w:bCs/>
              </w:rPr>
              <w:t>s</w:t>
            </w:r>
            <w:r w:rsidR="004140D2">
              <w:rPr>
                <w:bCs/>
              </w:rPr>
              <w:t xml:space="preserve"> (subset of admissions above)</w:t>
            </w:r>
          </w:p>
          <w:p w14:paraId="5DD25B5D" w14:textId="704C6359" w:rsidR="004140D2" w:rsidRDefault="00BA01C3" w:rsidP="009630E4">
            <w:pPr>
              <w:autoSpaceDE w:val="0"/>
              <w:autoSpaceDN w:val="0"/>
              <w:adjustRightInd w:val="0"/>
              <w:rPr>
                <w:bCs/>
              </w:rPr>
            </w:pPr>
            <w:r w:rsidRPr="009630E4">
              <w:rPr>
                <w:b/>
                <w:bCs/>
              </w:rPr>
              <w:t xml:space="preserve">Dataset </w:t>
            </w:r>
            <w:r w:rsidR="009630E4" w:rsidRPr="009630E4">
              <w:rPr>
                <w:b/>
                <w:bCs/>
              </w:rPr>
              <w:t>3</w:t>
            </w:r>
            <w:r w:rsidR="009630E4">
              <w:rPr>
                <w:bCs/>
              </w:rPr>
              <w:t>:</w:t>
            </w:r>
            <w:r w:rsidRPr="009630E4">
              <w:rPr>
                <w:bCs/>
              </w:rPr>
              <w:t xml:space="preserve"> </w:t>
            </w:r>
            <w:r w:rsidR="004140D2" w:rsidRPr="004140D2">
              <w:rPr>
                <w:bCs/>
              </w:rPr>
              <w:t>(data element validity testing)</w:t>
            </w:r>
          </w:p>
          <w:p w14:paraId="29800DD0" w14:textId="35FAD1F1" w:rsidR="004140D2" w:rsidRDefault="00BA01C3" w:rsidP="009630E4">
            <w:pPr>
              <w:autoSpaceDE w:val="0"/>
              <w:autoSpaceDN w:val="0"/>
              <w:adjustRightInd w:val="0"/>
              <w:rPr>
                <w:bCs/>
              </w:rPr>
            </w:pPr>
            <w:r w:rsidRPr="009630E4">
              <w:rPr>
                <w:bCs/>
              </w:rPr>
              <w:t xml:space="preserve">Data were electronically extracted from </w:t>
            </w:r>
            <w:r w:rsidR="004140D2">
              <w:rPr>
                <w:bCs/>
              </w:rPr>
              <w:t>1</w:t>
            </w:r>
            <w:r w:rsidR="009630E4" w:rsidRPr="009630E4">
              <w:rPr>
                <w:bCs/>
              </w:rPr>
              <w:t xml:space="preserve"> </w:t>
            </w:r>
            <w:r w:rsidRPr="009630E4">
              <w:rPr>
                <w:bCs/>
              </w:rPr>
              <w:t xml:space="preserve">hospital that </w:t>
            </w:r>
            <w:r w:rsidR="004140D2">
              <w:rPr>
                <w:bCs/>
              </w:rPr>
              <w:t xml:space="preserve">used </w:t>
            </w:r>
            <w:r w:rsidRPr="009630E4">
              <w:rPr>
                <w:bCs/>
              </w:rPr>
              <w:t xml:space="preserve">GE Centricity </w:t>
            </w:r>
            <w:r w:rsidR="004140D2" w:rsidRPr="004140D2">
              <w:rPr>
                <w:bCs/>
              </w:rPr>
              <w:t xml:space="preserve">as their clinical EHR </w:t>
            </w:r>
          </w:p>
          <w:p w14:paraId="77BBD453" w14:textId="42135482" w:rsidR="00BA01C3" w:rsidRPr="004140D2" w:rsidRDefault="004140D2" w:rsidP="004140D2">
            <w:pPr>
              <w:pStyle w:val="ListParagraph"/>
              <w:numPr>
                <w:ilvl w:val="0"/>
                <w:numId w:val="37"/>
              </w:numPr>
              <w:autoSpaceDE w:val="0"/>
              <w:autoSpaceDN w:val="0"/>
              <w:adjustRightInd w:val="0"/>
              <w:rPr>
                <w:bCs/>
              </w:rPr>
            </w:pPr>
            <w:r w:rsidRPr="004140D2">
              <w:rPr>
                <w:bCs/>
              </w:rPr>
              <w:t xml:space="preserve">Validity testing: 1 hospital with data abstracted from </w:t>
            </w:r>
            <w:r w:rsidR="00BA01C3" w:rsidRPr="004140D2">
              <w:rPr>
                <w:bCs/>
              </w:rPr>
              <w:t>391</w:t>
            </w:r>
            <w:r w:rsidRPr="004140D2">
              <w:rPr>
                <w:bCs/>
              </w:rPr>
              <w:t xml:space="preserve"> admissions</w:t>
            </w:r>
          </w:p>
          <w:p w14:paraId="7A9DE6ED" w14:textId="77777777" w:rsidR="004140D2" w:rsidRPr="004140D2" w:rsidRDefault="004140D2" w:rsidP="004140D2">
            <w:pPr>
              <w:autoSpaceDE w:val="0"/>
              <w:autoSpaceDN w:val="0"/>
              <w:adjustRightInd w:val="0"/>
              <w:rPr>
                <w:bCs/>
                <w:u w:val="single"/>
              </w:rPr>
            </w:pPr>
          </w:p>
          <w:p w14:paraId="6ADF64E6" w14:textId="4670FD8D" w:rsidR="00BA01C3" w:rsidRPr="00BA01C3" w:rsidRDefault="00BA01C3" w:rsidP="00BA01C3">
            <w:pPr>
              <w:autoSpaceDE w:val="0"/>
              <w:autoSpaceDN w:val="0"/>
              <w:adjustRightInd w:val="0"/>
              <w:rPr>
                <w:bCs/>
                <w:u w:val="single"/>
              </w:rPr>
            </w:pPr>
            <w:r w:rsidRPr="00BA01C3">
              <w:rPr>
                <w:bCs/>
                <w:u w:val="single"/>
              </w:rPr>
              <w:t>For testing of measure exclusions (Section 2b3)</w:t>
            </w:r>
          </w:p>
          <w:p w14:paraId="172EB282" w14:textId="77777777" w:rsidR="00BA01C3" w:rsidRPr="00BA01C3" w:rsidRDefault="00BA01C3" w:rsidP="00BA01C3">
            <w:pPr>
              <w:autoSpaceDE w:val="0"/>
              <w:autoSpaceDN w:val="0"/>
              <w:adjustRightInd w:val="0"/>
              <w:rPr>
                <w:b/>
                <w:bCs/>
              </w:rPr>
            </w:pPr>
            <w:r w:rsidRPr="00BA01C3">
              <w:rPr>
                <w:b/>
                <w:bCs/>
              </w:rPr>
              <w:t xml:space="preserve">Dataset 1 </w:t>
            </w:r>
          </w:p>
          <w:p w14:paraId="5BF50D6D" w14:textId="77777777" w:rsidR="00CC6ED2" w:rsidRDefault="00CC6ED2" w:rsidP="005A3006">
            <w:pPr>
              <w:autoSpaceDE w:val="0"/>
              <w:autoSpaceDN w:val="0"/>
              <w:adjustRightInd w:val="0"/>
            </w:pPr>
          </w:p>
          <w:p w14:paraId="626B9A23" w14:textId="55051F3C" w:rsidR="00BA01C3" w:rsidRDefault="00BA01C3" w:rsidP="005A3006">
            <w:pPr>
              <w:autoSpaceDE w:val="0"/>
              <w:autoSpaceDN w:val="0"/>
              <w:adjustRightInd w:val="0"/>
              <w:rPr>
                <w:bCs/>
                <w:u w:val="single"/>
              </w:rPr>
            </w:pPr>
            <w:r w:rsidRPr="00BA01C3">
              <w:rPr>
                <w:bCs/>
                <w:u w:val="single"/>
              </w:rPr>
              <w:t>For testing of measure risk adjustment (Section 2b4)</w:t>
            </w:r>
          </w:p>
          <w:p w14:paraId="5970D630" w14:textId="77777777" w:rsidR="00BA01C3" w:rsidRPr="00BA01C3" w:rsidRDefault="00BA01C3" w:rsidP="005A3006">
            <w:pPr>
              <w:autoSpaceDE w:val="0"/>
              <w:autoSpaceDN w:val="0"/>
              <w:adjustRightInd w:val="0"/>
              <w:rPr>
                <w:b/>
                <w:bCs/>
              </w:rPr>
            </w:pPr>
            <w:r w:rsidRPr="00BA01C3">
              <w:rPr>
                <w:b/>
                <w:bCs/>
              </w:rPr>
              <w:t>Dataset 1</w:t>
            </w:r>
          </w:p>
          <w:p w14:paraId="58D5D856" w14:textId="77777777" w:rsidR="00BA01C3" w:rsidRDefault="00BA01C3" w:rsidP="005A3006">
            <w:pPr>
              <w:autoSpaceDE w:val="0"/>
              <w:autoSpaceDN w:val="0"/>
              <w:adjustRightInd w:val="0"/>
            </w:pPr>
          </w:p>
          <w:p w14:paraId="02DB29E8" w14:textId="77777777" w:rsidR="00BA01C3" w:rsidRPr="00BA01C3" w:rsidRDefault="00BA01C3" w:rsidP="00BA01C3">
            <w:pPr>
              <w:autoSpaceDE w:val="0"/>
              <w:autoSpaceDN w:val="0"/>
              <w:adjustRightInd w:val="0"/>
              <w:rPr>
                <w:u w:val="single"/>
              </w:rPr>
            </w:pPr>
            <w:r w:rsidRPr="00BA01C3">
              <w:rPr>
                <w:u w:val="single"/>
              </w:rPr>
              <w:t>For testing to identify meaningful differences in performance (Section 2b5)</w:t>
            </w:r>
          </w:p>
          <w:p w14:paraId="2CE3490D" w14:textId="77777777" w:rsidR="00BA01C3" w:rsidRPr="00BA01C3" w:rsidRDefault="00BA01C3" w:rsidP="00BA01C3">
            <w:pPr>
              <w:autoSpaceDE w:val="0"/>
              <w:autoSpaceDN w:val="0"/>
              <w:adjustRightInd w:val="0"/>
              <w:rPr>
                <w:b/>
              </w:rPr>
            </w:pPr>
            <w:r w:rsidRPr="00BA01C3">
              <w:rPr>
                <w:b/>
              </w:rPr>
              <w:t xml:space="preserve">Dataset 1 </w:t>
            </w:r>
          </w:p>
          <w:p w14:paraId="2676522A" w14:textId="77777777" w:rsidR="00BA01C3" w:rsidRDefault="00BA01C3" w:rsidP="00BA01C3">
            <w:pPr>
              <w:autoSpaceDE w:val="0"/>
              <w:autoSpaceDN w:val="0"/>
              <w:adjustRightInd w:val="0"/>
            </w:pPr>
          </w:p>
          <w:p w14:paraId="5A2236E9" w14:textId="415EE2A4" w:rsidR="002C41A7" w:rsidRDefault="00F521B4" w:rsidP="00BA01C3">
            <w:pPr>
              <w:autoSpaceDE w:val="0"/>
              <w:autoSpaceDN w:val="0"/>
              <w:adjustRightInd w:val="0"/>
              <w:rPr>
                <w:b/>
              </w:rPr>
            </w:pPr>
            <w:r>
              <w:rPr>
                <w:u w:val="single"/>
              </w:rPr>
              <w:t>F</w:t>
            </w:r>
            <w:r w:rsidRPr="00F521B4">
              <w:rPr>
                <w:u w:val="single"/>
              </w:rPr>
              <w:t>or testing of socioeconomic status (SES) factors and race in risk models (Section 2b4)</w:t>
            </w:r>
            <w:r w:rsidRPr="004738D5">
              <w:t xml:space="preserve"> </w:t>
            </w:r>
          </w:p>
          <w:p w14:paraId="243AE8F4" w14:textId="70299341" w:rsidR="00BA01C3" w:rsidRPr="004738D5" w:rsidRDefault="00F521B4" w:rsidP="00BA01C3">
            <w:pPr>
              <w:autoSpaceDE w:val="0"/>
              <w:autoSpaceDN w:val="0"/>
              <w:adjustRightInd w:val="0"/>
            </w:pPr>
            <w:r w:rsidRPr="004738D5">
              <w:rPr>
                <w:b/>
              </w:rPr>
              <w:t>Dataset 4</w:t>
            </w:r>
            <w:r w:rsidRPr="004738D5">
              <w:t xml:space="preserve"> and </w:t>
            </w:r>
            <w:r w:rsidRPr="004738D5">
              <w:rPr>
                <w:b/>
              </w:rPr>
              <w:t>Dataset 5</w:t>
            </w:r>
            <w:r w:rsidRPr="004738D5">
              <w:t xml:space="preserve"> </w:t>
            </w:r>
            <w:r w:rsidR="00BA01C3" w:rsidRPr="004738D5">
              <w:t>(Section 2b4)</w:t>
            </w:r>
          </w:p>
          <w:p w14:paraId="61F1AF70" w14:textId="014E117D" w:rsidR="00BA01C3" w:rsidRDefault="00F521B4" w:rsidP="00BA01C3">
            <w:pPr>
              <w:autoSpaceDE w:val="0"/>
              <w:autoSpaceDN w:val="0"/>
              <w:adjustRightInd w:val="0"/>
            </w:pPr>
            <w:r>
              <w:lastRenderedPageBreak/>
              <w:t>The</w:t>
            </w:r>
            <w:r w:rsidR="00AB02C4">
              <w:t xml:space="preserve"> impact of socioeconomic factors was not </w:t>
            </w:r>
            <w:r w:rsidR="00BA01C3">
              <w:t xml:space="preserve">directly tested </w:t>
            </w:r>
            <w:r w:rsidR="00A30837">
              <w:t>in the Hybrid</w:t>
            </w:r>
            <w:r>
              <w:t xml:space="preserve"> HWR measure </w:t>
            </w:r>
            <w:r w:rsidR="004140D2">
              <w:t>d</w:t>
            </w:r>
            <w:r w:rsidR="00BA01C3">
              <w:t>ue to lack of availability of EHR data from a nationally representative set of hospitals with patients who represent the full spectrum of socioeconomic status</w:t>
            </w:r>
            <w:r w:rsidR="004140D2">
              <w:t>. Instead</w:t>
            </w:r>
            <w:r w:rsidR="002C41A7">
              <w:t>,</w:t>
            </w:r>
            <w:r w:rsidR="004140D2">
              <w:t xml:space="preserve"> </w:t>
            </w:r>
            <w:r w:rsidR="00BA01C3">
              <w:t>we report results of testing done in the claims</w:t>
            </w:r>
            <w:r w:rsidR="002C41A7">
              <w:t>-</w:t>
            </w:r>
            <w:r w:rsidR="00BA01C3">
              <w:t>only HWR measure</w:t>
            </w:r>
            <w:r w:rsidR="004140D2">
              <w:t>.</w:t>
            </w:r>
          </w:p>
          <w:p w14:paraId="5A4D885D" w14:textId="77777777" w:rsidR="004140D2" w:rsidRDefault="004140D2" w:rsidP="00BA01C3">
            <w:pPr>
              <w:autoSpaceDE w:val="0"/>
              <w:autoSpaceDN w:val="0"/>
              <w:adjustRightInd w:val="0"/>
            </w:pPr>
          </w:p>
          <w:p w14:paraId="14EF145A" w14:textId="75704009" w:rsidR="004738D5" w:rsidRDefault="00F521B4" w:rsidP="004140D2">
            <w:pPr>
              <w:autoSpaceDE w:val="0"/>
              <w:autoSpaceDN w:val="0"/>
              <w:adjustRightInd w:val="0"/>
            </w:pPr>
            <w:r w:rsidRPr="00F521B4">
              <w:rPr>
                <w:b/>
              </w:rPr>
              <w:t>Dataset 4</w:t>
            </w:r>
            <w:r>
              <w:t xml:space="preserve">: </w:t>
            </w:r>
            <w:r w:rsidR="004738D5" w:rsidRPr="004738D5">
              <w:t>(2015 public reporting cohort</w:t>
            </w:r>
            <w:r w:rsidR="00424630">
              <w:t xml:space="preserve"> </w:t>
            </w:r>
            <w:r w:rsidR="004738D5" w:rsidRPr="004738D5">
              <w:t>version 4.0): Medicare Part A Inpatient Claims and Medicare</w:t>
            </w:r>
            <w:r w:rsidR="004738D5">
              <w:t xml:space="preserve"> </w:t>
            </w:r>
            <w:r w:rsidR="004738D5" w:rsidRPr="004738D5">
              <w:t>Enrollment Database</w:t>
            </w:r>
            <w:r w:rsidR="004738D5">
              <w:t xml:space="preserve"> </w:t>
            </w:r>
          </w:p>
          <w:p w14:paraId="548B6C95" w14:textId="32EC8E19" w:rsidR="004738D5" w:rsidRDefault="004738D5" w:rsidP="004140D2">
            <w:pPr>
              <w:autoSpaceDE w:val="0"/>
              <w:autoSpaceDN w:val="0"/>
              <w:adjustRightInd w:val="0"/>
            </w:pPr>
            <w:r w:rsidRPr="004738D5">
              <w:t>Dates of Data: July 1, 2013 – June 30, 2014</w:t>
            </w:r>
          </w:p>
          <w:p w14:paraId="381420E9" w14:textId="77777777" w:rsidR="004738D5" w:rsidRDefault="004738D5" w:rsidP="004140D2">
            <w:pPr>
              <w:autoSpaceDE w:val="0"/>
              <w:autoSpaceDN w:val="0"/>
              <w:adjustRightInd w:val="0"/>
            </w:pPr>
            <w:r w:rsidRPr="004738D5">
              <w:t>Number of index admissions: 6,843,808</w:t>
            </w:r>
          </w:p>
          <w:p w14:paraId="54F6469E" w14:textId="77777777" w:rsidR="004738D5" w:rsidRDefault="004738D5" w:rsidP="004140D2">
            <w:pPr>
              <w:autoSpaceDE w:val="0"/>
              <w:autoSpaceDN w:val="0"/>
              <w:adjustRightInd w:val="0"/>
            </w:pPr>
            <w:r w:rsidRPr="004738D5">
              <w:t>Number of hospitals: 4,772</w:t>
            </w:r>
          </w:p>
          <w:p w14:paraId="402E254E" w14:textId="06FFF04C" w:rsidR="00F521B4" w:rsidRDefault="004738D5" w:rsidP="004140D2">
            <w:pPr>
              <w:autoSpaceDE w:val="0"/>
              <w:autoSpaceDN w:val="0"/>
              <w:adjustRightInd w:val="0"/>
            </w:pPr>
            <w:r w:rsidRPr="004738D5">
              <w:t>Average age of patients: 78.3</w:t>
            </w:r>
          </w:p>
          <w:p w14:paraId="2E5027F7" w14:textId="77777777" w:rsidR="00AB02C4" w:rsidRDefault="00AB02C4" w:rsidP="004140D2">
            <w:pPr>
              <w:autoSpaceDE w:val="0"/>
              <w:autoSpaceDN w:val="0"/>
              <w:adjustRightInd w:val="0"/>
            </w:pPr>
          </w:p>
          <w:p w14:paraId="66D3BEDD" w14:textId="5E0F1239" w:rsidR="00F521B4" w:rsidRDefault="00F521B4" w:rsidP="004140D2">
            <w:pPr>
              <w:autoSpaceDE w:val="0"/>
              <w:autoSpaceDN w:val="0"/>
              <w:adjustRightInd w:val="0"/>
            </w:pPr>
            <w:r>
              <w:t>W</w:t>
            </w:r>
            <w:r w:rsidR="004140D2">
              <w:t xml:space="preserve">e examined disparities in performance according to the proportion of patients in each hospital who were of African-American race and the proportion who were dual eligible for both Medicare and Medicaid insurances. </w:t>
            </w:r>
            <w:r w:rsidR="00424630" w:rsidRPr="00424630">
              <w:t>We also used the AHRQ SES index score to study the association between performance measures and SES.</w:t>
            </w:r>
          </w:p>
          <w:p w14:paraId="5419F2D7" w14:textId="77777777" w:rsidR="00AB02C4" w:rsidRDefault="00AB02C4" w:rsidP="004140D2">
            <w:pPr>
              <w:autoSpaceDE w:val="0"/>
              <w:autoSpaceDN w:val="0"/>
              <w:adjustRightInd w:val="0"/>
            </w:pPr>
          </w:p>
          <w:p w14:paraId="4487945B" w14:textId="7D449BA6" w:rsidR="00F521B4" w:rsidRDefault="00F521B4" w:rsidP="004140D2">
            <w:pPr>
              <w:autoSpaceDE w:val="0"/>
              <w:autoSpaceDN w:val="0"/>
              <w:adjustRightInd w:val="0"/>
            </w:pPr>
            <w:r w:rsidRPr="00AB02C4">
              <w:rPr>
                <w:b/>
              </w:rPr>
              <w:t xml:space="preserve">Dataset </w:t>
            </w:r>
            <w:r w:rsidR="00AB02C4">
              <w:rPr>
                <w:b/>
              </w:rPr>
              <w:t>5</w:t>
            </w:r>
            <w:r w:rsidRPr="00F521B4">
              <w:t>: The American Community Survey (2008-2012)</w:t>
            </w:r>
          </w:p>
          <w:p w14:paraId="1E4A93EB" w14:textId="467C39C5" w:rsidR="004140D2" w:rsidRDefault="004140D2" w:rsidP="004140D2">
            <w:pPr>
              <w:autoSpaceDE w:val="0"/>
              <w:autoSpaceDN w:val="0"/>
              <w:adjustRightInd w:val="0"/>
            </w:pPr>
            <w:r>
              <w:t xml:space="preserve">We also used the </w:t>
            </w:r>
            <w:r w:rsidR="006B683E" w:rsidRPr="006B683E">
              <w:t>Agency for Healthcare Research and Quality</w:t>
            </w:r>
            <w:r w:rsidR="006B683E">
              <w:t xml:space="preserve"> (</w:t>
            </w:r>
            <w:r>
              <w:t>AHRQ</w:t>
            </w:r>
            <w:r w:rsidR="006B683E">
              <w:t>)</w:t>
            </w:r>
            <w:r>
              <w:t xml:space="preserve"> SES index score derived from the American Community Survey (2008-2012) to study the association between performance measures and socioeconomic status.</w:t>
            </w:r>
          </w:p>
          <w:p w14:paraId="2E19500D" w14:textId="77777777" w:rsidR="004140D2" w:rsidRDefault="004140D2" w:rsidP="004140D2">
            <w:pPr>
              <w:autoSpaceDE w:val="0"/>
              <w:autoSpaceDN w:val="0"/>
              <w:adjustRightInd w:val="0"/>
            </w:pPr>
            <w:r>
              <w:t>Data Elements</w:t>
            </w:r>
          </w:p>
          <w:p w14:paraId="32CB2648" w14:textId="68C9CB03" w:rsidR="004140D2" w:rsidRPr="006B683E" w:rsidRDefault="004140D2" w:rsidP="004140D2">
            <w:pPr>
              <w:autoSpaceDE w:val="0"/>
              <w:autoSpaceDN w:val="0"/>
              <w:adjustRightInd w:val="0"/>
              <w:rPr>
                <w:b/>
              </w:rPr>
            </w:pPr>
            <w:r>
              <w:t xml:space="preserve">• African-American race and dual eligible status (i.e., enrolled in both Medicare and Medicaid) patient-level data are obtained from CMS enrollment data </w:t>
            </w:r>
            <w:r w:rsidR="00424630">
              <w:t>(</w:t>
            </w:r>
            <w:r w:rsidR="00424630">
              <w:rPr>
                <w:b/>
              </w:rPr>
              <w:t>Dataset 4</w:t>
            </w:r>
            <w:r w:rsidR="00424630" w:rsidRPr="006B683E">
              <w:t>)</w:t>
            </w:r>
          </w:p>
          <w:p w14:paraId="47FDEAF3" w14:textId="77FA68DE" w:rsidR="005A3006" w:rsidRPr="00424630" w:rsidRDefault="004140D2" w:rsidP="0052052E">
            <w:pPr>
              <w:autoSpaceDE w:val="0"/>
              <w:autoSpaceDN w:val="0"/>
              <w:adjustRightInd w:val="0"/>
            </w:pPr>
            <w:r>
              <w:t>• Validated AHRQ SES index score is a composite of 7 different variables found in the census data (the American Community Survey [2008-2012])</w:t>
            </w:r>
            <w:r w:rsidR="00424630">
              <w:t xml:space="preserve"> (</w:t>
            </w:r>
            <w:r w:rsidR="00424630">
              <w:rPr>
                <w:b/>
              </w:rPr>
              <w:t>Dataset 5</w:t>
            </w:r>
            <w:r w:rsidR="00424630">
              <w:t>)</w:t>
            </w:r>
          </w:p>
        </w:tc>
      </w:tr>
    </w:tbl>
    <w:p w14:paraId="28532032" w14:textId="77777777" w:rsidR="004140D2" w:rsidRDefault="004140D2" w:rsidP="004140D2">
      <w:pPr>
        <w:autoSpaceDE w:val="0"/>
        <w:autoSpaceDN w:val="0"/>
        <w:adjustRightInd w:val="0"/>
        <w:spacing w:after="0" w:line="240" w:lineRule="auto"/>
        <w:rPr>
          <w:rFonts w:cstheme="minorHAnsi"/>
          <w:b/>
          <w:bCs/>
          <w:highlight w:val="green"/>
        </w:rPr>
      </w:pPr>
    </w:p>
    <w:p w14:paraId="4778C11B" w14:textId="77777777" w:rsidR="004140D2" w:rsidRPr="004140D2" w:rsidRDefault="004140D2" w:rsidP="004140D2">
      <w:pPr>
        <w:autoSpaceDE w:val="0"/>
        <w:autoSpaceDN w:val="0"/>
        <w:adjustRightInd w:val="0"/>
        <w:spacing w:after="0" w:line="240" w:lineRule="auto"/>
        <w:rPr>
          <w:rFonts w:cstheme="minorHAnsi"/>
          <w:bCs/>
        </w:rPr>
      </w:pPr>
      <w:r w:rsidRPr="004140D2">
        <w:rPr>
          <w:rFonts w:cstheme="minorHAnsi"/>
          <w:b/>
          <w:bCs/>
          <w:highlight w:val="green"/>
        </w:rPr>
        <w:t>1.8 What were the patient-level sociodemographic (SDS) variables that were available and analyzed in the data or sample used?</w:t>
      </w:r>
      <w:r w:rsidRPr="004140D2">
        <w:rPr>
          <w:rFonts w:cstheme="minorHAnsi"/>
          <w:b/>
          <w:bCs/>
        </w:rPr>
        <w:t xml:space="preserve"> </w:t>
      </w:r>
      <w:r w:rsidRPr="004140D2">
        <w:rPr>
          <w:rFonts w:cstheme="minorHAnsi"/>
          <w:bCs/>
        </w:rPr>
        <w:t xml:space="preserve">For example, patient-reported data (e.g., income, education, language), proxy variables when SDS data are not collected from each patient (e.g. census tract), or patient community characteristics (e.g. percent vacant housing, crime rate). </w:t>
      </w:r>
    </w:p>
    <w:p w14:paraId="7E950352" w14:textId="77777777" w:rsidR="004140D2" w:rsidRPr="004140D2" w:rsidRDefault="004140D2" w:rsidP="004140D2">
      <w:pPr>
        <w:autoSpaceDE w:val="0"/>
        <w:autoSpaceDN w:val="0"/>
        <w:adjustRightInd w:val="0"/>
        <w:spacing w:after="0" w:line="240" w:lineRule="auto"/>
        <w:rPr>
          <w:rFonts w:cstheme="minorHAnsi"/>
          <w:bCs/>
        </w:rPr>
      </w:pPr>
    </w:p>
    <w:p w14:paraId="54923937" w14:textId="57473651" w:rsidR="004738D5" w:rsidRDefault="004738D5"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4738D5">
        <w:t>The impact of socioeconomic factors was not directly tested in the Hybrid HWR measure due to lack of availability of EHR data from a nationally representative set of hospitals with patients who represent the full spectrum of socioeconomic status. Instead, we report results of testing done in the claims-only HWR measure</w:t>
      </w:r>
      <w:r>
        <w:t xml:space="preserve"> (</w:t>
      </w:r>
      <w:r w:rsidRPr="004738D5">
        <w:rPr>
          <w:b/>
        </w:rPr>
        <w:t>Datasets 4</w:t>
      </w:r>
      <w:r>
        <w:t xml:space="preserve"> and </w:t>
      </w:r>
      <w:r w:rsidRPr="004738D5">
        <w:rPr>
          <w:b/>
        </w:rPr>
        <w:t>5</w:t>
      </w:r>
      <w:r>
        <w:t>).</w:t>
      </w:r>
    </w:p>
    <w:p w14:paraId="7628FA30" w14:textId="77777777" w:rsidR="004738D5" w:rsidRDefault="004738D5"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541BE84D" w14:textId="08A9D3A4"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4140D2">
        <w:t>Sociodemographic status incorporates socioeconomic variables as well as race into a more concise term. However, given the fact that socioeconomic risk factors are distinct from race and should be interpreted differently, we have decided to keep “socioeconomic status” and “race” as separate terms.</w:t>
      </w:r>
    </w:p>
    <w:p w14:paraId="4DABAA8A" w14:textId="77777777"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4DBA3E6F" w14:textId="4765249C"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4140D2">
        <w:t>We selected SES and race variables to analyze after reviewing the literature and examining available national data sources. There is a large body of literature linking various SES factors and African-American race</w:t>
      </w:r>
      <w:r w:rsidRPr="004140D2" w:rsidDel="007517AD">
        <w:t xml:space="preserve"> </w:t>
      </w:r>
      <w:r w:rsidRPr="004140D2">
        <w:t xml:space="preserve">to worse health status and higher readmission risk (Blum et al., 2014; Eapen et al. 2015; Gilman et al., 2014; Hu et al., 2014; Joynt and Jha, 2013). Income, education, and occupational level are the most commonly examined variables. However, while literature directly examining how different SES factors or race might influence the likelihood of older, insured, Medicare patients of being readmitted within 30 days of an admission across multiple conditions is more limited, available studies suggest a consistent </w:t>
      </w:r>
      <w:r w:rsidRPr="004140D2">
        <w:lastRenderedPageBreak/>
        <w:t>association between SES/race var</w:t>
      </w:r>
      <w:r w:rsidR="00B877BE">
        <w:t>iables and risk of readmission</w:t>
      </w:r>
      <w:r w:rsidRPr="004140D2">
        <w:t xml:space="preserve">. (Aseltine et al., 2015; Gu et al., 2014; Arbaje et al., 2008). The </w:t>
      </w:r>
      <w:r w:rsidRPr="004140D2">
        <w:rPr>
          <w:rFonts w:cstheme="minorHAnsi"/>
          <w:bCs/>
        </w:rPr>
        <w:t>causal pathways for SES and race variable selection are described below in Section 2b4.3.</w:t>
      </w:r>
    </w:p>
    <w:p w14:paraId="7CF9FB0B" w14:textId="77777777"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1D20C338" w14:textId="77777777"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4140D2">
        <w:rPr>
          <w:rFonts w:cstheme="minorHAnsi"/>
          <w:bCs/>
        </w:rPr>
        <w:t>The SES and race variables used for analysis were:</w:t>
      </w:r>
    </w:p>
    <w:p w14:paraId="0CEDF651" w14:textId="426F26F9" w:rsidR="004140D2" w:rsidRPr="004140D2" w:rsidRDefault="004140D2" w:rsidP="004140D2">
      <w:pPr>
        <w:numPr>
          <w:ilvl w:val="0"/>
          <w:numId w:val="38"/>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pPr>
      <w:r w:rsidRPr="004140D2">
        <w:t>Dual eligible status (</w:t>
      </w:r>
      <w:r w:rsidRPr="004140D2">
        <w:rPr>
          <w:b/>
        </w:rPr>
        <w:t xml:space="preserve">Dataset </w:t>
      </w:r>
      <w:r w:rsidR="00AB02C4">
        <w:rPr>
          <w:b/>
        </w:rPr>
        <w:t>4</w:t>
      </w:r>
      <w:r w:rsidRPr="004140D2">
        <w:t>)</w:t>
      </w:r>
    </w:p>
    <w:p w14:paraId="200F3308" w14:textId="5DE0C530" w:rsidR="004140D2" w:rsidRPr="004140D2" w:rsidRDefault="004140D2" w:rsidP="004140D2">
      <w:pPr>
        <w:numPr>
          <w:ilvl w:val="0"/>
          <w:numId w:val="38"/>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pPr>
      <w:r w:rsidRPr="004140D2">
        <w:t>African-American race (</w:t>
      </w:r>
      <w:r w:rsidRPr="004140D2">
        <w:rPr>
          <w:b/>
        </w:rPr>
        <w:t xml:space="preserve">Dataset </w:t>
      </w:r>
      <w:r w:rsidR="00AB02C4">
        <w:rPr>
          <w:b/>
        </w:rPr>
        <w:t>4</w:t>
      </w:r>
      <w:r w:rsidRPr="004140D2">
        <w:t>)</w:t>
      </w:r>
    </w:p>
    <w:p w14:paraId="022576D4" w14:textId="0E3A4526" w:rsidR="004140D2" w:rsidRPr="004140D2" w:rsidRDefault="004140D2" w:rsidP="004140D2">
      <w:pPr>
        <w:numPr>
          <w:ilvl w:val="0"/>
          <w:numId w:val="38"/>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contextualSpacing/>
      </w:pPr>
      <w:r w:rsidRPr="004140D2">
        <w:rPr>
          <w:rFonts w:cstheme="minorHAnsi"/>
          <w:bCs/>
        </w:rPr>
        <w:t>AHRQ-validated SES index score</w:t>
      </w:r>
      <w:r w:rsidRPr="004140D2">
        <w:t xml:space="preserve"> (</w:t>
      </w:r>
      <w:r w:rsidRPr="004140D2">
        <w:rPr>
          <w:rFonts w:cs="Times New Roman"/>
          <w:color w:val="191919"/>
          <w:shd w:val="clear" w:color="auto" w:fill="FFFFFF"/>
        </w:rPr>
        <w:t>percentage of people in the labor force who are unemployed, percentage of people living below poverty level, median household income, median value of owner-occupied dwellings, percentage of people ≥25 years of age with less than a 12th-grade education, percentage of people ≥25 years of age completing ≥4 years of college, and percentage of households that average ≥1 people per room)</w:t>
      </w:r>
      <w:r w:rsidRPr="004140D2">
        <w:t xml:space="preserve"> (</w:t>
      </w:r>
      <w:r w:rsidRPr="004140D2">
        <w:rPr>
          <w:b/>
        </w:rPr>
        <w:t xml:space="preserve">Dataset </w:t>
      </w:r>
      <w:r w:rsidR="00AB02C4">
        <w:rPr>
          <w:b/>
        </w:rPr>
        <w:t>5</w:t>
      </w:r>
      <w:r w:rsidRPr="004140D2">
        <w:t>)</w:t>
      </w:r>
    </w:p>
    <w:p w14:paraId="724C49FA" w14:textId="77777777" w:rsid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446A11BC" w14:textId="137C97B7" w:rsidR="00B877BE" w:rsidRDefault="00B877BE"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B877BE">
        <w:rPr>
          <w:rFonts w:cstheme="minorHAnsi"/>
          <w:bCs/>
        </w:rPr>
        <w:t>In selecting variables, our intent was to be responsive to the NQF guidelines for measure developers in</w:t>
      </w:r>
      <w:r>
        <w:rPr>
          <w:rFonts w:cstheme="minorHAnsi"/>
          <w:bCs/>
        </w:rPr>
        <w:t xml:space="preserve"> </w:t>
      </w:r>
      <w:r w:rsidRPr="00B877BE">
        <w:rPr>
          <w:rFonts w:cstheme="minorHAnsi"/>
          <w:bCs/>
        </w:rPr>
        <w:t>the context of the SDS Trial Period. Our approach has been to examine all patient-level indicators of</w:t>
      </w:r>
      <w:r>
        <w:rPr>
          <w:rFonts w:cstheme="minorHAnsi"/>
          <w:bCs/>
        </w:rPr>
        <w:t xml:space="preserve"> </w:t>
      </w:r>
      <w:r w:rsidRPr="00B877BE">
        <w:rPr>
          <w:rFonts w:cstheme="minorHAnsi"/>
          <w:bCs/>
        </w:rPr>
        <w:t>both SES and r</w:t>
      </w:r>
      <w:r w:rsidR="00594B9A">
        <w:rPr>
          <w:rFonts w:cstheme="minorHAnsi"/>
          <w:bCs/>
        </w:rPr>
        <w:t xml:space="preserve">ace or </w:t>
      </w:r>
      <w:r w:rsidRPr="00B877BE">
        <w:rPr>
          <w:rFonts w:cstheme="minorHAnsi"/>
          <w:bCs/>
        </w:rPr>
        <w:t>ethnicity that are reliably available for all Medicare beneficiaries and linkable to</w:t>
      </w:r>
      <w:r>
        <w:rPr>
          <w:rFonts w:cstheme="minorHAnsi"/>
          <w:bCs/>
        </w:rPr>
        <w:t xml:space="preserve"> </w:t>
      </w:r>
      <w:r w:rsidRPr="00B877BE">
        <w:rPr>
          <w:rFonts w:cstheme="minorHAnsi"/>
          <w:bCs/>
        </w:rPr>
        <w:t>claims data and to select those that are most valid.</w:t>
      </w:r>
    </w:p>
    <w:p w14:paraId="45D9AA11" w14:textId="77777777" w:rsidR="00B877BE" w:rsidRDefault="00B877BE"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390E012A" w14:textId="77777777" w:rsidR="00B877BE" w:rsidRDefault="00B877BE"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B877BE">
        <w:rPr>
          <w:rFonts w:cstheme="minorHAnsi"/>
          <w:bCs/>
        </w:rPr>
        <w:t>Previous studies examining the validity of data on patients' race and ethnicity collected by CMS have</w:t>
      </w:r>
      <w:r>
        <w:rPr>
          <w:rFonts w:cstheme="minorHAnsi"/>
          <w:bCs/>
        </w:rPr>
        <w:t xml:space="preserve"> </w:t>
      </w:r>
      <w:r w:rsidRPr="00B877BE">
        <w:rPr>
          <w:rFonts w:cstheme="minorHAnsi"/>
          <w:bCs/>
        </w:rPr>
        <w:t>shown that only the data identifying African-American beneficiaries have adequate sensitivity and</w:t>
      </w:r>
      <w:r>
        <w:rPr>
          <w:rFonts w:cstheme="minorHAnsi"/>
          <w:bCs/>
        </w:rPr>
        <w:t xml:space="preserve"> </w:t>
      </w:r>
      <w:r w:rsidRPr="00B877BE">
        <w:rPr>
          <w:rFonts w:cstheme="minorHAnsi"/>
          <w:bCs/>
        </w:rPr>
        <w:t>specificity to be applied broadly in research or measures of quality. While using this variable is not ideal</w:t>
      </w:r>
      <w:r>
        <w:rPr>
          <w:rFonts w:cstheme="minorHAnsi"/>
          <w:bCs/>
        </w:rPr>
        <w:t xml:space="preserve"> </w:t>
      </w:r>
      <w:r w:rsidRPr="00B877BE">
        <w:rPr>
          <w:rFonts w:cstheme="minorHAnsi"/>
          <w:bCs/>
        </w:rPr>
        <w:t>because it groups all non-African-American beneficiaries together, it is currently the only race variable</w:t>
      </w:r>
      <w:r>
        <w:rPr>
          <w:rFonts w:cstheme="minorHAnsi"/>
          <w:bCs/>
        </w:rPr>
        <w:t xml:space="preserve"> </w:t>
      </w:r>
      <w:r w:rsidRPr="00B877BE">
        <w:rPr>
          <w:rFonts w:cstheme="minorHAnsi"/>
          <w:bCs/>
        </w:rPr>
        <w:t>available on all beneficiaries across the nation that is linkable to claims data.</w:t>
      </w:r>
      <w:r>
        <w:rPr>
          <w:rFonts w:cstheme="minorHAnsi"/>
          <w:bCs/>
        </w:rPr>
        <w:t xml:space="preserve"> </w:t>
      </w:r>
    </w:p>
    <w:p w14:paraId="27872A0D" w14:textId="77777777" w:rsidR="00B877BE" w:rsidRDefault="00B877BE"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0AC75BB1" w14:textId="694F6FF6" w:rsidR="00B877BE" w:rsidRDefault="00B877BE"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B877BE">
        <w:rPr>
          <w:rFonts w:cstheme="minorHAnsi"/>
          <w:bCs/>
        </w:rPr>
        <w:t>We similarly recognize that Medicare-Medicaid dual eligibility has limitations as a proxy for patients'</w:t>
      </w:r>
      <w:r>
        <w:rPr>
          <w:rFonts w:cstheme="minorHAnsi"/>
          <w:bCs/>
        </w:rPr>
        <w:t xml:space="preserve"> </w:t>
      </w:r>
      <w:r w:rsidRPr="00B877BE">
        <w:rPr>
          <w:rFonts w:cstheme="minorHAnsi"/>
          <w:bCs/>
        </w:rPr>
        <w:t>income or assets because it does not provide a range of results and is only a dichotomous outcome.</w:t>
      </w:r>
      <w:r>
        <w:rPr>
          <w:rFonts w:cstheme="minorHAnsi"/>
          <w:bCs/>
        </w:rPr>
        <w:t xml:space="preserve"> </w:t>
      </w:r>
      <w:r w:rsidRPr="00B877BE">
        <w:rPr>
          <w:rFonts w:cstheme="minorHAnsi"/>
          <w:bCs/>
        </w:rPr>
        <w:t>However, the threshold for over 65-year-old Medicare patients is valuable as it takes into account both</w:t>
      </w:r>
      <w:r>
        <w:rPr>
          <w:rFonts w:cstheme="minorHAnsi"/>
          <w:bCs/>
        </w:rPr>
        <w:t xml:space="preserve"> </w:t>
      </w:r>
      <w:r w:rsidRPr="00B877BE">
        <w:rPr>
          <w:rFonts w:cstheme="minorHAnsi"/>
          <w:bCs/>
        </w:rPr>
        <w:t>income and assets and is consistently applied across states. For both our race and the dual-eligible</w:t>
      </w:r>
      <w:r>
        <w:rPr>
          <w:rFonts w:cstheme="minorHAnsi"/>
          <w:bCs/>
        </w:rPr>
        <w:t xml:space="preserve"> </w:t>
      </w:r>
      <w:r w:rsidRPr="00B877BE">
        <w:rPr>
          <w:rFonts w:cstheme="minorHAnsi"/>
          <w:bCs/>
        </w:rPr>
        <w:t>variables, there is a body of literature demonstrating differential health care and health outcomes</w:t>
      </w:r>
      <w:r>
        <w:rPr>
          <w:rFonts w:cstheme="minorHAnsi"/>
          <w:bCs/>
        </w:rPr>
        <w:t xml:space="preserve"> </w:t>
      </w:r>
      <w:r w:rsidRPr="00B877BE">
        <w:rPr>
          <w:rFonts w:cstheme="minorHAnsi"/>
          <w:bCs/>
        </w:rPr>
        <w:t>among beneficiaries indicating that these variables, while not ideal, also allow us to examine some of</w:t>
      </w:r>
      <w:r>
        <w:rPr>
          <w:rFonts w:cstheme="minorHAnsi"/>
          <w:bCs/>
        </w:rPr>
        <w:t xml:space="preserve"> </w:t>
      </w:r>
      <w:r w:rsidRPr="00B877BE">
        <w:rPr>
          <w:rFonts w:cstheme="minorHAnsi"/>
          <w:bCs/>
        </w:rPr>
        <w:t>the pathways of interest.</w:t>
      </w:r>
    </w:p>
    <w:p w14:paraId="07650DF7" w14:textId="77777777" w:rsidR="00B877BE" w:rsidRDefault="00B877BE"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4AD57D05" w14:textId="6C7B796D" w:rsidR="00B877BE" w:rsidRPr="004140D2" w:rsidRDefault="00B877BE"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B877BE">
        <w:rPr>
          <w:rFonts w:cstheme="minorHAnsi"/>
          <w:bCs/>
        </w:rPr>
        <w:t>Finally, we selected the AHRQ-validated SES index score because it is a well-validated and widely-used</w:t>
      </w:r>
      <w:r>
        <w:rPr>
          <w:rFonts w:cstheme="minorHAnsi"/>
          <w:bCs/>
        </w:rPr>
        <w:t xml:space="preserve"> </w:t>
      </w:r>
      <w:r w:rsidRPr="00B877BE">
        <w:rPr>
          <w:rFonts w:cstheme="minorHAnsi"/>
          <w:bCs/>
        </w:rPr>
        <w:t>variable that describes the average socioeconomic status of people living in defined geographic areas.</w:t>
      </w:r>
      <w:r>
        <w:rPr>
          <w:rFonts w:cstheme="minorHAnsi"/>
          <w:bCs/>
        </w:rPr>
        <w:t xml:space="preserve"> </w:t>
      </w:r>
      <w:r w:rsidRPr="00B877BE">
        <w:rPr>
          <w:rFonts w:cstheme="minorHAnsi"/>
          <w:bCs/>
        </w:rPr>
        <w:t>Its value as a proxy for patient-level information is dependent on having the most granular level data</w:t>
      </w:r>
      <w:r>
        <w:rPr>
          <w:rFonts w:cstheme="minorHAnsi"/>
          <w:bCs/>
        </w:rPr>
        <w:t xml:space="preserve"> </w:t>
      </w:r>
      <w:r w:rsidRPr="00B877BE">
        <w:rPr>
          <w:rFonts w:cstheme="minorHAnsi"/>
          <w:bCs/>
        </w:rPr>
        <w:t>with respect to communities that patients live in. Currently, the individual data elements used to</w:t>
      </w:r>
      <w:r>
        <w:rPr>
          <w:rFonts w:cstheme="minorHAnsi"/>
          <w:bCs/>
        </w:rPr>
        <w:t xml:space="preserve"> </w:t>
      </w:r>
      <w:r w:rsidRPr="00B877BE">
        <w:rPr>
          <w:rFonts w:cstheme="minorHAnsi"/>
          <w:bCs/>
        </w:rPr>
        <w:t>calculate the score are available at the 5-digit zip code and census block levels only. The data are not</w:t>
      </w:r>
      <w:r>
        <w:rPr>
          <w:rFonts w:cstheme="minorHAnsi"/>
          <w:bCs/>
        </w:rPr>
        <w:t xml:space="preserve"> </w:t>
      </w:r>
      <w:r w:rsidRPr="00B877BE">
        <w:rPr>
          <w:rFonts w:cstheme="minorHAnsi"/>
          <w:bCs/>
        </w:rPr>
        <w:t>currently available at the 9-digit zip code level. In this submission, we present analysis using the 5-digit</w:t>
      </w:r>
      <w:r w:rsidR="006B683E">
        <w:rPr>
          <w:rFonts w:cstheme="minorHAnsi"/>
          <w:bCs/>
        </w:rPr>
        <w:t xml:space="preserve"> </w:t>
      </w:r>
      <w:r w:rsidRPr="00B877BE">
        <w:rPr>
          <w:rFonts w:cstheme="minorHAnsi"/>
          <w:bCs/>
        </w:rPr>
        <w:t>level. However, we are currently performing analysis at the census block level, the most granular level</w:t>
      </w:r>
      <w:r>
        <w:rPr>
          <w:rFonts w:cstheme="minorHAnsi"/>
          <w:bCs/>
        </w:rPr>
        <w:t xml:space="preserve"> </w:t>
      </w:r>
      <w:r w:rsidRPr="00B877BE">
        <w:rPr>
          <w:rFonts w:cstheme="minorHAnsi"/>
          <w:bCs/>
        </w:rPr>
        <w:t>possible. We hope to present the results of the census block-level analysis to the committee.</w:t>
      </w:r>
    </w:p>
    <w:p w14:paraId="73BEE70B" w14:textId="77777777"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7DB27F10" w14:textId="77777777"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u w:val="single"/>
        </w:rPr>
      </w:pPr>
      <w:r w:rsidRPr="004140D2">
        <w:rPr>
          <w:u w:val="single"/>
        </w:rPr>
        <w:t>References:</w:t>
      </w:r>
    </w:p>
    <w:p w14:paraId="1AD16E11" w14:textId="77777777" w:rsidR="00AD54A2" w:rsidRPr="00AD54A2" w:rsidRDefault="00AD54A2" w:rsidP="00AD54A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pPr>
      <w:r w:rsidRPr="00AD54A2">
        <w:t>Arbaje AI, Wolff JL, Yu Q, Powe NR, Anderson GF, Boult C. Post discharge environmental and socioeconomic factors and the likelihood of early hospital readmission among community-dwelling Medicare beneficiaries. The Gerontologist. 2008;48(4):495-504.</w:t>
      </w:r>
    </w:p>
    <w:p w14:paraId="50631ADE" w14:textId="72DFC77E" w:rsidR="00AD54A2" w:rsidRDefault="00AD54A2" w:rsidP="00AD54A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B877BE">
        <w:lastRenderedPageBreak/>
        <w:t>Aseltine RH, Jr., Yan J, Gruss CB, Wagner C, Katz M. Connecticut Hospital Readmissions Related to Chest Pain and Heart Failure: Differences by Race, Ethnicity, and Payer. Connecticut medicine. 2015;79(2):69-76.</w:t>
      </w:r>
    </w:p>
    <w:p w14:paraId="4CEF8121" w14:textId="77777777"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pPr>
      <w:r w:rsidRPr="004140D2">
        <w:t>Blum AB, Egorova NN, Sosunov EA, et al. Impact of socioeconomic status measures on hospital profiling in New York City. Circulation. Cardiovascular quality and outcomes. May 2014; 7(3):391-397.</w:t>
      </w:r>
    </w:p>
    <w:p w14:paraId="1B39BD6F" w14:textId="77777777"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pPr>
      <w:r w:rsidRPr="004140D2">
        <w:t>Eapen ZJ, McCoy LA, Fonarow GC, Yancy CW, Miranda ML, Peterson ED, Califf RM, HernandezAF. Utility of socioeconomic status in predicting 30-day outcomes after heart failure hospitalization. Circ Heart Fail. May 2015; 8(3):473-80.</w:t>
      </w:r>
    </w:p>
    <w:p w14:paraId="0BE94F81" w14:textId="77777777"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pPr>
      <w:r w:rsidRPr="004140D2">
        <w:t>Gilman M, Adams EK, Hockenberry JM, Wilson IB, Milstein AS, Becker ER. California safety-net hospitals likely to be penalized by ACA value, readmission, and meaningful-use programs. Health Aff (Millwood). Aug 2014; 33(8):1314-22.</w:t>
      </w:r>
    </w:p>
    <w:p w14:paraId="109BCA41" w14:textId="77777777"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pPr>
      <w:r w:rsidRPr="004140D2">
        <w:t>Gu Q, Koenig L, Faerberg J, Steinberg CR, Vaz C, Wheatley MP. The Medicare Hospital Readmissions Reduction Program: potential unintended consequences for hospitals serving vulnerable populations. Health services research. 2014;49(3):818-837.</w:t>
      </w:r>
    </w:p>
    <w:p w14:paraId="43AAD08B" w14:textId="77777777"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pPr>
      <w:r w:rsidRPr="004140D2">
        <w:t>Hu J, Gonsahn MD, Nerenz DR. Socioeconomic status and readmissions: evidence from an urban teaching hospital. Health affairs (Project Hope). 2014; 33(5):778-785.</w:t>
      </w:r>
    </w:p>
    <w:p w14:paraId="0B0F2F6E" w14:textId="77777777" w:rsidR="004140D2" w:rsidRPr="004140D2" w:rsidRDefault="004140D2" w:rsidP="004140D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pPr>
      <w:r w:rsidRPr="004140D2">
        <w:t>Joynt KE, Jha AK. Characteristics of hospitals receiving penalties under the Hospital Readmissions Reduction Program. JAMA. Jan 23 2013; 309(4):342-3.</w:t>
      </w:r>
    </w:p>
    <w:p w14:paraId="5D4AA8C9" w14:textId="77777777" w:rsidR="00E37E1B" w:rsidRDefault="00E37E1B" w:rsidP="00E37E1B">
      <w:pPr>
        <w:autoSpaceDE w:val="0"/>
        <w:autoSpaceDN w:val="0"/>
        <w:adjustRightInd w:val="0"/>
        <w:spacing w:after="0" w:line="240" w:lineRule="auto"/>
        <w:rPr>
          <w:rFonts w:cstheme="minorHAnsi"/>
          <w:bCs/>
        </w:rPr>
      </w:pPr>
    </w:p>
    <w:p w14:paraId="143A1325"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12FD2A0B"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154292E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360B915F" w14:textId="77777777" w:rsidR="008C54A9" w:rsidRPr="00A25024" w:rsidRDefault="008C54A9" w:rsidP="00DB3627">
      <w:pPr>
        <w:autoSpaceDE w:val="0"/>
        <w:autoSpaceDN w:val="0"/>
        <w:adjustRightInd w:val="0"/>
        <w:spacing w:after="0" w:line="240" w:lineRule="auto"/>
        <w:rPr>
          <w:rFonts w:cstheme="minorHAnsi"/>
          <w:b/>
          <w:bCs/>
        </w:rPr>
      </w:pPr>
    </w:p>
    <w:p w14:paraId="74D4CC57" w14:textId="25864855"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eiryo"/>
            <w14:uncheckedState w14:val="2610" w14:font="Meiryo"/>
          </w14:checkbox>
        </w:sdtPr>
        <w:sdtEndPr/>
        <w:sdtContent>
          <w:r w:rsidR="005C6C5C">
            <w:rPr>
              <w:rFonts w:ascii="Meiryo" w:eastAsia="Meiryo" w:hAnsi="Meiryo" w:cs="Meiryo"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eiryo"/>
            <w14:uncheckedState w14:val="2610" w14:font="Meiryo"/>
          </w14:checkbox>
        </w:sdtPr>
        <w:sdtEndPr/>
        <w:sdtContent>
          <w:r w:rsidR="00410B1B">
            <w:rPr>
              <w:rFonts w:ascii="Meiryo" w:eastAsia="Meiryo" w:hAnsi="Meiryo"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tbl>
      <w:tblPr>
        <w:tblStyle w:val="TableGrid"/>
        <w:tblW w:w="0" w:type="auto"/>
        <w:tblLook w:val="04A0" w:firstRow="1" w:lastRow="0" w:firstColumn="1" w:lastColumn="0" w:noHBand="0" w:noVBand="1"/>
      </w:tblPr>
      <w:tblGrid>
        <w:gridCol w:w="9350"/>
      </w:tblGrid>
      <w:tr w:rsidR="005C6C5C" w14:paraId="0AA16FA2" w14:textId="77777777" w:rsidTr="005C6C5C">
        <w:tc>
          <w:tcPr>
            <w:tcW w:w="9350" w:type="dxa"/>
          </w:tcPr>
          <w:p w14:paraId="61D9A767" w14:textId="4051A7FB" w:rsidR="004140D2" w:rsidRPr="00AC2EDC" w:rsidRDefault="004140D2" w:rsidP="004140D2">
            <w:pPr>
              <w:autoSpaceDE w:val="0"/>
              <w:autoSpaceDN w:val="0"/>
              <w:adjustRightInd w:val="0"/>
              <w:rPr>
                <w:rFonts w:cstheme="minorHAnsi"/>
                <w:bCs/>
                <w:iCs/>
                <w:u w:val="single"/>
              </w:rPr>
            </w:pPr>
            <w:r w:rsidRPr="00AC2EDC">
              <w:rPr>
                <w:rFonts w:cstheme="minorHAnsi"/>
                <w:bCs/>
                <w:iCs/>
                <w:u w:val="single"/>
              </w:rPr>
              <w:t>Data Element Reliability</w:t>
            </w:r>
          </w:p>
          <w:p w14:paraId="75F7F740" w14:textId="77777777" w:rsidR="004140D2" w:rsidRPr="004140D2" w:rsidRDefault="004140D2" w:rsidP="004140D2">
            <w:pPr>
              <w:autoSpaceDE w:val="0"/>
              <w:autoSpaceDN w:val="0"/>
              <w:adjustRightInd w:val="0"/>
              <w:rPr>
                <w:rFonts w:cstheme="minorHAnsi"/>
                <w:bCs/>
                <w:iCs/>
              </w:rPr>
            </w:pPr>
            <w:r w:rsidRPr="004140D2">
              <w:rPr>
                <w:rFonts w:cstheme="minorHAnsi"/>
                <w:bCs/>
                <w:iCs/>
              </w:rPr>
              <w:t xml:space="preserve">In constructing the measure, we aim to utilize only those data elements from the claims that have both face validity and reliability. We avoid the use of fields that are thought to be coded inconsistently across hospitals or providers. Specifically, we use fields that are consequential for payment and which are audited. We identify such variables through empiric analyses and our understanding of CMS auditing and billing policies and seek to avoid variables which do not meet this standard. For example, “discharge disposition” is a variable in Medicare claims data that is not thought to be a reliable variable for identifying a transfer between two acute care facilities. Thus, we derive a variable using admission and discharge dates as a surrogate for “discharge disposition” to </w:t>
            </w:r>
            <w:r w:rsidRPr="004140D2">
              <w:rPr>
                <w:rFonts w:cstheme="minorHAnsi"/>
                <w:bCs/>
                <w:iCs/>
              </w:rPr>
              <w:lastRenderedPageBreak/>
              <w:t xml:space="preserve">identify hospital admissions involving transfers. This allows us to identify these admissions using variables in the claims data which have greater reliability than the “discharge disposition” variable. </w:t>
            </w:r>
          </w:p>
          <w:p w14:paraId="44D5547A" w14:textId="77777777" w:rsidR="004140D2" w:rsidRPr="004140D2" w:rsidRDefault="004140D2" w:rsidP="004140D2">
            <w:pPr>
              <w:autoSpaceDE w:val="0"/>
              <w:autoSpaceDN w:val="0"/>
              <w:adjustRightInd w:val="0"/>
              <w:rPr>
                <w:rFonts w:cstheme="minorHAnsi"/>
                <w:bCs/>
                <w:iCs/>
              </w:rPr>
            </w:pPr>
          </w:p>
          <w:p w14:paraId="47169A52" w14:textId="77777777" w:rsidR="004140D2" w:rsidRDefault="004140D2" w:rsidP="004140D2">
            <w:pPr>
              <w:autoSpaceDE w:val="0"/>
              <w:autoSpaceDN w:val="0"/>
              <w:adjustRightInd w:val="0"/>
              <w:rPr>
                <w:rFonts w:cstheme="minorHAnsi"/>
                <w:bCs/>
                <w:iCs/>
              </w:rPr>
            </w:pPr>
            <w:r w:rsidRPr="004140D2">
              <w:rPr>
                <w:rFonts w:cstheme="minorHAnsi"/>
                <w:bCs/>
                <w:iCs/>
              </w:rPr>
              <w:t>In addition, CMS has in place several hospital auditing programs used to assess overall claims code accuracy, to ensure appropriate billing, and for overpayment recoupment. CMS routinely conducts data analysis to identify potential problem areas and detect fraud, and audits important data fields used in our measures, including diagnosis and procedure codes and other elements that are consequential to payment.</w:t>
            </w:r>
          </w:p>
          <w:p w14:paraId="0FA2F4C1" w14:textId="77777777" w:rsidR="004140D2" w:rsidRDefault="004140D2" w:rsidP="004140D2">
            <w:pPr>
              <w:autoSpaceDE w:val="0"/>
              <w:autoSpaceDN w:val="0"/>
              <w:adjustRightInd w:val="0"/>
              <w:rPr>
                <w:rFonts w:cstheme="minorHAnsi"/>
                <w:bCs/>
                <w:iCs/>
              </w:rPr>
            </w:pPr>
          </w:p>
          <w:p w14:paraId="492B1900" w14:textId="18D261F7" w:rsidR="004140D2" w:rsidRDefault="001412C5" w:rsidP="00AC2EDC">
            <w:pPr>
              <w:autoSpaceDE w:val="0"/>
              <w:autoSpaceDN w:val="0"/>
              <w:adjustRightInd w:val="0"/>
              <w:rPr>
                <w:rFonts w:cstheme="minorHAnsi"/>
                <w:bCs/>
                <w:iCs/>
              </w:rPr>
            </w:pPr>
            <w:r>
              <w:rPr>
                <w:rFonts w:cstheme="minorHAnsi"/>
                <w:bCs/>
                <w:iCs/>
              </w:rPr>
              <w:t>We also</w:t>
            </w:r>
            <w:r w:rsidR="004140D2" w:rsidRPr="004140D2">
              <w:rPr>
                <w:rFonts w:cstheme="minorHAnsi"/>
                <w:bCs/>
                <w:iCs/>
              </w:rPr>
              <w:t xml:space="preserve"> assess the reliability of the claims data elements by comparing model variable frequencies and odds ratios from logistic regression models in the development and validation samples (</w:t>
            </w:r>
            <w:r w:rsidR="00AC2EDC">
              <w:rPr>
                <w:rFonts w:cstheme="minorHAnsi"/>
                <w:bCs/>
                <w:iCs/>
              </w:rPr>
              <w:t>January 1</w:t>
            </w:r>
            <w:r w:rsidR="004140D2" w:rsidRPr="004140D2">
              <w:rPr>
                <w:rFonts w:cstheme="minorHAnsi"/>
                <w:bCs/>
                <w:iCs/>
              </w:rPr>
              <w:t>, 201</w:t>
            </w:r>
            <w:r w:rsidR="00AC2EDC">
              <w:rPr>
                <w:rFonts w:cstheme="minorHAnsi"/>
                <w:bCs/>
                <w:iCs/>
              </w:rPr>
              <w:t>0</w:t>
            </w:r>
            <w:r w:rsidR="004140D2" w:rsidRPr="004140D2">
              <w:rPr>
                <w:rFonts w:cstheme="minorHAnsi"/>
                <w:bCs/>
                <w:iCs/>
              </w:rPr>
              <w:t>-</w:t>
            </w:r>
            <w:r w:rsidR="00AC2EDC">
              <w:rPr>
                <w:rFonts w:cstheme="minorHAnsi"/>
                <w:bCs/>
                <w:iCs/>
              </w:rPr>
              <w:t>December 31</w:t>
            </w:r>
            <w:r w:rsidR="004140D2" w:rsidRPr="004140D2">
              <w:rPr>
                <w:rFonts w:cstheme="minorHAnsi"/>
                <w:bCs/>
                <w:iCs/>
              </w:rPr>
              <w:t>, 201</w:t>
            </w:r>
            <w:r w:rsidR="00AC2EDC">
              <w:rPr>
                <w:rFonts w:cstheme="minorHAnsi"/>
                <w:bCs/>
                <w:iCs/>
              </w:rPr>
              <w:t>2</w:t>
            </w:r>
            <w:r w:rsidR="004140D2" w:rsidRPr="004140D2">
              <w:rPr>
                <w:rFonts w:cstheme="minorHAnsi"/>
                <w:bCs/>
                <w:iCs/>
              </w:rPr>
              <w:t xml:space="preserve">, </w:t>
            </w:r>
            <w:r w:rsidR="004140D2" w:rsidRPr="00AC2EDC">
              <w:rPr>
                <w:rFonts w:cstheme="minorHAnsi"/>
                <w:b/>
                <w:bCs/>
                <w:iCs/>
              </w:rPr>
              <w:t>Dataset 1</w:t>
            </w:r>
            <w:r w:rsidR="004140D2" w:rsidRPr="004140D2">
              <w:rPr>
                <w:rFonts w:cstheme="minorHAnsi"/>
                <w:bCs/>
                <w:iCs/>
              </w:rPr>
              <w:t>).</w:t>
            </w:r>
            <w:r w:rsidR="00AC2EDC">
              <w:rPr>
                <w:rFonts w:cstheme="minorHAnsi"/>
                <w:bCs/>
                <w:iCs/>
              </w:rPr>
              <w:t xml:space="preserve"> We assessed the reliability of the clinical data elements by comparing rate of capture, and </w:t>
            </w:r>
            <w:r>
              <w:rPr>
                <w:rFonts w:cstheme="minorHAnsi"/>
                <w:bCs/>
                <w:iCs/>
              </w:rPr>
              <w:t>coefficients associated with each variable</w:t>
            </w:r>
            <w:r w:rsidR="00AC2EDC" w:rsidRPr="00AC2EDC">
              <w:rPr>
                <w:rFonts w:cstheme="minorHAnsi"/>
                <w:bCs/>
                <w:iCs/>
              </w:rPr>
              <w:t xml:space="preserve"> in the development and validation samples</w:t>
            </w:r>
            <w:r>
              <w:rPr>
                <w:rFonts w:cstheme="minorHAnsi"/>
                <w:bCs/>
                <w:iCs/>
              </w:rPr>
              <w:t>’ risk models</w:t>
            </w:r>
            <w:r w:rsidR="00AC2EDC">
              <w:rPr>
                <w:rFonts w:cstheme="minorHAnsi"/>
                <w:bCs/>
                <w:iCs/>
              </w:rPr>
              <w:t>.</w:t>
            </w:r>
          </w:p>
          <w:p w14:paraId="7DE5BBFE" w14:textId="77777777" w:rsidR="004140D2" w:rsidRPr="004140D2" w:rsidRDefault="004140D2" w:rsidP="004140D2">
            <w:pPr>
              <w:autoSpaceDE w:val="0"/>
              <w:autoSpaceDN w:val="0"/>
              <w:adjustRightInd w:val="0"/>
              <w:rPr>
                <w:rFonts w:cstheme="minorHAnsi"/>
                <w:bCs/>
                <w:iCs/>
              </w:rPr>
            </w:pPr>
          </w:p>
          <w:p w14:paraId="4E090977" w14:textId="77777777" w:rsidR="004C0403" w:rsidRPr="004C0403" w:rsidRDefault="004C0403" w:rsidP="00A471AC">
            <w:pPr>
              <w:autoSpaceDE w:val="0"/>
              <w:autoSpaceDN w:val="0"/>
              <w:adjustRightInd w:val="0"/>
              <w:rPr>
                <w:u w:val="single"/>
              </w:rPr>
            </w:pPr>
            <w:r w:rsidRPr="004C0403">
              <w:rPr>
                <w:u w:val="single"/>
              </w:rPr>
              <w:t xml:space="preserve">Measure Score Reliability </w:t>
            </w:r>
          </w:p>
          <w:p w14:paraId="2DBE4103" w14:textId="043C4FBC" w:rsidR="001412C5" w:rsidRDefault="00A471AC" w:rsidP="00A471AC">
            <w:pPr>
              <w:autoSpaceDE w:val="0"/>
              <w:autoSpaceDN w:val="0"/>
              <w:adjustRightInd w:val="0"/>
            </w:pPr>
            <w:r w:rsidRPr="00A471AC">
              <w:t xml:space="preserve">For test-retest reliability, we </w:t>
            </w:r>
            <w:r w:rsidR="001412C5">
              <w:t xml:space="preserve">use the </w:t>
            </w:r>
            <w:r w:rsidRPr="00A471AC">
              <w:t xml:space="preserve">randomly </w:t>
            </w:r>
            <w:r w:rsidR="00274472">
              <w:t>split</w:t>
            </w:r>
            <w:r w:rsidRPr="00A471AC">
              <w:t xml:space="preserve"> </w:t>
            </w:r>
            <w:r w:rsidR="001412C5">
              <w:t xml:space="preserve">development and validation </w:t>
            </w:r>
            <w:r w:rsidR="00274472">
              <w:t>samples (</w:t>
            </w:r>
            <w:r w:rsidR="00274472" w:rsidRPr="00274472">
              <w:rPr>
                <w:b/>
              </w:rPr>
              <w:t>Dataset 1</w:t>
            </w:r>
            <w:r w:rsidR="00274472">
              <w:t>) and</w:t>
            </w:r>
            <w:r w:rsidRPr="00A471AC">
              <w:t xml:space="preserve"> calculated the measure for each hospital</w:t>
            </w:r>
            <w:r w:rsidR="00274472">
              <w:t xml:space="preserve"> separately in each sample</w:t>
            </w:r>
            <w:r w:rsidRPr="00A471AC">
              <w:t>. Thus, each hospital is measured twice, but each measurement is made using an entirely distinct set</w:t>
            </w:r>
            <w:r>
              <w:t xml:space="preserve"> </w:t>
            </w:r>
            <w:r w:rsidRPr="00A471AC">
              <w:t>of patients. To the extent that the calculated measures of these two subsets agree, we have evidence</w:t>
            </w:r>
            <w:r>
              <w:t xml:space="preserve"> </w:t>
            </w:r>
            <w:r w:rsidRPr="00A471AC">
              <w:t>that the measure is assessing an attribute of the hospital, not of the patients. As a metric of agreement</w:t>
            </w:r>
            <w:r>
              <w:t xml:space="preserve"> </w:t>
            </w:r>
            <w:r w:rsidRPr="00A471AC">
              <w:t>we calculated the intra-class correlation coefficient (</w:t>
            </w:r>
            <w:r w:rsidR="001412C5">
              <w:t xml:space="preserve">ICC) (Shrout </w:t>
            </w:r>
            <w:r w:rsidRPr="00A471AC">
              <w:t>and Fleiss, 1979), and assessed the</w:t>
            </w:r>
            <w:r>
              <w:t xml:space="preserve"> </w:t>
            </w:r>
            <w:r w:rsidRPr="00A471AC">
              <w:t>values according to conventional standards (Landis and Koch, 1977). Specifically, we used </w:t>
            </w:r>
            <w:r w:rsidRPr="006B683E">
              <w:rPr>
                <w:b/>
              </w:rPr>
              <w:t>Dataset 1</w:t>
            </w:r>
            <w:r w:rsidRPr="00A471AC">
              <w:t> split</w:t>
            </w:r>
            <w:r w:rsidR="001412C5">
              <w:t xml:space="preserve"> </w:t>
            </w:r>
            <w:r w:rsidRPr="00A471AC">
              <w:t xml:space="preserve">sample and calculated the </w:t>
            </w:r>
            <w:r w:rsidR="006B683E">
              <w:t>risk-standardized readmission rate (</w:t>
            </w:r>
            <w:r w:rsidRPr="00A471AC">
              <w:t>RSRR</w:t>
            </w:r>
            <w:r w:rsidR="006B683E">
              <w:t>)</w:t>
            </w:r>
            <w:r w:rsidRPr="00A471AC">
              <w:t xml:space="preserve"> for each hospital for each sample. The agreement of the two RSRRs was</w:t>
            </w:r>
            <w:r>
              <w:t xml:space="preserve"> </w:t>
            </w:r>
            <w:r w:rsidRPr="00A471AC">
              <w:t>quantified for hospitals using the intra-class correlation as defined by ICC (2,1) by Shrout and Fleiss</w:t>
            </w:r>
            <w:r w:rsidR="00F21142">
              <w:t xml:space="preserve"> </w:t>
            </w:r>
            <w:r w:rsidRPr="00A471AC">
              <w:t>(1979).</w:t>
            </w:r>
            <w:r w:rsidRPr="00A471AC">
              <w:br/>
            </w:r>
          </w:p>
          <w:p w14:paraId="36B105E0" w14:textId="4626D7FF" w:rsidR="00A471AC" w:rsidRPr="00A471AC" w:rsidRDefault="00A471AC" w:rsidP="00A471AC">
            <w:pPr>
              <w:autoSpaceDE w:val="0"/>
              <w:autoSpaceDN w:val="0"/>
              <w:adjustRightInd w:val="0"/>
            </w:pPr>
            <w:r w:rsidRPr="00A471AC">
              <w:t>Using two independent samples provides a stringent estimate of the measure’s reliability, compared</w:t>
            </w:r>
            <w:r>
              <w:t xml:space="preserve"> </w:t>
            </w:r>
            <w:r w:rsidRPr="00A471AC">
              <w:t>with using two random but potentially overlapping samples which would exaggerate the agreement.</w:t>
            </w:r>
            <w:r w:rsidRPr="00A471AC">
              <w:br/>
              <w:t>Moreover, because our final measure is derived using hierarchical logistic regression, and a known</w:t>
            </w:r>
            <w:r>
              <w:t xml:space="preserve"> </w:t>
            </w:r>
            <w:r w:rsidRPr="00A471AC">
              <w:t>property of hierarchical logistic regression models is that smaller volume hospitals contribute less</w:t>
            </w:r>
            <w:r w:rsidR="001412C5">
              <w:t xml:space="preserve"> ‘s</w:t>
            </w:r>
            <w:r w:rsidRPr="00A471AC">
              <w:t>ignal´, a split sample using a single measurement period would introduce extra noise. This leads to an</w:t>
            </w:r>
            <w:r>
              <w:t xml:space="preserve"> </w:t>
            </w:r>
            <w:r w:rsidRPr="00A471AC">
              <w:t>underestimate in the actual test-retest reliability that would be achieved if the measure were reported</w:t>
            </w:r>
            <w:r>
              <w:t xml:space="preserve"> </w:t>
            </w:r>
            <w:r w:rsidRPr="00A471AC">
              <w:t>using the full measurement period, as evidenced by the Spearman Brown prophecy formula (Spearman</w:t>
            </w:r>
            <w:r w:rsidR="00F21142">
              <w:t xml:space="preserve"> </w:t>
            </w:r>
            <w:r w:rsidRPr="00A471AC">
              <w:t>1910, Brown 1910). We use this to estimate the reliability of the measure if the whole cohort were used,</w:t>
            </w:r>
            <w:r w:rsidR="001412C5">
              <w:t xml:space="preserve"> </w:t>
            </w:r>
            <w:r w:rsidRPr="00A471AC">
              <w:t>based on an estimate from half the cohort.</w:t>
            </w:r>
          </w:p>
          <w:p w14:paraId="30F132A3" w14:textId="77777777" w:rsidR="00A471AC" w:rsidRDefault="00A471AC" w:rsidP="00440D88">
            <w:pPr>
              <w:autoSpaceDE w:val="0"/>
              <w:autoSpaceDN w:val="0"/>
              <w:adjustRightInd w:val="0"/>
            </w:pPr>
          </w:p>
          <w:p w14:paraId="468A384D" w14:textId="7E20552B" w:rsidR="002F0D5F" w:rsidRDefault="00274472" w:rsidP="00440D88">
            <w:pPr>
              <w:autoSpaceDE w:val="0"/>
              <w:autoSpaceDN w:val="0"/>
              <w:adjustRightInd w:val="0"/>
            </w:pPr>
            <w:r>
              <w:t>Because r</w:t>
            </w:r>
            <w:r w:rsidR="00AC2EDC">
              <w:t xml:space="preserve">eliability of the measure result could </w:t>
            </w:r>
            <w:r>
              <w:t>only</w:t>
            </w:r>
            <w:r w:rsidR="00AC2EDC">
              <w:t xml:space="preserve"> </w:t>
            </w:r>
            <w:r>
              <w:t xml:space="preserve">be </w:t>
            </w:r>
            <w:r w:rsidR="00AC2EDC">
              <w:t xml:space="preserve">tested </w:t>
            </w:r>
            <w:r>
              <w:t>in a</w:t>
            </w:r>
            <w:r w:rsidR="00AC2EDC">
              <w:t xml:space="preserve"> small sample of hospitals </w:t>
            </w:r>
            <w:r>
              <w:t xml:space="preserve">(n=21) </w:t>
            </w:r>
            <w:r w:rsidR="00AC2EDC">
              <w:t xml:space="preserve">and admissions in </w:t>
            </w:r>
            <w:r w:rsidR="00AC2EDC" w:rsidRPr="00AC2EDC">
              <w:rPr>
                <w:b/>
              </w:rPr>
              <w:t>Dataset 1</w:t>
            </w:r>
            <w:r>
              <w:rPr>
                <w:b/>
              </w:rPr>
              <w:t>,</w:t>
            </w:r>
            <w:r>
              <w:t xml:space="preserve"> testing will be repeated in a larger nationally representative set of hospitals prior to implementation. This testing will depend on implementation of hospital reporting of the core clinical data elements used in the measure’s risk models.</w:t>
            </w:r>
          </w:p>
          <w:p w14:paraId="4BB18258" w14:textId="77777777" w:rsidR="005C6C5C" w:rsidRDefault="005C6C5C" w:rsidP="008C54A9">
            <w:pPr>
              <w:autoSpaceDE w:val="0"/>
              <w:autoSpaceDN w:val="0"/>
              <w:adjustRightInd w:val="0"/>
              <w:rPr>
                <w:rFonts w:cstheme="minorHAnsi"/>
                <w:bCs/>
              </w:rPr>
            </w:pPr>
          </w:p>
          <w:p w14:paraId="5B5BE5A7" w14:textId="77777777" w:rsidR="001412C5" w:rsidRDefault="001412C5" w:rsidP="001412C5">
            <w:pPr>
              <w:autoSpaceDE w:val="0"/>
              <w:autoSpaceDN w:val="0"/>
              <w:adjustRightInd w:val="0"/>
              <w:spacing w:after="120"/>
              <w:rPr>
                <w:rFonts w:cstheme="minorHAnsi"/>
                <w:bCs/>
              </w:rPr>
            </w:pPr>
            <w:r w:rsidRPr="001412C5">
              <w:rPr>
                <w:rFonts w:cstheme="minorHAnsi"/>
                <w:bCs/>
              </w:rPr>
              <w:t>Brown, W. (1910). Some experimental results in the correlation of mental abilities. British Journal of</w:t>
            </w:r>
            <w:r>
              <w:rPr>
                <w:rFonts w:cstheme="minorHAnsi"/>
                <w:bCs/>
              </w:rPr>
              <w:t xml:space="preserve"> </w:t>
            </w:r>
            <w:r w:rsidRPr="001412C5">
              <w:rPr>
                <w:rFonts w:cstheme="minorHAnsi"/>
                <w:bCs/>
              </w:rPr>
              <w:t>Psychology, 3, 296–322.</w:t>
            </w:r>
          </w:p>
          <w:p w14:paraId="45B76682" w14:textId="77777777" w:rsidR="001412C5" w:rsidRDefault="001412C5" w:rsidP="001412C5">
            <w:pPr>
              <w:autoSpaceDE w:val="0"/>
              <w:autoSpaceDN w:val="0"/>
              <w:adjustRightInd w:val="0"/>
              <w:spacing w:after="120"/>
              <w:rPr>
                <w:rFonts w:cstheme="minorHAnsi"/>
                <w:bCs/>
              </w:rPr>
            </w:pPr>
            <w:r w:rsidRPr="001412C5">
              <w:rPr>
                <w:rFonts w:cstheme="minorHAnsi"/>
                <w:bCs/>
              </w:rPr>
              <w:t>Landis J, Koch G. The measurement of observer agreement for categorical data. Biometrics 1977;33:159-174.</w:t>
            </w:r>
          </w:p>
          <w:p w14:paraId="34DB67FF" w14:textId="77777777" w:rsidR="001412C5" w:rsidRDefault="001412C5" w:rsidP="001412C5">
            <w:pPr>
              <w:autoSpaceDE w:val="0"/>
              <w:autoSpaceDN w:val="0"/>
              <w:adjustRightInd w:val="0"/>
              <w:spacing w:after="120"/>
              <w:rPr>
                <w:rFonts w:cstheme="minorHAnsi"/>
                <w:bCs/>
              </w:rPr>
            </w:pPr>
            <w:r w:rsidRPr="001412C5">
              <w:rPr>
                <w:rFonts w:cstheme="minorHAnsi"/>
                <w:bCs/>
              </w:rPr>
              <w:lastRenderedPageBreak/>
              <w:t>Rousson V, Gasser T, Seifert B. Assessing intra</w:t>
            </w:r>
            <w:r>
              <w:rPr>
                <w:rFonts w:cstheme="minorHAnsi"/>
                <w:bCs/>
              </w:rPr>
              <w:t xml:space="preserve"> </w:t>
            </w:r>
            <w:r w:rsidRPr="001412C5">
              <w:rPr>
                <w:rFonts w:cstheme="minorHAnsi"/>
                <w:bCs/>
              </w:rPr>
              <w:t>rater, interrater and test–retest reliability of continuous</w:t>
            </w:r>
            <w:r>
              <w:rPr>
                <w:rFonts w:cstheme="minorHAnsi"/>
                <w:bCs/>
              </w:rPr>
              <w:t xml:space="preserve"> </w:t>
            </w:r>
            <w:r w:rsidRPr="001412C5">
              <w:rPr>
                <w:rFonts w:cstheme="minorHAnsi"/>
                <w:bCs/>
              </w:rPr>
              <w:t>measurements. Statistics in Medicine 2002; 21:3431-3446.</w:t>
            </w:r>
          </w:p>
          <w:p w14:paraId="0072F9BC" w14:textId="77777777" w:rsidR="001412C5" w:rsidRDefault="001412C5" w:rsidP="001412C5">
            <w:pPr>
              <w:autoSpaceDE w:val="0"/>
              <w:autoSpaceDN w:val="0"/>
              <w:adjustRightInd w:val="0"/>
              <w:spacing w:after="120"/>
              <w:rPr>
                <w:rFonts w:cstheme="minorHAnsi"/>
                <w:bCs/>
              </w:rPr>
            </w:pPr>
            <w:r w:rsidRPr="001412C5">
              <w:rPr>
                <w:rFonts w:cstheme="minorHAnsi"/>
                <w:bCs/>
              </w:rPr>
              <w:t>Shrout P, Fleiss J. Intra</w:t>
            </w:r>
            <w:r>
              <w:rPr>
                <w:rFonts w:cstheme="minorHAnsi"/>
                <w:bCs/>
              </w:rPr>
              <w:t xml:space="preserve"> </w:t>
            </w:r>
            <w:r w:rsidRPr="001412C5">
              <w:rPr>
                <w:rFonts w:cstheme="minorHAnsi"/>
                <w:bCs/>
              </w:rPr>
              <w:t>class correlations: uses in assessing rater reliability. Psychological Bulletin 1979;86:420-428.</w:t>
            </w:r>
          </w:p>
          <w:p w14:paraId="01829BD8" w14:textId="55E35DEA" w:rsidR="001412C5" w:rsidRDefault="001412C5" w:rsidP="001412C5">
            <w:pPr>
              <w:autoSpaceDE w:val="0"/>
              <w:autoSpaceDN w:val="0"/>
              <w:adjustRightInd w:val="0"/>
              <w:spacing w:after="120"/>
              <w:rPr>
                <w:rFonts w:cstheme="minorHAnsi"/>
                <w:bCs/>
              </w:rPr>
            </w:pPr>
            <w:r w:rsidRPr="001412C5">
              <w:rPr>
                <w:rFonts w:cstheme="minorHAnsi"/>
                <w:bCs/>
              </w:rPr>
              <w:t>Spearman, Charles, C. (1910). Correlation calculated from faulty data. British Journal of Psychology, 3,271–295.</w:t>
            </w:r>
          </w:p>
        </w:tc>
      </w:tr>
    </w:tbl>
    <w:p w14:paraId="22B015DA" w14:textId="77777777" w:rsidR="008C54A9" w:rsidRPr="00A25024" w:rsidRDefault="008C54A9" w:rsidP="008C54A9">
      <w:pPr>
        <w:autoSpaceDE w:val="0"/>
        <w:autoSpaceDN w:val="0"/>
        <w:adjustRightInd w:val="0"/>
        <w:spacing w:after="0" w:line="240" w:lineRule="auto"/>
        <w:rPr>
          <w:rFonts w:cstheme="minorHAnsi"/>
          <w:bCs/>
        </w:rPr>
      </w:pPr>
    </w:p>
    <w:p w14:paraId="2FE2F376" w14:textId="77777777" w:rsidR="005C6C5C" w:rsidRPr="00A25024"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tbl>
      <w:tblPr>
        <w:tblStyle w:val="TableGrid"/>
        <w:tblW w:w="0" w:type="auto"/>
        <w:tblLook w:val="04A0" w:firstRow="1" w:lastRow="0" w:firstColumn="1" w:lastColumn="0" w:noHBand="0" w:noVBand="1"/>
      </w:tblPr>
      <w:tblGrid>
        <w:gridCol w:w="9350"/>
      </w:tblGrid>
      <w:tr w:rsidR="005C6C5C" w14:paraId="47D9F3DD" w14:textId="77777777" w:rsidTr="004C0403">
        <w:tc>
          <w:tcPr>
            <w:tcW w:w="9576" w:type="dxa"/>
          </w:tcPr>
          <w:p w14:paraId="13E35DBF" w14:textId="156FB7B3" w:rsidR="00A75933" w:rsidRPr="00AB02C4" w:rsidRDefault="00A75933" w:rsidP="008C54A9">
            <w:pPr>
              <w:autoSpaceDE w:val="0"/>
              <w:autoSpaceDN w:val="0"/>
              <w:adjustRightInd w:val="0"/>
              <w:rPr>
                <w:u w:val="single"/>
              </w:rPr>
            </w:pPr>
            <w:r w:rsidRPr="00AB02C4">
              <w:rPr>
                <w:u w:val="single"/>
              </w:rPr>
              <w:t>Da</w:t>
            </w:r>
            <w:r w:rsidR="00F73019" w:rsidRPr="00AB02C4">
              <w:rPr>
                <w:u w:val="single"/>
              </w:rPr>
              <w:t>ta Element Reliability</w:t>
            </w:r>
            <w:r w:rsidR="0059261C">
              <w:rPr>
                <w:u w:val="single"/>
              </w:rPr>
              <w:t xml:space="preserve"> Results</w:t>
            </w:r>
          </w:p>
          <w:p w14:paraId="174A2E6A" w14:textId="5221B680" w:rsidR="00A75933" w:rsidRPr="001A7F61" w:rsidRDefault="001A7F61" w:rsidP="008C54A9">
            <w:pPr>
              <w:autoSpaceDE w:val="0"/>
              <w:autoSpaceDN w:val="0"/>
              <w:adjustRightInd w:val="0"/>
            </w:pPr>
            <w:r w:rsidRPr="001A7F61">
              <w:t>For the claims-derived data elements (</w:t>
            </w:r>
            <w:r w:rsidRPr="00AB02C4">
              <w:rPr>
                <w:b/>
              </w:rPr>
              <w:t>Dataset 1</w:t>
            </w:r>
            <w:r w:rsidRPr="001A7F61">
              <w:t>), the frequency of model variables remained relatively constant between 2010 and 2012, with no model variables increasing or decreasing by more than 2%.</w:t>
            </w:r>
          </w:p>
          <w:p w14:paraId="34971799" w14:textId="77777777" w:rsidR="001A7F61" w:rsidRPr="00895AE3" w:rsidRDefault="001A7F61" w:rsidP="008C54A9">
            <w:pPr>
              <w:autoSpaceDE w:val="0"/>
              <w:autoSpaceDN w:val="0"/>
              <w:adjustRightInd w:val="0"/>
              <w:rPr>
                <w:u w:val="single"/>
              </w:rPr>
            </w:pPr>
          </w:p>
          <w:p w14:paraId="3197FC39" w14:textId="0F372470" w:rsidR="009D1B99" w:rsidRPr="00895AE3" w:rsidRDefault="009D1B99" w:rsidP="008C54A9">
            <w:pPr>
              <w:autoSpaceDE w:val="0"/>
              <w:autoSpaceDN w:val="0"/>
              <w:adjustRightInd w:val="0"/>
            </w:pPr>
            <w:r w:rsidRPr="00895AE3">
              <w:rPr>
                <w:u w:val="single"/>
              </w:rPr>
              <w:t>Clinical Data Element Capture</w:t>
            </w:r>
          </w:p>
          <w:p w14:paraId="52C9AEF7" w14:textId="4480FEDF" w:rsidR="006066C1" w:rsidRDefault="001A7F61" w:rsidP="003A41AC">
            <w:pPr>
              <w:autoSpaceDE w:val="0"/>
              <w:autoSpaceDN w:val="0"/>
              <w:adjustRightInd w:val="0"/>
              <w:rPr>
                <w:rFonts w:cstheme="minorHAnsi"/>
                <w:bCs/>
              </w:rPr>
            </w:pPr>
            <w:r>
              <w:rPr>
                <w:rFonts w:cstheme="minorHAnsi"/>
                <w:bCs/>
              </w:rPr>
              <w:t xml:space="preserve">Table </w:t>
            </w:r>
            <w:r w:rsidR="006B683E">
              <w:rPr>
                <w:rFonts w:cstheme="minorHAnsi"/>
                <w:bCs/>
              </w:rPr>
              <w:t>1</w:t>
            </w:r>
            <w:r>
              <w:rPr>
                <w:rFonts w:cstheme="minorHAnsi"/>
                <w:bCs/>
              </w:rPr>
              <w:t xml:space="preserve"> shows the rate of capture of all of the clinical data elements used in the measures’ risk models in the development, validation, and 2012 samples by cohort. </w:t>
            </w:r>
            <w:r w:rsidRPr="00A471AC">
              <w:rPr>
                <w:rFonts w:cstheme="minorHAnsi"/>
                <w:bCs/>
              </w:rPr>
              <w:t>Coeffici</w:t>
            </w:r>
            <w:r w:rsidR="00227ABF" w:rsidRPr="00A471AC">
              <w:rPr>
                <w:rFonts w:cstheme="minorHAnsi"/>
                <w:bCs/>
              </w:rPr>
              <w:t>ents</w:t>
            </w:r>
            <w:r w:rsidR="00227ABF">
              <w:rPr>
                <w:rFonts w:cstheme="minorHAnsi"/>
                <w:bCs/>
              </w:rPr>
              <w:t xml:space="preserve"> for </w:t>
            </w:r>
            <w:r>
              <w:rPr>
                <w:rFonts w:cstheme="minorHAnsi"/>
                <w:bCs/>
              </w:rPr>
              <w:t>the claims and clinical</w:t>
            </w:r>
            <w:r w:rsidR="003A41AC">
              <w:rPr>
                <w:rFonts w:cstheme="minorHAnsi"/>
                <w:bCs/>
              </w:rPr>
              <w:t xml:space="preserve"> risk variables for all three samples can be found in data field S.2b (Data </w:t>
            </w:r>
            <w:r w:rsidR="003A41AC" w:rsidRPr="003A41AC">
              <w:rPr>
                <w:rFonts w:cstheme="minorHAnsi"/>
                <w:bCs/>
              </w:rPr>
              <w:t>Dictionary or Code Table).</w:t>
            </w:r>
          </w:p>
          <w:p w14:paraId="1EE24F67" w14:textId="77777777" w:rsidR="001A7F61" w:rsidRDefault="001A7F61" w:rsidP="001A7F61">
            <w:pPr>
              <w:autoSpaceDE w:val="0"/>
              <w:autoSpaceDN w:val="0"/>
              <w:adjustRightInd w:val="0"/>
              <w:rPr>
                <w:rFonts w:cstheme="minorHAnsi"/>
                <w:bCs/>
              </w:rPr>
            </w:pPr>
          </w:p>
          <w:p w14:paraId="329A3AED" w14:textId="593CD167" w:rsidR="006B683E" w:rsidRPr="006B683E" w:rsidRDefault="006B683E" w:rsidP="006B683E">
            <w:pPr>
              <w:pStyle w:val="Caption"/>
              <w:keepNext/>
              <w:rPr>
                <w:color w:val="auto"/>
                <w:sz w:val="22"/>
              </w:rPr>
            </w:pPr>
            <w:r w:rsidRPr="006B683E">
              <w:rPr>
                <w:color w:val="auto"/>
                <w:sz w:val="22"/>
              </w:rPr>
              <w:t xml:space="preserve">Table </w:t>
            </w:r>
            <w:r w:rsidRPr="006B683E">
              <w:rPr>
                <w:color w:val="auto"/>
                <w:sz w:val="22"/>
              </w:rPr>
              <w:fldChar w:fldCharType="begin"/>
            </w:r>
            <w:r w:rsidRPr="006B683E">
              <w:rPr>
                <w:color w:val="auto"/>
                <w:sz w:val="22"/>
              </w:rPr>
              <w:instrText xml:space="preserve"> SEQ Table \* ARABIC </w:instrText>
            </w:r>
            <w:r w:rsidRPr="006B683E">
              <w:rPr>
                <w:color w:val="auto"/>
                <w:sz w:val="22"/>
              </w:rPr>
              <w:fldChar w:fldCharType="separate"/>
            </w:r>
            <w:r w:rsidR="0059261C">
              <w:rPr>
                <w:noProof/>
                <w:color w:val="auto"/>
                <w:sz w:val="22"/>
              </w:rPr>
              <w:t>1</w:t>
            </w:r>
            <w:r w:rsidRPr="006B683E">
              <w:rPr>
                <w:color w:val="auto"/>
                <w:sz w:val="22"/>
              </w:rPr>
              <w:fldChar w:fldCharType="end"/>
            </w:r>
            <w:r w:rsidRPr="006B683E">
              <w:rPr>
                <w:color w:val="auto"/>
                <w:sz w:val="22"/>
              </w:rPr>
              <w:t xml:space="preserve"> </w:t>
            </w:r>
            <w:r>
              <w:rPr>
                <w:color w:val="auto"/>
                <w:sz w:val="22"/>
              </w:rPr>
              <w:t>R</w:t>
            </w:r>
            <w:r w:rsidRPr="006B683E">
              <w:rPr>
                <w:color w:val="auto"/>
                <w:sz w:val="22"/>
              </w:rPr>
              <w:t xml:space="preserve">ate of </w:t>
            </w:r>
            <w:r>
              <w:rPr>
                <w:color w:val="auto"/>
                <w:sz w:val="22"/>
              </w:rPr>
              <w:t>C</w:t>
            </w:r>
            <w:r w:rsidRPr="006B683E">
              <w:rPr>
                <w:color w:val="auto"/>
                <w:sz w:val="22"/>
              </w:rPr>
              <w:t xml:space="preserve">apture of all of the </w:t>
            </w:r>
            <w:r>
              <w:rPr>
                <w:color w:val="auto"/>
                <w:sz w:val="22"/>
              </w:rPr>
              <w:t>C</w:t>
            </w:r>
            <w:r w:rsidRPr="006B683E">
              <w:rPr>
                <w:color w:val="auto"/>
                <w:sz w:val="22"/>
              </w:rPr>
              <w:t xml:space="preserve">linical </w:t>
            </w:r>
            <w:r>
              <w:rPr>
                <w:color w:val="auto"/>
                <w:sz w:val="22"/>
              </w:rPr>
              <w:t>D</w:t>
            </w:r>
            <w:r w:rsidRPr="006B683E">
              <w:rPr>
                <w:color w:val="auto"/>
                <w:sz w:val="22"/>
              </w:rPr>
              <w:t xml:space="preserve">ata </w:t>
            </w:r>
            <w:r>
              <w:rPr>
                <w:color w:val="auto"/>
                <w:sz w:val="22"/>
              </w:rPr>
              <w:t>E</w:t>
            </w:r>
            <w:r w:rsidRPr="006B683E">
              <w:rPr>
                <w:color w:val="auto"/>
                <w:sz w:val="22"/>
              </w:rPr>
              <w:t>lements</w:t>
            </w:r>
            <w:r>
              <w:rPr>
                <w:color w:val="auto"/>
                <w:sz w:val="22"/>
              </w:rPr>
              <w:t xml:space="preserve"> (Dataset 1)</w:t>
            </w:r>
          </w:p>
          <w:tbl>
            <w:tblPr>
              <w:tblStyle w:val="LightList-Accent13"/>
              <w:tblW w:w="9114" w:type="dxa"/>
              <w:jc w:val="center"/>
              <w:tblLook w:val="04A0" w:firstRow="1" w:lastRow="0" w:firstColumn="1" w:lastColumn="0" w:noHBand="0" w:noVBand="1"/>
            </w:tblPr>
            <w:tblGrid>
              <w:gridCol w:w="2439"/>
              <w:gridCol w:w="2225"/>
              <w:gridCol w:w="2225"/>
              <w:gridCol w:w="2225"/>
            </w:tblGrid>
            <w:tr w:rsidR="001A7F61" w:rsidRPr="00840D22" w14:paraId="3A528FE9" w14:textId="77777777" w:rsidTr="006B683E">
              <w:trPr>
                <w:cnfStyle w:val="100000000000" w:firstRow="1" w:lastRow="0" w:firstColumn="0" w:lastColumn="0" w:oddVBand="0" w:evenVBand="0" w:oddHBand="0" w:evenHBand="0" w:firstRowFirstColumn="0" w:firstRowLastColumn="0" w:lastRowFirstColumn="0" w:lastRowLastColumn="0"/>
                <w:trHeight w:val="352"/>
                <w:tblHeader/>
                <w:jc w:val="center"/>
              </w:trPr>
              <w:tc>
                <w:tcPr>
                  <w:cnfStyle w:val="001000000000" w:firstRow="0" w:lastRow="0" w:firstColumn="1" w:lastColumn="0" w:oddVBand="0" w:evenVBand="0" w:oddHBand="0" w:evenHBand="0" w:firstRowFirstColumn="0" w:firstRowLastColumn="0" w:lastRowFirstColumn="0" w:lastRowLastColumn="0"/>
                  <w:tcW w:w="2439" w:type="dxa"/>
                  <w:vAlign w:val="center"/>
                  <w:hideMark/>
                </w:tcPr>
                <w:p w14:paraId="2F61082D" w14:textId="5290F310" w:rsidR="001A7F61" w:rsidRPr="00840D22" w:rsidRDefault="001A7F61" w:rsidP="001A7F61">
                  <w:pPr>
                    <w:jc w:val="center"/>
                    <w:rPr>
                      <w:sz w:val="18"/>
                      <w:szCs w:val="18"/>
                    </w:rPr>
                  </w:pPr>
                </w:p>
              </w:tc>
              <w:tc>
                <w:tcPr>
                  <w:tcW w:w="2225" w:type="dxa"/>
                  <w:vAlign w:val="center"/>
                </w:tcPr>
                <w:p w14:paraId="388369C9" w14:textId="77777777" w:rsidR="001A7F61" w:rsidRPr="00840D22" w:rsidRDefault="001A7F61" w:rsidP="001A7F61">
                  <w:pPr>
                    <w:jc w:val="center"/>
                    <w:cnfStyle w:val="100000000000" w:firstRow="1" w:lastRow="0" w:firstColumn="0" w:lastColumn="0" w:oddVBand="0" w:evenVBand="0" w:oddHBand="0" w:evenHBand="0" w:firstRowFirstColumn="0" w:firstRowLastColumn="0" w:lastRowFirstColumn="0" w:lastRowLastColumn="0"/>
                    <w:rPr>
                      <w:sz w:val="18"/>
                      <w:szCs w:val="18"/>
                    </w:rPr>
                  </w:pPr>
                  <w:r w:rsidRPr="00840D22">
                    <w:rPr>
                      <w:sz w:val="18"/>
                      <w:szCs w:val="18"/>
                    </w:rPr>
                    <w:t>Development Sample</w:t>
                  </w:r>
                </w:p>
              </w:tc>
              <w:tc>
                <w:tcPr>
                  <w:tcW w:w="2225" w:type="dxa"/>
                  <w:noWrap/>
                  <w:vAlign w:val="center"/>
                  <w:hideMark/>
                </w:tcPr>
                <w:p w14:paraId="247E09C8" w14:textId="77777777" w:rsidR="001A7F61" w:rsidRPr="00840D22" w:rsidRDefault="001A7F61" w:rsidP="001A7F61">
                  <w:pPr>
                    <w:jc w:val="center"/>
                    <w:cnfStyle w:val="100000000000" w:firstRow="1" w:lastRow="0" w:firstColumn="0" w:lastColumn="0" w:oddVBand="0" w:evenVBand="0" w:oddHBand="0" w:evenHBand="0" w:firstRowFirstColumn="0" w:firstRowLastColumn="0" w:lastRowFirstColumn="0" w:lastRowLastColumn="0"/>
                    <w:rPr>
                      <w:sz w:val="18"/>
                      <w:szCs w:val="18"/>
                    </w:rPr>
                  </w:pPr>
                  <w:r w:rsidRPr="00840D22">
                    <w:rPr>
                      <w:sz w:val="18"/>
                      <w:szCs w:val="18"/>
                    </w:rPr>
                    <w:t>Validation Sample</w:t>
                  </w:r>
                </w:p>
              </w:tc>
              <w:tc>
                <w:tcPr>
                  <w:tcW w:w="2225" w:type="dxa"/>
                  <w:vAlign w:val="center"/>
                </w:tcPr>
                <w:p w14:paraId="1249F542" w14:textId="77777777" w:rsidR="001A7F61" w:rsidRPr="00840D22" w:rsidRDefault="001A7F61" w:rsidP="001A7F61">
                  <w:pPr>
                    <w:jc w:val="center"/>
                    <w:cnfStyle w:val="100000000000" w:firstRow="1" w:lastRow="0" w:firstColumn="0" w:lastColumn="0" w:oddVBand="0" w:evenVBand="0" w:oddHBand="0" w:evenHBand="0" w:firstRowFirstColumn="0" w:firstRowLastColumn="0" w:lastRowFirstColumn="0" w:lastRowLastColumn="0"/>
                    <w:rPr>
                      <w:sz w:val="18"/>
                      <w:szCs w:val="18"/>
                    </w:rPr>
                  </w:pPr>
                  <w:r w:rsidRPr="00840D22">
                    <w:rPr>
                      <w:sz w:val="18"/>
                      <w:szCs w:val="18"/>
                    </w:rPr>
                    <w:t>2012 Sample</w:t>
                  </w:r>
                </w:p>
              </w:tc>
            </w:tr>
            <w:tr w:rsidR="001A7F61" w:rsidRPr="00840D22" w14:paraId="026CBC6C"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tcPr>
                <w:p w14:paraId="0C67BA8F" w14:textId="77777777" w:rsidR="001A7F61" w:rsidRPr="00840D22" w:rsidRDefault="001A7F61" w:rsidP="001A7F61">
                  <w:pPr>
                    <w:jc w:val="center"/>
                    <w:rPr>
                      <w:color w:val="000000"/>
                      <w:sz w:val="18"/>
                    </w:rPr>
                  </w:pPr>
                  <w:r w:rsidRPr="00840D22">
                    <w:rPr>
                      <w:color w:val="000000"/>
                      <w:sz w:val="18"/>
                    </w:rPr>
                    <w:t>Heart rate</w:t>
                  </w:r>
                  <w:r>
                    <w:rPr>
                      <w:color w:val="000000"/>
                      <w:sz w:val="18"/>
                    </w:rPr>
                    <w:t xml:space="preserve"> (% captured)</w:t>
                  </w:r>
                </w:p>
              </w:tc>
            </w:tr>
            <w:tr w:rsidR="001A7F61" w:rsidRPr="00840D22" w14:paraId="3F38761F"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20851EC1"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2DF98957"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95.0</w:t>
                  </w:r>
                </w:p>
              </w:tc>
              <w:tc>
                <w:tcPr>
                  <w:tcW w:w="2225" w:type="dxa"/>
                  <w:noWrap/>
                  <w:vAlign w:val="center"/>
                </w:tcPr>
                <w:p w14:paraId="59169410"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95.2</w:t>
                  </w:r>
                </w:p>
              </w:tc>
              <w:tc>
                <w:tcPr>
                  <w:tcW w:w="2225" w:type="dxa"/>
                  <w:vAlign w:val="center"/>
                </w:tcPr>
                <w:p w14:paraId="523B124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96.6</w:t>
                  </w:r>
                </w:p>
              </w:tc>
            </w:tr>
            <w:tr w:rsidR="001A7F61" w:rsidRPr="00840D22" w14:paraId="4F65DB90"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74185EAC"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65F4DD66"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98.7</w:t>
                  </w:r>
                </w:p>
              </w:tc>
              <w:tc>
                <w:tcPr>
                  <w:tcW w:w="2225" w:type="dxa"/>
                  <w:noWrap/>
                  <w:vAlign w:val="center"/>
                </w:tcPr>
                <w:p w14:paraId="7DDE8810"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98.4</w:t>
                  </w:r>
                </w:p>
              </w:tc>
              <w:tc>
                <w:tcPr>
                  <w:tcW w:w="2225" w:type="dxa"/>
                  <w:vAlign w:val="center"/>
                </w:tcPr>
                <w:p w14:paraId="5D16D13C"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99.1</w:t>
                  </w:r>
                </w:p>
              </w:tc>
            </w:tr>
            <w:tr w:rsidR="001A7F61" w:rsidRPr="00840D22" w14:paraId="2F00AD47"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11A50B51"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03AFDA67"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97.7</w:t>
                  </w:r>
                </w:p>
              </w:tc>
              <w:tc>
                <w:tcPr>
                  <w:tcW w:w="2225" w:type="dxa"/>
                  <w:noWrap/>
                  <w:vAlign w:val="center"/>
                </w:tcPr>
                <w:p w14:paraId="0C5A48D5"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97.9</w:t>
                  </w:r>
                </w:p>
              </w:tc>
              <w:tc>
                <w:tcPr>
                  <w:tcW w:w="2225" w:type="dxa"/>
                  <w:vAlign w:val="center"/>
                </w:tcPr>
                <w:p w14:paraId="7EA8DBAE"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98.5</w:t>
                  </w:r>
                </w:p>
              </w:tc>
            </w:tr>
            <w:tr w:rsidR="001A7F61" w:rsidRPr="00840D22" w14:paraId="28300E93"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48045B6D"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6A344E3F"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97.7</w:t>
                  </w:r>
                </w:p>
              </w:tc>
              <w:tc>
                <w:tcPr>
                  <w:tcW w:w="2225" w:type="dxa"/>
                  <w:noWrap/>
                  <w:vAlign w:val="center"/>
                </w:tcPr>
                <w:p w14:paraId="73AAA512"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98.1</w:t>
                  </w:r>
                </w:p>
              </w:tc>
              <w:tc>
                <w:tcPr>
                  <w:tcW w:w="2225" w:type="dxa"/>
                  <w:vAlign w:val="center"/>
                </w:tcPr>
                <w:p w14:paraId="748B89BD"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98.6</w:t>
                  </w:r>
                </w:p>
              </w:tc>
            </w:tr>
            <w:tr w:rsidR="001A7F61" w:rsidRPr="00840D22" w14:paraId="2DB6C793"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56ABDB11"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1A0007D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98.1</w:t>
                  </w:r>
                </w:p>
              </w:tc>
              <w:tc>
                <w:tcPr>
                  <w:tcW w:w="2225" w:type="dxa"/>
                  <w:noWrap/>
                  <w:vAlign w:val="center"/>
                </w:tcPr>
                <w:p w14:paraId="0E38EBAB"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98.1</w:t>
                  </w:r>
                </w:p>
              </w:tc>
              <w:tc>
                <w:tcPr>
                  <w:tcW w:w="2225" w:type="dxa"/>
                  <w:vAlign w:val="center"/>
                </w:tcPr>
                <w:p w14:paraId="38B5B392"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98.7</w:t>
                  </w:r>
                </w:p>
              </w:tc>
            </w:tr>
            <w:tr w:rsidR="001A7F61" w:rsidRPr="00840D22" w14:paraId="703C5339"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58131C95" w14:textId="77777777" w:rsidR="001A7F61" w:rsidRPr="00840D22" w:rsidRDefault="001A7F61" w:rsidP="001A7F61">
                  <w:pPr>
                    <w:jc w:val="center"/>
                    <w:rPr>
                      <w:sz w:val="18"/>
                      <w:szCs w:val="18"/>
                    </w:rPr>
                  </w:pPr>
                  <w:r w:rsidRPr="00840D22">
                    <w:rPr>
                      <w:color w:val="000000"/>
                      <w:sz w:val="18"/>
                    </w:rPr>
                    <w:t>Systolic BP</w:t>
                  </w:r>
                  <w:r>
                    <w:rPr>
                      <w:color w:val="000000"/>
                      <w:sz w:val="18"/>
                    </w:rPr>
                    <w:t xml:space="preserve"> (% captured)</w:t>
                  </w:r>
                </w:p>
              </w:tc>
            </w:tr>
            <w:tr w:rsidR="001A7F61" w:rsidRPr="00840D22" w14:paraId="41E9DA05"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55519C67"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36EA0E6F"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94.5</w:t>
                  </w:r>
                </w:p>
              </w:tc>
              <w:tc>
                <w:tcPr>
                  <w:tcW w:w="2225" w:type="dxa"/>
                  <w:noWrap/>
                  <w:vAlign w:val="center"/>
                </w:tcPr>
                <w:p w14:paraId="4C388B32"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94.6</w:t>
                  </w:r>
                </w:p>
              </w:tc>
              <w:tc>
                <w:tcPr>
                  <w:tcW w:w="2225" w:type="dxa"/>
                  <w:vAlign w:val="center"/>
                </w:tcPr>
                <w:p w14:paraId="3040D2F5"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96.0</w:t>
                  </w:r>
                </w:p>
              </w:tc>
            </w:tr>
            <w:tr w:rsidR="001A7F61" w:rsidRPr="00840D22" w14:paraId="1A002EE0"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435DC390"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7F244BAB"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98.5</w:t>
                  </w:r>
                </w:p>
              </w:tc>
              <w:tc>
                <w:tcPr>
                  <w:tcW w:w="2225" w:type="dxa"/>
                  <w:noWrap/>
                  <w:vAlign w:val="center"/>
                </w:tcPr>
                <w:p w14:paraId="2E77CF97"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98.1</w:t>
                  </w:r>
                </w:p>
              </w:tc>
              <w:tc>
                <w:tcPr>
                  <w:tcW w:w="2225" w:type="dxa"/>
                  <w:vAlign w:val="center"/>
                </w:tcPr>
                <w:p w14:paraId="4563A00F"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98.8</w:t>
                  </w:r>
                </w:p>
              </w:tc>
            </w:tr>
            <w:tr w:rsidR="001A7F61" w:rsidRPr="00840D22" w14:paraId="04690285"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14130F89"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3A47AB2D"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97.6</w:t>
                  </w:r>
                </w:p>
              </w:tc>
              <w:tc>
                <w:tcPr>
                  <w:tcW w:w="2225" w:type="dxa"/>
                  <w:noWrap/>
                  <w:vAlign w:val="center"/>
                </w:tcPr>
                <w:p w14:paraId="6A7E9DDC"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97.8</w:t>
                  </w:r>
                </w:p>
              </w:tc>
              <w:tc>
                <w:tcPr>
                  <w:tcW w:w="2225" w:type="dxa"/>
                  <w:vAlign w:val="center"/>
                </w:tcPr>
                <w:p w14:paraId="167AE9D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97.9</w:t>
                  </w:r>
                </w:p>
              </w:tc>
            </w:tr>
            <w:tr w:rsidR="001A7F61" w:rsidRPr="00840D22" w14:paraId="5E2AB455"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4B926B01"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4B1FD22A"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97.7</w:t>
                  </w:r>
                </w:p>
              </w:tc>
              <w:tc>
                <w:tcPr>
                  <w:tcW w:w="2225" w:type="dxa"/>
                  <w:noWrap/>
                  <w:vAlign w:val="center"/>
                </w:tcPr>
                <w:p w14:paraId="1ECE7611"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98.1</w:t>
                  </w:r>
                </w:p>
              </w:tc>
              <w:tc>
                <w:tcPr>
                  <w:tcW w:w="2225" w:type="dxa"/>
                  <w:vAlign w:val="center"/>
                </w:tcPr>
                <w:p w14:paraId="719437B9"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98.5</w:t>
                  </w:r>
                </w:p>
              </w:tc>
            </w:tr>
            <w:tr w:rsidR="001A7F61" w:rsidRPr="00840D22" w14:paraId="6759D34E"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275511F3"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059E4E6E"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sidRPr="00840D22">
                    <w:rPr>
                      <w:sz w:val="18"/>
                      <w:szCs w:val="18"/>
                    </w:rPr>
                    <w:t>97.9</w:t>
                  </w:r>
                </w:p>
              </w:tc>
              <w:tc>
                <w:tcPr>
                  <w:tcW w:w="2225" w:type="dxa"/>
                  <w:noWrap/>
                  <w:vAlign w:val="center"/>
                </w:tcPr>
                <w:p w14:paraId="2533797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97.9</w:t>
                  </w:r>
                </w:p>
              </w:tc>
              <w:tc>
                <w:tcPr>
                  <w:tcW w:w="2225" w:type="dxa"/>
                  <w:vAlign w:val="center"/>
                </w:tcPr>
                <w:p w14:paraId="42C7000D"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98.5</w:t>
                  </w:r>
                </w:p>
              </w:tc>
            </w:tr>
            <w:tr w:rsidR="001A7F61" w:rsidRPr="00840D22" w14:paraId="7B8DB418"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7C0C3657" w14:textId="77777777" w:rsidR="001A7F61" w:rsidRPr="00840D22" w:rsidRDefault="001A7F61" w:rsidP="001A7F61">
                  <w:pPr>
                    <w:jc w:val="center"/>
                    <w:rPr>
                      <w:sz w:val="18"/>
                      <w:szCs w:val="18"/>
                    </w:rPr>
                  </w:pPr>
                  <w:r w:rsidRPr="00840D22">
                    <w:rPr>
                      <w:color w:val="000000"/>
                      <w:sz w:val="18"/>
                    </w:rPr>
                    <w:t>Respiratory Rate</w:t>
                  </w:r>
                  <w:r>
                    <w:rPr>
                      <w:color w:val="000000"/>
                      <w:sz w:val="18"/>
                    </w:rPr>
                    <w:t xml:space="preserve"> (% captured)</w:t>
                  </w:r>
                </w:p>
              </w:tc>
            </w:tr>
            <w:tr w:rsidR="001A7F61" w:rsidRPr="00840D22" w14:paraId="4FDE57F2"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0642ECBE"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5080D76A"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sidRPr="00840D22">
                    <w:rPr>
                      <w:sz w:val="18"/>
                      <w:szCs w:val="18"/>
                    </w:rPr>
                    <w:t>94.4</w:t>
                  </w:r>
                </w:p>
              </w:tc>
              <w:tc>
                <w:tcPr>
                  <w:tcW w:w="2225" w:type="dxa"/>
                  <w:noWrap/>
                  <w:vAlign w:val="center"/>
                </w:tcPr>
                <w:p w14:paraId="79D4E5A8"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94.4</w:t>
                  </w:r>
                </w:p>
              </w:tc>
              <w:tc>
                <w:tcPr>
                  <w:tcW w:w="2225" w:type="dxa"/>
                  <w:vAlign w:val="center"/>
                </w:tcPr>
                <w:p w14:paraId="777B4A4D"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96.1</w:t>
                  </w:r>
                </w:p>
              </w:tc>
            </w:tr>
            <w:tr w:rsidR="001A7F61" w:rsidRPr="00840D22" w14:paraId="44136D4B"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1FE0AF04"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09A6E69A"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97.8</w:t>
                  </w:r>
                </w:p>
              </w:tc>
              <w:tc>
                <w:tcPr>
                  <w:tcW w:w="2225" w:type="dxa"/>
                  <w:noWrap/>
                  <w:vAlign w:val="center"/>
                </w:tcPr>
                <w:p w14:paraId="62E9539F"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97.7</w:t>
                  </w:r>
                </w:p>
              </w:tc>
              <w:tc>
                <w:tcPr>
                  <w:tcW w:w="2225" w:type="dxa"/>
                  <w:vAlign w:val="center"/>
                </w:tcPr>
                <w:p w14:paraId="2C39E503"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98.1</w:t>
                  </w:r>
                </w:p>
              </w:tc>
            </w:tr>
            <w:tr w:rsidR="001A7F61" w:rsidRPr="00840D22" w14:paraId="70F84D2F"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3854C1D8"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269D4F04"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96.8</w:t>
                  </w:r>
                </w:p>
              </w:tc>
              <w:tc>
                <w:tcPr>
                  <w:tcW w:w="2225" w:type="dxa"/>
                  <w:noWrap/>
                  <w:vAlign w:val="center"/>
                </w:tcPr>
                <w:p w14:paraId="7BED143B"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97.3</w:t>
                  </w:r>
                </w:p>
              </w:tc>
              <w:tc>
                <w:tcPr>
                  <w:tcW w:w="2225" w:type="dxa"/>
                  <w:vAlign w:val="center"/>
                </w:tcPr>
                <w:p w14:paraId="512E1C16"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97.3</w:t>
                  </w:r>
                </w:p>
              </w:tc>
            </w:tr>
            <w:tr w:rsidR="001A7F61" w:rsidRPr="00840D22" w14:paraId="7C11BB35"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00B5F213"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5F1468E4"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97.0</w:t>
                  </w:r>
                </w:p>
              </w:tc>
              <w:tc>
                <w:tcPr>
                  <w:tcW w:w="2225" w:type="dxa"/>
                  <w:noWrap/>
                  <w:vAlign w:val="center"/>
                </w:tcPr>
                <w:p w14:paraId="2D08D031"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97.3</w:t>
                  </w:r>
                </w:p>
              </w:tc>
              <w:tc>
                <w:tcPr>
                  <w:tcW w:w="2225" w:type="dxa"/>
                  <w:vAlign w:val="center"/>
                </w:tcPr>
                <w:p w14:paraId="4627B32E"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97.6</w:t>
                  </w:r>
                </w:p>
              </w:tc>
            </w:tr>
            <w:tr w:rsidR="001A7F61" w:rsidRPr="00840D22" w14:paraId="52995373"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4F47D5BE"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11DFACAC"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97.1</w:t>
                  </w:r>
                </w:p>
              </w:tc>
              <w:tc>
                <w:tcPr>
                  <w:tcW w:w="2225" w:type="dxa"/>
                  <w:noWrap/>
                  <w:vAlign w:val="center"/>
                </w:tcPr>
                <w:p w14:paraId="4CF0035F"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97.2</w:t>
                  </w:r>
                </w:p>
              </w:tc>
              <w:tc>
                <w:tcPr>
                  <w:tcW w:w="2225" w:type="dxa"/>
                  <w:vAlign w:val="center"/>
                </w:tcPr>
                <w:p w14:paraId="2EBE38E4"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97.6</w:t>
                  </w:r>
                </w:p>
              </w:tc>
            </w:tr>
            <w:tr w:rsidR="001A7F61" w:rsidRPr="00840D22" w14:paraId="6868AD95"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5F234DB3" w14:textId="77777777" w:rsidR="001A7F61" w:rsidRPr="00840D22" w:rsidRDefault="001A7F61" w:rsidP="001A7F61">
                  <w:pPr>
                    <w:jc w:val="center"/>
                    <w:rPr>
                      <w:sz w:val="18"/>
                      <w:szCs w:val="18"/>
                    </w:rPr>
                  </w:pPr>
                  <w:r w:rsidRPr="00840D22">
                    <w:rPr>
                      <w:color w:val="000000"/>
                      <w:sz w:val="18"/>
                    </w:rPr>
                    <w:lastRenderedPageBreak/>
                    <w:t xml:space="preserve">Temperature </w:t>
                  </w:r>
                  <w:r>
                    <w:rPr>
                      <w:color w:val="000000"/>
                      <w:sz w:val="18"/>
                    </w:rPr>
                    <w:t>(% captured)</w:t>
                  </w:r>
                </w:p>
              </w:tc>
            </w:tr>
            <w:tr w:rsidR="001A7F61" w:rsidRPr="00840D22" w14:paraId="1C1576E5"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12D81A01"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076A48EC"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93.7</w:t>
                  </w:r>
                </w:p>
              </w:tc>
              <w:tc>
                <w:tcPr>
                  <w:tcW w:w="2225" w:type="dxa"/>
                  <w:noWrap/>
                  <w:vAlign w:val="center"/>
                </w:tcPr>
                <w:p w14:paraId="137C2DD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94.0</w:t>
                  </w:r>
                </w:p>
              </w:tc>
              <w:tc>
                <w:tcPr>
                  <w:tcW w:w="2225" w:type="dxa"/>
                  <w:vAlign w:val="center"/>
                </w:tcPr>
                <w:p w14:paraId="1DF6B1F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95.7</w:t>
                  </w:r>
                </w:p>
              </w:tc>
            </w:tr>
            <w:tr w:rsidR="001A7F61" w:rsidRPr="00840D22" w14:paraId="66C0466A"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7E7EEAD5"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6603DDB2"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sidRPr="00840D22">
                    <w:rPr>
                      <w:sz w:val="18"/>
                      <w:szCs w:val="18"/>
                    </w:rPr>
                    <w:t>95.0</w:t>
                  </w:r>
                </w:p>
              </w:tc>
              <w:tc>
                <w:tcPr>
                  <w:tcW w:w="2225" w:type="dxa"/>
                  <w:noWrap/>
                  <w:vAlign w:val="center"/>
                </w:tcPr>
                <w:p w14:paraId="3D5CDA4B"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94.5</w:t>
                  </w:r>
                </w:p>
              </w:tc>
              <w:tc>
                <w:tcPr>
                  <w:tcW w:w="2225" w:type="dxa"/>
                  <w:vAlign w:val="center"/>
                </w:tcPr>
                <w:p w14:paraId="2E2F46EA"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95.2</w:t>
                  </w:r>
                </w:p>
              </w:tc>
            </w:tr>
            <w:tr w:rsidR="001A7F61" w:rsidRPr="00840D22" w14:paraId="172DB0CF"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795A2E51"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13AFC327"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93.6</w:t>
                  </w:r>
                </w:p>
              </w:tc>
              <w:tc>
                <w:tcPr>
                  <w:tcW w:w="2225" w:type="dxa"/>
                  <w:noWrap/>
                  <w:vAlign w:val="center"/>
                </w:tcPr>
                <w:p w14:paraId="58DE6E08"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93.8</w:t>
                  </w:r>
                </w:p>
              </w:tc>
              <w:tc>
                <w:tcPr>
                  <w:tcW w:w="2225" w:type="dxa"/>
                  <w:vAlign w:val="center"/>
                </w:tcPr>
                <w:p w14:paraId="683011F4"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94.3</w:t>
                  </w:r>
                </w:p>
              </w:tc>
            </w:tr>
            <w:tr w:rsidR="001A7F61" w:rsidRPr="00840D22" w14:paraId="156DDC41"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4EE4AFA5"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36331A7E"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93.1</w:t>
                  </w:r>
                </w:p>
              </w:tc>
              <w:tc>
                <w:tcPr>
                  <w:tcW w:w="2225" w:type="dxa"/>
                  <w:noWrap/>
                  <w:vAlign w:val="center"/>
                </w:tcPr>
                <w:p w14:paraId="618C2D89"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94.0</w:t>
                  </w:r>
                </w:p>
              </w:tc>
              <w:tc>
                <w:tcPr>
                  <w:tcW w:w="2225" w:type="dxa"/>
                  <w:vAlign w:val="center"/>
                </w:tcPr>
                <w:p w14:paraId="59BBD1D6"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94.5</w:t>
                  </w:r>
                </w:p>
              </w:tc>
            </w:tr>
            <w:tr w:rsidR="001A7F61" w:rsidRPr="00840D22" w14:paraId="44F3B15D"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32A77777"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5D9EDF81"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95.1</w:t>
                  </w:r>
                </w:p>
              </w:tc>
              <w:tc>
                <w:tcPr>
                  <w:tcW w:w="2225" w:type="dxa"/>
                  <w:noWrap/>
                  <w:vAlign w:val="center"/>
                </w:tcPr>
                <w:p w14:paraId="32F13872"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95.0</w:t>
                  </w:r>
                </w:p>
              </w:tc>
              <w:tc>
                <w:tcPr>
                  <w:tcW w:w="2225" w:type="dxa"/>
                  <w:vAlign w:val="center"/>
                </w:tcPr>
                <w:p w14:paraId="6B0F4C6C"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96.0</w:t>
                  </w:r>
                </w:p>
              </w:tc>
            </w:tr>
            <w:tr w:rsidR="001A7F61" w:rsidRPr="00840D22" w14:paraId="074BE5BC"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53E80670" w14:textId="77777777" w:rsidR="001A7F61" w:rsidRPr="00840D22" w:rsidRDefault="001A7F61" w:rsidP="001A7F61">
                  <w:pPr>
                    <w:jc w:val="center"/>
                    <w:rPr>
                      <w:sz w:val="18"/>
                      <w:szCs w:val="18"/>
                    </w:rPr>
                  </w:pPr>
                  <w:r w:rsidRPr="00840D22">
                    <w:rPr>
                      <w:color w:val="000000"/>
                      <w:sz w:val="18"/>
                    </w:rPr>
                    <w:t>Weight</w:t>
                  </w:r>
                  <w:r>
                    <w:rPr>
                      <w:color w:val="000000"/>
                      <w:sz w:val="18"/>
                    </w:rPr>
                    <w:t xml:space="preserve"> (% captured)</w:t>
                  </w:r>
                </w:p>
              </w:tc>
            </w:tr>
            <w:tr w:rsidR="001A7F61" w:rsidRPr="00840D22" w14:paraId="577D1C82"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05B9181F"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28DF00EE"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94.1</w:t>
                  </w:r>
                </w:p>
              </w:tc>
              <w:tc>
                <w:tcPr>
                  <w:tcW w:w="2225" w:type="dxa"/>
                  <w:noWrap/>
                  <w:vAlign w:val="center"/>
                </w:tcPr>
                <w:p w14:paraId="0E336FA0"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94.1</w:t>
                  </w:r>
                </w:p>
              </w:tc>
              <w:tc>
                <w:tcPr>
                  <w:tcW w:w="2225" w:type="dxa"/>
                  <w:vAlign w:val="center"/>
                </w:tcPr>
                <w:p w14:paraId="664DF356"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95.7</w:t>
                  </w:r>
                </w:p>
              </w:tc>
            </w:tr>
            <w:tr w:rsidR="001A7F61" w:rsidRPr="00840D22" w14:paraId="66DDC5D6"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75BB8123"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35561AB8"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93.7</w:t>
                  </w:r>
                </w:p>
              </w:tc>
              <w:tc>
                <w:tcPr>
                  <w:tcW w:w="2225" w:type="dxa"/>
                  <w:noWrap/>
                  <w:vAlign w:val="center"/>
                </w:tcPr>
                <w:p w14:paraId="434BDA30"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93.6</w:t>
                  </w:r>
                </w:p>
              </w:tc>
              <w:tc>
                <w:tcPr>
                  <w:tcW w:w="2225" w:type="dxa"/>
                  <w:vAlign w:val="center"/>
                </w:tcPr>
                <w:p w14:paraId="4FFE3901"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94.9</w:t>
                  </w:r>
                </w:p>
              </w:tc>
            </w:tr>
            <w:tr w:rsidR="001A7F61" w:rsidRPr="00840D22" w14:paraId="0FB4EB61"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64FB80DA"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1F8B0A6E"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94.3</w:t>
                  </w:r>
                </w:p>
              </w:tc>
              <w:tc>
                <w:tcPr>
                  <w:tcW w:w="2225" w:type="dxa"/>
                  <w:noWrap/>
                  <w:vAlign w:val="center"/>
                </w:tcPr>
                <w:p w14:paraId="341BF2A2"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94.7</w:t>
                  </w:r>
                </w:p>
              </w:tc>
              <w:tc>
                <w:tcPr>
                  <w:tcW w:w="2225" w:type="dxa"/>
                  <w:vAlign w:val="center"/>
                </w:tcPr>
                <w:p w14:paraId="2F37EE12"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95.2</w:t>
                  </w:r>
                </w:p>
              </w:tc>
            </w:tr>
            <w:tr w:rsidR="001A7F61" w:rsidRPr="00840D22" w14:paraId="41FA2887"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2AB69C9D" w14:textId="77777777" w:rsidR="001A7F61" w:rsidRPr="00840D22" w:rsidRDefault="001A7F61" w:rsidP="001A7F61">
                  <w:pPr>
                    <w:rPr>
                      <w:color w:val="000000"/>
                      <w:sz w:val="18"/>
                    </w:rPr>
                  </w:pPr>
                  <w:r w:rsidRPr="00840D22">
                    <w:rPr>
                      <w:color w:val="000000"/>
                      <w:sz w:val="18"/>
                    </w:rPr>
                    <w:t>Neurology</w:t>
                  </w:r>
                </w:p>
              </w:tc>
              <w:tc>
                <w:tcPr>
                  <w:tcW w:w="2225" w:type="dxa"/>
                  <w:vAlign w:val="center"/>
                </w:tcPr>
                <w:p w14:paraId="3AA30B9A"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91.0</w:t>
                  </w:r>
                </w:p>
              </w:tc>
              <w:tc>
                <w:tcPr>
                  <w:tcW w:w="2225" w:type="dxa"/>
                  <w:noWrap/>
                  <w:vAlign w:val="center"/>
                </w:tcPr>
                <w:p w14:paraId="1C00E13F"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91.6</w:t>
                  </w:r>
                </w:p>
              </w:tc>
              <w:tc>
                <w:tcPr>
                  <w:tcW w:w="2225" w:type="dxa"/>
                  <w:vAlign w:val="center"/>
                </w:tcPr>
                <w:p w14:paraId="68CE009B"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92.4</w:t>
                  </w:r>
                </w:p>
              </w:tc>
            </w:tr>
            <w:tr w:rsidR="001A7F61" w:rsidRPr="00840D22" w14:paraId="5D279ABC"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34F1A44D" w14:textId="77777777" w:rsidR="001A7F61" w:rsidRPr="00840D22" w:rsidRDefault="001A7F61" w:rsidP="001A7F61">
                  <w:pPr>
                    <w:rPr>
                      <w:color w:val="000000"/>
                      <w:sz w:val="18"/>
                    </w:rPr>
                  </w:pPr>
                  <w:r w:rsidRPr="00840D22">
                    <w:rPr>
                      <w:color w:val="000000"/>
                      <w:sz w:val="18"/>
                    </w:rPr>
                    <w:t xml:space="preserve">Medicine </w:t>
                  </w:r>
                </w:p>
              </w:tc>
              <w:tc>
                <w:tcPr>
                  <w:tcW w:w="2225" w:type="dxa"/>
                  <w:vAlign w:val="center"/>
                </w:tcPr>
                <w:p w14:paraId="3538EEF9"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91.1</w:t>
                  </w:r>
                </w:p>
              </w:tc>
              <w:tc>
                <w:tcPr>
                  <w:tcW w:w="2225" w:type="dxa"/>
                  <w:noWrap/>
                  <w:vAlign w:val="center"/>
                </w:tcPr>
                <w:p w14:paraId="6434877E"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91.2</w:t>
                  </w:r>
                </w:p>
              </w:tc>
              <w:tc>
                <w:tcPr>
                  <w:tcW w:w="2225" w:type="dxa"/>
                  <w:vAlign w:val="center"/>
                </w:tcPr>
                <w:p w14:paraId="4E3EE016"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92.3</w:t>
                  </w:r>
                </w:p>
              </w:tc>
            </w:tr>
            <w:tr w:rsidR="001A7F61" w:rsidRPr="00840D22" w14:paraId="5953499B"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536809F8" w14:textId="77777777" w:rsidR="001A7F61" w:rsidRPr="00840D22" w:rsidRDefault="001A7F61" w:rsidP="001A7F61">
                  <w:pPr>
                    <w:jc w:val="center"/>
                    <w:rPr>
                      <w:sz w:val="18"/>
                      <w:szCs w:val="18"/>
                    </w:rPr>
                  </w:pPr>
                  <w:r w:rsidRPr="00840D22">
                    <w:rPr>
                      <w:color w:val="000000"/>
                      <w:sz w:val="18"/>
                    </w:rPr>
                    <w:t xml:space="preserve">Oxygen Saturation  </w:t>
                  </w:r>
                  <w:r>
                    <w:rPr>
                      <w:color w:val="000000"/>
                      <w:sz w:val="18"/>
                    </w:rPr>
                    <w:t>(% captured)</w:t>
                  </w:r>
                </w:p>
              </w:tc>
            </w:tr>
            <w:tr w:rsidR="001A7F61" w:rsidRPr="00840D22" w14:paraId="0613384D"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6B3BA954"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6ADBFC8A"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93.3</w:t>
                  </w:r>
                </w:p>
              </w:tc>
              <w:tc>
                <w:tcPr>
                  <w:tcW w:w="2225" w:type="dxa"/>
                  <w:noWrap/>
                  <w:vAlign w:val="center"/>
                </w:tcPr>
                <w:p w14:paraId="14743219"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93.5</w:t>
                  </w:r>
                </w:p>
              </w:tc>
              <w:tc>
                <w:tcPr>
                  <w:tcW w:w="2225" w:type="dxa"/>
                  <w:vAlign w:val="center"/>
                </w:tcPr>
                <w:p w14:paraId="48B29537"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95.8</w:t>
                  </w:r>
                </w:p>
              </w:tc>
            </w:tr>
            <w:tr w:rsidR="001A7F61" w:rsidRPr="00840D22" w14:paraId="10D1F314"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2A6382DE"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46A04E86"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sidRPr="00840D22">
                    <w:rPr>
                      <w:sz w:val="18"/>
                      <w:szCs w:val="18"/>
                    </w:rPr>
                    <w:t>97.6</w:t>
                  </w:r>
                </w:p>
              </w:tc>
              <w:tc>
                <w:tcPr>
                  <w:tcW w:w="2225" w:type="dxa"/>
                  <w:noWrap/>
                  <w:vAlign w:val="center"/>
                </w:tcPr>
                <w:p w14:paraId="0EF13649"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97.3</w:t>
                  </w:r>
                </w:p>
              </w:tc>
              <w:tc>
                <w:tcPr>
                  <w:tcW w:w="2225" w:type="dxa"/>
                  <w:vAlign w:val="center"/>
                </w:tcPr>
                <w:p w14:paraId="56BC4C8F"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98.4</w:t>
                  </w:r>
                </w:p>
              </w:tc>
            </w:tr>
            <w:tr w:rsidR="001A7F61" w:rsidRPr="00840D22" w14:paraId="61BD8000"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6166F3AC"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459EEA2C"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96.1</w:t>
                  </w:r>
                </w:p>
              </w:tc>
              <w:tc>
                <w:tcPr>
                  <w:tcW w:w="2225" w:type="dxa"/>
                  <w:noWrap/>
                  <w:vAlign w:val="center"/>
                </w:tcPr>
                <w:p w14:paraId="7C8A67E8"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96.3</w:t>
                  </w:r>
                </w:p>
              </w:tc>
              <w:tc>
                <w:tcPr>
                  <w:tcW w:w="2225" w:type="dxa"/>
                  <w:vAlign w:val="center"/>
                </w:tcPr>
                <w:p w14:paraId="64C12BE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97.4</w:t>
                  </w:r>
                </w:p>
              </w:tc>
            </w:tr>
            <w:tr w:rsidR="001A7F61" w:rsidRPr="00840D22" w14:paraId="2933A6D9"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3DE4665A"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7E37692D"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96.2</w:t>
                  </w:r>
                </w:p>
              </w:tc>
              <w:tc>
                <w:tcPr>
                  <w:tcW w:w="2225" w:type="dxa"/>
                  <w:noWrap/>
                  <w:vAlign w:val="center"/>
                </w:tcPr>
                <w:p w14:paraId="2ECAE56D"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96.6</w:t>
                  </w:r>
                </w:p>
              </w:tc>
              <w:tc>
                <w:tcPr>
                  <w:tcW w:w="2225" w:type="dxa"/>
                  <w:vAlign w:val="center"/>
                </w:tcPr>
                <w:p w14:paraId="38D046AA"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97.4</w:t>
                  </w:r>
                </w:p>
              </w:tc>
            </w:tr>
            <w:tr w:rsidR="001A7F61" w:rsidRPr="00840D22" w14:paraId="7CD53E0C"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3D94AA6C"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0B5AD80A"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96.0</w:t>
                  </w:r>
                </w:p>
              </w:tc>
              <w:tc>
                <w:tcPr>
                  <w:tcW w:w="2225" w:type="dxa"/>
                  <w:noWrap/>
                  <w:vAlign w:val="center"/>
                </w:tcPr>
                <w:p w14:paraId="371EB334"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95.9</w:t>
                  </w:r>
                </w:p>
              </w:tc>
              <w:tc>
                <w:tcPr>
                  <w:tcW w:w="2225" w:type="dxa"/>
                  <w:vAlign w:val="center"/>
                </w:tcPr>
                <w:p w14:paraId="2FCD94E1"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97.3</w:t>
                  </w:r>
                </w:p>
              </w:tc>
            </w:tr>
            <w:tr w:rsidR="001A7F61" w:rsidRPr="00840D22" w14:paraId="54912068"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1BBA490C" w14:textId="77777777" w:rsidR="001A7F61" w:rsidRPr="00840D22" w:rsidRDefault="001A7F61" w:rsidP="001A7F61">
                  <w:pPr>
                    <w:jc w:val="center"/>
                    <w:rPr>
                      <w:sz w:val="18"/>
                      <w:szCs w:val="18"/>
                    </w:rPr>
                  </w:pPr>
                  <w:r w:rsidRPr="00840D22">
                    <w:rPr>
                      <w:color w:val="000000"/>
                      <w:sz w:val="18"/>
                    </w:rPr>
                    <w:t>Hematocrit</w:t>
                  </w:r>
                  <w:r>
                    <w:rPr>
                      <w:color w:val="000000"/>
                      <w:sz w:val="18"/>
                    </w:rPr>
                    <w:t xml:space="preserve"> (% captured)</w:t>
                  </w:r>
                </w:p>
              </w:tc>
            </w:tr>
            <w:tr w:rsidR="001A7F61" w:rsidRPr="00840D22" w14:paraId="599EC4B1"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5E9527D2"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1B258EAA"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83.3</w:t>
                  </w:r>
                </w:p>
              </w:tc>
              <w:tc>
                <w:tcPr>
                  <w:tcW w:w="2225" w:type="dxa"/>
                  <w:noWrap/>
                  <w:vAlign w:val="center"/>
                </w:tcPr>
                <w:p w14:paraId="0ADECE67"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83.8</w:t>
                  </w:r>
                </w:p>
              </w:tc>
              <w:tc>
                <w:tcPr>
                  <w:tcW w:w="2225" w:type="dxa"/>
                  <w:vAlign w:val="center"/>
                </w:tcPr>
                <w:p w14:paraId="20A0F334"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82.0</w:t>
                  </w:r>
                </w:p>
              </w:tc>
            </w:tr>
            <w:tr w:rsidR="001A7F61" w:rsidRPr="00840D22" w14:paraId="66955ADE"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3AEC99FC"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21DC30AA"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98.5</w:t>
                  </w:r>
                </w:p>
              </w:tc>
              <w:tc>
                <w:tcPr>
                  <w:tcW w:w="2225" w:type="dxa"/>
                  <w:noWrap/>
                  <w:vAlign w:val="center"/>
                </w:tcPr>
                <w:p w14:paraId="1743B49D"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98.5</w:t>
                  </w:r>
                </w:p>
              </w:tc>
              <w:tc>
                <w:tcPr>
                  <w:tcW w:w="2225" w:type="dxa"/>
                  <w:vAlign w:val="center"/>
                </w:tcPr>
                <w:p w14:paraId="1B74B01F"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99.0</w:t>
                  </w:r>
                </w:p>
              </w:tc>
            </w:tr>
            <w:tr w:rsidR="001A7F61" w:rsidRPr="00840D22" w14:paraId="551C5756"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0ACBED0A"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4C514BCF"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95.4</w:t>
                  </w:r>
                </w:p>
              </w:tc>
              <w:tc>
                <w:tcPr>
                  <w:tcW w:w="2225" w:type="dxa"/>
                  <w:noWrap/>
                  <w:vAlign w:val="center"/>
                </w:tcPr>
                <w:p w14:paraId="65D6205C"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95.5</w:t>
                  </w:r>
                </w:p>
              </w:tc>
              <w:tc>
                <w:tcPr>
                  <w:tcW w:w="2225" w:type="dxa"/>
                  <w:vAlign w:val="center"/>
                </w:tcPr>
                <w:p w14:paraId="62A4534B"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94.9</w:t>
                  </w:r>
                </w:p>
              </w:tc>
            </w:tr>
            <w:tr w:rsidR="001A7F61" w:rsidRPr="00840D22" w14:paraId="7DAE8AB6"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3B4F5815"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6DF2EF4C"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97.8</w:t>
                  </w:r>
                </w:p>
              </w:tc>
              <w:tc>
                <w:tcPr>
                  <w:tcW w:w="2225" w:type="dxa"/>
                  <w:noWrap/>
                  <w:vAlign w:val="center"/>
                </w:tcPr>
                <w:p w14:paraId="1BD3365D"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97.9</w:t>
                  </w:r>
                </w:p>
              </w:tc>
              <w:tc>
                <w:tcPr>
                  <w:tcW w:w="2225" w:type="dxa"/>
                  <w:vAlign w:val="center"/>
                </w:tcPr>
                <w:p w14:paraId="10D95C17"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98.0</w:t>
                  </w:r>
                </w:p>
              </w:tc>
            </w:tr>
            <w:tr w:rsidR="001A7F61" w:rsidRPr="00840D22" w14:paraId="4430DF49"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2C0C5657"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70590292"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97.6</w:t>
                  </w:r>
                </w:p>
              </w:tc>
              <w:tc>
                <w:tcPr>
                  <w:tcW w:w="2225" w:type="dxa"/>
                  <w:noWrap/>
                  <w:vAlign w:val="center"/>
                </w:tcPr>
                <w:p w14:paraId="21C4995F"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97.6</w:t>
                  </w:r>
                </w:p>
              </w:tc>
              <w:tc>
                <w:tcPr>
                  <w:tcW w:w="2225" w:type="dxa"/>
                  <w:vAlign w:val="center"/>
                </w:tcPr>
                <w:p w14:paraId="0E3C8E6F"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98.0</w:t>
                  </w:r>
                </w:p>
              </w:tc>
            </w:tr>
            <w:tr w:rsidR="001A7F61" w:rsidRPr="00840D22" w14:paraId="31482AEA"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14EBB33F" w14:textId="77777777" w:rsidR="001A7F61" w:rsidRPr="00840D22" w:rsidRDefault="001A7F61" w:rsidP="001A7F61">
                  <w:pPr>
                    <w:jc w:val="center"/>
                    <w:rPr>
                      <w:sz w:val="18"/>
                      <w:szCs w:val="18"/>
                    </w:rPr>
                  </w:pPr>
                  <w:r w:rsidRPr="00840D22">
                    <w:rPr>
                      <w:sz w:val="18"/>
                      <w:szCs w:val="18"/>
                    </w:rPr>
                    <w:t>WBC Count</w:t>
                  </w:r>
                  <w:r>
                    <w:rPr>
                      <w:sz w:val="18"/>
                      <w:szCs w:val="18"/>
                    </w:rPr>
                    <w:t xml:space="preserve"> </w:t>
                  </w:r>
                  <w:r>
                    <w:rPr>
                      <w:color w:val="000000"/>
                      <w:sz w:val="18"/>
                    </w:rPr>
                    <w:t>(% captured)</w:t>
                  </w:r>
                </w:p>
              </w:tc>
            </w:tr>
            <w:tr w:rsidR="001A7F61" w:rsidRPr="00840D22" w14:paraId="60D4D4A9"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38A3213C"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653EC68C"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79.4</w:t>
                  </w:r>
                </w:p>
              </w:tc>
              <w:tc>
                <w:tcPr>
                  <w:tcW w:w="2225" w:type="dxa"/>
                  <w:noWrap/>
                  <w:vAlign w:val="center"/>
                </w:tcPr>
                <w:p w14:paraId="3453DB3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80.1</w:t>
                  </w:r>
                </w:p>
              </w:tc>
              <w:tc>
                <w:tcPr>
                  <w:tcW w:w="2225" w:type="dxa"/>
                  <w:vAlign w:val="center"/>
                </w:tcPr>
                <w:p w14:paraId="100D146A"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78.6</w:t>
                  </w:r>
                </w:p>
              </w:tc>
            </w:tr>
            <w:tr w:rsidR="001A7F61" w:rsidRPr="00840D22" w14:paraId="636D24D0"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5FEF5366"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7B5F617E"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98.5</w:t>
                  </w:r>
                </w:p>
              </w:tc>
              <w:tc>
                <w:tcPr>
                  <w:tcW w:w="2225" w:type="dxa"/>
                  <w:noWrap/>
                  <w:vAlign w:val="center"/>
                </w:tcPr>
                <w:p w14:paraId="152C1F21"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98.4</w:t>
                  </w:r>
                </w:p>
              </w:tc>
              <w:tc>
                <w:tcPr>
                  <w:tcW w:w="2225" w:type="dxa"/>
                  <w:vAlign w:val="center"/>
                </w:tcPr>
                <w:p w14:paraId="58B2EE4F"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98.9</w:t>
                  </w:r>
                </w:p>
              </w:tc>
            </w:tr>
            <w:tr w:rsidR="001A7F61" w:rsidRPr="00840D22" w14:paraId="4C51F7EA"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6D2A30C7"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069E2DBE"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95.3</w:t>
                  </w:r>
                </w:p>
              </w:tc>
              <w:tc>
                <w:tcPr>
                  <w:tcW w:w="2225" w:type="dxa"/>
                  <w:noWrap/>
                  <w:vAlign w:val="center"/>
                </w:tcPr>
                <w:p w14:paraId="7D4D97A1"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95.3</w:t>
                  </w:r>
                </w:p>
              </w:tc>
              <w:tc>
                <w:tcPr>
                  <w:tcW w:w="2225" w:type="dxa"/>
                  <w:vAlign w:val="center"/>
                </w:tcPr>
                <w:p w14:paraId="24BEF1E1"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94.9</w:t>
                  </w:r>
                </w:p>
              </w:tc>
            </w:tr>
            <w:tr w:rsidR="001A7F61" w:rsidRPr="00840D22" w14:paraId="30968230"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7FA0A82B"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5160637E"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97.8</w:t>
                  </w:r>
                </w:p>
              </w:tc>
              <w:tc>
                <w:tcPr>
                  <w:tcW w:w="2225" w:type="dxa"/>
                  <w:noWrap/>
                  <w:vAlign w:val="center"/>
                </w:tcPr>
                <w:p w14:paraId="79D5CBEF"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97.8</w:t>
                  </w:r>
                </w:p>
              </w:tc>
              <w:tc>
                <w:tcPr>
                  <w:tcW w:w="2225" w:type="dxa"/>
                  <w:vAlign w:val="center"/>
                </w:tcPr>
                <w:p w14:paraId="19FD96FF"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97.9</w:t>
                  </w:r>
                </w:p>
              </w:tc>
            </w:tr>
            <w:tr w:rsidR="001A7F61" w:rsidRPr="00840D22" w14:paraId="58C8975E"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190D4534"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2D24A698"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97.4</w:t>
                  </w:r>
                </w:p>
              </w:tc>
              <w:tc>
                <w:tcPr>
                  <w:tcW w:w="2225" w:type="dxa"/>
                  <w:noWrap/>
                  <w:vAlign w:val="center"/>
                </w:tcPr>
                <w:p w14:paraId="7217F2BA"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97.4</w:t>
                  </w:r>
                </w:p>
              </w:tc>
              <w:tc>
                <w:tcPr>
                  <w:tcW w:w="2225" w:type="dxa"/>
                  <w:vAlign w:val="center"/>
                </w:tcPr>
                <w:p w14:paraId="1BC7BDC9"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97.8</w:t>
                  </w:r>
                </w:p>
              </w:tc>
            </w:tr>
            <w:tr w:rsidR="001A7F61" w:rsidRPr="00840D22" w14:paraId="6B7D25EA"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2263D8B4" w14:textId="77777777" w:rsidR="001A7F61" w:rsidRPr="00840D22" w:rsidRDefault="001A7F61" w:rsidP="001A7F61">
                  <w:pPr>
                    <w:jc w:val="center"/>
                    <w:rPr>
                      <w:sz w:val="18"/>
                      <w:szCs w:val="18"/>
                    </w:rPr>
                  </w:pPr>
                  <w:r w:rsidRPr="00840D22">
                    <w:rPr>
                      <w:color w:val="000000"/>
                      <w:sz w:val="18"/>
                    </w:rPr>
                    <w:t xml:space="preserve">Potassium </w:t>
                  </w:r>
                  <w:r>
                    <w:rPr>
                      <w:color w:val="000000"/>
                      <w:sz w:val="18"/>
                    </w:rPr>
                    <w:t>(% captured)</w:t>
                  </w:r>
                </w:p>
              </w:tc>
            </w:tr>
            <w:tr w:rsidR="001A7F61" w:rsidRPr="00840D22" w14:paraId="29C5C738"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3B246883"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7ECA2FA5"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70.6</w:t>
                  </w:r>
                </w:p>
              </w:tc>
              <w:tc>
                <w:tcPr>
                  <w:tcW w:w="2225" w:type="dxa"/>
                  <w:noWrap/>
                  <w:vAlign w:val="center"/>
                </w:tcPr>
                <w:p w14:paraId="2D92C6C7"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71.1</w:t>
                  </w:r>
                </w:p>
              </w:tc>
              <w:tc>
                <w:tcPr>
                  <w:tcW w:w="2225" w:type="dxa"/>
                  <w:vAlign w:val="center"/>
                </w:tcPr>
                <w:p w14:paraId="72E0811A"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70.0</w:t>
                  </w:r>
                </w:p>
              </w:tc>
            </w:tr>
            <w:tr w:rsidR="001A7F61" w:rsidRPr="00840D22" w14:paraId="779501F9"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23788417"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61702A8A"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96.8</w:t>
                  </w:r>
                </w:p>
              </w:tc>
              <w:tc>
                <w:tcPr>
                  <w:tcW w:w="2225" w:type="dxa"/>
                  <w:noWrap/>
                  <w:vAlign w:val="center"/>
                </w:tcPr>
                <w:p w14:paraId="271CD537"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96.5</w:t>
                  </w:r>
                </w:p>
              </w:tc>
              <w:tc>
                <w:tcPr>
                  <w:tcW w:w="2225" w:type="dxa"/>
                  <w:vAlign w:val="center"/>
                </w:tcPr>
                <w:p w14:paraId="182C53BC"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97.1</w:t>
                  </w:r>
                </w:p>
              </w:tc>
            </w:tr>
            <w:tr w:rsidR="001A7F61" w:rsidRPr="00840D22" w14:paraId="4A4FE84C"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2A79B3E1"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19F69356"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93.6</w:t>
                  </w:r>
                </w:p>
              </w:tc>
              <w:tc>
                <w:tcPr>
                  <w:tcW w:w="2225" w:type="dxa"/>
                  <w:noWrap/>
                  <w:vAlign w:val="center"/>
                </w:tcPr>
                <w:p w14:paraId="237F007E"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93.6</w:t>
                  </w:r>
                </w:p>
              </w:tc>
              <w:tc>
                <w:tcPr>
                  <w:tcW w:w="2225" w:type="dxa"/>
                  <w:vAlign w:val="center"/>
                </w:tcPr>
                <w:p w14:paraId="5A42A8BB"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93.5</w:t>
                  </w:r>
                </w:p>
              </w:tc>
            </w:tr>
            <w:tr w:rsidR="001A7F61" w:rsidRPr="00840D22" w14:paraId="20EDA387"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768F87B1"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7B559A91"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96.1</w:t>
                  </w:r>
                </w:p>
              </w:tc>
              <w:tc>
                <w:tcPr>
                  <w:tcW w:w="2225" w:type="dxa"/>
                  <w:noWrap/>
                  <w:vAlign w:val="center"/>
                </w:tcPr>
                <w:p w14:paraId="1E17A3E4"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95.9</w:t>
                  </w:r>
                </w:p>
              </w:tc>
              <w:tc>
                <w:tcPr>
                  <w:tcW w:w="2225" w:type="dxa"/>
                  <w:vAlign w:val="center"/>
                </w:tcPr>
                <w:p w14:paraId="0BF71502"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95.8</w:t>
                  </w:r>
                </w:p>
              </w:tc>
            </w:tr>
            <w:tr w:rsidR="001A7F61" w:rsidRPr="00840D22" w14:paraId="65767C3E"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57A7358D"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44BE5550"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95.6</w:t>
                  </w:r>
                </w:p>
              </w:tc>
              <w:tc>
                <w:tcPr>
                  <w:tcW w:w="2225" w:type="dxa"/>
                  <w:noWrap/>
                  <w:vAlign w:val="center"/>
                </w:tcPr>
                <w:p w14:paraId="54DBB7E7"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95.6</w:t>
                  </w:r>
                </w:p>
              </w:tc>
              <w:tc>
                <w:tcPr>
                  <w:tcW w:w="2225" w:type="dxa"/>
                  <w:vAlign w:val="center"/>
                </w:tcPr>
                <w:p w14:paraId="0C2AEA98"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95.8</w:t>
                  </w:r>
                </w:p>
              </w:tc>
            </w:tr>
            <w:tr w:rsidR="001A7F61" w:rsidRPr="00840D22" w14:paraId="67136349"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0D894B1E" w14:textId="77777777" w:rsidR="001A7F61" w:rsidRPr="00840D22" w:rsidRDefault="001A7F61" w:rsidP="001A7F61">
                  <w:pPr>
                    <w:jc w:val="center"/>
                    <w:rPr>
                      <w:sz w:val="18"/>
                      <w:szCs w:val="18"/>
                    </w:rPr>
                  </w:pPr>
                  <w:r w:rsidRPr="00840D22">
                    <w:rPr>
                      <w:sz w:val="18"/>
                      <w:szCs w:val="18"/>
                    </w:rPr>
                    <w:t>Sodium</w:t>
                  </w:r>
                  <w:r>
                    <w:rPr>
                      <w:sz w:val="18"/>
                      <w:szCs w:val="18"/>
                    </w:rPr>
                    <w:t xml:space="preserve"> </w:t>
                  </w:r>
                  <w:r>
                    <w:rPr>
                      <w:color w:val="000000"/>
                      <w:sz w:val="18"/>
                    </w:rPr>
                    <w:t>(% captured)</w:t>
                  </w:r>
                </w:p>
              </w:tc>
            </w:tr>
            <w:tr w:rsidR="001A7F61" w:rsidRPr="00840D22" w14:paraId="440BB25C"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6DD4D9DC" w14:textId="77777777" w:rsidR="001A7F61" w:rsidRPr="00840D22" w:rsidRDefault="001A7F61" w:rsidP="001A7F61">
                  <w:pPr>
                    <w:rPr>
                      <w:color w:val="000000"/>
                      <w:sz w:val="18"/>
                    </w:rPr>
                  </w:pPr>
                  <w:r w:rsidRPr="00840D22">
                    <w:rPr>
                      <w:color w:val="000000"/>
                      <w:sz w:val="18"/>
                    </w:rPr>
                    <w:lastRenderedPageBreak/>
                    <w:t>Surgery/Gynecology</w:t>
                  </w:r>
                </w:p>
              </w:tc>
              <w:tc>
                <w:tcPr>
                  <w:tcW w:w="2225" w:type="dxa"/>
                  <w:vAlign w:val="center"/>
                </w:tcPr>
                <w:p w14:paraId="19B6ADCF"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71.8</w:t>
                  </w:r>
                </w:p>
              </w:tc>
              <w:tc>
                <w:tcPr>
                  <w:tcW w:w="2225" w:type="dxa"/>
                  <w:noWrap/>
                  <w:vAlign w:val="center"/>
                </w:tcPr>
                <w:p w14:paraId="10368C6F"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72.3</w:t>
                  </w:r>
                </w:p>
              </w:tc>
              <w:tc>
                <w:tcPr>
                  <w:tcW w:w="2225" w:type="dxa"/>
                  <w:vAlign w:val="center"/>
                </w:tcPr>
                <w:p w14:paraId="17B6349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71.1</w:t>
                  </w:r>
                </w:p>
              </w:tc>
            </w:tr>
            <w:tr w:rsidR="001A7F61" w:rsidRPr="00840D22" w14:paraId="0A953AFC"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0FC64DCA"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45A2F41B"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98.7</w:t>
                  </w:r>
                </w:p>
              </w:tc>
              <w:tc>
                <w:tcPr>
                  <w:tcW w:w="2225" w:type="dxa"/>
                  <w:noWrap/>
                  <w:vAlign w:val="center"/>
                </w:tcPr>
                <w:p w14:paraId="177B92B7"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98.5</w:t>
                  </w:r>
                </w:p>
              </w:tc>
              <w:tc>
                <w:tcPr>
                  <w:tcW w:w="2225" w:type="dxa"/>
                  <w:vAlign w:val="center"/>
                </w:tcPr>
                <w:p w14:paraId="7AB84753"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99.1</w:t>
                  </w:r>
                </w:p>
              </w:tc>
            </w:tr>
            <w:tr w:rsidR="001A7F61" w:rsidRPr="00840D22" w14:paraId="49F56DB8"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1A048461"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3A5744DF"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95.0</w:t>
                  </w:r>
                </w:p>
              </w:tc>
              <w:tc>
                <w:tcPr>
                  <w:tcW w:w="2225" w:type="dxa"/>
                  <w:noWrap/>
                  <w:vAlign w:val="center"/>
                </w:tcPr>
                <w:p w14:paraId="40F9EB5D"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95.2</w:t>
                  </w:r>
                </w:p>
              </w:tc>
              <w:tc>
                <w:tcPr>
                  <w:tcW w:w="2225" w:type="dxa"/>
                  <w:vAlign w:val="center"/>
                </w:tcPr>
                <w:p w14:paraId="4EC72C25"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94.8</w:t>
                  </w:r>
                </w:p>
              </w:tc>
            </w:tr>
            <w:tr w:rsidR="001A7F61" w:rsidRPr="00840D22" w14:paraId="62374721"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677F035C"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0EB0C042"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98.0</w:t>
                  </w:r>
                </w:p>
              </w:tc>
              <w:tc>
                <w:tcPr>
                  <w:tcW w:w="2225" w:type="dxa"/>
                  <w:noWrap/>
                  <w:vAlign w:val="center"/>
                </w:tcPr>
                <w:p w14:paraId="2DCC63AB"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98.0</w:t>
                  </w:r>
                </w:p>
              </w:tc>
              <w:tc>
                <w:tcPr>
                  <w:tcW w:w="2225" w:type="dxa"/>
                  <w:vAlign w:val="center"/>
                </w:tcPr>
                <w:p w14:paraId="151859BC"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98.3</w:t>
                  </w:r>
                </w:p>
              </w:tc>
            </w:tr>
            <w:tr w:rsidR="001A7F61" w:rsidRPr="00840D22" w14:paraId="43AE2042"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7DB0A1EA"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7C40818B"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97.4</w:t>
                  </w:r>
                </w:p>
              </w:tc>
              <w:tc>
                <w:tcPr>
                  <w:tcW w:w="2225" w:type="dxa"/>
                  <w:noWrap/>
                  <w:vAlign w:val="center"/>
                </w:tcPr>
                <w:p w14:paraId="51B6B525"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97.4</w:t>
                  </w:r>
                </w:p>
              </w:tc>
              <w:tc>
                <w:tcPr>
                  <w:tcW w:w="2225" w:type="dxa"/>
                  <w:vAlign w:val="center"/>
                </w:tcPr>
                <w:p w14:paraId="69502BD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97.9</w:t>
                  </w:r>
                </w:p>
              </w:tc>
            </w:tr>
            <w:tr w:rsidR="001A7F61" w:rsidRPr="00840D22" w14:paraId="640D6A02"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0A185F51" w14:textId="77777777" w:rsidR="001A7F61" w:rsidRPr="00840D22" w:rsidRDefault="001A7F61" w:rsidP="001A7F61">
                  <w:pPr>
                    <w:jc w:val="center"/>
                    <w:rPr>
                      <w:sz w:val="18"/>
                      <w:szCs w:val="18"/>
                    </w:rPr>
                  </w:pPr>
                  <w:r w:rsidRPr="00840D22">
                    <w:rPr>
                      <w:color w:val="000000"/>
                      <w:sz w:val="18"/>
                    </w:rPr>
                    <w:t xml:space="preserve">Bicarbonate </w:t>
                  </w:r>
                  <w:r>
                    <w:rPr>
                      <w:color w:val="000000"/>
                      <w:sz w:val="18"/>
                    </w:rPr>
                    <w:t>(% captured)</w:t>
                  </w:r>
                </w:p>
              </w:tc>
            </w:tr>
            <w:tr w:rsidR="001A7F61" w:rsidRPr="00840D22" w14:paraId="5BA4E4B0"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71A8C8C8"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732B9CBC"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71.3</w:t>
                  </w:r>
                </w:p>
              </w:tc>
              <w:tc>
                <w:tcPr>
                  <w:tcW w:w="2225" w:type="dxa"/>
                  <w:noWrap/>
                  <w:vAlign w:val="center"/>
                </w:tcPr>
                <w:p w14:paraId="6B28D0B4"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71.7</w:t>
                  </w:r>
                </w:p>
              </w:tc>
              <w:tc>
                <w:tcPr>
                  <w:tcW w:w="2225" w:type="dxa"/>
                  <w:vAlign w:val="center"/>
                </w:tcPr>
                <w:p w14:paraId="17DB85B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70.8</w:t>
                  </w:r>
                </w:p>
              </w:tc>
            </w:tr>
            <w:tr w:rsidR="001A7F61" w:rsidRPr="00840D22" w14:paraId="443632F7"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5FE62AC6"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1C03CAEB"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98.8</w:t>
                  </w:r>
                </w:p>
              </w:tc>
              <w:tc>
                <w:tcPr>
                  <w:tcW w:w="2225" w:type="dxa"/>
                  <w:noWrap/>
                  <w:vAlign w:val="center"/>
                </w:tcPr>
                <w:p w14:paraId="588C5CCE"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98.5</w:t>
                  </w:r>
                </w:p>
              </w:tc>
              <w:tc>
                <w:tcPr>
                  <w:tcW w:w="2225" w:type="dxa"/>
                  <w:vAlign w:val="center"/>
                </w:tcPr>
                <w:p w14:paraId="1BD136F6"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99.1</w:t>
                  </w:r>
                </w:p>
              </w:tc>
            </w:tr>
            <w:tr w:rsidR="001A7F61" w:rsidRPr="00840D22" w14:paraId="0AB452D5"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6E4DFF06"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413D8C74"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95.0</w:t>
                  </w:r>
                </w:p>
              </w:tc>
              <w:tc>
                <w:tcPr>
                  <w:tcW w:w="2225" w:type="dxa"/>
                  <w:noWrap/>
                  <w:vAlign w:val="center"/>
                </w:tcPr>
                <w:p w14:paraId="714220F8"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95.3</w:t>
                  </w:r>
                </w:p>
              </w:tc>
              <w:tc>
                <w:tcPr>
                  <w:tcW w:w="2225" w:type="dxa"/>
                  <w:vAlign w:val="center"/>
                </w:tcPr>
                <w:p w14:paraId="10F7BA57"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94.8</w:t>
                  </w:r>
                </w:p>
              </w:tc>
            </w:tr>
            <w:tr w:rsidR="001A7F61" w:rsidRPr="00840D22" w14:paraId="699BA8C4"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42DA63D6"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4F34D3E5"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98.0</w:t>
                  </w:r>
                </w:p>
              </w:tc>
              <w:tc>
                <w:tcPr>
                  <w:tcW w:w="2225" w:type="dxa"/>
                  <w:noWrap/>
                  <w:vAlign w:val="center"/>
                </w:tcPr>
                <w:p w14:paraId="38B1D926"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97.9</w:t>
                  </w:r>
                </w:p>
              </w:tc>
              <w:tc>
                <w:tcPr>
                  <w:tcW w:w="2225" w:type="dxa"/>
                  <w:vAlign w:val="center"/>
                </w:tcPr>
                <w:p w14:paraId="19E4624B"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98.2</w:t>
                  </w:r>
                </w:p>
              </w:tc>
            </w:tr>
            <w:tr w:rsidR="001A7F61" w:rsidRPr="00840D22" w14:paraId="072AEBA2"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13A65906"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6FB1EB48"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97.4</w:t>
                  </w:r>
                </w:p>
              </w:tc>
              <w:tc>
                <w:tcPr>
                  <w:tcW w:w="2225" w:type="dxa"/>
                  <w:noWrap/>
                  <w:vAlign w:val="center"/>
                </w:tcPr>
                <w:p w14:paraId="179C1A87"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97.4</w:t>
                  </w:r>
                </w:p>
              </w:tc>
              <w:tc>
                <w:tcPr>
                  <w:tcW w:w="2225" w:type="dxa"/>
                  <w:vAlign w:val="center"/>
                </w:tcPr>
                <w:p w14:paraId="5AB259C6"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97.8</w:t>
                  </w:r>
                </w:p>
              </w:tc>
            </w:tr>
            <w:tr w:rsidR="001A7F61" w:rsidRPr="00840D22" w14:paraId="17DBD3F4"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149E4C25" w14:textId="77777777" w:rsidR="001A7F61" w:rsidRPr="00840D22" w:rsidRDefault="001A7F61" w:rsidP="001A7F61">
                  <w:pPr>
                    <w:jc w:val="center"/>
                    <w:rPr>
                      <w:sz w:val="18"/>
                      <w:szCs w:val="18"/>
                    </w:rPr>
                  </w:pPr>
                  <w:r w:rsidRPr="00840D22">
                    <w:rPr>
                      <w:sz w:val="18"/>
                      <w:szCs w:val="18"/>
                    </w:rPr>
                    <w:t>Creatinine</w:t>
                  </w:r>
                  <w:r>
                    <w:rPr>
                      <w:sz w:val="18"/>
                      <w:szCs w:val="18"/>
                    </w:rPr>
                    <w:t xml:space="preserve"> </w:t>
                  </w:r>
                  <w:r>
                    <w:rPr>
                      <w:color w:val="000000"/>
                      <w:sz w:val="18"/>
                    </w:rPr>
                    <w:t>(% captured)</w:t>
                  </w:r>
                </w:p>
              </w:tc>
            </w:tr>
            <w:tr w:rsidR="001A7F61" w:rsidRPr="00840D22" w14:paraId="123DE644"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675EE711"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3ED3768E"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72.0</w:t>
                  </w:r>
                </w:p>
              </w:tc>
              <w:tc>
                <w:tcPr>
                  <w:tcW w:w="2225" w:type="dxa"/>
                  <w:noWrap/>
                  <w:vAlign w:val="center"/>
                </w:tcPr>
                <w:p w14:paraId="5177F755"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72.2</w:t>
                  </w:r>
                </w:p>
              </w:tc>
              <w:tc>
                <w:tcPr>
                  <w:tcW w:w="2225" w:type="dxa"/>
                  <w:vAlign w:val="center"/>
                </w:tcPr>
                <w:p w14:paraId="0258583E"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71.5</w:t>
                  </w:r>
                </w:p>
              </w:tc>
            </w:tr>
            <w:tr w:rsidR="001A7F61" w:rsidRPr="00840D22" w14:paraId="0604DEC7"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6BB78AD5"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7B55ECD6"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98.7</w:t>
                  </w:r>
                </w:p>
              </w:tc>
              <w:tc>
                <w:tcPr>
                  <w:tcW w:w="2225" w:type="dxa"/>
                  <w:noWrap/>
                  <w:vAlign w:val="center"/>
                </w:tcPr>
                <w:p w14:paraId="2A6BB751"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98.5</w:t>
                  </w:r>
                </w:p>
              </w:tc>
              <w:tc>
                <w:tcPr>
                  <w:tcW w:w="2225" w:type="dxa"/>
                  <w:vAlign w:val="center"/>
                </w:tcPr>
                <w:p w14:paraId="016475B9"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99.1</w:t>
                  </w:r>
                </w:p>
              </w:tc>
            </w:tr>
            <w:tr w:rsidR="001A7F61" w:rsidRPr="00840D22" w14:paraId="7D3008B1"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03E31DFD"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3B021989"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95.2</w:t>
                  </w:r>
                </w:p>
              </w:tc>
              <w:tc>
                <w:tcPr>
                  <w:tcW w:w="2225" w:type="dxa"/>
                  <w:noWrap/>
                  <w:vAlign w:val="center"/>
                </w:tcPr>
                <w:p w14:paraId="5A9A7BD1"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95.3</w:t>
                  </w:r>
                </w:p>
              </w:tc>
              <w:tc>
                <w:tcPr>
                  <w:tcW w:w="2225" w:type="dxa"/>
                  <w:vAlign w:val="center"/>
                </w:tcPr>
                <w:p w14:paraId="738CD764"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94.8</w:t>
                  </w:r>
                </w:p>
              </w:tc>
            </w:tr>
            <w:tr w:rsidR="001A7F61" w:rsidRPr="00840D22" w14:paraId="256F0603"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36CA67C3"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0DFB6841"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98.1</w:t>
                  </w:r>
                </w:p>
              </w:tc>
              <w:tc>
                <w:tcPr>
                  <w:tcW w:w="2225" w:type="dxa"/>
                  <w:noWrap/>
                  <w:vAlign w:val="center"/>
                </w:tcPr>
                <w:p w14:paraId="00DB32E0"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98.0</w:t>
                  </w:r>
                </w:p>
              </w:tc>
              <w:tc>
                <w:tcPr>
                  <w:tcW w:w="2225" w:type="dxa"/>
                  <w:vAlign w:val="center"/>
                </w:tcPr>
                <w:p w14:paraId="743B63C2"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98.3</w:t>
                  </w:r>
                </w:p>
              </w:tc>
            </w:tr>
            <w:tr w:rsidR="001A7F61" w:rsidRPr="00840D22" w14:paraId="73B6737F"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2F465BC3"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393B03EF"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97.4</w:t>
                  </w:r>
                </w:p>
              </w:tc>
              <w:tc>
                <w:tcPr>
                  <w:tcW w:w="2225" w:type="dxa"/>
                  <w:noWrap/>
                  <w:vAlign w:val="center"/>
                </w:tcPr>
                <w:p w14:paraId="2812B53A"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97.4</w:t>
                  </w:r>
                </w:p>
              </w:tc>
              <w:tc>
                <w:tcPr>
                  <w:tcW w:w="2225" w:type="dxa"/>
                  <w:vAlign w:val="center"/>
                </w:tcPr>
                <w:p w14:paraId="70BF3DE5"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97.9</w:t>
                  </w:r>
                </w:p>
              </w:tc>
            </w:tr>
            <w:tr w:rsidR="001A7F61" w:rsidRPr="00840D22" w14:paraId="1187092F"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3979D256" w14:textId="77777777" w:rsidR="001A7F61" w:rsidRPr="00840D22" w:rsidRDefault="001A7F61" w:rsidP="001A7F61">
                  <w:pPr>
                    <w:jc w:val="center"/>
                    <w:rPr>
                      <w:sz w:val="18"/>
                      <w:szCs w:val="18"/>
                    </w:rPr>
                  </w:pPr>
                  <w:r w:rsidRPr="00840D22">
                    <w:rPr>
                      <w:sz w:val="18"/>
                      <w:szCs w:val="18"/>
                    </w:rPr>
                    <w:t>Glucose</w:t>
                  </w:r>
                  <w:r>
                    <w:rPr>
                      <w:sz w:val="18"/>
                      <w:szCs w:val="18"/>
                    </w:rPr>
                    <w:t xml:space="preserve"> </w:t>
                  </w:r>
                  <w:r>
                    <w:rPr>
                      <w:color w:val="000000"/>
                      <w:sz w:val="18"/>
                    </w:rPr>
                    <w:t>(% captured)</w:t>
                  </w:r>
                </w:p>
              </w:tc>
            </w:tr>
            <w:tr w:rsidR="001A7F61" w:rsidRPr="00840D22" w14:paraId="510640D3"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0477FEAF" w14:textId="77777777" w:rsidR="001A7F61" w:rsidRPr="00840D22" w:rsidRDefault="001A7F61" w:rsidP="001A7F61">
                  <w:pPr>
                    <w:rPr>
                      <w:color w:val="000000"/>
                      <w:sz w:val="18"/>
                    </w:rPr>
                  </w:pPr>
                  <w:r w:rsidRPr="00840D22">
                    <w:rPr>
                      <w:color w:val="000000"/>
                      <w:sz w:val="18"/>
                    </w:rPr>
                    <w:t>Surgery/Gynecology</w:t>
                  </w:r>
                </w:p>
              </w:tc>
              <w:tc>
                <w:tcPr>
                  <w:tcW w:w="2225" w:type="dxa"/>
                  <w:vAlign w:val="center"/>
                </w:tcPr>
                <w:p w14:paraId="0A72324E"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71.1</w:t>
                  </w:r>
                </w:p>
              </w:tc>
              <w:tc>
                <w:tcPr>
                  <w:tcW w:w="2225" w:type="dxa"/>
                  <w:noWrap/>
                  <w:vAlign w:val="center"/>
                </w:tcPr>
                <w:p w14:paraId="5A008CB0"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71.4</w:t>
                  </w:r>
                </w:p>
              </w:tc>
              <w:tc>
                <w:tcPr>
                  <w:tcW w:w="2225" w:type="dxa"/>
                  <w:vAlign w:val="center"/>
                </w:tcPr>
                <w:p w14:paraId="6222182C"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70.5</w:t>
                  </w:r>
                </w:p>
              </w:tc>
            </w:tr>
            <w:tr w:rsidR="001A7F61" w:rsidRPr="00840D22" w14:paraId="39D3DD9F"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77F1CD9E" w14:textId="77777777" w:rsidR="001A7F61" w:rsidRPr="00840D22" w:rsidRDefault="001A7F61" w:rsidP="001A7F61">
                  <w:pPr>
                    <w:rPr>
                      <w:color w:val="000000"/>
                      <w:sz w:val="18"/>
                    </w:rPr>
                  </w:pPr>
                  <w:r w:rsidRPr="00840D22">
                    <w:rPr>
                      <w:color w:val="000000"/>
                      <w:sz w:val="18"/>
                    </w:rPr>
                    <w:t>Cardiorespiratory</w:t>
                  </w:r>
                </w:p>
              </w:tc>
              <w:tc>
                <w:tcPr>
                  <w:tcW w:w="2225" w:type="dxa"/>
                  <w:vAlign w:val="center"/>
                </w:tcPr>
                <w:p w14:paraId="126A26FA"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sidRPr="00840D22">
                    <w:rPr>
                      <w:sz w:val="18"/>
                      <w:szCs w:val="18"/>
                    </w:rPr>
                    <w:t>98.6</w:t>
                  </w:r>
                </w:p>
              </w:tc>
              <w:tc>
                <w:tcPr>
                  <w:tcW w:w="2225" w:type="dxa"/>
                  <w:noWrap/>
                  <w:vAlign w:val="center"/>
                </w:tcPr>
                <w:p w14:paraId="0D6612F9"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98.4</w:t>
                  </w:r>
                </w:p>
              </w:tc>
              <w:tc>
                <w:tcPr>
                  <w:tcW w:w="2225" w:type="dxa"/>
                  <w:vAlign w:val="center"/>
                </w:tcPr>
                <w:p w14:paraId="1FF29F3E"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99.0</w:t>
                  </w:r>
                </w:p>
              </w:tc>
            </w:tr>
            <w:tr w:rsidR="001A7F61" w:rsidRPr="00840D22" w14:paraId="1EB97844" w14:textId="77777777" w:rsidTr="006B683E">
              <w:trPr>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0FE9FD46" w14:textId="77777777" w:rsidR="001A7F61" w:rsidRPr="00840D22" w:rsidRDefault="001A7F61" w:rsidP="001A7F61">
                  <w:pPr>
                    <w:rPr>
                      <w:color w:val="000000"/>
                      <w:sz w:val="18"/>
                    </w:rPr>
                  </w:pPr>
                  <w:r w:rsidRPr="00840D22">
                    <w:rPr>
                      <w:color w:val="000000"/>
                      <w:sz w:val="18"/>
                    </w:rPr>
                    <w:t>Cardiovascular</w:t>
                  </w:r>
                </w:p>
              </w:tc>
              <w:tc>
                <w:tcPr>
                  <w:tcW w:w="2225" w:type="dxa"/>
                  <w:vAlign w:val="center"/>
                </w:tcPr>
                <w:p w14:paraId="1EA6181C"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94.9</w:t>
                  </w:r>
                </w:p>
              </w:tc>
              <w:tc>
                <w:tcPr>
                  <w:tcW w:w="2225" w:type="dxa"/>
                  <w:noWrap/>
                  <w:vAlign w:val="center"/>
                </w:tcPr>
                <w:p w14:paraId="64F7AE0E"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95.1</w:t>
                  </w:r>
                </w:p>
              </w:tc>
              <w:tc>
                <w:tcPr>
                  <w:tcW w:w="2225" w:type="dxa"/>
                  <w:vAlign w:val="center"/>
                </w:tcPr>
                <w:p w14:paraId="0CDD3EA8"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94.6</w:t>
                  </w:r>
                </w:p>
              </w:tc>
            </w:tr>
            <w:tr w:rsidR="001A7F61" w:rsidRPr="00840D22" w14:paraId="2B52240E" w14:textId="77777777" w:rsidTr="006B683E">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4C479C3F" w14:textId="77777777" w:rsidR="001A7F61" w:rsidRPr="00840D22" w:rsidRDefault="001A7F61" w:rsidP="001A7F61">
                  <w:pPr>
                    <w:rPr>
                      <w:color w:val="000000"/>
                      <w:sz w:val="18"/>
                    </w:rPr>
                  </w:pPr>
                  <w:r w:rsidRPr="00840D22">
                    <w:rPr>
                      <w:color w:val="000000"/>
                      <w:sz w:val="18"/>
                    </w:rPr>
                    <w:t xml:space="preserve">Neurology </w:t>
                  </w:r>
                </w:p>
              </w:tc>
              <w:tc>
                <w:tcPr>
                  <w:tcW w:w="2225" w:type="dxa"/>
                  <w:vAlign w:val="center"/>
                </w:tcPr>
                <w:p w14:paraId="72420B07"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98.0</w:t>
                  </w:r>
                </w:p>
              </w:tc>
              <w:tc>
                <w:tcPr>
                  <w:tcW w:w="2225" w:type="dxa"/>
                  <w:noWrap/>
                  <w:vAlign w:val="center"/>
                </w:tcPr>
                <w:p w14:paraId="6AAE0C31"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97.9</w:t>
                  </w:r>
                </w:p>
              </w:tc>
              <w:tc>
                <w:tcPr>
                  <w:tcW w:w="2225" w:type="dxa"/>
                  <w:vAlign w:val="center"/>
                </w:tcPr>
                <w:p w14:paraId="3216AF5C" w14:textId="77777777" w:rsidR="001A7F61" w:rsidRPr="00840D22" w:rsidRDefault="001A7F61" w:rsidP="001A7F61">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98.2</w:t>
                  </w:r>
                </w:p>
              </w:tc>
            </w:tr>
            <w:tr w:rsidR="001A7F61" w:rsidRPr="00840D22" w14:paraId="03C9E2C5" w14:textId="77777777" w:rsidTr="0059261C">
              <w:trPr>
                <w:trHeight w:val="349"/>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093DF971" w14:textId="77777777" w:rsidR="001A7F61" w:rsidRPr="00840D22" w:rsidRDefault="001A7F61" w:rsidP="001A7F61">
                  <w:pPr>
                    <w:rPr>
                      <w:color w:val="000000"/>
                      <w:sz w:val="18"/>
                    </w:rPr>
                  </w:pPr>
                  <w:r w:rsidRPr="00840D22">
                    <w:rPr>
                      <w:color w:val="000000"/>
                      <w:sz w:val="18"/>
                    </w:rPr>
                    <w:t>Medicine</w:t>
                  </w:r>
                </w:p>
              </w:tc>
              <w:tc>
                <w:tcPr>
                  <w:tcW w:w="2225" w:type="dxa"/>
                  <w:vAlign w:val="center"/>
                </w:tcPr>
                <w:p w14:paraId="29971B0D"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97.3</w:t>
                  </w:r>
                </w:p>
              </w:tc>
              <w:tc>
                <w:tcPr>
                  <w:tcW w:w="2225" w:type="dxa"/>
                  <w:noWrap/>
                  <w:vAlign w:val="center"/>
                </w:tcPr>
                <w:p w14:paraId="24F581A3"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97.3</w:t>
                  </w:r>
                </w:p>
              </w:tc>
              <w:tc>
                <w:tcPr>
                  <w:tcW w:w="2225" w:type="dxa"/>
                  <w:vAlign w:val="center"/>
                </w:tcPr>
                <w:p w14:paraId="797B21BA" w14:textId="77777777" w:rsidR="001A7F61" w:rsidRPr="00840D22" w:rsidRDefault="001A7F61" w:rsidP="001A7F61">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97.8</w:t>
                  </w:r>
                </w:p>
              </w:tc>
            </w:tr>
          </w:tbl>
          <w:p w14:paraId="70F02575" w14:textId="070B2CFE" w:rsidR="001A7F61" w:rsidRDefault="001A7F61" w:rsidP="001A7F61">
            <w:pPr>
              <w:autoSpaceDE w:val="0"/>
              <w:autoSpaceDN w:val="0"/>
              <w:adjustRightInd w:val="0"/>
              <w:rPr>
                <w:rFonts w:cstheme="minorHAnsi"/>
                <w:bCs/>
              </w:rPr>
            </w:pPr>
          </w:p>
        </w:tc>
      </w:tr>
    </w:tbl>
    <w:p w14:paraId="49331CBB" w14:textId="77777777" w:rsidR="004C0403" w:rsidRDefault="004C0403" w:rsidP="008C54A9">
      <w:pPr>
        <w:autoSpaceDE w:val="0"/>
        <w:autoSpaceDN w:val="0"/>
        <w:adjustRightInd w:val="0"/>
        <w:spacing w:after="0" w:line="240" w:lineRule="auto"/>
        <w:rPr>
          <w:rFonts w:cstheme="minorHAnsi"/>
          <w:bCs/>
          <w:u w:val="single"/>
        </w:rPr>
      </w:pPr>
    </w:p>
    <w:p w14:paraId="21962BED" w14:textId="77777777" w:rsidR="004C0403" w:rsidRPr="004C0403" w:rsidRDefault="004C0403" w:rsidP="008C54A9">
      <w:pPr>
        <w:autoSpaceDE w:val="0"/>
        <w:autoSpaceDN w:val="0"/>
        <w:adjustRightInd w:val="0"/>
        <w:spacing w:after="0" w:line="240" w:lineRule="auto"/>
        <w:rPr>
          <w:rFonts w:cstheme="minorHAnsi"/>
          <w:bCs/>
          <w:u w:val="single"/>
        </w:rPr>
      </w:pPr>
      <w:r w:rsidRPr="004C0403">
        <w:rPr>
          <w:rFonts w:cstheme="minorHAnsi"/>
          <w:bCs/>
          <w:u w:val="single"/>
        </w:rPr>
        <w:t>Measure Score Reliability Results</w:t>
      </w:r>
    </w:p>
    <w:p w14:paraId="7EFD10B9" w14:textId="5636193A" w:rsidR="004C0403" w:rsidRDefault="004C0403" w:rsidP="008C54A9">
      <w:pPr>
        <w:autoSpaceDE w:val="0"/>
        <w:autoSpaceDN w:val="0"/>
        <w:adjustRightInd w:val="0"/>
        <w:spacing w:after="0" w:line="240" w:lineRule="auto"/>
        <w:rPr>
          <w:rFonts w:cstheme="minorHAnsi"/>
          <w:bCs/>
        </w:rPr>
      </w:pPr>
      <w:r>
        <w:rPr>
          <w:rFonts w:cstheme="minorHAnsi"/>
          <w:bCs/>
        </w:rPr>
        <w:t xml:space="preserve">In </w:t>
      </w:r>
      <w:r w:rsidRPr="006B683E">
        <w:rPr>
          <w:rFonts w:cstheme="minorHAnsi"/>
          <w:b/>
          <w:bCs/>
        </w:rPr>
        <w:t>Dataset 1</w:t>
      </w:r>
      <w:r w:rsidRPr="004C0403">
        <w:rPr>
          <w:rFonts w:cstheme="minorHAnsi"/>
          <w:bCs/>
        </w:rPr>
        <w:t xml:space="preserve">, </w:t>
      </w:r>
      <w:r>
        <w:rPr>
          <w:rFonts w:cstheme="minorHAnsi"/>
          <w:bCs/>
        </w:rPr>
        <w:t>there were</w:t>
      </w:r>
      <w:r w:rsidRPr="004C0403">
        <w:rPr>
          <w:rFonts w:cstheme="minorHAnsi"/>
          <w:bCs/>
        </w:rPr>
        <w:t xml:space="preserve"> </w:t>
      </w:r>
      <w:r>
        <w:rPr>
          <w:rFonts w:cstheme="minorHAnsi"/>
          <w:bCs/>
        </w:rPr>
        <w:t>81,589</w:t>
      </w:r>
      <w:r w:rsidRPr="004C0403">
        <w:rPr>
          <w:rFonts w:cstheme="minorHAnsi"/>
          <w:bCs/>
        </w:rPr>
        <w:t xml:space="preserve"> in</w:t>
      </w:r>
      <w:r>
        <w:rPr>
          <w:rFonts w:cstheme="minorHAnsi"/>
          <w:bCs/>
        </w:rPr>
        <w:t xml:space="preserve"> the development</w:t>
      </w:r>
      <w:r w:rsidRPr="004C0403">
        <w:rPr>
          <w:rFonts w:cstheme="minorHAnsi"/>
          <w:bCs/>
        </w:rPr>
        <w:t xml:space="preserve"> sample and </w:t>
      </w:r>
      <w:r>
        <w:rPr>
          <w:rFonts w:cstheme="minorHAnsi"/>
          <w:bCs/>
        </w:rPr>
        <w:t>79,813</w:t>
      </w:r>
      <w:r w:rsidRPr="004C0403">
        <w:rPr>
          <w:rFonts w:cstheme="minorHAnsi"/>
          <w:bCs/>
        </w:rPr>
        <w:t xml:space="preserve"> in the </w:t>
      </w:r>
      <w:r>
        <w:rPr>
          <w:rFonts w:cstheme="minorHAnsi"/>
          <w:bCs/>
        </w:rPr>
        <w:t xml:space="preserve">validation </w:t>
      </w:r>
      <w:r w:rsidRPr="004C0403">
        <w:rPr>
          <w:rFonts w:cstheme="minorHAnsi"/>
          <w:bCs/>
        </w:rPr>
        <w:t>sample. The agreement between the two</w:t>
      </w:r>
      <w:r>
        <w:rPr>
          <w:rFonts w:cstheme="minorHAnsi"/>
          <w:bCs/>
        </w:rPr>
        <w:t xml:space="preserve"> </w:t>
      </w:r>
      <w:r w:rsidRPr="004C0403">
        <w:rPr>
          <w:rFonts w:cstheme="minorHAnsi"/>
          <w:bCs/>
        </w:rPr>
        <w:t>RSRRs for each hospital was 0.688, which according to the conventional interpretation is “</w:t>
      </w:r>
      <w:r>
        <w:rPr>
          <w:rFonts w:cstheme="minorHAnsi"/>
          <w:bCs/>
        </w:rPr>
        <w:t>moderate</w:t>
      </w:r>
      <w:r w:rsidRPr="004C0403">
        <w:rPr>
          <w:rFonts w:cstheme="minorHAnsi"/>
          <w:bCs/>
        </w:rPr>
        <w:t>”</w:t>
      </w:r>
      <w:r w:rsidR="00DA1CBB">
        <w:rPr>
          <w:rFonts w:cstheme="minorHAnsi"/>
          <w:bCs/>
        </w:rPr>
        <w:t xml:space="preserve"> </w:t>
      </w:r>
      <w:r w:rsidRPr="004C0403">
        <w:rPr>
          <w:rFonts w:cstheme="minorHAnsi"/>
          <w:bCs/>
        </w:rPr>
        <w:t>(Landis &amp; Koch, 1977).</w:t>
      </w:r>
    </w:p>
    <w:p w14:paraId="33CEDA36" w14:textId="77777777" w:rsidR="004C0403" w:rsidRPr="00A25024" w:rsidRDefault="004C0403" w:rsidP="008C54A9">
      <w:pPr>
        <w:autoSpaceDE w:val="0"/>
        <w:autoSpaceDN w:val="0"/>
        <w:adjustRightInd w:val="0"/>
        <w:spacing w:after="0" w:line="240" w:lineRule="auto"/>
        <w:rPr>
          <w:rFonts w:cstheme="minorHAnsi"/>
          <w:bCs/>
        </w:rPr>
      </w:pPr>
    </w:p>
    <w:p w14:paraId="0C16616E" w14:textId="77777777" w:rsidR="005C6C5C"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tbl>
      <w:tblPr>
        <w:tblStyle w:val="TableGrid"/>
        <w:tblW w:w="0" w:type="auto"/>
        <w:tblLook w:val="04A0" w:firstRow="1" w:lastRow="0" w:firstColumn="1" w:lastColumn="0" w:noHBand="0" w:noVBand="1"/>
      </w:tblPr>
      <w:tblGrid>
        <w:gridCol w:w="9350"/>
      </w:tblGrid>
      <w:tr w:rsidR="005C6C5C" w14:paraId="657A5D4C" w14:textId="77777777" w:rsidTr="003A41AC">
        <w:trPr>
          <w:trHeight w:val="1340"/>
        </w:trPr>
        <w:tc>
          <w:tcPr>
            <w:tcW w:w="9350" w:type="dxa"/>
          </w:tcPr>
          <w:p w14:paraId="490DA8F6" w14:textId="2811303E" w:rsidR="0017267D" w:rsidRDefault="003A41AC" w:rsidP="00617FA0">
            <w:pPr>
              <w:autoSpaceDE w:val="0"/>
              <w:autoSpaceDN w:val="0"/>
              <w:adjustRightInd w:val="0"/>
            </w:pPr>
            <w:r w:rsidRPr="003A41AC">
              <w:t>The stability over time of the odds ratios</w:t>
            </w:r>
            <w:r>
              <w:t xml:space="preserve"> or variable coefficients</w:t>
            </w:r>
            <w:r w:rsidRPr="003A41AC">
              <w:t xml:space="preserve"> and </w:t>
            </w:r>
            <w:r>
              <w:t xml:space="preserve">the </w:t>
            </w:r>
            <w:r w:rsidRPr="003A41AC">
              <w:t>model variable frequencie</w:t>
            </w:r>
            <w:r>
              <w:t>s and rates of capture for clinical data elements</w:t>
            </w:r>
            <w:r w:rsidRPr="003A41AC">
              <w:t xml:space="preserve"> suggests that the underlying data elements are reliable. </w:t>
            </w:r>
          </w:p>
          <w:p w14:paraId="2CB49DA9" w14:textId="77777777" w:rsidR="003A41AC" w:rsidRPr="00FB569E" w:rsidRDefault="003A41AC" w:rsidP="00617FA0">
            <w:pPr>
              <w:autoSpaceDE w:val="0"/>
              <w:autoSpaceDN w:val="0"/>
              <w:adjustRightInd w:val="0"/>
            </w:pPr>
          </w:p>
          <w:p w14:paraId="2C17C401" w14:textId="77777777" w:rsidR="0017267D" w:rsidRPr="0000644A" w:rsidRDefault="0017267D" w:rsidP="00617FA0">
            <w:pPr>
              <w:autoSpaceDE w:val="0"/>
              <w:autoSpaceDN w:val="0"/>
              <w:adjustRightInd w:val="0"/>
            </w:pPr>
            <w:r w:rsidRPr="0000644A">
              <w:t>Measure Testing</w:t>
            </w:r>
          </w:p>
          <w:p w14:paraId="2CDAEB1C" w14:textId="0D3A3177" w:rsidR="0017267D" w:rsidRPr="00440D88" w:rsidRDefault="0017267D" w:rsidP="00FE4BC5">
            <w:pPr>
              <w:autoSpaceDE w:val="0"/>
              <w:autoSpaceDN w:val="0"/>
              <w:adjustRightInd w:val="0"/>
              <w:rPr>
                <w:color w:val="FF0000"/>
              </w:rPr>
            </w:pPr>
            <w:r w:rsidRPr="00FB569E">
              <w:t>For the hospital event rate based on the patient binomial outcomes like readmission (Yes/No), an ICC value of 0-0.2 indicates poor agreement</w:t>
            </w:r>
            <w:r w:rsidR="0000644A">
              <w:t>;</w:t>
            </w:r>
            <w:r w:rsidRPr="00FB569E">
              <w:t xml:space="preserve"> 0.3-0.4 indicates fair agreement; 0.5-0.6 indicates moderate agreement; 0.7-0.8 indicates strong agreement; and &gt;0.8 indicates almost perfect agreement. The ICC of 0.</w:t>
            </w:r>
            <w:r w:rsidR="00FE4BC5">
              <w:t>688</w:t>
            </w:r>
            <w:r w:rsidR="00FE4BC5" w:rsidRPr="00FB569E">
              <w:t xml:space="preserve"> </w:t>
            </w:r>
            <w:r w:rsidRPr="00FB569E">
              <w:t>is moderate to strong</w:t>
            </w:r>
            <w:r w:rsidR="00396A76">
              <w:t xml:space="preserve"> in </w:t>
            </w:r>
            <w:r w:rsidR="00396A76" w:rsidRPr="00FE4BC5">
              <w:rPr>
                <w:b/>
              </w:rPr>
              <w:t>Dataset 1</w:t>
            </w:r>
            <w:r w:rsidRPr="00FE4BC5">
              <w:rPr>
                <w:b/>
              </w:rPr>
              <w:t>.</w:t>
            </w:r>
          </w:p>
        </w:tc>
      </w:tr>
    </w:tbl>
    <w:p w14:paraId="1DECB46F" w14:textId="211DB786" w:rsidR="007422FD" w:rsidRPr="00A25024" w:rsidRDefault="007422FD" w:rsidP="00DB3627">
      <w:pPr>
        <w:autoSpaceDE w:val="0"/>
        <w:autoSpaceDN w:val="0"/>
        <w:adjustRightInd w:val="0"/>
        <w:spacing w:after="0" w:line="240" w:lineRule="auto"/>
        <w:rPr>
          <w:rFonts w:cstheme="minorHAnsi"/>
          <w:bCs/>
        </w:rPr>
      </w:pPr>
    </w:p>
    <w:p w14:paraId="1CD2C93D"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5D7EE480"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6810FD4E" w14:textId="76039603"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eiryo"/>
            <w14:uncheckedState w14:val="2610" w14:font="Meiryo"/>
          </w14:checkbox>
        </w:sdtPr>
        <w:sdtEndPr/>
        <w:sdtContent>
          <w:r w:rsidR="008D1448">
            <w:rPr>
              <w:rFonts w:ascii="Meiryo" w:eastAsia="Meiryo" w:hAnsi="Meiryo" w:cs="Meiryo"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6ED28E5F" w14:textId="029EE143" w:rsidR="00696262" w:rsidRPr="00A25024" w:rsidRDefault="004C33A9"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eiryo"/>
            <w14:uncheckedState w14:val="2610" w14:font="Meiryo"/>
          </w14:checkbox>
        </w:sdtPr>
        <w:sdtEndPr/>
        <w:sdtContent>
          <w:r w:rsidR="008D1448">
            <w:rPr>
              <w:rFonts w:ascii="Meiryo" w:eastAsia="Meiryo" w:hAnsi="Meiryo" w:cs="Meiryo"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1EACC814" w14:textId="243477AC" w:rsidR="000574AB" w:rsidRPr="00A25024" w:rsidRDefault="004C33A9"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eiryo"/>
            <w14:uncheckedState w14:val="2610" w14:font="Meiryo"/>
          </w14:checkbox>
        </w:sdtPr>
        <w:sdtEndPr/>
        <w:sdtContent>
          <w:r w:rsidR="00E86B0C">
            <w:rPr>
              <w:rFonts w:ascii="Meiryo" w:eastAsia="Meiryo" w:hAnsi="Meiryo" w:cs="Meiryo"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eiryo"/>
            <w14:uncheckedState w14:val="2610" w14:font="Meiryo"/>
          </w14:checkbox>
        </w:sdtPr>
        <w:sdtEndPr/>
        <w:sdtContent>
          <w:r w:rsidR="008D1448">
            <w:rPr>
              <w:rFonts w:ascii="Meiryo" w:eastAsia="Meiryo" w:hAnsi="Meiryo" w:cs="Meiryo"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65845A97" w14:textId="77777777" w:rsidR="00CA06D8" w:rsidRPr="00A25024" w:rsidRDefault="00CA06D8" w:rsidP="00DB3627">
      <w:pPr>
        <w:autoSpaceDE w:val="0"/>
        <w:autoSpaceDN w:val="0"/>
        <w:adjustRightInd w:val="0"/>
        <w:spacing w:after="0" w:line="240" w:lineRule="auto"/>
        <w:rPr>
          <w:rFonts w:cstheme="minorHAnsi"/>
        </w:rPr>
      </w:pPr>
    </w:p>
    <w:p w14:paraId="21943CF5" w14:textId="77777777" w:rsidR="00D50704" w:rsidRPr="00A25024" w:rsidRDefault="00D50704" w:rsidP="00DB3627">
      <w:pPr>
        <w:autoSpaceDE w:val="0"/>
        <w:autoSpaceDN w:val="0"/>
        <w:adjustRightInd w:val="0"/>
        <w:spacing w:after="0" w:line="240" w:lineRule="auto"/>
        <w:rPr>
          <w:rFonts w:cstheme="minorHAnsi"/>
          <w:bCs/>
        </w:rPr>
      </w:pPr>
    </w:p>
    <w:p w14:paraId="3BABBDF0" w14:textId="77777777" w:rsidR="008B48CE"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tbl>
      <w:tblPr>
        <w:tblStyle w:val="TableGrid"/>
        <w:tblW w:w="0" w:type="auto"/>
        <w:tblLook w:val="04A0" w:firstRow="1" w:lastRow="0" w:firstColumn="1" w:lastColumn="0" w:noHBand="0" w:noVBand="1"/>
      </w:tblPr>
      <w:tblGrid>
        <w:gridCol w:w="9350"/>
      </w:tblGrid>
      <w:tr w:rsidR="003925F5" w14:paraId="3587BF86" w14:textId="77777777" w:rsidTr="003925F5">
        <w:tc>
          <w:tcPr>
            <w:tcW w:w="9350" w:type="dxa"/>
          </w:tcPr>
          <w:p w14:paraId="41E6A2DA" w14:textId="77777777" w:rsidR="003925F5" w:rsidRPr="003925F5" w:rsidRDefault="003925F5" w:rsidP="003925F5">
            <w:pPr>
              <w:autoSpaceDE w:val="0"/>
              <w:autoSpaceDN w:val="0"/>
              <w:adjustRightInd w:val="0"/>
              <w:rPr>
                <w:rFonts w:cstheme="minorHAnsi"/>
                <w:bCs/>
              </w:rPr>
            </w:pPr>
            <w:r w:rsidRPr="003925F5">
              <w:rPr>
                <w:rFonts w:cstheme="minorHAnsi"/>
                <w:bCs/>
                <w:u w:val="single"/>
              </w:rPr>
              <w:t xml:space="preserve">Validity of EHR Data Elements </w:t>
            </w:r>
          </w:p>
          <w:p w14:paraId="48024D0D" w14:textId="77777777" w:rsidR="003925F5" w:rsidRDefault="003925F5" w:rsidP="003925F5">
            <w:pPr>
              <w:autoSpaceDE w:val="0"/>
              <w:autoSpaceDN w:val="0"/>
              <w:adjustRightInd w:val="0"/>
              <w:rPr>
                <w:rFonts w:cstheme="minorHAnsi"/>
                <w:bCs/>
              </w:rPr>
            </w:pPr>
            <w:r w:rsidRPr="003925F5">
              <w:rPr>
                <w:rFonts w:cstheme="minorHAnsi"/>
                <w:bCs/>
              </w:rPr>
              <w:t xml:space="preserve">Several critical clinical data elements used in the measure’s risk models were derived from patients’ electronic medical records. When this measure is implemented, CMS intends to obtain these critical data elements from hospital EHRs and merge the data with claims data to calculate and report measure results. We tested the validity of electronic extraction of these critical data elements as part of a </w:t>
            </w:r>
            <w:r w:rsidRPr="003925F5">
              <w:rPr>
                <w:rFonts w:cstheme="minorHAnsi"/>
                <w:bCs/>
                <w:iCs/>
              </w:rPr>
              <w:t>more</w:t>
            </w:r>
            <w:r w:rsidRPr="003925F5">
              <w:rPr>
                <w:rFonts w:cstheme="minorHAnsi"/>
                <w:bCs/>
              </w:rPr>
              <w:t xml:space="preserve"> comprehensive evaluation of a larger set of core clinical data elements (CCDEs). The CCDE are a set of 21 EHR data elements that are captured on most adults (plus Troponin, which is a condition-specific CCDE for patients with acute myocardial infarction) admitted to acute care hospitals, are easily extracted from EHRs, and can be used to risk adjust hospital outcome measures for a variety of conditions and procedures. All of the critical data elements used in the Hybrid HWR measure are included in the CCDE. Testing of the CCDE involved three phases: 1) identification of potentially feasible clinical data through qualitative assessment, 2) empirical feasibility testing of several clinical data elements electronically extracted from two large multi-facility health systems, and 3) validity testing of the CCDE at an additional health system.</w:t>
            </w:r>
          </w:p>
          <w:p w14:paraId="14334F23" w14:textId="77777777" w:rsidR="003925F5" w:rsidRPr="003925F5" w:rsidRDefault="003925F5" w:rsidP="003925F5">
            <w:pPr>
              <w:autoSpaceDE w:val="0"/>
              <w:autoSpaceDN w:val="0"/>
              <w:adjustRightInd w:val="0"/>
              <w:rPr>
                <w:rFonts w:cstheme="minorHAnsi"/>
                <w:bCs/>
              </w:rPr>
            </w:pPr>
          </w:p>
          <w:p w14:paraId="1B52CCFB" w14:textId="77777777" w:rsidR="003925F5" w:rsidRPr="003925F5" w:rsidRDefault="003925F5" w:rsidP="003925F5">
            <w:pPr>
              <w:autoSpaceDE w:val="0"/>
              <w:autoSpaceDN w:val="0"/>
              <w:adjustRightInd w:val="0"/>
              <w:rPr>
                <w:rFonts w:cstheme="minorHAnsi"/>
                <w:bCs/>
              </w:rPr>
            </w:pPr>
            <w:r w:rsidRPr="003925F5">
              <w:rPr>
                <w:rFonts w:cstheme="minorHAnsi"/>
                <w:b/>
                <w:bCs/>
              </w:rPr>
              <w:t>Phase 1: Identification of potentially feasible clinical data through qualitative assessment</w:t>
            </w:r>
          </w:p>
          <w:p w14:paraId="528E8A2E" w14:textId="77777777" w:rsidR="003925F5" w:rsidRPr="003925F5" w:rsidRDefault="003925F5" w:rsidP="003925F5">
            <w:pPr>
              <w:autoSpaceDE w:val="0"/>
              <w:autoSpaceDN w:val="0"/>
              <w:adjustRightInd w:val="0"/>
              <w:rPr>
                <w:rFonts w:cstheme="minorHAnsi"/>
                <w:bCs/>
              </w:rPr>
            </w:pPr>
            <w:r w:rsidRPr="003925F5">
              <w:rPr>
                <w:rFonts w:cstheme="minorHAnsi"/>
                <w:bCs/>
              </w:rPr>
              <w:t>In order to identify the CCDEs for risk adjustment of hospital outcome measures for adult patients, we first conducted a qualitative assessment of the reliable capture, accuracy, and extractability of categories and subcategories of clinical data as defined by the Quality Data Model (QDM) (e.g., vital signs, laboratory test results). We established a set of criteria to assess the consistency of data capture, relevance to hospital quality measures, and extractability from health records.</w:t>
            </w:r>
          </w:p>
          <w:p w14:paraId="4DDDC62B" w14:textId="77777777" w:rsidR="003925F5" w:rsidRDefault="003925F5" w:rsidP="003925F5">
            <w:pPr>
              <w:autoSpaceDE w:val="0"/>
              <w:autoSpaceDN w:val="0"/>
              <w:adjustRightInd w:val="0"/>
              <w:rPr>
                <w:rFonts w:cstheme="minorHAnsi"/>
                <w:bCs/>
              </w:rPr>
            </w:pPr>
          </w:p>
          <w:p w14:paraId="4157EE1D" w14:textId="77777777" w:rsidR="003925F5" w:rsidRPr="003925F5" w:rsidRDefault="003925F5" w:rsidP="003925F5">
            <w:pPr>
              <w:autoSpaceDE w:val="0"/>
              <w:autoSpaceDN w:val="0"/>
              <w:adjustRightInd w:val="0"/>
              <w:rPr>
                <w:rFonts w:cstheme="minorHAnsi"/>
                <w:bCs/>
              </w:rPr>
            </w:pPr>
            <w:r w:rsidRPr="003925F5">
              <w:rPr>
                <w:rFonts w:cstheme="minorHAnsi"/>
                <w:bCs/>
              </w:rPr>
              <w:t xml:space="preserve">Data Capture Criteria: </w:t>
            </w:r>
          </w:p>
          <w:p w14:paraId="65569B7C" w14:textId="4C77BBC0" w:rsidR="003925F5" w:rsidRPr="003925F5" w:rsidRDefault="003925F5" w:rsidP="003925F5">
            <w:pPr>
              <w:pStyle w:val="ListParagraph"/>
              <w:numPr>
                <w:ilvl w:val="0"/>
                <w:numId w:val="40"/>
              </w:numPr>
              <w:autoSpaceDE w:val="0"/>
              <w:autoSpaceDN w:val="0"/>
              <w:adjustRightInd w:val="0"/>
              <w:rPr>
                <w:rFonts w:cstheme="minorHAnsi"/>
                <w:bCs/>
              </w:rPr>
            </w:pPr>
            <w:r w:rsidRPr="003925F5">
              <w:rPr>
                <w:rFonts w:cstheme="minorHAnsi"/>
                <w:bCs/>
                <w:u w:val="single"/>
              </w:rPr>
              <w:t>Obtained consistently under current practice.</w:t>
            </w:r>
            <w:r w:rsidRPr="003925F5">
              <w:rPr>
                <w:rFonts w:cstheme="minorHAnsi"/>
                <w:bCs/>
              </w:rPr>
              <w:t xml:space="preserve"> Routinely collected for patients admitted to the hospital under current clinical practice and EHR workflows.</w:t>
            </w:r>
          </w:p>
          <w:p w14:paraId="4697D2CA" w14:textId="77777777" w:rsidR="003925F5" w:rsidRPr="003925F5" w:rsidRDefault="003925F5" w:rsidP="003925F5">
            <w:pPr>
              <w:pStyle w:val="ListParagraph"/>
              <w:numPr>
                <w:ilvl w:val="0"/>
                <w:numId w:val="40"/>
              </w:numPr>
              <w:autoSpaceDE w:val="0"/>
              <w:autoSpaceDN w:val="0"/>
              <w:adjustRightInd w:val="0"/>
              <w:rPr>
                <w:rFonts w:cstheme="minorHAnsi"/>
                <w:bCs/>
              </w:rPr>
            </w:pPr>
            <w:r w:rsidRPr="003925F5">
              <w:rPr>
                <w:rFonts w:cstheme="minorHAnsi"/>
                <w:bCs/>
                <w:u w:val="single"/>
              </w:rPr>
              <w:t>Captured with a standard definition</w:t>
            </w:r>
            <w:r w:rsidRPr="003925F5">
              <w:rPr>
                <w:rFonts w:cstheme="minorHAnsi"/>
                <w:bCs/>
              </w:rPr>
              <w:t>. Consistent conceptual understanding, method of collection, and units of measurement.</w:t>
            </w:r>
          </w:p>
          <w:p w14:paraId="497E7B0E" w14:textId="77777777" w:rsidR="003925F5" w:rsidRPr="003925F5" w:rsidRDefault="003925F5" w:rsidP="003925F5">
            <w:pPr>
              <w:pStyle w:val="ListParagraph"/>
              <w:numPr>
                <w:ilvl w:val="0"/>
                <w:numId w:val="40"/>
              </w:numPr>
              <w:autoSpaceDE w:val="0"/>
              <w:autoSpaceDN w:val="0"/>
              <w:adjustRightInd w:val="0"/>
              <w:rPr>
                <w:rFonts w:cstheme="minorHAnsi"/>
                <w:bCs/>
              </w:rPr>
            </w:pPr>
            <w:r w:rsidRPr="003925F5">
              <w:rPr>
                <w:rFonts w:cstheme="minorHAnsi"/>
                <w:bCs/>
                <w:u w:val="single"/>
              </w:rPr>
              <w:t>Entered in a structured field</w:t>
            </w:r>
            <w:r w:rsidRPr="003925F5">
              <w:rPr>
                <w:rFonts w:cstheme="minorHAnsi"/>
                <w:bCs/>
              </w:rPr>
              <w:t>. Captured in numerical, pseudo-numerical, or list format.</w:t>
            </w:r>
          </w:p>
          <w:p w14:paraId="1443A29A" w14:textId="77777777" w:rsidR="003925F5" w:rsidRPr="003925F5" w:rsidRDefault="003925F5" w:rsidP="003925F5">
            <w:pPr>
              <w:pStyle w:val="ListParagraph"/>
              <w:numPr>
                <w:ilvl w:val="0"/>
                <w:numId w:val="40"/>
              </w:numPr>
              <w:autoSpaceDE w:val="0"/>
              <w:autoSpaceDN w:val="0"/>
              <w:adjustRightInd w:val="0"/>
              <w:rPr>
                <w:rFonts w:cstheme="minorHAnsi"/>
                <w:bCs/>
              </w:rPr>
            </w:pPr>
            <w:r w:rsidRPr="003925F5">
              <w:rPr>
                <w:rFonts w:cstheme="minorHAnsi"/>
                <w:bCs/>
              </w:rPr>
              <w:lastRenderedPageBreak/>
              <w:t>Data Extraction Criteria:</w:t>
            </w:r>
          </w:p>
          <w:p w14:paraId="01C1B19C" w14:textId="77777777" w:rsidR="003925F5" w:rsidRPr="003925F5" w:rsidRDefault="003925F5" w:rsidP="003925F5">
            <w:pPr>
              <w:pStyle w:val="ListParagraph"/>
              <w:numPr>
                <w:ilvl w:val="0"/>
                <w:numId w:val="40"/>
              </w:numPr>
              <w:autoSpaceDE w:val="0"/>
              <w:autoSpaceDN w:val="0"/>
              <w:adjustRightInd w:val="0"/>
              <w:rPr>
                <w:rFonts w:cstheme="minorHAnsi"/>
                <w:bCs/>
              </w:rPr>
            </w:pPr>
            <w:r w:rsidRPr="003925F5">
              <w:rPr>
                <w:rFonts w:cstheme="minorHAnsi"/>
                <w:bCs/>
                <w:u w:val="single"/>
              </w:rPr>
              <w:t>Encoded consistently</w:t>
            </w:r>
            <w:r w:rsidRPr="003925F5">
              <w:rPr>
                <w:rFonts w:cstheme="minorHAnsi"/>
                <w:bCs/>
              </w:rPr>
              <w:t>. Can be linked to a standard and uniform coding structure such as ICD-9 or Systematized Nomenclature of Medicine Clinical Terms (SNOMED-CT).</w:t>
            </w:r>
          </w:p>
          <w:p w14:paraId="7EC761F8" w14:textId="77777777" w:rsidR="003925F5" w:rsidRPr="003925F5" w:rsidRDefault="003925F5" w:rsidP="003925F5">
            <w:pPr>
              <w:pStyle w:val="ListParagraph"/>
              <w:numPr>
                <w:ilvl w:val="0"/>
                <w:numId w:val="40"/>
              </w:numPr>
              <w:autoSpaceDE w:val="0"/>
              <w:autoSpaceDN w:val="0"/>
              <w:adjustRightInd w:val="0"/>
              <w:rPr>
                <w:rFonts w:cstheme="minorHAnsi"/>
                <w:bCs/>
              </w:rPr>
            </w:pPr>
            <w:r w:rsidRPr="003925F5">
              <w:rPr>
                <w:rFonts w:cstheme="minorHAnsi"/>
                <w:bCs/>
                <w:u w:val="single"/>
              </w:rPr>
              <w:t>Extractable from the EHR</w:t>
            </w:r>
            <w:r w:rsidRPr="003925F5">
              <w:rPr>
                <w:rFonts w:cstheme="minorHAnsi"/>
                <w:bCs/>
              </w:rPr>
              <w:t>. Can be readily and consistently identified and exported from current EHR databases.</w:t>
            </w:r>
          </w:p>
          <w:p w14:paraId="42065F0E" w14:textId="77777777" w:rsidR="003925F5" w:rsidRPr="003925F5" w:rsidRDefault="003925F5" w:rsidP="003925F5">
            <w:pPr>
              <w:pStyle w:val="ListParagraph"/>
              <w:numPr>
                <w:ilvl w:val="0"/>
                <w:numId w:val="40"/>
              </w:numPr>
              <w:autoSpaceDE w:val="0"/>
              <w:autoSpaceDN w:val="0"/>
              <w:adjustRightInd w:val="0"/>
              <w:rPr>
                <w:rFonts w:cstheme="minorHAnsi"/>
                <w:bCs/>
              </w:rPr>
            </w:pPr>
            <w:r w:rsidRPr="003925F5">
              <w:rPr>
                <w:rFonts w:cstheme="minorHAnsi"/>
                <w:bCs/>
                <w:u w:val="single"/>
              </w:rPr>
              <w:t>Exported with metadata</w:t>
            </w:r>
            <w:r w:rsidRPr="003925F5">
              <w:rPr>
                <w:rFonts w:cstheme="minorHAnsi"/>
                <w:bCs/>
              </w:rPr>
              <w:t>. Additional information such as time stamps and reference values that are needed for interpretation are consistently available.</w:t>
            </w:r>
          </w:p>
          <w:p w14:paraId="561556CB" w14:textId="77777777" w:rsidR="00AE0BCA" w:rsidRDefault="00AE0BCA" w:rsidP="00AE0BCA">
            <w:pPr>
              <w:autoSpaceDE w:val="0"/>
              <w:autoSpaceDN w:val="0"/>
              <w:adjustRightInd w:val="0"/>
              <w:rPr>
                <w:rFonts w:cstheme="minorHAnsi"/>
                <w:bCs/>
              </w:rPr>
            </w:pPr>
          </w:p>
          <w:p w14:paraId="09798584" w14:textId="77777777" w:rsidR="003925F5" w:rsidRPr="00AE0BCA" w:rsidRDefault="003925F5" w:rsidP="00AE0BCA">
            <w:pPr>
              <w:autoSpaceDE w:val="0"/>
              <w:autoSpaceDN w:val="0"/>
              <w:adjustRightInd w:val="0"/>
              <w:rPr>
                <w:rFonts w:cstheme="minorHAnsi"/>
                <w:bCs/>
              </w:rPr>
            </w:pPr>
            <w:r w:rsidRPr="00AE0BCA">
              <w:rPr>
                <w:rFonts w:cstheme="minorHAnsi"/>
                <w:bCs/>
              </w:rPr>
              <w:t>These criteria are aligned with those established in the NQF’s eMeasure Feasibility Assessment Report as well as the NQF feasibility criteria (see included Data Element Feasibility Scorecard). The NQF report emphasized four key aspects of feasibility. First, data should be structured or easily converted to a structured and interpretable format. Second, data should be accurate. Third, data should be easily associated with a standard set of codes to ensure consistent extraction across EHR environments. Finally, data should not require changes to current clinical practice or workflows.</w:t>
            </w:r>
          </w:p>
          <w:p w14:paraId="3833D48A" w14:textId="77777777" w:rsidR="00AE0BCA" w:rsidRDefault="00AE0BCA" w:rsidP="00AE0BCA">
            <w:pPr>
              <w:autoSpaceDE w:val="0"/>
              <w:autoSpaceDN w:val="0"/>
              <w:adjustRightInd w:val="0"/>
              <w:rPr>
                <w:rFonts w:cstheme="minorHAnsi"/>
                <w:bCs/>
              </w:rPr>
            </w:pPr>
          </w:p>
          <w:p w14:paraId="1603BBDF" w14:textId="77777777" w:rsidR="003925F5" w:rsidRPr="00AE0BCA" w:rsidRDefault="003925F5" w:rsidP="00AE0BCA">
            <w:pPr>
              <w:autoSpaceDE w:val="0"/>
              <w:autoSpaceDN w:val="0"/>
              <w:adjustRightInd w:val="0"/>
              <w:rPr>
                <w:rFonts w:cstheme="minorHAnsi"/>
                <w:bCs/>
              </w:rPr>
            </w:pPr>
            <w:r w:rsidRPr="00AE0BCA">
              <w:rPr>
                <w:rFonts w:cstheme="minorHAnsi"/>
                <w:bCs/>
              </w:rPr>
              <w:t xml:space="preserve">We then convened a Technical Expert Panel (TEP) to apply these criteria to categories and subcategories (data types) of clinical data based on the Quality Data Model (QDM). We asked TEP members to consider only the context of adult hospitalized patients when making their assessments. Data categories and subcategories were rated on each feasibility criterion independently by TEP members. The ratings were tallied and TEP members met to discuss and resolve areas of disagreement. Through this process the TEP identified a list of data subcategories that were potentially feasible for use in hospital outcome measures. The CCDE were derived from only those subcategories for which the TEP reached consensus agreement on feasibility. </w:t>
            </w:r>
          </w:p>
          <w:p w14:paraId="286AA25F" w14:textId="77777777" w:rsidR="003925F5" w:rsidRDefault="003925F5" w:rsidP="003925F5">
            <w:pPr>
              <w:autoSpaceDE w:val="0"/>
              <w:autoSpaceDN w:val="0"/>
              <w:adjustRightInd w:val="0"/>
              <w:rPr>
                <w:rFonts w:cstheme="minorHAnsi"/>
                <w:b/>
                <w:bCs/>
              </w:rPr>
            </w:pPr>
          </w:p>
          <w:p w14:paraId="284B2637" w14:textId="77777777" w:rsidR="003925F5" w:rsidRPr="003925F5" w:rsidRDefault="003925F5" w:rsidP="003925F5">
            <w:pPr>
              <w:autoSpaceDE w:val="0"/>
              <w:autoSpaceDN w:val="0"/>
              <w:adjustRightInd w:val="0"/>
              <w:rPr>
                <w:rFonts w:cstheme="minorHAnsi"/>
                <w:b/>
                <w:bCs/>
              </w:rPr>
            </w:pPr>
            <w:r w:rsidRPr="003925F5">
              <w:rPr>
                <w:rFonts w:cstheme="minorHAnsi"/>
                <w:b/>
                <w:bCs/>
              </w:rPr>
              <w:t>Phase 2: Empirical feasibility testing using a large multi-site database</w:t>
            </w:r>
          </w:p>
          <w:p w14:paraId="6605DB67" w14:textId="77777777" w:rsidR="003925F5" w:rsidRDefault="003925F5" w:rsidP="003925F5">
            <w:pPr>
              <w:autoSpaceDE w:val="0"/>
              <w:autoSpaceDN w:val="0"/>
              <w:adjustRightInd w:val="0"/>
              <w:rPr>
                <w:rFonts w:cstheme="minorHAnsi"/>
                <w:bCs/>
              </w:rPr>
            </w:pPr>
            <w:r w:rsidRPr="003925F5">
              <w:rPr>
                <w:rFonts w:cstheme="minorHAnsi"/>
                <w:bCs/>
              </w:rPr>
              <w:t xml:space="preserve">In </w:t>
            </w:r>
            <w:r w:rsidRPr="003925F5">
              <w:rPr>
                <w:rFonts w:cstheme="minorHAnsi"/>
                <w:b/>
                <w:bCs/>
              </w:rPr>
              <w:t>Dataset 1</w:t>
            </w:r>
            <w:r w:rsidRPr="003925F5">
              <w:rPr>
                <w:rFonts w:cstheme="minorHAnsi"/>
                <w:bCs/>
              </w:rPr>
              <w:t xml:space="preserve">, we next directly examined the feasibility of clinical data elements from the subcategories identified by the TEP as feasible (for all adult inpatient admissions). We examined all admissions in </w:t>
            </w:r>
            <w:r w:rsidRPr="003925F5">
              <w:rPr>
                <w:rFonts w:cstheme="minorHAnsi"/>
                <w:b/>
                <w:bCs/>
              </w:rPr>
              <w:t>Dataset 1</w:t>
            </w:r>
            <w:r w:rsidRPr="003925F5">
              <w:rPr>
                <w:rFonts w:cstheme="minorHAnsi"/>
                <w:bCs/>
              </w:rPr>
              <w:t xml:space="preserve"> between 2010 and 2011. We analyzed clinical data elements to determine whether they were captured in a numerical field, the consistency and timing of capture, and the accuracy of the data elements. We examined the data elements across conditions, hospitals, and point of hospital entry. We tested several data elements that met the feasibility criteria in models predicting 30-day mortality following admission for several common medical conditions. The complete list of 21 (plus Troponin) CCDE were derived from these analyses.</w:t>
            </w:r>
          </w:p>
          <w:p w14:paraId="376D8AB3" w14:textId="77777777" w:rsidR="00AE0BCA" w:rsidRPr="003925F5" w:rsidRDefault="00AE0BCA" w:rsidP="003925F5">
            <w:pPr>
              <w:autoSpaceDE w:val="0"/>
              <w:autoSpaceDN w:val="0"/>
              <w:adjustRightInd w:val="0"/>
              <w:rPr>
                <w:rFonts w:cstheme="minorHAnsi"/>
                <w:bCs/>
              </w:rPr>
            </w:pPr>
          </w:p>
          <w:p w14:paraId="09BEECF1" w14:textId="77777777" w:rsidR="003925F5" w:rsidRPr="003925F5" w:rsidRDefault="003925F5" w:rsidP="003925F5">
            <w:pPr>
              <w:autoSpaceDE w:val="0"/>
              <w:autoSpaceDN w:val="0"/>
              <w:adjustRightInd w:val="0"/>
              <w:rPr>
                <w:rFonts w:cstheme="minorHAnsi"/>
                <w:bCs/>
              </w:rPr>
            </w:pPr>
            <w:r w:rsidRPr="003925F5">
              <w:rPr>
                <w:rFonts w:cstheme="minorHAnsi"/>
                <w:bCs/>
              </w:rPr>
              <w:t xml:space="preserve">To verify that the findings from our analysis of </w:t>
            </w:r>
            <w:r w:rsidRPr="003925F5">
              <w:rPr>
                <w:rFonts w:cstheme="minorHAnsi"/>
                <w:b/>
                <w:bCs/>
              </w:rPr>
              <w:t>Dataset 1</w:t>
            </w:r>
            <w:r w:rsidRPr="003925F5">
              <w:rPr>
                <w:rFonts w:cstheme="minorHAnsi"/>
                <w:bCs/>
              </w:rPr>
              <w:t xml:space="preserve"> were generalizable to other hospitals and electronic health systems, we partnered with Premier Inc., a collaborative healthcare alliance of approximately 2,900 U.S. community hospitals focused on measuring and improving their members’ quality outcomes and safely reducing healthcare costs. We administered a survey to four of their member hospital systems that used a variety of EHR systems to confirm the availability of the clinical data elements. Additionally, we assessed the rate and timing of capture of the data elements identified in </w:t>
            </w:r>
            <w:r w:rsidRPr="003925F5">
              <w:rPr>
                <w:rFonts w:cstheme="minorHAnsi"/>
                <w:b/>
                <w:bCs/>
              </w:rPr>
              <w:t>Dataset 1</w:t>
            </w:r>
            <w:r w:rsidRPr="003925F5">
              <w:rPr>
                <w:rFonts w:cstheme="minorHAnsi"/>
                <w:bCs/>
              </w:rPr>
              <w:t xml:space="preserve"> in ERH abstracted from a second health system consisting of three hospitals (</w:t>
            </w:r>
            <w:r w:rsidRPr="003925F5">
              <w:rPr>
                <w:rFonts w:cstheme="minorHAnsi"/>
                <w:b/>
                <w:bCs/>
              </w:rPr>
              <w:t>Dataset 2</w:t>
            </w:r>
            <w:r w:rsidRPr="003925F5">
              <w:rPr>
                <w:rFonts w:cstheme="minorHAnsi"/>
                <w:bCs/>
              </w:rPr>
              <w:t xml:space="preserve">). </w:t>
            </w:r>
          </w:p>
          <w:p w14:paraId="1DDD0E05" w14:textId="77777777" w:rsidR="003925F5" w:rsidRDefault="003925F5" w:rsidP="003925F5">
            <w:pPr>
              <w:autoSpaceDE w:val="0"/>
              <w:autoSpaceDN w:val="0"/>
              <w:adjustRightInd w:val="0"/>
              <w:rPr>
                <w:rFonts w:cstheme="minorHAnsi"/>
                <w:b/>
                <w:bCs/>
              </w:rPr>
            </w:pPr>
          </w:p>
          <w:p w14:paraId="7C9489F3" w14:textId="77777777" w:rsidR="003925F5" w:rsidRPr="003925F5" w:rsidRDefault="003925F5" w:rsidP="003925F5">
            <w:pPr>
              <w:autoSpaceDE w:val="0"/>
              <w:autoSpaceDN w:val="0"/>
              <w:adjustRightInd w:val="0"/>
              <w:rPr>
                <w:rFonts w:cstheme="minorHAnsi"/>
                <w:b/>
                <w:bCs/>
              </w:rPr>
            </w:pPr>
            <w:r w:rsidRPr="003925F5">
              <w:rPr>
                <w:rFonts w:cstheme="minorHAnsi"/>
                <w:b/>
                <w:bCs/>
              </w:rPr>
              <w:t>Phase 3: Validity testing at two hospital sites the CCDE (including critical data elements for the Hybrid HWR measure)</w:t>
            </w:r>
          </w:p>
          <w:p w14:paraId="697D3C84" w14:textId="77777777" w:rsidR="003925F5" w:rsidRPr="003925F5" w:rsidRDefault="003925F5" w:rsidP="003925F5">
            <w:pPr>
              <w:autoSpaceDE w:val="0"/>
              <w:autoSpaceDN w:val="0"/>
              <w:adjustRightInd w:val="0"/>
              <w:rPr>
                <w:rFonts w:cstheme="minorHAnsi"/>
                <w:bCs/>
              </w:rPr>
            </w:pPr>
            <w:r w:rsidRPr="003925F5">
              <w:rPr>
                <w:rFonts w:cstheme="minorHAnsi"/>
                <w:bCs/>
              </w:rPr>
              <w:t xml:space="preserve">In Phase 3, we developed electronic specifications (e-specifications) using the Measure Authoring Tool (MAT), and analyzed extracted data from EHRs. We assessed the ability of hospitals to use the e-specifications to query and electronically extract CCDEs from the EHR, for all adult inpatient </w:t>
            </w:r>
            <w:r w:rsidRPr="003925F5">
              <w:rPr>
                <w:rFonts w:cstheme="minorHAnsi"/>
                <w:bCs/>
              </w:rPr>
              <w:lastRenderedPageBreak/>
              <w:t xml:space="preserve">admissions occurring over the course of one year. Validity testing assessed the accuracy of the electronically extracted CCDEs compared to the same CCDEs gathered through manual abstraction (from the EHR) in a subset of 368 charts identified in the data query in </w:t>
            </w:r>
            <w:r w:rsidRPr="003925F5">
              <w:rPr>
                <w:rFonts w:cstheme="minorHAnsi"/>
                <w:b/>
                <w:bCs/>
              </w:rPr>
              <w:t>Dataset 2</w:t>
            </w:r>
            <w:r w:rsidRPr="003925F5">
              <w:rPr>
                <w:rFonts w:cstheme="minorHAnsi"/>
                <w:bCs/>
              </w:rPr>
              <w:t xml:space="preserve">, and 391 charts identified in the data query in </w:t>
            </w:r>
            <w:r w:rsidRPr="003925F5">
              <w:rPr>
                <w:rFonts w:cstheme="minorHAnsi"/>
                <w:b/>
                <w:bCs/>
              </w:rPr>
              <w:t>Dataset 3</w:t>
            </w:r>
            <w:r w:rsidRPr="003925F5">
              <w:rPr>
                <w:rFonts w:cstheme="minorHAnsi"/>
                <w:bCs/>
              </w:rPr>
              <w:t>.</w:t>
            </w:r>
          </w:p>
          <w:p w14:paraId="446F8D30" w14:textId="77777777" w:rsidR="003925F5" w:rsidRDefault="003925F5" w:rsidP="003925F5">
            <w:pPr>
              <w:autoSpaceDE w:val="0"/>
              <w:autoSpaceDN w:val="0"/>
              <w:adjustRightInd w:val="0"/>
              <w:rPr>
                <w:rFonts w:cstheme="minorHAnsi"/>
                <w:bCs/>
                <w:i/>
              </w:rPr>
            </w:pPr>
          </w:p>
          <w:p w14:paraId="04877CEE" w14:textId="77777777" w:rsidR="003925F5" w:rsidRPr="003925F5" w:rsidRDefault="003925F5" w:rsidP="003925F5">
            <w:pPr>
              <w:autoSpaceDE w:val="0"/>
              <w:autoSpaceDN w:val="0"/>
              <w:adjustRightInd w:val="0"/>
              <w:rPr>
                <w:rFonts w:cstheme="minorHAnsi"/>
                <w:bCs/>
              </w:rPr>
            </w:pPr>
            <w:r w:rsidRPr="003925F5">
              <w:rPr>
                <w:rFonts w:cstheme="minorHAnsi"/>
                <w:bCs/>
                <w:i/>
              </w:rPr>
              <w:t>Chart Abstraction</w:t>
            </w:r>
            <w:r w:rsidRPr="003925F5">
              <w:rPr>
                <w:rFonts w:cstheme="minorHAnsi"/>
                <w:bCs/>
              </w:rPr>
              <w:t>: We calculated the number of admissions that needed to be randomly sampled from the EHR dataset and manually abstracted to yield a statistical margin of error (MOE) of 5% and a confidence level of 95% for the match rates between the two data sources. Sites then used an Access-based manual abstraction tool provided (along with training) to manually abstract the CCDEs from the random samples of the medical records identified through the EHR data query. The manual chart abstraction data is considered the “gold standard” for the purpose of this analysis.</w:t>
            </w:r>
          </w:p>
          <w:p w14:paraId="06884D32" w14:textId="77777777" w:rsidR="003925F5" w:rsidRDefault="003925F5" w:rsidP="003925F5">
            <w:pPr>
              <w:autoSpaceDE w:val="0"/>
              <w:autoSpaceDN w:val="0"/>
              <w:adjustRightInd w:val="0"/>
              <w:rPr>
                <w:rFonts w:cstheme="minorHAnsi"/>
                <w:bCs/>
                <w:i/>
              </w:rPr>
            </w:pPr>
          </w:p>
          <w:p w14:paraId="5CD07C4B" w14:textId="77777777" w:rsidR="003925F5" w:rsidRPr="003925F5" w:rsidRDefault="003925F5" w:rsidP="003925F5">
            <w:pPr>
              <w:autoSpaceDE w:val="0"/>
              <w:autoSpaceDN w:val="0"/>
              <w:adjustRightInd w:val="0"/>
              <w:rPr>
                <w:rFonts w:cstheme="minorHAnsi"/>
                <w:bCs/>
              </w:rPr>
            </w:pPr>
            <w:r w:rsidRPr="003925F5">
              <w:rPr>
                <w:rFonts w:cstheme="minorHAnsi"/>
                <w:bCs/>
                <w:i/>
              </w:rPr>
              <w:t>Validity Testing</w:t>
            </w:r>
            <w:r w:rsidRPr="003925F5">
              <w:rPr>
                <w:rFonts w:cstheme="minorHAnsi"/>
                <w:bCs/>
              </w:rPr>
              <w:t xml:space="preserve">: We conducted validity testing on the critical EHR data elements in the Hybrid HWR measure. For each continuous data element, we were only interested in the case where the electronic abstraction value exactly matched the manual abstraction value. We therefore only calculated the raw agreement rate between data from electronic and manual chart abstraction. For simple data values, we believe taking this approach, as compared to reporting statistical tests of accuracy, better reflects the concept of matching exact data values rather than calculated measure results. Therefore, we do not report statistical testing of the accuracy of the EHR derived data value as compared with the abstracted value. Instead, we counted only exact matches in the data value as well as the time and date stamp associated with that value when we calculated the match rate. The 95% confidence level was established based on the sample size and reflects the exact match rate using these criteria. </w:t>
            </w:r>
          </w:p>
          <w:p w14:paraId="36063A13" w14:textId="77777777" w:rsidR="003925F5" w:rsidRDefault="003925F5" w:rsidP="003925F5">
            <w:pPr>
              <w:autoSpaceDE w:val="0"/>
              <w:autoSpaceDN w:val="0"/>
              <w:adjustRightInd w:val="0"/>
              <w:rPr>
                <w:rFonts w:cstheme="minorHAnsi"/>
                <w:bCs/>
                <w:u w:val="single"/>
              </w:rPr>
            </w:pPr>
          </w:p>
          <w:p w14:paraId="453D2E2D" w14:textId="77777777" w:rsidR="003925F5" w:rsidRPr="003925F5" w:rsidRDefault="003925F5" w:rsidP="003925F5">
            <w:pPr>
              <w:autoSpaceDE w:val="0"/>
              <w:autoSpaceDN w:val="0"/>
              <w:adjustRightInd w:val="0"/>
              <w:rPr>
                <w:rFonts w:cstheme="minorHAnsi"/>
                <w:bCs/>
                <w:u w:val="single"/>
              </w:rPr>
            </w:pPr>
            <w:r w:rsidRPr="003925F5">
              <w:rPr>
                <w:rFonts w:cstheme="minorHAnsi"/>
                <w:bCs/>
                <w:u w:val="single"/>
              </w:rPr>
              <w:t xml:space="preserve">Validation Against Other Risk Models and Registry Data </w:t>
            </w:r>
          </w:p>
          <w:p w14:paraId="57214186" w14:textId="77777777" w:rsidR="003925F5" w:rsidRPr="003925F5" w:rsidRDefault="003925F5" w:rsidP="003925F5">
            <w:pPr>
              <w:autoSpaceDE w:val="0"/>
              <w:autoSpaceDN w:val="0"/>
              <w:adjustRightInd w:val="0"/>
              <w:rPr>
                <w:rFonts w:cstheme="minorHAnsi"/>
                <w:bCs/>
              </w:rPr>
            </w:pPr>
            <w:r w:rsidRPr="003925F5">
              <w:rPr>
                <w:rFonts w:cstheme="minorHAnsi"/>
                <w:bCs/>
              </w:rPr>
              <w:t>The Hybrid model we developed uses a combination of claims data (demographics, comorbidities, and patient medical history) and electronic clinical data (laboratory results and vital signs).</w:t>
            </w:r>
          </w:p>
          <w:p w14:paraId="31DB8EF7" w14:textId="77777777" w:rsidR="003925F5" w:rsidRPr="003925F5" w:rsidRDefault="003925F5" w:rsidP="003925F5">
            <w:pPr>
              <w:autoSpaceDE w:val="0"/>
              <w:autoSpaceDN w:val="0"/>
              <w:adjustRightInd w:val="0"/>
              <w:rPr>
                <w:rFonts w:cstheme="minorHAnsi"/>
                <w:bCs/>
              </w:rPr>
            </w:pPr>
            <w:r w:rsidRPr="003925F5">
              <w:rPr>
                <w:rFonts w:cstheme="minorHAnsi"/>
                <w:bCs/>
              </w:rPr>
              <w:t xml:space="preserve">We compared the Hybrid risk model to the harmonized claims-only risk model used in the publicly reported Hospital-Wide All Cause Unplanned Readmission Measure. Both models use inpatient administrative claims data to derive the cohort, to derive risk variables, and to assess the unplanned readmission outcome. </w:t>
            </w:r>
          </w:p>
          <w:p w14:paraId="27EECC9C" w14:textId="77777777" w:rsidR="003925F5" w:rsidRDefault="003925F5" w:rsidP="003925F5">
            <w:pPr>
              <w:autoSpaceDE w:val="0"/>
              <w:autoSpaceDN w:val="0"/>
              <w:adjustRightInd w:val="0"/>
              <w:rPr>
                <w:rFonts w:cstheme="minorHAnsi"/>
                <w:bCs/>
              </w:rPr>
            </w:pPr>
          </w:p>
          <w:p w14:paraId="4F08790A" w14:textId="77777777" w:rsidR="003925F5" w:rsidRPr="003925F5" w:rsidRDefault="003925F5" w:rsidP="003925F5">
            <w:pPr>
              <w:autoSpaceDE w:val="0"/>
              <w:autoSpaceDN w:val="0"/>
              <w:adjustRightInd w:val="0"/>
              <w:rPr>
                <w:rFonts w:cstheme="minorHAnsi"/>
                <w:bCs/>
              </w:rPr>
            </w:pPr>
            <w:r w:rsidRPr="003925F5">
              <w:rPr>
                <w:rFonts w:cstheme="minorHAnsi"/>
                <w:bCs/>
              </w:rPr>
              <w:t xml:space="preserve">Measure validity was tested through comparison of this Hybrid risk adjustment model with claims-only risk-adjustment model, and through use of established measure development guidelines. </w:t>
            </w:r>
          </w:p>
          <w:p w14:paraId="13185046" w14:textId="77777777" w:rsidR="003925F5" w:rsidRPr="003925F5" w:rsidRDefault="003925F5" w:rsidP="003925F5">
            <w:pPr>
              <w:autoSpaceDE w:val="0"/>
              <w:autoSpaceDN w:val="0"/>
              <w:adjustRightInd w:val="0"/>
              <w:rPr>
                <w:rFonts w:cstheme="minorHAnsi"/>
                <w:bCs/>
              </w:rPr>
            </w:pPr>
            <w:r w:rsidRPr="003925F5">
              <w:rPr>
                <w:rFonts w:cstheme="minorHAnsi"/>
                <w:bCs/>
              </w:rPr>
              <w:t xml:space="preserve">For the derivation of both risk models, we used </w:t>
            </w:r>
            <w:r w:rsidRPr="003925F5">
              <w:rPr>
                <w:rFonts w:cstheme="minorHAnsi"/>
                <w:b/>
                <w:bCs/>
              </w:rPr>
              <w:t>Dataset 1</w:t>
            </w:r>
            <w:r w:rsidRPr="003925F5">
              <w:rPr>
                <w:rFonts w:cstheme="minorHAnsi"/>
                <w:bCs/>
              </w:rPr>
              <w:t>. Both the Hybrid and claims-only risk models used the same inclusion/exclusion criteria and a risk-adjustment (statistical modeling) strategy and only differed with respect to the risk variables used. We compared the model discrimination and the correlation in hospital performance results for the two models.</w:t>
            </w:r>
          </w:p>
          <w:p w14:paraId="3230BA93" w14:textId="77777777" w:rsidR="003925F5" w:rsidRDefault="003925F5" w:rsidP="003925F5">
            <w:pPr>
              <w:autoSpaceDE w:val="0"/>
              <w:autoSpaceDN w:val="0"/>
              <w:adjustRightInd w:val="0"/>
              <w:rPr>
                <w:rFonts w:cstheme="minorHAnsi"/>
                <w:bCs/>
                <w:u w:val="single"/>
              </w:rPr>
            </w:pPr>
          </w:p>
          <w:p w14:paraId="26CC4687" w14:textId="77777777" w:rsidR="003925F5" w:rsidRPr="003925F5" w:rsidRDefault="003925F5" w:rsidP="003925F5">
            <w:pPr>
              <w:autoSpaceDE w:val="0"/>
              <w:autoSpaceDN w:val="0"/>
              <w:adjustRightInd w:val="0"/>
              <w:rPr>
                <w:rFonts w:cstheme="minorHAnsi"/>
                <w:bCs/>
                <w:u w:val="single"/>
              </w:rPr>
            </w:pPr>
            <w:r w:rsidRPr="003925F5">
              <w:rPr>
                <w:rFonts w:cstheme="minorHAnsi"/>
                <w:bCs/>
                <w:u w:val="single"/>
              </w:rPr>
              <w:t xml:space="preserve">Validity Indicated by Established Measure Development Guidelines </w:t>
            </w:r>
          </w:p>
          <w:p w14:paraId="05BA6C42" w14:textId="77777777" w:rsidR="003925F5" w:rsidRPr="003925F5" w:rsidRDefault="003925F5" w:rsidP="003925F5">
            <w:pPr>
              <w:autoSpaceDE w:val="0"/>
              <w:autoSpaceDN w:val="0"/>
              <w:adjustRightInd w:val="0"/>
              <w:rPr>
                <w:rFonts w:cstheme="minorHAnsi"/>
                <w:bCs/>
              </w:rPr>
            </w:pPr>
            <w:r w:rsidRPr="003925F5">
              <w:rPr>
                <w:rFonts w:cstheme="minorHAnsi"/>
                <w:bCs/>
              </w:rPr>
              <w:t>We developed this measure in consultation with national guidelines for publicly reported outcomes measures, with outside experts, and with the public. The measure is consistent with the technical approach to outcomes measurement set forth in NQF guidance for outcomes measures (National Quality Forum, 2010), CMS Measure Management System (MMS) guidance, and the guidance articulated in the American Heart Association scientific statement, “Standards for Statistical Models Used for Public Reporting of Health Outcomes” (Krumholz, Brindis, et al., 2006).</w:t>
            </w:r>
          </w:p>
          <w:p w14:paraId="1272689B" w14:textId="77777777" w:rsidR="003925F5" w:rsidRDefault="003925F5" w:rsidP="003925F5">
            <w:pPr>
              <w:autoSpaceDE w:val="0"/>
              <w:autoSpaceDN w:val="0"/>
              <w:adjustRightInd w:val="0"/>
              <w:rPr>
                <w:rFonts w:cstheme="minorHAnsi"/>
                <w:bCs/>
                <w:u w:val="single"/>
              </w:rPr>
            </w:pPr>
          </w:p>
          <w:p w14:paraId="006EC355" w14:textId="77777777" w:rsidR="00AE0BCA" w:rsidRDefault="00AE0BCA" w:rsidP="003925F5">
            <w:pPr>
              <w:autoSpaceDE w:val="0"/>
              <w:autoSpaceDN w:val="0"/>
              <w:adjustRightInd w:val="0"/>
              <w:rPr>
                <w:rFonts w:cstheme="minorHAnsi"/>
                <w:bCs/>
                <w:u w:val="single"/>
              </w:rPr>
            </w:pPr>
          </w:p>
          <w:p w14:paraId="3448403D" w14:textId="77777777" w:rsidR="00AE0BCA" w:rsidRDefault="00AE0BCA" w:rsidP="003925F5">
            <w:pPr>
              <w:autoSpaceDE w:val="0"/>
              <w:autoSpaceDN w:val="0"/>
              <w:adjustRightInd w:val="0"/>
              <w:rPr>
                <w:rFonts w:cstheme="minorHAnsi"/>
                <w:bCs/>
                <w:u w:val="single"/>
              </w:rPr>
            </w:pPr>
          </w:p>
          <w:p w14:paraId="5BD7D0D4" w14:textId="77777777" w:rsidR="003925F5" w:rsidRPr="003925F5" w:rsidRDefault="003925F5" w:rsidP="003925F5">
            <w:pPr>
              <w:autoSpaceDE w:val="0"/>
              <w:autoSpaceDN w:val="0"/>
              <w:adjustRightInd w:val="0"/>
              <w:rPr>
                <w:rFonts w:cstheme="minorHAnsi"/>
                <w:bCs/>
                <w:u w:val="single"/>
              </w:rPr>
            </w:pPr>
            <w:r w:rsidRPr="003925F5">
              <w:rPr>
                <w:rFonts w:cstheme="minorHAnsi"/>
                <w:bCs/>
                <w:u w:val="single"/>
              </w:rPr>
              <w:lastRenderedPageBreak/>
              <w:t>Validity as Assessed by External Groups</w:t>
            </w:r>
          </w:p>
          <w:p w14:paraId="01733F58" w14:textId="77777777" w:rsidR="003925F5" w:rsidRPr="003925F5" w:rsidRDefault="003925F5" w:rsidP="003925F5">
            <w:pPr>
              <w:autoSpaceDE w:val="0"/>
              <w:autoSpaceDN w:val="0"/>
              <w:adjustRightInd w:val="0"/>
              <w:rPr>
                <w:rFonts w:cstheme="minorHAnsi"/>
                <w:bCs/>
              </w:rPr>
            </w:pPr>
            <w:r w:rsidRPr="003925F5">
              <w:rPr>
                <w:rFonts w:cstheme="minorHAnsi"/>
                <w:bCs/>
              </w:rPr>
              <w:t xml:space="preserve">Following completion of the preliminary model, we solicited public comment on the measure through the CMS site link: </w:t>
            </w:r>
            <w:hyperlink r:id="rId9" w:history="1">
              <w:r w:rsidRPr="003925F5">
                <w:rPr>
                  <w:rStyle w:val="Hyperlink"/>
                  <w:rFonts w:cstheme="minorHAnsi"/>
                  <w:bCs/>
                </w:rPr>
                <w:t>https://www.cms.gov/Medicare/Quality-Initiatives-Patient-Assessment-Instruments/MMS/CallforPublicComment.html</w:t>
              </w:r>
            </w:hyperlink>
            <w:r w:rsidRPr="003925F5">
              <w:rPr>
                <w:rFonts w:cstheme="minorHAnsi"/>
                <w:bCs/>
              </w:rPr>
              <w:t>. The public comments were then posted publicly for 30 days. The resulting input was taken into consideration during the final stages of measure development and contributed to minor modifications to the measure.</w:t>
            </w:r>
          </w:p>
          <w:p w14:paraId="4A23B58F" w14:textId="77777777" w:rsidR="003925F5" w:rsidRDefault="003925F5" w:rsidP="003925F5">
            <w:pPr>
              <w:autoSpaceDE w:val="0"/>
              <w:autoSpaceDN w:val="0"/>
              <w:adjustRightInd w:val="0"/>
              <w:rPr>
                <w:rFonts w:cstheme="minorHAnsi"/>
                <w:bCs/>
                <w:u w:val="single"/>
              </w:rPr>
            </w:pPr>
          </w:p>
          <w:p w14:paraId="3D51BCC7" w14:textId="77777777" w:rsidR="003925F5" w:rsidRPr="003925F5" w:rsidRDefault="003925F5" w:rsidP="003925F5">
            <w:pPr>
              <w:autoSpaceDE w:val="0"/>
              <w:autoSpaceDN w:val="0"/>
              <w:adjustRightInd w:val="0"/>
              <w:rPr>
                <w:rFonts w:cstheme="minorHAnsi"/>
                <w:bCs/>
                <w:u w:val="single"/>
              </w:rPr>
            </w:pPr>
            <w:r w:rsidRPr="003925F5">
              <w:rPr>
                <w:rFonts w:cstheme="minorHAnsi"/>
                <w:bCs/>
                <w:u w:val="single"/>
              </w:rPr>
              <w:t>References:</w:t>
            </w:r>
          </w:p>
          <w:p w14:paraId="03C405C6" w14:textId="77777777" w:rsidR="003925F5" w:rsidRDefault="003925F5" w:rsidP="003925F5">
            <w:pPr>
              <w:autoSpaceDE w:val="0"/>
              <w:autoSpaceDN w:val="0"/>
              <w:adjustRightInd w:val="0"/>
              <w:rPr>
                <w:rFonts w:cstheme="minorHAnsi"/>
                <w:bCs/>
              </w:rPr>
            </w:pPr>
            <w:r w:rsidRPr="003925F5">
              <w:rPr>
                <w:rFonts w:cstheme="minorHAnsi"/>
                <w:bCs/>
              </w:rPr>
              <w:t xml:space="preserve">Bratzler DW, Normand SL, Wang Y, et al. An administrative claims model for profiling hospital 30-day mortality rates for pneumonia patients. </w:t>
            </w:r>
            <w:r w:rsidRPr="003925F5">
              <w:rPr>
                <w:rFonts w:cstheme="minorHAnsi"/>
                <w:bCs/>
                <w:i/>
                <w:iCs/>
              </w:rPr>
              <w:t>PLoS One</w:t>
            </w:r>
            <w:r w:rsidRPr="003925F5">
              <w:rPr>
                <w:rFonts w:cstheme="minorHAnsi"/>
                <w:bCs/>
              </w:rPr>
              <w:t xml:space="preserve"> 2011;6(4):e17401.</w:t>
            </w:r>
          </w:p>
          <w:p w14:paraId="65AADFEA" w14:textId="77777777" w:rsidR="003925F5" w:rsidRPr="003925F5" w:rsidRDefault="003925F5" w:rsidP="003925F5">
            <w:pPr>
              <w:autoSpaceDE w:val="0"/>
              <w:autoSpaceDN w:val="0"/>
              <w:adjustRightInd w:val="0"/>
              <w:rPr>
                <w:rFonts w:cstheme="minorHAnsi"/>
                <w:bCs/>
              </w:rPr>
            </w:pPr>
          </w:p>
          <w:p w14:paraId="121E35F4" w14:textId="77777777" w:rsidR="003925F5" w:rsidRDefault="003925F5" w:rsidP="003925F5">
            <w:pPr>
              <w:autoSpaceDE w:val="0"/>
              <w:autoSpaceDN w:val="0"/>
              <w:adjustRightInd w:val="0"/>
              <w:rPr>
                <w:rFonts w:cstheme="minorHAnsi"/>
                <w:bCs/>
              </w:rPr>
            </w:pPr>
            <w:r w:rsidRPr="003925F5">
              <w:rPr>
                <w:rFonts w:cstheme="minorHAnsi"/>
                <w:bCs/>
              </w:rPr>
              <w:t xml:space="preserve">Keenan PS, Normand SL, Lin Z, et al. An administrative claims measure suitable for profiling hospital performance on the basis of 30-day all-cause readmission rates among patients with heart failure. </w:t>
            </w:r>
            <w:r w:rsidRPr="003925F5">
              <w:rPr>
                <w:rFonts w:cstheme="minorHAnsi"/>
                <w:bCs/>
                <w:i/>
                <w:iCs/>
              </w:rPr>
              <w:t>Circulation</w:t>
            </w:r>
            <w:r w:rsidRPr="003925F5">
              <w:rPr>
                <w:rFonts w:cstheme="minorHAnsi"/>
                <w:bCs/>
              </w:rPr>
              <w:t xml:space="preserve"> 2008;1(1):29-37.</w:t>
            </w:r>
          </w:p>
          <w:p w14:paraId="675D10B0" w14:textId="77777777" w:rsidR="003925F5" w:rsidRPr="003925F5" w:rsidRDefault="003925F5" w:rsidP="003925F5">
            <w:pPr>
              <w:autoSpaceDE w:val="0"/>
              <w:autoSpaceDN w:val="0"/>
              <w:adjustRightInd w:val="0"/>
              <w:rPr>
                <w:rFonts w:cstheme="minorHAnsi"/>
                <w:bCs/>
              </w:rPr>
            </w:pPr>
          </w:p>
          <w:p w14:paraId="2C088DE2" w14:textId="77777777" w:rsidR="003925F5" w:rsidRDefault="003925F5" w:rsidP="003925F5">
            <w:pPr>
              <w:autoSpaceDE w:val="0"/>
              <w:autoSpaceDN w:val="0"/>
              <w:adjustRightInd w:val="0"/>
              <w:rPr>
                <w:rFonts w:cstheme="minorHAnsi"/>
                <w:bCs/>
              </w:rPr>
            </w:pPr>
            <w:r w:rsidRPr="003925F5">
              <w:rPr>
                <w:rFonts w:cstheme="minorHAnsi"/>
                <w:bCs/>
              </w:rPr>
              <w:t xml:space="preserve">Krumholz HM, Brindis RG,Brush JE, et al. Standards for Statistical Models Used for Public Reporting of Health Outcomes: An American Heart Association Scientific Statement From the Quality of Care and Outcomes Research Interdisciplinary Writing Group: Cosponsored by the Council on Epidemiology and Prevention and the Stroke Council Endorsed by the American College of Cardiology Foundation. </w:t>
            </w:r>
            <w:r w:rsidRPr="003925F5">
              <w:rPr>
                <w:rFonts w:cstheme="minorHAnsi"/>
                <w:bCs/>
                <w:i/>
              </w:rPr>
              <w:t xml:space="preserve">Circulation. </w:t>
            </w:r>
            <w:r w:rsidRPr="003925F5">
              <w:rPr>
                <w:rFonts w:cstheme="minorHAnsi"/>
                <w:bCs/>
              </w:rPr>
              <w:t>January 24, 2006 2006;113(3):456-462.</w:t>
            </w:r>
          </w:p>
          <w:p w14:paraId="7856135D" w14:textId="77777777" w:rsidR="003925F5" w:rsidRPr="003925F5" w:rsidRDefault="003925F5" w:rsidP="003925F5">
            <w:pPr>
              <w:autoSpaceDE w:val="0"/>
              <w:autoSpaceDN w:val="0"/>
              <w:adjustRightInd w:val="0"/>
              <w:rPr>
                <w:rFonts w:cstheme="minorHAnsi"/>
                <w:bCs/>
              </w:rPr>
            </w:pPr>
          </w:p>
          <w:p w14:paraId="5F37F270" w14:textId="77777777" w:rsidR="003925F5" w:rsidRDefault="003925F5" w:rsidP="003925F5">
            <w:pPr>
              <w:autoSpaceDE w:val="0"/>
              <w:autoSpaceDN w:val="0"/>
              <w:adjustRightInd w:val="0"/>
              <w:rPr>
                <w:rFonts w:cstheme="minorHAnsi"/>
                <w:bCs/>
              </w:rPr>
            </w:pPr>
            <w:r w:rsidRPr="003925F5">
              <w:rPr>
                <w:rFonts w:cstheme="minorHAnsi"/>
                <w:bCs/>
              </w:rPr>
              <w:t xml:space="preserve">Krumholz HM, Wang Y, Mattera JA, et al. An administrative claims model suitable for profiling hospital performance based on 30-day mortality rates among patients with an acute myocardial infarction. </w:t>
            </w:r>
            <w:r w:rsidRPr="003925F5">
              <w:rPr>
                <w:rFonts w:cstheme="minorHAnsi"/>
                <w:bCs/>
                <w:i/>
                <w:iCs/>
              </w:rPr>
              <w:t>Circulation</w:t>
            </w:r>
            <w:r w:rsidRPr="003925F5">
              <w:rPr>
                <w:rFonts w:cstheme="minorHAnsi"/>
                <w:bCs/>
              </w:rPr>
              <w:t xml:space="preserve"> 2006;113(13):1683-92.</w:t>
            </w:r>
          </w:p>
          <w:p w14:paraId="1931D86A" w14:textId="77777777" w:rsidR="003925F5" w:rsidRPr="003925F5" w:rsidRDefault="003925F5" w:rsidP="003925F5">
            <w:pPr>
              <w:autoSpaceDE w:val="0"/>
              <w:autoSpaceDN w:val="0"/>
              <w:adjustRightInd w:val="0"/>
              <w:rPr>
                <w:rFonts w:cstheme="minorHAnsi"/>
                <w:bCs/>
              </w:rPr>
            </w:pPr>
          </w:p>
          <w:p w14:paraId="005C9CA4" w14:textId="77777777" w:rsidR="003925F5" w:rsidRDefault="003925F5" w:rsidP="003925F5">
            <w:pPr>
              <w:autoSpaceDE w:val="0"/>
              <w:autoSpaceDN w:val="0"/>
              <w:adjustRightInd w:val="0"/>
              <w:rPr>
                <w:rFonts w:cstheme="minorHAnsi"/>
                <w:bCs/>
              </w:rPr>
            </w:pPr>
            <w:r w:rsidRPr="003925F5">
              <w:rPr>
                <w:rFonts w:cstheme="minorHAnsi"/>
                <w:bCs/>
              </w:rPr>
              <w:t xml:space="preserve">Krumholz HM, Wang Y, Mattera JA, et al. An administrative claims model suitable for profiling hospital performance based on 30-day mortality rates among patients with heart failure. </w:t>
            </w:r>
            <w:r w:rsidRPr="003925F5">
              <w:rPr>
                <w:rFonts w:cstheme="minorHAnsi"/>
                <w:bCs/>
                <w:i/>
                <w:iCs/>
              </w:rPr>
              <w:t>Circulation</w:t>
            </w:r>
            <w:r w:rsidRPr="003925F5">
              <w:rPr>
                <w:rFonts w:cstheme="minorHAnsi"/>
                <w:bCs/>
              </w:rPr>
              <w:t xml:space="preserve"> 2006;113:1693-1701.</w:t>
            </w:r>
          </w:p>
          <w:p w14:paraId="28481747" w14:textId="77777777" w:rsidR="003925F5" w:rsidRPr="003925F5" w:rsidRDefault="003925F5" w:rsidP="003925F5">
            <w:pPr>
              <w:autoSpaceDE w:val="0"/>
              <w:autoSpaceDN w:val="0"/>
              <w:adjustRightInd w:val="0"/>
              <w:rPr>
                <w:rFonts w:cstheme="minorHAnsi"/>
                <w:bCs/>
                <w:u w:val="single"/>
              </w:rPr>
            </w:pPr>
          </w:p>
          <w:p w14:paraId="7BF1ECE8" w14:textId="77777777" w:rsidR="003925F5" w:rsidRDefault="003925F5" w:rsidP="003925F5">
            <w:pPr>
              <w:autoSpaceDE w:val="0"/>
              <w:autoSpaceDN w:val="0"/>
              <w:adjustRightInd w:val="0"/>
              <w:rPr>
                <w:rFonts w:cstheme="minorHAnsi"/>
                <w:bCs/>
              </w:rPr>
            </w:pPr>
            <w:r w:rsidRPr="003925F5">
              <w:rPr>
                <w:rFonts w:cstheme="minorHAnsi"/>
                <w:bCs/>
              </w:rPr>
              <w:t xml:space="preserve">National Quality Forum. National voluntary consensus standards for patient outcomes, first report for phases 1 and 2: A consensus report </w:t>
            </w:r>
            <w:hyperlink r:id="rId10" w:tooltip="http://www.nysna.org/images/pdfs/practice/nqf_ana_outcomes_draft10.pdf" w:history="1">
              <w:r w:rsidRPr="003925F5">
                <w:rPr>
                  <w:rStyle w:val="Hyperlink"/>
                  <w:rFonts w:cstheme="minorHAnsi"/>
                  <w:bCs/>
                </w:rPr>
                <w:t>http://www.qualityforum.org/projects/Patient_Outcome_Measures_Phases1-2.aspx</w:t>
              </w:r>
            </w:hyperlink>
            <w:r w:rsidRPr="003925F5">
              <w:rPr>
                <w:rFonts w:cstheme="minorHAnsi"/>
                <w:bCs/>
              </w:rPr>
              <w:t>. Accessed August 19, 2010.</w:t>
            </w:r>
          </w:p>
          <w:p w14:paraId="70B1BE2E" w14:textId="77777777" w:rsidR="003925F5" w:rsidRPr="003925F5" w:rsidRDefault="003925F5" w:rsidP="003925F5">
            <w:pPr>
              <w:autoSpaceDE w:val="0"/>
              <w:autoSpaceDN w:val="0"/>
              <w:adjustRightInd w:val="0"/>
              <w:rPr>
                <w:rFonts w:cstheme="minorHAnsi"/>
                <w:bCs/>
              </w:rPr>
            </w:pPr>
          </w:p>
          <w:p w14:paraId="0B1A7C5E" w14:textId="77777777" w:rsidR="003925F5" w:rsidRDefault="003925F5" w:rsidP="003925F5">
            <w:pPr>
              <w:autoSpaceDE w:val="0"/>
              <w:autoSpaceDN w:val="0"/>
              <w:adjustRightInd w:val="0"/>
              <w:rPr>
                <w:rFonts w:cstheme="minorHAnsi"/>
                <w:bCs/>
              </w:rPr>
            </w:pPr>
            <w:r w:rsidRPr="003925F5">
              <w:rPr>
                <w:rFonts w:cstheme="minorHAnsi"/>
                <w:bCs/>
              </w:rPr>
              <w:t>Shahian DM, He X, O’Brien S, et al. Development of a Clinical Registry-Based 30-Day Readmission Measure for Coronary Artery Bypass Grafting Surgery. Circulation 2014; DOI: 0.1161/CIRCULATIONAHA.113.007541. Published online before print June 10, 2014</w:t>
            </w:r>
          </w:p>
          <w:p w14:paraId="6DD9DE2C" w14:textId="77777777" w:rsidR="003925F5" w:rsidRPr="003925F5" w:rsidRDefault="003925F5" w:rsidP="003925F5">
            <w:pPr>
              <w:autoSpaceDE w:val="0"/>
              <w:autoSpaceDN w:val="0"/>
              <w:adjustRightInd w:val="0"/>
              <w:rPr>
                <w:rFonts w:cstheme="minorHAnsi"/>
                <w:bCs/>
              </w:rPr>
            </w:pPr>
          </w:p>
          <w:p w14:paraId="1221DC39" w14:textId="77777777" w:rsidR="003925F5" w:rsidRPr="003925F5" w:rsidRDefault="003925F5" w:rsidP="003925F5">
            <w:pPr>
              <w:autoSpaceDE w:val="0"/>
              <w:autoSpaceDN w:val="0"/>
              <w:adjustRightInd w:val="0"/>
              <w:rPr>
                <w:rFonts w:cstheme="minorHAnsi"/>
                <w:bCs/>
              </w:rPr>
            </w:pPr>
            <w:r w:rsidRPr="003925F5">
              <w:rPr>
                <w:rFonts w:cstheme="minorHAnsi"/>
                <w:bCs/>
              </w:rPr>
              <w:t>Suter L, Wang C, Araas M, et al. Hospital-Level 30-Day All-Cause Unplanned Readmission Following Coronary Artery Bypass Graft Surgery (CABG): Updated Measure Methodology Report. 2014; http://www.qualitynet.org/dcs/BlobServer?blobkey=id&amp;blobnocache=true&amp;blobwhere=1228890352615&amp;blobheader=multipart%2Foctet-stream&amp;blobheadername1=Content-Disposition&amp;blobheadervalue1=attachment%3Bfilename%3DRdmsn_CABG_MeasMethd_Rpt_060314.pdf&amp;blobcol=urldata&amp;blobtable=MungoBlobs. Accessed November 4, 2015.</w:t>
            </w:r>
          </w:p>
          <w:p w14:paraId="2C376F05" w14:textId="77777777" w:rsidR="003925F5" w:rsidRPr="00AE0BCA" w:rsidRDefault="003925F5" w:rsidP="003925F5">
            <w:pPr>
              <w:autoSpaceDE w:val="0"/>
              <w:autoSpaceDN w:val="0"/>
              <w:adjustRightInd w:val="0"/>
              <w:rPr>
                <w:rFonts w:cstheme="minorHAnsi"/>
                <w:bCs/>
              </w:rPr>
            </w:pPr>
          </w:p>
          <w:p w14:paraId="380A216B" w14:textId="77777777" w:rsidR="003925F5" w:rsidRPr="003925F5" w:rsidRDefault="003925F5" w:rsidP="003925F5">
            <w:pPr>
              <w:autoSpaceDE w:val="0"/>
              <w:autoSpaceDN w:val="0"/>
              <w:adjustRightInd w:val="0"/>
              <w:rPr>
                <w:rFonts w:cstheme="minorHAnsi"/>
                <w:bCs/>
                <w:u w:val="single"/>
              </w:rPr>
            </w:pPr>
            <w:r w:rsidRPr="003925F5">
              <w:rPr>
                <w:rFonts w:cstheme="minorHAnsi"/>
                <w:bCs/>
                <w:u w:val="single"/>
              </w:rPr>
              <w:t>ICD-9 to ICD-10 Conversion</w:t>
            </w:r>
          </w:p>
          <w:p w14:paraId="77B0CDE0" w14:textId="77777777" w:rsidR="003925F5" w:rsidRPr="003925F5" w:rsidRDefault="003925F5" w:rsidP="003925F5">
            <w:pPr>
              <w:autoSpaceDE w:val="0"/>
              <w:autoSpaceDN w:val="0"/>
              <w:adjustRightInd w:val="0"/>
              <w:rPr>
                <w:rFonts w:cstheme="minorHAnsi"/>
                <w:bCs/>
              </w:rPr>
            </w:pPr>
            <w:r w:rsidRPr="003925F5">
              <w:rPr>
                <w:rFonts w:cstheme="minorHAnsi"/>
                <w:bCs/>
              </w:rPr>
              <w:t>Statement of Intent</w:t>
            </w:r>
          </w:p>
          <w:p w14:paraId="54D6F991" w14:textId="77777777" w:rsidR="003925F5" w:rsidRPr="003925F5" w:rsidRDefault="003925F5" w:rsidP="003925F5">
            <w:pPr>
              <w:autoSpaceDE w:val="0"/>
              <w:autoSpaceDN w:val="0"/>
              <w:adjustRightInd w:val="0"/>
              <w:rPr>
                <w:rFonts w:cstheme="minorHAnsi"/>
                <w:bCs/>
              </w:rPr>
            </w:pPr>
            <w:r w:rsidRPr="003925F5">
              <w:rPr>
                <w:rFonts w:cstheme="minorHAnsi"/>
                <w:bCs/>
              </w:rPr>
              <w:lastRenderedPageBreak/>
              <w:t xml:space="preserve">[X] Goal was to convert this measure to a new code set, fully consistent with the intent of the original measure. </w:t>
            </w:r>
          </w:p>
          <w:p w14:paraId="56311ECB" w14:textId="77777777" w:rsidR="003925F5" w:rsidRPr="003925F5" w:rsidRDefault="003925F5" w:rsidP="003925F5">
            <w:pPr>
              <w:autoSpaceDE w:val="0"/>
              <w:autoSpaceDN w:val="0"/>
              <w:adjustRightInd w:val="0"/>
              <w:rPr>
                <w:rFonts w:cstheme="minorHAnsi"/>
                <w:bCs/>
              </w:rPr>
            </w:pPr>
            <w:r w:rsidRPr="003925F5">
              <w:rPr>
                <w:rFonts w:cstheme="minorHAnsi"/>
                <w:bCs/>
              </w:rPr>
              <w:t xml:space="preserve">[ ] Goal was to take advantage of the more specific code set to form a new version of the measure, but fully consistent with the original intent. </w:t>
            </w:r>
          </w:p>
          <w:p w14:paraId="357739E6" w14:textId="77777777" w:rsidR="003925F5" w:rsidRPr="003925F5" w:rsidRDefault="003925F5" w:rsidP="003925F5">
            <w:pPr>
              <w:autoSpaceDE w:val="0"/>
              <w:autoSpaceDN w:val="0"/>
              <w:adjustRightInd w:val="0"/>
              <w:rPr>
                <w:rFonts w:cstheme="minorHAnsi"/>
                <w:bCs/>
              </w:rPr>
            </w:pPr>
            <w:r w:rsidRPr="003925F5">
              <w:rPr>
                <w:rFonts w:cstheme="minorHAnsi"/>
                <w:bCs/>
              </w:rPr>
              <w:t xml:space="preserve">[ ] The intent of the measure has changed. </w:t>
            </w:r>
          </w:p>
          <w:p w14:paraId="39F4F277" w14:textId="77777777" w:rsidR="003925F5" w:rsidRPr="003925F5" w:rsidRDefault="003925F5" w:rsidP="003925F5">
            <w:pPr>
              <w:autoSpaceDE w:val="0"/>
              <w:autoSpaceDN w:val="0"/>
              <w:adjustRightInd w:val="0"/>
              <w:rPr>
                <w:rFonts w:cstheme="minorHAnsi"/>
                <w:bCs/>
              </w:rPr>
            </w:pPr>
          </w:p>
          <w:p w14:paraId="050684C5" w14:textId="77777777" w:rsidR="003925F5" w:rsidRPr="003925F5" w:rsidRDefault="003925F5" w:rsidP="003925F5">
            <w:pPr>
              <w:autoSpaceDE w:val="0"/>
              <w:autoSpaceDN w:val="0"/>
              <w:adjustRightInd w:val="0"/>
              <w:rPr>
                <w:rFonts w:cstheme="minorHAnsi"/>
                <w:bCs/>
                <w:u w:val="single"/>
              </w:rPr>
            </w:pPr>
            <w:r w:rsidRPr="003925F5">
              <w:rPr>
                <w:rFonts w:cstheme="minorHAnsi"/>
                <w:bCs/>
                <w:u w:val="single"/>
              </w:rPr>
              <w:t>Process of Conversion</w:t>
            </w:r>
          </w:p>
          <w:p w14:paraId="66201C42" w14:textId="77777777" w:rsidR="003925F5" w:rsidRDefault="003925F5" w:rsidP="003925F5">
            <w:pPr>
              <w:autoSpaceDE w:val="0"/>
              <w:autoSpaceDN w:val="0"/>
              <w:adjustRightInd w:val="0"/>
              <w:rPr>
                <w:rFonts w:cstheme="minorHAnsi"/>
                <w:bCs/>
              </w:rPr>
            </w:pPr>
            <w:r w:rsidRPr="003925F5">
              <w:rPr>
                <w:rFonts w:cstheme="minorHAnsi"/>
                <w:bCs/>
              </w:rPr>
              <w:t xml:space="preserve">ICD-10 codes were initially identified using 2015 GEM mapping software. We then enlisted the help of clinicians with expertise in relevant areas to select and evaluate which ICD-10 codes map to the ICD-9 codes currently in use for this measure.  An ICD-9 to ICD-10 crosswalk is attached in field S.2b. (Data Dictionary or Code Table). </w:t>
            </w:r>
          </w:p>
          <w:p w14:paraId="5A2D3ABD" w14:textId="77777777" w:rsidR="003925F5" w:rsidRPr="003925F5" w:rsidRDefault="003925F5" w:rsidP="003925F5">
            <w:pPr>
              <w:autoSpaceDE w:val="0"/>
              <w:autoSpaceDN w:val="0"/>
              <w:adjustRightInd w:val="0"/>
              <w:rPr>
                <w:rFonts w:cstheme="minorHAnsi"/>
                <w:bCs/>
              </w:rPr>
            </w:pPr>
          </w:p>
          <w:p w14:paraId="78176B99" w14:textId="537ED7DD" w:rsidR="006E1C1B" w:rsidRPr="006E1C1B" w:rsidRDefault="003925F5" w:rsidP="006E1C1B">
            <w:pPr>
              <w:autoSpaceDE w:val="0"/>
              <w:autoSpaceDN w:val="0"/>
              <w:adjustRightInd w:val="0"/>
              <w:rPr>
                <w:rFonts w:cs="Arial"/>
                <w:bCs/>
                <w:iCs/>
              </w:rPr>
            </w:pPr>
            <w:r w:rsidRPr="003925F5">
              <w:rPr>
                <w:rFonts w:cstheme="minorHAnsi"/>
                <w:bCs/>
              </w:rPr>
              <w:t xml:space="preserve">We have also examined the updated ICD-9 Map to AHRQ Conditions Categories (CCS) crosswalk to the ICD-10 CCS map provided by AHRQ in preparation for the inclusion of ICD 10 data in this measure. </w:t>
            </w:r>
            <w:r w:rsidR="006E1C1B">
              <w:rPr>
                <w:rFonts w:cs="Arial"/>
                <w:bCs/>
                <w:iCs/>
              </w:rPr>
              <w:t xml:space="preserve">Please refer to the ICD-10 CCS map on the </w:t>
            </w:r>
            <w:hyperlink r:id="rId11" w:history="1">
              <w:r w:rsidR="006E1C1B" w:rsidRPr="000C672E">
                <w:rPr>
                  <w:rStyle w:val="Hyperlink"/>
                  <w:rFonts w:cs="Arial"/>
                  <w:bCs/>
                  <w:iCs/>
                </w:rPr>
                <w:t>AHRQ</w:t>
              </w:r>
            </w:hyperlink>
            <w:r w:rsidR="006E1C1B">
              <w:rPr>
                <w:rFonts w:cs="Arial"/>
                <w:bCs/>
                <w:iCs/>
              </w:rPr>
              <w:t xml:space="preserve"> website.</w:t>
            </w:r>
            <w:bookmarkStart w:id="11" w:name="_GoBack"/>
            <w:bookmarkEnd w:id="11"/>
          </w:p>
        </w:tc>
      </w:tr>
    </w:tbl>
    <w:p w14:paraId="58BD6C68" w14:textId="77777777" w:rsidR="003925F5" w:rsidRDefault="003925F5" w:rsidP="00DB3627">
      <w:pPr>
        <w:autoSpaceDE w:val="0"/>
        <w:autoSpaceDN w:val="0"/>
        <w:adjustRightInd w:val="0"/>
        <w:spacing w:after="0" w:line="240" w:lineRule="auto"/>
        <w:rPr>
          <w:rFonts w:cstheme="minorHAnsi"/>
          <w:bCs/>
        </w:rPr>
      </w:pPr>
    </w:p>
    <w:p w14:paraId="64A8D0E7" w14:textId="77777777" w:rsidR="00833325" w:rsidRPr="00A25024" w:rsidRDefault="00833325" w:rsidP="00DB3627">
      <w:pPr>
        <w:autoSpaceDE w:val="0"/>
        <w:autoSpaceDN w:val="0"/>
        <w:adjustRightInd w:val="0"/>
        <w:spacing w:after="0" w:line="240" w:lineRule="auto"/>
        <w:rPr>
          <w:rFonts w:cstheme="minorHAnsi"/>
          <w:bCs/>
        </w:rPr>
      </w:pPr>
    </w:p>
    <w:p w14:paraId="33AA856A" w14:textId="77777777" w:rsidR="00AE0BCA" w:rsidRDefault="00092566" w:rsidP="00AE0BCA">
      <w:pPr>
        <w:autoSpaceDE w:val="0"/>
        <w:autoSpaceDN w:val="0"/>
        <w:adjustRightInd w:val="0"/>
        <w:spacing w:after="120" w:line="240" w:lineRule="auto"/>
        <w:rPr>
          <w:rFonts w:cstheme="minorHAnsi"/>
          <w:bCs/>
          <w:u w:val="single"/>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tbl>
      <w:tblPr>
        <w:tblStyle w:val="TableGrid"/>
        <w:tblW w:w="0" w:type="auto"/>
        <w:tblLook w:val="04A0" w:firstRow="1" w:lastRow="0" w:firstColumn="1" w:lastColumn="0" w:noHBand="0" w:noVBand="1"/>
      </w:tblPr>
      <w:tblGrid>
        <w:gridCol w:w="9350"/>
      </w:tblGrid>
      <w:tr w:rsidR="00AE0BCA" w14:paraId="0967C5D9" w14:textId="77777777" w:rsidTr="00AE0BCA">
        <w:tc>
          <w:tcPr>
            <w:tcW w:w="9350" w:type="dxa"/>
          </w:tcPr>
          <w:p w14:paraId="4600D3B2" w14:textId="77777777" w:rsidR="00AE0BCA" w:rsidRPr="00C14D5D" w:rsidRDefault="00AE0BCA" w:rsidP="00AE0BCA">
            <w:pPr>
              <w:autoSpaceDE w:val="0"/>
              <w:autoSpaceDN w:val="0"/>
              <w:adjustRightInd w:val="0"/>
              <w:spacing w:after="120"/>
              <w:rPr>
                <w:rFonts w:cstheme="minorHAnsi"/>
                <w:bCs/>
              </w:rPr>
            </w:pPr>
            <w:r w:rsidRPr="00C14D5D">
              <w:rPr>
                <w:rFonts w:cstheme="minorHAnsi"/>
                <w:bCs/>
                <w:u w:val="single"/>
              </w:rPr>
              <w:t>Validity of EHR Data Elements</w:t>
            </w:r>
          </w:p>
          <w:p w14:paraId="28C63B71" w14:textId="77777777" w:rsidR="00AE0BCA" w:rsidRPr="00C14D5D" w:rsidRDefault="00AE0BCA" w:rsidP="00AE0BCA">
            <w:pPr>
              <w:autoSpaceDE w:val="0"/>
              <w:autoSpaceDN w:val="0"/>
              <w:adjustRightInd w:val="0"/>
              <w:spacing w:after="120"/>
              <w:rPr>
                <w:rFonts w:cstheme="minorHAnsi"/>
                <w:b/>
                <w:bCs/>
              </w:rPr>
            </w:pPr>
            <w:r w:rsidRPr="00C14D5D">
              <w:rPr>
                <w:rFonts w:cstheme="minorHAnsi"/>
                <w:b/>
                <w:bCs/>
              </w:rPr>
              <w:t>Phase 1: TEP Survey Results</w:t>
            </w:r>
          </w:p>
          <w:p w14:paraId="57E3277B" w14:textId="77777777" w:rsidR="00AE0BCA" w:rsidRPr="00C14D5D" w:rsidRDefault="00AE0BCA" w:rsidP="00AE0BCA">
            <w:pPr>
              <w:autoSpaceDE w:val="0"/>
              <w:autoSpaceDN w:val="0"/>
              <w:adjustRightInd w:val="0"/>
              <w:spacing w:after="120"/>
              <w:rPr>
                <w:rFonts w:cstheme="minorHAnsi"/>
                <w:bCs/>
              </w:rPr>
            </w:pPr>
            <w:r w:rsidRPr="00C14D5D">
              <w:rPr>
                <w:rFonts w:cstheme="minorHAnsi"/>
                <w:bCs/>
              </w:rPr>
              <w:t>The TEP identified seven subcategories of EHR data that they considered feasible for adult hospitalized patients. They were</w:t>
            </w:r>
            <w:r>
              <w:rPr>
                <w:rFonts w:cstheme="minorHAnsi"/>
                <w:bCs/>
              </w:rPr>
              <w:t>:</w:t>
            </w:r>
            <w:r w:rsidRPr="00C14D5D">
              <w:rPr>
                <w:rFonts w:cstheme="minorHAnsi"/>
                <w:bCs/>
              </w:rPr>
              <w:t xml:space="preserve"> Encounter Performed, Patient Characteristics including birth date and sex, Physical Examination Findings for vital signs only, Diagnostic Study Order, Diagnostic Study Performed, Medication Discharge, and Laboratory Test Result. We limited the CCDE to data elements to only </w:t>
            </w:r>
            <w:r>
              <w:rPr>
                <w:rFonts w:cstheme="minorHAnsi"/>
                <w:bCs/>
              </w:rPr>
              <w:t xml:space="preserve">four </w:t>
            </w:r>
            <w:r w:rsidRPr="00C14D5D">
              <w:rPr>
                <w:rFonts w:cstheme="minorHAnsi"/>
                <w:bCs/>
              </w:rPr>
              <w:t>categories</w:t>
            </w:r>
            <w:r>
              <w:rPr>
                <w:rFonts w:cstheme="minorHAnsi"/>
                <w:bCs/>
              </w:rPr>
              <w:t>:</w:t>
            </w:r>
            <w:r w:rsidRPr="00C14D5D">
              <w:rPr>
                <w:rFonts w:cstheme="minorHAnsi"/>
                <w:bCs/>
              </w:rPr>
              <w:t xml:space="preserve"> Encounter Performed, Patient Characteristics, Physical Examination Findings for vital signs only, and Laboratory Test Results, which are unlikely to be reflective of care quality and therefore are thought to be both feasible to extract and appropriate for risk adjustment.</w:t>
            </w:r>
          </w:p>
          <w:p w14:paraId="406E73D3" w14:textId="77777777" w:rsidR="00AE0BCA" w:rsidRPr="00C14D5D" w:rsidRDefault="00AE0BCA" w:rsidP="00AE0BCA">
            <w:pPr>
              <w:autoSpaceDE w:val="0"/>
              <w:autoSpaceDN w:val="0"/>
              <w:adjustRightInd w:val="0"/>
              <w:spacing w:after="120"/>
              <w:rPr>
                <w:rFonts w:cstheme="minorHAnsi"/>
                <w:b/>
                <w:bCs/>
              </w:rPr>
            </w:pPr>
            <w:r w:rsidRPr="00C14D5D">
              <w:rPr>
                <w:rFonts w:cstheme="minorHAnsi"/>
                <w:b/>
                <w:bCs/>
              </w:rPr>
              <w:t>Phase 2: Feasibility Testing Results</w:t>
            </w:r>
          </w:p>
          <w:p w14:paraId="685E2CD5" w14:textId="77777777" w:rsidR="00AE0BCA" w:rsidRPr="00C14D5D" w:rsidRDefault="00AE0BCA" w:rsidP="00AE0BCA">
            <w:pPr>
              <w:autoSpaceDE w:val="0"/>
              <w:autoSpaceDN w:val="0"/>
              <w:adjustRightInd w:val="0"/>
              <w:spacing w:after="120"/>
              <w:rPr>
                <w:rFonts w:cstheme="minorHAnsi"/>
                <w:bCs/>
              </w:rPr>
            </w:pPr>
            <w:r w:rsidRPr="00C14D5D">
              <w:rPr>
                <w:rFonts w:cstheme="minorHAnsi"/>
                <w:b/>
                <w:bCs/>
              </w:rPr>
              <w:t>Dataset</w:t>
            </w:r>
            <w:r>
              <w:rPr>
                <w:rFonts w:cstheme="minorHAnsi"/>
                <w:b/>
                <w:bCs/>
              </w:rPr>
              <w:t>s 1 and 2</w:t>
            </w:r>
            <w:r w:rsidRPr="00C14D5D">
              <w:rPr>
                <w:rFonts w:cstheme="minorHAnsi"/>
                <w:bCs/>
              </w:rPr>
              <w:t>:</w:t>
            </w:r>
            <w:r>
              <w:rPr>
                <w:rFonts w:cstheme="minorHAnsi"/>
                <w:bCs/>
              </w:rPr>
              <w:t xml:space="preserve"> </w:t>
            </w:r>
            <w:r w:rsidRPr="00C14D5D">
              <w:rPr>
                <w:rFonts w:cstheme="minorHAnsi"/>
                <w:bCs/>
              </w:rPr>
              <w:t xml:space="preserve">The consistency of data capture of the critical data elements included in the </w:t>
            </w:r>
            <w:r>
              <w:rPr>
                <w:rFonts w:cstheme="minorHAnsi"/>
                <w:bCs/>
              </w:rPr>
              <w:t>Hybrid</w:t>
            </w:r>
            <w:r w:rsidRPr="00C14D5D">
              <w:rPr>
                <w:rFonts w:cstheme="minorHAnsi"/>
                <w:bCs/>
              </w:rPr>
              <w:t xml:space="preserve"> </w:t>
            </w:r>
            <w:r>
              <w:rPr>
                <w:rFonts w:cstheme="minorHAnsi"/>
                <w:bCs/>
              </w:rPr>
              <w:t>HWR</w:t>
            </w:r>
            <w:r w:rsidRPr="00C14D5D">
              <w:rPr>
                <w:rFonts w:cstheme="minorHAnsi"/>
                <w:bCs/>
              </w:rPr>
              <w:t xml:space="preserve"> measure for all adult hospitalized patients in </w:t>
            </w:r>
            <w:r>
              <w:rPr>
                <w:rFonts w:cstheme="minorHAnsi"/>
                <w:b/>
                <w:bCs/>
              </w:rPr>
              <w:t>two health systems</w:t>
            </w:r>
            <w:r w:rsidRPr="00C14D5D">
              <w:rPr>
                <w:rFonts w:cstheme="minorHAnsi"/>
                <w:bCs/>
              </w:rPr>
              <w:t xml:space="preserve"> </w:t>
            </w:r>
            <w:r>
              <w:rPr>
                <w:rFonts w:cstheme="minorHAnsi"/>
                <w:bCs/>
              </w:rPr>
              <w:t xml:space="preserve">with different EHR environments (EPIC and Cerner). Results </w:t>
            </w:r>
            <w:r w:rsidRPr="00C14D5D">
              <w:rPr>
                <w:rFonts w:cstheme="minorHAnsi"/>
                <w:bCs/>
              </w:rPr>
              <w:t xml:space="preserve">presented in </w:t>
            </w:r>
            <w:r w:rsidRPr="009F30D3">
              <w:rPr>
                <w:rFonts w:cstheme="minorHAnsi"/>
                <w:bCs/>
              </w:rPr>
              <w:t>Table 2</w:t>
            </w:r>
            <w:r>
              <w:rPr>
                <w:rFonts w:cstheme="minorHAnsi"/>
                <w:bCs/>
              </w:rPr>
              <w:t xml:space="preserve"> and </w:t>
            </w:r>
            <w:r w:rsidRPr="009F30D3">
              <w:rPr>
                <w:rFonts w:cstheme="minorHAnsi"/>
                <w:bCs/>
              </w:rPr>
              <w:t>Table 3</w:t>
            </w:r>
            <w:r>
              <w:rPr>
                <w:rFonts w:cstheme="minorHAnsi"/>
                <w:bCs/>
              </w:rPr>
              <w:t xml:space="preserve"> are from EPIC system; results presented in Table 4 are from Cerner system. </w:t>
            </w:r>
            <w:r w:rsidRPr="00C14D5D">
              <w:rPr>
                <w:rFonts w:cstheme="minorHAnsi"/>
                <w:bCs/>
              </w:rPr>
              <w:t xml:space="preserve">These tables show consistent capture of all </w:t>
            </w:r>
            <w:r>
              <w:rPr>
                <w:rFonts w:cstheme="minorHAnsi"/>
                <w:bCs/>
              </w:rPr>
              <w:t>the clinical</w:t>
            </w:r>
            <w:r w:rsidRPr="00C14D5D">
              <w:rPr>
                <w:rFonts w:cstheme="minorHAnsi"/>
                <w:bCs/>
              </w:rPr>
              <w:t xml:space="preserve"> data elements</w:t>
            </w:r>
            <w:r>
              <w:rPr>
                <w:rFonts w:cstheme="minorHAnsi"/>
                <w:bCs/>
              </w:rPr>
              <w:t xml:space="preserve"> used in the risk models</w:t>
            </w:r>
            <w:r w:rsidRPr="00C14D5D">
              <w:rPr>
                <w:rFonts w:cstheme="minorHAnsi"/>
                <w:bCs/>
              </w:rPr>
              <w:t>.</w:t>
            </w:r>
          </w:p>
          <w:p w14:paraId="12DB7D6F" w14:textId="4D205BC2" w:rsidR="00AE0BCA" w:rsidRPr="00AE0BCA" w:rsidRDefault="00AE0BCA" w:rsidP="00AE0BCA">
            <w:pPr>
              <w:autoSpaceDE w:val="0"/>
              <w:autoSpaceDN w:val="0"/>
              <w:adjustRightInd w:val="0"/>
              <w:spacing w:after="120"/>
              <w:rPr>
                <w:rFonts w:cstheme="minorHAnsi"/>
                <w:bCs/>
              </w:rPr>
            </w:pPr>
            <w:r w:rsidRPr="00C14D5D">
              <w:rPr>
                <w:rFonts w:cstheme="minorHAnsi"/>
                <w:bCs/>
              </w:rPr>
              <w:t>In addition, the four Premier member hospitals all reported that the CCDE were: captured in the inpatient EHR; captured in the emergency department EHR; recorded in a structured format; extracted for reporting; extracted for other purposes; an</w:t>
            </w:r>
            <w:r>
              <w:rPr>
                <w:rFonts w:cstheme="minorHAnsi"/>
                <w:bCs/>
              </w:rPr>
              <w:t>d time and date stamps capture.</w:t>
            </w:r>
          </w:p>
        </w:tc>
      </w:tr>
    </w:tbl>
    <w:p w14:paraId="64782FB0" w14:textId="77777777" w:rsidR="00AE0BCA" w:rsidRDefault="00AE0BCA" w:rsidP="00AE0BCA">
      <w:pPr>
        <w:autoSpaceDE w:val="0"/>
        <w:autoSpaceDN w:val="0"/>
        <w:adjustRightInd w:val="0"/>
        <w:spacing w:after="120" w:line="240" w:lineRule="auto"/>
        <w:rPr>
          <w:rFonts w:cstheme="minorHAnsi"/>
          <w:bCs/>
          <w:u w:val="single"/>
        </w:rPr>
      </w:pPr>
    </w:p>
    <w:p w14:paraId="6D6D10D1" w14:textId="77777777" w:rsidR="00AE0BCA" w:rsidRDefault="00AE0BCA" w:rsidP="002A32F0">
      <w:pPr>
        <w:pStyle w:val="Caption"/>
        <w:keepNext/>
        <w:rPr>
          <w:color w:val="auto"/>
          <w:sz w:val="22"/>
          <w:szCs w:val="20"/>
        </w:rPr>
      </w:pPr>
    </w:p>
    <w:p w14:paraId="293BD91F" w14:textId="0C2B1EFC" w:rsidR="002A32F0" w:rsidRPr="009F30D3" w:rsidRDefault="002A32F0" w:rsidP="002A32F0">
      <w:pPr>
        <w:pStyle w:val="Caption"/>
        <w:keepNext/>
        <w:rPr>
          <w:color w:val="auto"/>
          <w:sz w:val="22"/>
          <w:szCs w:val="20"/>
        </w:rPr>
      </w:pPr>
      <w:r w:rsidRPr="009F30D3">
        <w:rPr>
          <w:color w:val="auto"/>
          <w:sz w:val="22"/>
          <w:szCs w:val="20"/>
        </w:rPr>
        <w:t xml:space="preserve">Table </w:t>
      </w:r>
      <w:r w:rsidRPr="009F30D3">
        <w:rPr>
          <w:color w:val="auto"/>
          <w:sz w:val="22"/>
          <w:szCs w:val="20"/>
        </w:rPr>
        <w:fldChar w:fldCharType="begin"/>
      </w:r>
      <w:r w:rsidRPr="009F30D3">
        <w:rPr>
          <w:color w:val="auto"/>
          <w:sz w:val="22"/>
          <w:szCs w:val="20"/>
        </w:rPr>
        <w:instrText xml:space="preserve"> SEQ Table \* ARABIC </w:instrText>
      </w:r>
      <w:r w:rsidRPr="009F30D3">
        <w:rPr>
          <w:color w:val="auto"/>
          <w:sz w:val="22"/>
          <w:szCs w:val="20"/>
        </w:rPr>
        <w:fldChar w:fldCharType="separate"/>
      </w:r>
      <w:r w:rsidR="0059261C">
        <w:rPr>
          <w:noProof/>
          <w:color w:val="auto"/>
          <w:sz w:val="22"/>
          <w:szCs w:val="20"/>
        </w:rPr>
        <w:t>2</w:t>
      </w:r>
      <w:r w:rsidRPr="009F30D3">
        <w:rPr>
          <w:color w:val="auto"/>
          <w:sz w:val="22"/>
          <w:szCs w:val="20"/>
        </w:rPr>
        <w:fldChar w:fldCharType="end"/>
      </w:r>
      <w:r w:rsidR="00AE0BCA">
        <w:rPr>
          <w:color w:val="auto"/>
          <w:sz w:val="22"/>
          <w:szCs w:val="20"/>
        </w:rPr>
        <w:t>.</w:t>
      </w:r>
      <w:r w:rsidRPr="009F30D3">
        <w:rPr>
          <w:color w:val="auto"/>
          <w:sz w:val="22"/>
          <w:szCs w:val="20"/>
        </w:rPr>
        <w:t xml:space="preserve"> Proportion of Episodes with Captured Vital Signs at Various Time points</w:t>
      </w:r>
      <w:r w:rsidR="00E73B14" w:rsidRPr="009F30D3">
        <w:rPr>
          <w:color w:val="auto"/>
          <w:sz w:val="22"/>
          <w:szCs w:val="20"/>
        </w:rPr>
        <w:t xml:space="preserve"> (Dataset 1)</w:t>
      </w:r>
    </w:p>
    <w:tbl>
      <w:tblPr>
        <w:tblStyle w:val="LightList-Accent11"/>
        <w:tblW w:w="0" w:type="auto"/>
        <w:jc w:val="center"/>
        <w:tblLook w:val="04A0" w:firstRow="1" w:lastRow="0" w:firstColumn="1" w:lastColumn="0" w:noHBand="0" w:noVBand="1"/>
      </w:tblPr>
      <w:tblGrid>
        <w:gridCol w:w="2387"/>
        <w:gridCol w:w="1620"/>
        <w:gridCol w:w="1350"/>
        <w:gridCol w:w="1440"/>
        <w:gridCol w:w="1597"/>
      </w:tblGrid>
      <w:tr w:rsidR="002A32F0" w:rsidRPr="00C22FCA" w14:paraId="5638E116" w14:textId="77777777" w:rsidTr="002A32F0">
        <w:trPr>
          <w:cnfStyle w:val="100000000000" w:firstRow="1" w:lastRow="0" w:firstColumn="0" w:lastColumn="0" w:oddVBand="0" w:evenVBand="0" w:oddHBand="0" w:evenHBand="0" w:firstRowFirstColumn="0" w:firstRowLastColumn="0" w:lastRowFirstColumn="0" w:lastRowLastColumn="0"/>
          <w:trHeight w:val="704"/>
          <w:tblHeader/>
          <w:jc w:val="center"/>
        </w:trPr>
        <w:tc>
          <w:tcPr>
            <w:cnfStyle w:val="001000000000" w:firstRow="0" w:lastRow="0" w:firstColumn="1" w:lastColumn="0" w:oddVBand="0" w:evenVBand="0" w:oddHBand="0" w:evenHBand="0" w:firstRowFirstColumn="0" w:firstRowLastColumn="0" w:lastRowFirstColumn="0" w:lastRowLastColumn="0"/>
            <w:tcW w:w="2387" w:type="dxa"/>
            <w:noWrap/>
            <w:vAlign w:val="center"/>
            <w:hideMark/>
          </w:tcPr>
          <w:p w14:paraId="78053B4C" w14:textId="77777777" w:rsidR="002A32F0" w:rsidRPr="0045364B" w:rsidRDefault="002A32F0" w:rsidP="002A32F0">
            <w:pPr>
              <w:jc w:val="center"/>
              <w:rPr>
                <w:b w:val="0"/>
                <w:bCs w:val="0"/>
                <w:sz w:val="18"/>
                <w:szCs w:val="18"/>
              </w:rPr>
            </w:pPr>
            <w:r>
              <w:rPr>
                <w:sz w:val="18"/>
                <w:szCs w:val="18"/>
              </w:rPr>
              <w:t>Vital Sign Finding –</w:t>
            </w:r>
            <w:r>
              <w:rPr>
                <w:sz w:val="18"/>
                <w:szCs w:val="18"/>
              </w:rPr>
              <w:br/>
              <w:t>Full Cohort</w:t>
            </w:r>
          </w:p>
        </w:tc>
        <w:tc>
          <w:tcPr>
            <w:tcW w:w="1620" w:type="dxa"/>
            <w:noWrap/>
            <w:vAlign w:val="center"/>
            <w:hideMark/>
          </w:tcPr>
          <w:p w14:paraId="7BC0C5EC"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Total </w:t>
            </w:r>
            <w:r w:rsidRPr="0045364B">
              <w:rPr>
                <w:sz w:val="18"/>
                <w:szCs w:val="18"/>
              </w:rPr>
              <w:t>with Finding</w:t>
            </w:r>
            <w:r>
              <w:rPr>
                <w:sz w:val="18"/>
                <w:szCs w:val="18"/>
              </w:rPr>
              <w:t xml:space="preserve"> and Timestamp</w:t>
            </w:r>
          </w:p>
          <w:p w14:paraId="2D75DD8E"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45364B">
              <w:rPr>
                <w:sz w:val="18"/>
                <w:szCs w:val="18"/>
              </w:rPr>
              <w:t>%</w:t>
            </w:r>
          </w:p>
        </w:tc>
        <w:tc>
          <w:tcPr>
            <w:tcW w:w="1350" w:type="dxa"/>
            <w:noWrap/>
            <w:vAlign w:val="center"/>
            <w:hideMark/>
          </w:tcPr>
          <w:p w14:paraId="1DC15CF1"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45364B">
              <w:rPr>
                <w:sz w:val="18"/>
                <w:szCs w:val="18"/>
              </w:rPr>
              <w:t>Within 2 Hours</w:t>
            </w:r>
          </w:p>
          <w:p w14:paraId="1E17408D"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45364B">
              <w:rPr>
                <w:sz w:val="18"/>
                <w:szCs w:val="18"/>
              </w:rPr>
              <w:t>%</w:t>
            </w:r>
          </w:p>
        </w:tc>
        <w:tc>
          <w:tcPr>
            <w:tcW w:w="1440" w:type="dxa"/>
            <w:noWrap/>
            <w:vAlign w:val="center"/>
            <w:hideMark/>
          </w:tcPr>
          <w:p w14:paraId="7D142122"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Within</w:t>
            </w:r>
            <w:r w:rsidRPr="0045364B">
              <w:rPr>
                <w:sz w:val="18"/>
                <w:szCs w:val="18"/>
              </w:rPr>
              <w:t xml:space="preserve"> 6 Hours</w:t>
            </w:r>
          </w:p>
          <w:p w14:paraId="0848133C"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45364B">
              <w:rPr>
                <w:sz w:val="18"/>
                <w:szCs w:val="18"/>
              </w:rPr>
              <w:t>%</w:t>
            </w:r>
          </w:p>
        </w:tc>
        <w:tc>
          <w:tcPr>
            <w:tcW w:w="1597" w:type="dxa"/>
            <w:noWrap/>
            <w:vAlign w:val="center"/>
            <w:hideMark/>
          </w:tcPr>
          <w:p w14:paraId="50169E44"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Within 12 Hours</w:t>
            </w:r>
          </w:p>
          <w:p w14:paraId="0EC27CC2"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45364B">
              <w:rPr>
                <w:sz w:val="18"/>
                <w:szCs w:val="18"/>
              </w:rPr>
              <w:t>%</w:t>
            </w:r>
          </w:p>
        </w:tc>
      </w:tr>
      <w:tr w:rsidR="002A32F0" w:rsidRPr="00C22FCA" w14:paraId="680E175D"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394" w:type="dxa"/>
            <w:gridSpan w:val="5"/>
            <w:shd w:val="clear" w:color="auto" w:fill="F2F2F2" w:themeFill="background1" w:themeFillShade="F2"/>
            <w:noWrap/>
            <w:vAlign w:val="center"/>
          </w:tcPr>
          <w:p w14:paraId="5F1FF530" w14:textId="77777777" w:rsidR="002A32F0" w:rsidRDefault="002A32F0" w:rsidP="002A32F0">
            <w:pPr>
              <w:rPr>
                <w:sz w:val="18"/>
                <w:szCs w:val="18"/>
              </w:rPr>
            </w:pPr>
            <w:r>
              <w:rPr>
                <w:sz w:val="18"/>
                <w:szCs w:val="18"/>
              </w:rPr>
              <w:t>Basic vital signs</w:t>
            </w:r>
          </w:p>
        </w:tc>
      </w:tr>
      <w:tr w:rsidR="002A32F0" w:rsidRPr="00C22FCA" w14:paraId="5F5A523D"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2387" w:type="dxa"/>
            <w:noWrap/>
            <w:vAlign w:val="center"/>
            <w:hideMark/>
          </w:tcPr>
          <w:p w14:paraId="7FA33E52" w14:textId="77777777" w:rsidR="002A32F0" w:rsidRPr="00845656" w:rsidRDefault="002A32F0" w:rsidP="002A32F0">
            <w:pPr>
              <w:ind w:left="180"/>
              <w:rPr>
                <w:bCs w:val="0"/>
                <w:sz w:val="18"/>
                <w:szCs w:val="18"/>
              </w:rPr>
            </w:pPr>
            <w:r>
              <w:rPr>
                <w:sz w:val="18"/>
                <w:szCs w:val="18"/>
              </w:rPr>
              <w:t>Heart r</w:t>
            </w:r>
            <w:r w:rsidRPr="00845656">
              <w:rPr>
                <w:sz w:val="18"/>
                <w:szCs w:val="18"/>
              </w:rPr>
              <w:t>ate</w:t>
            </w:r>
          </w:p>
        </w:tc>
        <w:tc>
          <w:tcPr>
            <w:tcW w:w="1620" w:type="dxa"/>
            <w:noWrap/>
            <w:vAlign w:val="center"/>
            <w:hideMark/>
          </w:tcPr>
          <w:p w14:paraId="349AD370" w14:textId="77777777" w:rsidR="002A32F0" w:rsidRPr="0045364B"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99.7</w:t>
            </w:r>
          </w:p>
        </w:tc>
        <w:tc>
          <w:tcPr>
            <w:tcW w:w="1350" w:type="dxa"/>
            <w:noWrap/>
            <w:vAlign w:val="center"/>
            <w:hideMark/>
          </w:tcPr>
          <w:p w14:paraId="32AE4F13" w14:textId="77777777" w:rsidR="002A32F0" w:rsidRPr="0045364B"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96.8</w:t>
            </w:r>
          </w:p>
        </w:tc>
        <w:tc>
          <w:tcPr>
            <w:tcW w:w="1440" w:type="dxa"/>
            <w:noWrap/>
            <w:vAlign w:val="center"/>
            <w:hideMark/>
          </w:tcPr>
          <w:p w14:paraId="641C4825" w14:textId="77777777" w:rsidR="002A32F0" w:rsidRPr="0045364B"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99.4</w:t>
            </w:r>
          </w:p>
        </w:tc>
        <w:tc>
          <w:tcPr>
            <w:tcW w:w="1597" w:type="dxa"/>
            <w:noWrap/>
            <w:vAlign w:val="center"/>
            <w:hideMark/>
          </w:tcPr>
          <w:p w14:paraId="2C088EC8" w14:textId="77777777" w:rsidR="002A32F0" w:rsidRPr="0045364B"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99.6</w:t>
            </w:r>
          </w:p>
        </w:tc>
      </w:tr>
      <w:tr w:rsidR="002A32F0" w:rsidRPr="00C22FCA" w14:paraId="11BCE8AB"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387" w:type="dxa"/>
            <w:noWrap/>
          </w:tcPr>
          <w:p w14:paraId="2711E838" w14:textId="77777777" w:rsidR="002A32F0" w:rsidRPr="0053716E" w:rsidRDefault="002A32F0" w:rsidP="002A32F0">
            <w:pPr>
              <w:ind w:left="180"/>
              <w:rPr>
                <w:sz w:val="18"/>
                <w:szCs w:val="18"/>
              </w:rPr>
            </w:pPr>
            <w:r w:rsidRPr="0053716E">
              <w:rPr>
                <w:sz w:val="18"/>
                <w:szCs w:val="18"/>
              </w:rPr>
              <w:t xml:space="preserve">Systolic blood pressure </w:t>
            </w:r>
          </w:p>
        </w:tc>
        <w:tc>
          <w:tcPr>
            <w:tcW w:w="1620" w:type="dxa"/>
            <w:noWrap/>
          </w:tcPr>
          <w:p w14:paraId="7506820F"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99.7 </w:t>
            </w:r>
          </w:p>
        </w:tc>
        <w:tc>
          <w:tcPr>
            <w:tcW w:w="1350" w:type="dxa"/>
            <w:noWrap/>
          </w:tcPr>
          <w:p w14:paraId="15B871DD"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96.7 </w:t>
            </w:r>
          </w:p>
        </w:tc>
        <w:tc>
          <w:tcPr>
            <w:tcW w:w="1440" w:type="dxa"/>
            <w:noWrap/>
          </w:tcPr>
          <w:p w14:paraId="5FF4DADD"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99.3 </w:t>
            </w:r>
          </w:p>
        </w:tc>
        <w:tc>
          <w:tcPr>
            <w:tcW w:w="1597" w:type="dxa"/>
            <w:noWrap/>
          </w:tcPr>
          <w:p w14:paraId="4F7D373C"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99.6 </w:t>
            </w:r>
          </w:p>
        </w:tc>
      </w:tr>
      <w:tr w:rsidR="002A32F0" w:rsidRPr="00C22FCA" w14:paraId="7EEBB792"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2387" w:type="dxa"/>
            <w:noWrap/>
            <w:vAlign w:val="center"/>
            <w:hideMark/>
          </w:tcPr>
          <w:p w14:paraId="1736A2DE" w14:textId="77777777" w:rsidR="002A32F0" w:rsidRPr="0053716E" w:rsidRDefault="002A32F0" w:rsidP="002A32F0">
            <w:pPr>
              <w:ind w:left="180"/>
              <w:rPr>
                <w:sz w:val="18"/>
                <w:szCs w:val="18"/>
              </w:rPr>
            </w:pPr>
            <w:r w:rsidRPr="0053716E">
              <w:rPr>
                <w:sz w:val="18"/>
                <w:szCs w:val="18"/>
              </w:rPr>
              <w:t>Diastolic blood pressure</w:t>
            </w:r>
          </w:p>
        </w:tc>
        <w:tc>
          <w:tcPr>
            <w:tcW w:w="1620" w:type="dxa"/>
            <w:noWrap/>
            <w:vAlign w:val="center"/>
            <w:hideMark/>
          </w:tcPr>
          <w:p w14:paraId="2612E1B6" w14:textId="77777777" w:rsidR="002A32F0" w:rsidRPr="0045364B"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99.7</w:t>
            </w:r>
          </w:p>
        </w:tc>
        <w:tc>
          <w:tcPr>
            <w:tcW w:w="1350" w:type="dxa"/>
            <w:noWrap/>
            <w:vAlign w:val="center"/>
            <w:hideMark/>
          </w:tcPr>
          <w:p w14:paraId="3D69CC66" w14:textId="77777777" w:rsidR="002A32F0" w:rsidRPr="0045364B"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96.7</w:t>
            </w:r>
          </w:p>
        </w:tc>
        <w:tc>
          <w:tcPr>
            <w:tcW w:w="1440" w:type="dxa"/>
            <w:noWrap/>
            <w:vAlign w:val="center"/>
            <w:hideMark/>
          </w:tcPr>
          <w:p w14:paraId="1ED33142" w14:textId="77777777" w:rsidR="002A32F0" w:rsidRPr="0045364B"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99.3</w:t>
            </w:r>
          </w:p>
        </w:tc>
        <w:tc>
          <w:tcPr>
            <w:tcW w:w="1597" w:type="dxa"/>
            <w:noWrap/>
            <w:vAlign w:val="center"/>
            <w:hideMark/>
          </w:tcPr>
          <w:p w14:paraId="27158067" w14:textId="77777777" w:rsidR="002A32F0" w:rsidRPr="0045364B"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99.6</w:t>
            </w:r>
          </w:p>
        </w:tc>
      </w:tr>
      <w:tr w:rsidR="002A32F0" w:rsidRPr="00C22FCA" w14:paraId="61CCB9D9"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387" w:type="dxa"/>
            <w:noWrap/>
          </w:tcPr>
          <w:p w14:paraId="33EE592C" w14:textId="77777777" w:rsidR="002A32F0" w:rsidRPr="0053716E" w:rsidRDefault="002A32F0" w:rsidP="002A32F0">
            <w:pPr>
              <w:ind w:left="180"/>
              <w:rPr>
                <w:sz w:val="18"/>
                <w:szCs w:val="18"/>
              </w:rPr>
            </w:pPr>
            <w:r w:rsidRPr="0053716E">
              <w:rPr>
                <w:sz w:val="18"/>
                <w:szCs w:val="18"/>
              </w:rPr>
              <w:t xml:space="preserve">Respiratory rate </w:t>
            </w:r>
          </w:p>
        </w:tc>
        <w:tc>
          <w:tcPr>
            <w:tcW w:w="1620" w:type="dxa"/>
            <w:noWrap/>
          </w:tcPr>
          <w:p w14:paraId="59DFADA5"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99.7 </w:t>
            </w:r>
          </w:p>
        </w:tc>
        <w:tc>
          <w:tcPr>
            <w:tcW w:w="1350" w:type="dxa"/>
            <w:noWrap/>
          </w:tcPr>
          <w:p w14:paraId="751589C6"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95.8 </w:t>
            </w:r>
          </w:p>
        </w:tc>
        <w:tc>
          <w:tcPr>
            <w:tcW w:w="1440" w:type="dxa"/>
            <w:noWrap/>
          </w:tcPr>
          <w:p w14:paraId="56537447"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99.1 </w:t>
            </w:r>
          </w:p>
        </w:tc>
        <w:tc>
          <w:tcPr>
            <w:tcW w:w="1597" w:type="dxa"/>
            <w:noWrap/>
          </w:tcPr>
          <w:p w14:paraId="5AA0B1AA"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99.6 </w:t>
            </w:r>
          </w:p>
        </w:tc>
      </w:tr>
      <w:tr w:rsidR="002A32F0" w:rsidRPr="00C22FCA" w14:paraId="5D18FB3D"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2387" w:type="dxa"/>
            <w:noWrap/>
            <w:vAlign w:val="center"/>
          </w:tcPr>
          <w:p w14:paraId="060293AD" w14:textId="77777777" w:rsidR="002A32F0" w:rsidRPr="0053716E" w:rsidRDefault="002A32F0" w:rsidP="002A32F0">
            <w:pPr>
              <w:ind w:left="180"/>
              <w:rPr>
                <w:sz w:val="18"/>
                <w:szCs w:val="18"/>
              </w:rPr>
            </w:pPr>
            <w:r w:rsidRPr="0053716E">
              <w:rPr>
                <w:sz w:val="18"/>
                <w:szCs w:val="18"/>
              </w:rPr>
              <w:t>Temperature</w:t>
            </w:r>
          </w:p>
        </w:tc>
        <w:tc>
          <w:tcPr>
            <w:tcW w:w="1620" w:type="dxa"/>
            <w:noWrap/>
            <w:vAlign w:val="center"/>
          </w:tcPr>
          <w:p w14:paraId="2BE7FF28"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99.7</w:t>
            </w:r>
          </w:p>
        </w:tc>
        <w:tc>
          <w:tcPr>
            <w:tcW w:w="1350" w:type="dxa"/>
            <w:noWrap/>
            <w:vAlign w:val="center"/>
          </w:tcPr>
          <w:p w14:paraId="7E347AEB"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93.7</w:t>
            </w:r>
          </w:p>
        </w:tc>
        <w:tc>
          <w:tcPr>
            <w:tcW w:w="1440" w:type="dxa"/>
            <w:noWrap/>
            <w:vAlign w:val="center"/>
          </w:tcPr>
          <w:p w14:paraId="3E5C7DF6"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98.5</w:t>
            </w:r>
          </w:p>
        </w:tc>
        <w:tc>
          <w:tcPr>
            <w:tcW w:w="1597" w:type="dxa"/>
            <w:noWrap/>
            <w:vAlign w:val="center"/>
          </w:tcPr>
          <w:p w14:paraId="7D59121E"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99.5</w:t>
            </w:r>
          </w:p>
        </w:tc>
      </w:tr>
      <w:tr w:rsidR="002A32F0" w:rsidRPr="00C22FCA" w14:paraId="2BF9B506"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387" w:type="dxa"/>
            <w:noWrap/>
            <w:vAlign w:val="center"/>
          </w:tcPr>
          <w:p w14:paraId="226B3432" w14:textId="77777777" w:rsidR="002A32F0" w:rsidRPr="0053716E" w:rsidRDefault="002A32F0" w:rsidP="002A32F0">
            <w:pPr>
              <w:ind w:left="180"/>
              <w:rPr>
                <w:sz w:val="18"/>
                <w:szCs w:val="18"/>
              </w:rPr>
            </w:pPr>
            <w:r w:rsidRPr="0053716E">
              <w:rPr>
                <w:sz w:val="18"/>
                <w:szCs w:val="18"/>
              </w:rPr>
              <w:t xml:space="preserve">Oxygen saturation </w:t>
            </w:r>
          </w:p>
        </w:tc>
        <w:tc>
          <w:tcPr>
            <w:tcW w:w="1620" w:type="dxa"/>
            <w:noWrap/>
            <w:vAlign w:val="center"/>
          </w:tcPr>
          <w:p w14:paraId="05BE1E43"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98.2 </w:t>
            </w:r>
          </w:p>
        </w:tc>
        <w:tc>
          <w:tcPr>
            <w:tcW w:w="1350" w:type="dxa"/>
            <w:noWrap/>
            <w:vAlign w:val="center"/>
          </w:tcPr>
          <w:p w14:paraId="699B9760"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86.0 </w:t>
            </w:r>
          </w:p>
        </w:tc>
        <w:tc>
          <w:tcPr>
            <w:tcW w:w="1440" w:type="dxa"/>
            <w:noWrap/>
            <w:vAlign w:val="center"/>
          </w:tcPr>
          <w:p w14:paraId="110B3012"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92.6 </w:t>
            </w:r>
          </w:p>
        </w:tc>
        <w:tc>
          <w:tcPr>
            <w:tcW w:w="1597" w:type="dxa"/>
            <w:noWrap/>
            <w:vAlign w:val="center"/>
          </w:tcPr>
          <w:p w14:paraId="753FCF1E"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95.4 </w:t>
            </w:r>
          </w:p>
        </w:tc>
      </w:tr>
      <w:tr w:rsidR="002A32F0" w:rsidRPr="00C22FCA" w14:paraId="6862589F"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2387" w:type="dxa"/>
            <w:noWrap/>
            <w:vAlign w:val="center"/>
          </w:tcPr>
          <w:p w14:paraId="25A27C3A" w14:textId="77777777" w:rsidR="002A32F0" w:rsidRPr="0053716E" w:rsidRDefault="002A32F0" w:rsidP="002A32F0">
            <w:pPr>
              <w:ind w:left="180"/>
              <w:rPr>
                <w:sz w:val="18"/>
                <w:szCs w:val="18"/>
              </w:rPr>
            </w:pPr>
            <w:r w:rsidRPr="0053716E">
              <w:rPr>
                <w:sz w:val="18"/>
                <w:szCs w:val="18"/>
              </w:rPr>
              <w:t xml:space="preserve">Weight </w:t>
            </w:r>
          </w:p>
        </w:tc>
        <w:tc>
          <w:tcPr>
            <w:tcW w:w="1620" w:type="dxa"/>
            <w:noWrap/>
            <w:vAlign w:val="center"/>
          </w:tcPr>
          <w:p w14:paraId="658476C3"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92.5 </w:t>
            </w:r>
          </w:p>
        </w:tc>
        <w:tc>
          <w:tcPr>
            <w:tcW w:w="1350" w:type="dxa"/>
            <w:noWrap/>
            <w:vAlign w:val="center"/>
          </w:tcPr>
          <w:p w14:paraId="25CD11CD"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80.2 </w:t>
            </w:r>
          </w:p>
        </w:tc>
        <w:tc>
          <w:tcPr>
            <w:tcW w:w="1440" w:type="dxa"/>
            <w:noWrap/>
            <w:vAlign w:val="center"/>
          </w:tcPr>
          <w:p w14:paraId="47309BB8"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85.2 </w:t>
            </w:r>
          </w:p>
        </w:tc>
        <w:tc>
          <w:tcPr>
            <w:tcW w:w="1597" w:type="dxa"/>
            <w:noWrap/>
            <w:vAlign w:val="center"/>
          </w:tcPr>
          <w:p w14:paraId="2ED2CF2A"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88.8 </w:t>
            </w:r>
          </w:p>
        </w:tc>
      </w:tr>
    </w:tbl>
    <w:p w14:paraId="1FEEA7DA" w14:textId="77777777" w:rsidR="002A32F0" w:rsidRDefault="002A32F0" w:rsidP="002A32F0">
      <w:pPr>
        <w:autoSpaceDE w:val="0"/>
        <w:autoSpaceDN w:val="0"/>
        <w:adjustRightInd w:val="0"/>
        <w:spacing w:after="0" w:line="240" w:lineRule="auto"/>
        <w:rPr>
          <w:rFonts w:cstheme="minorHAnsi"/>
          <w:bCs/>
        </w:rPr>
      </w:pPr>
    </w:p>
    <w:p w14:paraId="21AA12BD" w14:textId="6D50632A" w:rsidR="002A32F0" w:rsidRPr="009F30D3" w:rsidRDefault="002A32F0" w:rsidP="002A32F0">
      <w:pPr>
        <w:pStyle w:val="Caption"/>
        <w:keepNext/>
        <w:rPr>
          <w:color w:val="auto"/>
          <w:sz w:val="22"/>
          <w:szCs w:val="20"/>
        </w:rPr>
      </w:pPr>
      <w:r w:rsidRPr="009F30D3">
        <w:rPr>
          <w:color w:val="auto"/>
          <w:sz w:val="22"/>
          <w:szCs w:val="20"/>
        </w:rPr>
        <w:t xml:space="preserve">Table </w:t>
      </w:r>
      <w:r w:rsidRPr="009F30D3">
        <w:rPr>
          <w:color w:val="auto"/>
          <w:sz w:val="22"/>
          <w:szCs w:val="20"/>
        </w:rPr>
        <w:fldChar w:fldCharType="begin"/>
      </w:r>
      <w:r w:rsidRPr="009F30D3">
        <w:rPr>
          <w:color w:val="auto"/>
          <w:sz w:val="22"/>
          <w:szCs w:val="20"/>
        </w:rPr>
        <w:instrText xml:space="preserve"> SEQ Table \* ARABIC </w:instrText>
      </w:r>
      <w:r w:rsidRPr="009F30D3">
        <w:rPr>
          <w:color w:val="auto"/>
          <w:sz w:val="22"/>
          <w:szCs w:val="20"/>
        </w:rPr>
        <w:fldChar w:fldCharType="separate"/>
      </w:r>
      <w:r w:rsidR="0059261C">
        <w:rPr>
          <w:noProof/>
          <w:color w:val="auto"/>
          <w:sz w:val="22"/>
          <w:szCs w:val="20"/>
        </w:rPr>
        <w:t>3</w:t>
      </w:r>
      <w:r w:rsidRPr="009F30D3">
        <w:rPr>
          <w:color w:val="auto"/>
          <w:sz w:val="22"/>
          <w:szCs w:val="20"/>
        </w:rPr>
        <w:fldChar w:fldCharType="end"/>
      </w:r>
      <w:r w:rsidR="00AE0BCA">
        <w:rPr>
          <w:color w:val="auto"/>
          <w:sz w:val="22"/>
          <w:szCs w:val="20"/>
        </w:rPr>
        <w:t>.</w:t>
      </w:r>
      <w:r w:rsidRPr="009F30D3">
        <w:rPr>
          <w:color w:val="auto"/>
          <w:sz w:val="22"/>
          <w:szCs w:val="20"/>
        </w:rPr>
        <w:t xml:space="preserve"> Proportion of Admissions with Laboratory Results at Various Time Points</w:t>
      </w:r>
      <w:r w:rsidR="00E73B14" w:rsidRPr="009F30D3">
        <w:rPr>
          <w:color w:val="auto"/>
          <w:sz w:val="22"/>
          <w:szCs w:val="20"/>
        </w:rPr>
        <w:t xml:space="preserve"> (Dataset 1)</w:t>
      </w:r>
    </w:p>
    <w:tbl>
      <w:tblPr>
        <w:tblStyle w:val="LightList-Accent11"/>
        <w:tblW w:w="0" w:type="auto"/>
        <w:jc w:val="center"/>
        <w:tblLook w:val="04A0" w:firstRow="1" w:lastRow="0" w:firstColumn="1" w:lastColumn="0" w:noHBand="0" w:noVBand="1"/>
      </w:tblPr>
      <w:tblGrid>
        <w:gridCol w:w="1728"/>
        <w:gridCol w:w="1397"/>
        <w:gridCol w:w="133"/>
        <w:gridCol w:w="1539"/>
        <w:gridCol w:w="1593"/>
        <w:gridCol w:w="1593"/>
        <w:gridCol w:w="1357"/>
      </w:tblGrid>
      <w:tr w:rsidR="002A32F0" w:rsidRPr="00015972" w14:paraId="34E3E418" w14:textId="77777777" w:rsidTr="002A32F0">
        <w:trPr>
          <w:cnfStyle w:val="100000000000" w:firstRow="1" w:lastRow="0" w:firstColumn="0" w:lastColumn="0" w:oddVBand="0" w:evenVBand="0" w:oddHBand="0" w:evenHBand="0" w:firstRowFirstColumn="0" w:firstRowLastColumn="0" w:lastRowFirstColumn="0" w:lastRowLastColumn="0"/>
          <w:trHeight w:val="548"/>
          <w:tblHeader/>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hideMark/>
          </w:tcPr>
          <w:p w14:paraId="149DAD83" w14:textId="77777777" w:rsidR="002A32F0" w:rsidRPr="0045364B" w:rsidRDefault="002A32F0" w:rsidP="002A32F0">
            <w:pPr>
              <w:jc w:val="center"/>
              <w:rPr>
                <w:b w:val="0"/>
                <w:bCs w:val="0"/>
                <w:sz w:val="18"/>
                <w:szCs w:val="18"/>
              </w:rPr>
            </w:pPr>
            <w:r>
              <w:rPr>
                <w:sz w:val="18"/>
                <w:szCs w:val="18"/>
              </w:rPr>
              <w:t>Lab Test Result – Full Cohort</w:t>
            </w:r>
          </w:p>
        </w:tc>
        <w:tc>
          <w:tcPr>
            <w:tcW w:w="1530" w:type="dxa"/>
            <w:gridSpan w:val="2"/>
            <w:noWrap/>
            <w:vAlign w:val="center"/>
            <w:hideMark/>
          </w:tcPr>
          <w:p w14:paraId="00162DB2"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Total </w:t>
            </w:r>
            <w:r w:rsidRPr="0045364B">
              <w:rPr>
                <w:sz w:val="18"/>
                <w:szCs w:val="18"/>
              </w:rPr>
              <w:t>with Result</w:t>
            </w:r>
            <w:r>
              <w:rPr>
                <w:sz w:val="18"/>
                <w:szCs w:val="18"/>
              </w:rPr>
              <w:t xml:space="preserve"> and Timestamp (%)</w:t>
            </w:r>
          </w:p>
        </w:tc>
        <w:tc>
          <w:tcPr>
            <w:tcW w:w="1539" w:type="dxa"/>
            <w:noWrap/>
            <w:vAlign w:val="center"/>
            <w:hideMark/>
          </w:tcPr>
          <w:p w14:paraId="6DE3B47E"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45364B">
              <w:rPr>
                <w:sz w:val="18"/>
                <w:szCs w:val="18"/>
              </w:rPr>
              <w:t>Within 2 Hours</w:t>
            </w:r>
            <w:r>
              <w:rPr>
                <w:sz w:val="18"/>
                <w:szCs w:val="18"/>
              </w:rPr>
              <w:t xml:space="preserve"> (%)</w:t>
            </w:r>
          </w:p>
        </w:tc>
        <w:tc>
          <w:tcPr>
            <w:tcW w:w="1593" w:type="dxa"/>
            <w:noWrap/>
            <w:vAlign w:val="center"/>
            <w:hideMark/>
          </w:tcPr>
          <w:p w14:paraId="539033C5"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Within</w:t>
            </w:r>
            <w:r w:rsidRPr="0045364B">
              <w:rPr>
                <w:sz w:val="18"/>
                <w:szCs w:val="18"/>
              </w:rPr>
              <w:t xml:space="preserve"> 6 Hours</w:t>
            </w:r>
            <w:r>
              <w:rPr>
                <w:sz w:val="18"/>
                <w:szCs w:val="18"/>
              </w:rPr>
              <w:t xml:space="preserve"> (%)</w:t>
            </w:r>
          </w:p>
        </w:tc>
        <w:tc>
          <w:tcPr>
            <w:tcW w:w="1593" w:type="dxa"/>
            <w:noWrap/>
            <w:vAlign w:val="center"/>
            <w:hideMark/>
          </w:tcPr>
          <w:p w14:paraId="5E1EE6B4"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Within</w:t>
            </w:r>
            <w:r w:rsidRPr="0045364B">
              <w:rPr>
                <w:sz w:val="18"/>
                <w:szCs w:val="18"/>
              </w:rPr>
              <w:t xml:space="preserve"> 12 Hours</w:t>
            </w:r>
            <w:r>
              <w:rPr>
                <w:sz w:val="18"/>
                <w:szCs w:val="18"/>
              </w:rPr>
              <w:t xml:space="preserve"> (%)</w:t>
            </w:r>
          </w:p>
        </w:tc>
        <w:tc>
          <w:tcPr>
            <w:tcW w:w="1357" w:type="dxa"/>
            <w:vAlign w:val="center"/>
          </w:tcPr>
          <w:p w14:paraId="628574EF" w14:textId="77777777" w:rsidR="002A32F0" w:rsidRPr="0045364B" w:rsidRDefault="002A32F0"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Within 24 Hours (%)</w:t>
            </w:r>
          </w:p>
        </w:tc>
      </w:tr>
      <w:tr w:rsidR="002A32F0" w:rsidRPr="00015972" w14:paraId="67E9C75B"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25B23C72" w14:textId="77777777" w:rsidR="002A32F0" w:rsidRDefault="002A32F0" w:rsidP="002A32F0">
            <w:pPr>
              <w:ind w:left="180"/>
              <w:rPr>
                <w:sz w:val="18"/>
                <w:szCs w:val="18"/>
              </w:rPr>
            </w:pPr>
            <w:r w:rsidRPr="0053716E">
              <w:rPr>
                <w:sz w:val="18"/>
                <w:szCs w:val="18"/>
              </w:rPr>
              <w:t xml:space="preserve">Hemoglobin </w:t>
            </w:r>
          </w:p>
        </w:tc>
        <w:tc>
          <w:tcPr>
            <w:tcW w:w="1397" w:type="dxa"/>
            <w:noWrap/>
            <w:vAlign w:val="center"/>
          </w:tcPr>
          <w:p w14:paraId="41C59F15"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92.7 </w:t>
            </w:r>
          </w:p>
        </w:tc>
        <w:tc>
          <w:tcPr>
            <w:tcW w:w="1672" w:type="dxa"/>
            <w:gridSpan w:val="2"/>
            <w:noWrap/>
          </w:tcPr>
          <w:p w14:paraId="5574AEE9"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61.2 </w:t>
            </w:r>
          </w:p>
        </w:tc>
        <w:tc>
          <w:tcPr>
            <w:tcW w:w="1593" w:type="dxa"/>
            <w:noWrap/>
            <w:vAlign w:val="center"/>
          </w:tcPr>
          <w:p w14:paraId="78670904"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72.7 </w:t>
            </w:r>
          </w:p>
        </w:tc>
        <w:tc>
          <w:tcPr>
            <w:tcW w:w="1593" w:type="dxa"/>
            <w:noWrap/>
            <w:vAlign w:val="center"/>
          </w:tcPr>
          <w:p w14:paraId="23D1DFA2"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77.3 </w:t>
            </w:r>
          </w:p>
        </w:tc>
        <w:tc>
          <w:tcPr>
            <w:tcW w:w="1357" w:type="dxa"/>
            <w:vAlign w:val="center"/>
          </w:tcPr>
          <w:p w14:paraId="457D0306"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90.6 </w:t>
            </w:r>
          </w:p>
        </w:tc>
      </w:tr>
      <w:tr w:rsidR="002A32F0" w:rsidRPr="00015972" w14:paraId="11300EC3"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0E91E785" w14:textId="77777777" w:rsidR="002A32F0" w:rsidRDefault="002A32F0" w:rsidP="002A32F0">
            <w:pPr>
              <w:ind w:left="180"/>
              <w:rPr>
                <w:sz w:val="18"/>
                <w:szCs w:val="18"/>
              </w:rPr>
            </w:pPr>
            <w:r w:rsidRPr="0053716E">
              <w:rPr>
                <w:sz w:val="18"/>
                <w:szCs w:val="18"/>
              </w:rPr>
              <w:t xml:space="preserve">Hematocrit </w:t>
            </w:r>
          </w:p>
        </w:tc>
        <w:tc>
          <w:tcPr>
            <w:tcW w:w="1397" w:type="dxa"/>
            <w:noWrap/>
          </w:tcPr>
          <w:p w14:paraId="0E6B9DA8"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92.8 </w:t>
            </w:r>
          </w:p>
        </w:tc>
        <w:tc>
          <w:tcPr>
            <w:tcW w:w="1672" w:type="dxa"/>
            <w:gridSpan w:val="2"/>
            <w:noWrap/>
            <w:vAlign w:val="center"/>
          </w:tcPr>
          <w:p w14:paraId="518BDC52"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61.6 </w:t>
            </w:r>
          </w:p>
        </w:tc>
        <w:tc>
          <w:tcPr>
            <w:tcW w:w="1593" w:type="dxa"/>
            <w:noWrap/>
            <w:vAlign w:val="center"/>
          </w:tcPr>
          <w:p w14:paraId="7D9008A8"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73.8 </w:t>
            </w:r>
          </w:p>
        </w:tc>
        <w:tc>
          <w:tcPr>
            <w:tcW w:w="1593" w:type="dxa"/>
            <w:noWrap/>
            <w:vAlign w:val="center"/>
          </w:tcPr>
          <w:p w14:paraId="19A91131"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78.0 </w:t>
            </w:r>
          </w:p>
        </w:tc>
        <w:tc>
          <w:tcPr>
            <w:tcW w:w="1357" w:type="dxa"/>
            <w:vAlign w:val="center"/>
          </w:tcPr>
          <w:p w14:paraId="06053788"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90.8 </w:t>
            </w:r>
          </w:p>
        </w:tc>
      </w:tr>
      <w:tr w:rsidR="002A32F0" w:rsidRPr="00015972" w14:paraId="621EC5D6"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7BB304B6" w14:textId="77777777" w:rsidR="002A32F0" w:rsidRDefault="002A32F0" w:rsidP="002A32F0">
            <w:pPr>
              <w:ind w:left="180"/>
              <w:rPr>
                <w:sz w:val="18"/>
                <w:szCs w:val="18"/>
              </w:rPr>
            </w:pPr>
            <w:r>
              <w:rPr>
                <w:sz w:val="18"/>
                <w:szCs w:val="18"/>
              </w:rPr>
              <w:t>Platelets</w:t>
            </w:r>
          </w:p>
        </w:tc>
        <w:tc>
          <w:tcPr>
            <w:tcW w:w="1397" w:type="dxa"/>
            <w:noWrap/>
          </w:tcPr>
          <w:p w14:paraId="1DC8AAF6"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92.0 </w:t>
            </w:r>
          </w:p>
        </w:tc>
        <w:tc>
          <w:tcPr>
            <w:tcW w:w="1672" w:type="dxa"/>
            <w:gridSpan w:val="2"/>
            <w:noWrap/>
            <w:vAlign w:val="center"/>
          </w:tcPr>
          <w:p w14:paraId="36536820"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61.1 </w:t>
            </w:r>
          </w:p>
        </w:tc>
        <w:tc>
          <w:tcPr>
            <w:tcW w:w="1593" w:type="dxa"/>
            <w:noWrap/>
            <w:vAlign w:val="center"/>
          </w:tcPr>
          <w:p w14:paraId="38CE556A"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72.4 </w:t>
            </w:r>
          </w:p>
        </w:tc>
        <w:tc>
          <w:tcPr>
            <w:tcW w:w="1593" w:type="dxa"/>
            <w:noWrap/>
            <w:vAlign w:val="center"/>
          </w:tcPr>
          <w:p w14:paraId="5EAF896A"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76.5 </w:t>
            </w:r>
          </w:p>
        </w:tc>
        <w:tc>
          <w:tcPr>
            <w:tcW w:w="1357" w:type="dxa"/>
            <w:vAlign w:val="center"/>
          </w:tcPr>
          <w:p w14:paraId="0F379368"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89.8 </w:t>
            </w:r>
          </w:p>
        </w:tc>
      </w:tr>
      <w:tr w:rsidR="002A32F0" w:rsidRPr="00015972" w14:paraId="037B8AAD"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51988067" w14:textId="77777777" w:rsidR="002A32F0" w:rsidRDefault="002A32F0" w:rsidP="002A32F0">
            <w:pPr>
              <w:ind w:left="180"/>
              <w:rPr>
                <w:sz w:val="18"/>
                <w:szCs w:val="18"/>
              </w:rPr>
            </w:pPr>
            <w:r w:rsidRPr="0053716E">
              <w:rPr>
                <w:sz w:val="18"/>
                <w:szCs w:val="18"/>
              </w:rPr>
              <w:t xml:space="preserve">WBC count </w:t>
            </w:r>
          </w:p>
        </w:tc>
        <w:tc>
          <w:tcPr>
            <w:tcW w:w="1397" w:type="dxa"/>
            <w:noWrap/>
          </w:tcPr>
          <w:p w14:paraId="6282CB34"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92.0 </w:t>
            </w:r>
          </w:p>
        </w:tc>
        <w:tc>
          <w:tcPr>
            <w:tcW w:w="1672" w:type="dxa"/>
            <w:gridSpan w:val="2"/>
            <w:noWrap/>
            <w:vAlign w:val="center"/>
          </w:tcPr>
          <w:p w14:paraId="4EBA7749"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61.1 </w:t>
            </w:r>
          </w:p>
        </w:tc>
        <w:tc>
          <w:tcPr>
            <w:tcW w:w="1593" w:type="dxa"/>
            <w:noWrap/>
            <w:vAlign w:val="center"/>
          </w:tcPr>
          <w:p w14:paraId="627F0CD9"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72.4 </w:t>
            </w:r>
          </w:p>
        </w:tc>
        <w:tc>
          <w:tcPr>
            <w:tcW w:w="1593" w:type="dxa"/>
            <w:noWrap/>
            <w:vAlign w:val="center"/>
          </w:tcPr>
          <w:p w14:paraId="3F1CDF29"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76.5 </w:t>
            </w:r>
          </w:p>
        </w:tc>
        <w:tc>
          <w:tcPr>
            <w:tcW w:w="1357" w:type="dxa"/>
            <w:vAlign w:val="center"/>
          </w:tcPr>
          <w:p w14:paraId="51AA0B2C"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89.8 </w:t>
            </w:r>
          </w:p>
        </w:tc>
      </w:tr>
      <w:tr w:rsidR="002A32F0" w:rsidRPr="00015972" w14:paraId="17819630"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3583D3B5" w14:textId="77777777" w:rsidR="002A32F0" w:rsidRDefault="002A32F0" w:rsidP="002A32F0">
            <w:pPr>
              <w:ind w:left="180"/>
              <w:rPr>
                <w:sz w:val="18"/>
                <w:szCs w:val="18"/>
              </w:rPr>
            </w:pPr>
            <w:r w:rsidRPr="0053716E">
              <w:rPr>
                <w:sz w:val="18"/>
                <w:szCs w:val="18"/>
              </w:rPr>
              <w:t xml:space="preserve">Potassium </w:t>
            </w:r>
          </w:p>
        </w:tc>
        <w:tc>
          <w:tcPr>
            <w:tcW w:w="1397" w:type="dxa"/>
            <w:noWrap/>
          </w:tcPr>
          <w:p w14:paraId="1D5D9DD3"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71.3 </w:t>
            </w:r>
          </w:p>
        </w:tc>
        <w:tc>
          <w:tcPr>
            <w:tcW w:w="1672" w:type="dxa"/>
            <w:gridSpan w:val="2"/>
            <w:noWrap/>
            <w:vAlign w:val="center"/>
          </w:tcPr>
          <w:p w14:paraId="2B7C5DAD"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49.3 </w:t>
            </w:r>
          </w:p>
        </w:tc>
        <w:tc>
          <w:tcPr>
            <w:tcW w:w="1593" w:type="dxa"/>
            <w:noWrap/>
            <w:vAlign w:val="center"/>
          </w:tcPr>
          <w:p w14:paraId="5D228E43"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57.2 </w:t>
            </w:r>
          </w:p>
        </w:tc>
        <w:tc>
          <w:tcPr>
            <w:tcW w:w="1593" w:type="dxa"/>
            <w:noWrap/>
            <w:vAlign w:val="center"/>
          </w:tcPr>
          <w:p w14:paraId="11B88712"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60.2 </w:t>
            </w:r>
          </w:p>
        </w:tc>
        <w:tc>
          <w:tcPr>
            <w:tcW w:w="1357" w:type="dxa"/>
            <w:vAlign w:val="center"/>
          </w:tcPr>
          <w:p w14:paraId="6F227223"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69.4 </w:t>
            </w:r>
          </w:p>
        </w:tc>
      </w:tr>
      <w:tr w:rsidR="002A32F0" w:rsidRPr="00015972" w14:paraId="1445BF44"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616B7173" w14:textId="77777777" w:rsidR="002A32F0" w:rsidRDefault="002A32F0" w:rsidP="002A32F0">
            <w:pPr>
              <w:ind w:left="180"/>
              <w:rPr>
                <w:sz w:val="18"/>
                <w:szCs w:val="18"/>
              </w:rPr>
            </w:pPr>
            <w:r w:rsidRPr="0053716E">
              <w:rPr>
                <w:sz w:val="18"/>
                <w:szCs w:val="18"/>
              </w:rPr>
              <w:t xml:space="preserve">Sodium </w:t>
            </w:r>
          </w:p>
        </w:tc>
        <w:tc>
          <w:tcPr>
            <w:tcW w:w="1397" w:type="dxa"/>
            <w:noWrap/>
          </w:tcPr>
          <w:p w14:paraId="71EC2396"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71.6 </w:t>
            </w:r>
          </w:p>
        </w:tc>
        <w:tc>
          <w:tcPr>
            <w:tcW w:w="1672" w:type="dxa"/>
            <w:gridSpan w:val="2"/>
            <w:noWrap/>
            <w:vAlign w:val="center"/>
          </w:tcPr>
          <w:p w14:paraId="0B1E3765"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49.3 </w:t>
            </w:r>
          </w:p>
        </w:tc>
        <w:tc>
          <w:tcPr>
            <w:tcW w:w="1593" w:type="dxa"/>
            <w:noWrap/>
            <w:vAlign w:val="center"/>
          </w:tcPr>
          <w:p w14:paraId="213FC196"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57.3 </w:t>
            </w:r>
          </w:p>
        </w:tc>
        <w:tc>
          <w:tcPr>
            <w:tcW w:w="1593" w:type="dxa"/>
            <w:noWrap/>
            <w:vAlign w:val="center"/>
          </w:tcPr>
          <w:p w14:paraId="25F24B32"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60.3 </w:t>
            </w:r>
          </w:p>
        </w:tc>
        <w:tc>
          <w:tcPr>
            <w:tcW w:w="1357" w:type="dxa"/>
            <w:vAlign w:val="center"/>
          </w:tcPr>
          <w:p w14:paraId="5B3B7D60"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69.6 </w:t>
            </w:r>
          </w:p>
        </w:tc>
      </w:tr>
      <w:tr w:rsidR="002A32F0" w:rsidRPr="00015972" w14:paraId="282B9533"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52C7630D" w14:textId="77777777" w:rsidR="002A32F0" w:rsidRDefault="002A32F0" w:rsidP="002A32F0">
            <w:pPr>
              <w:ind w:left="180"/>
              <w:rPr>
                <w:sz w:val="18"/>
                <w:szCs w:val="18"/>
              </w:rPr>
            </w:pPr>
            <w:r w:rsidRPr="0053716E">
              <w:rPr>
                <w:sz w:val="18"/>
                <w:szCs w:val="18"/>
              </w:rPr>
              <w:t xml:space="preserve">Chloride </w:t>
            </w:r>
          </w:p>
        </w:tc>
        <w:tc>
          <w:tcPr>
            <w:tcW w:w="1397" w:type="dxa"/>
            <w:noWrap/>
          </w:tcPr>
          <w:p w14:paraId="462FD146"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71.1 </w:t>
            </w:r>
          </w:p>
        </w:tc>
        <w:tc>
          <w:tcPr>
            <w:tcW w:w="1672" w:type="dxa"/>
            <w:gridSpan w:val="2"/>
            <w:noWrap/>
            <w:vAlign w:val="center"/>
          </w:tcPr>
          <w:p w14:paraId="337C4552"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49.3 </w:t>
            </w:r>
          </w:p>
        </w:tc>
        <w:tc>
          <w:tcPr>
            <w:tcW w:w="1593" w:type="dxa"/>
            <w:noWrap/>
            <w:vAlign w:val="center"/>
          </w:tcPr>
          <w:p w14:paraId="417C1AEE"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56.1 </w:t>
            </w:r>
          </w:p>
        </w:tc>
        <w:tc>
          <w:tcPr>
            <w:tcW w:w="1593" w:type="dxa"/>
            <w:noWrap/>
            <w:vAlign w:val="center"/>
          </w:tcPr>
          <w:p w14:paraId="5121E285"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59.4 </w:t>
            </w:r>
          </w:p>
        </w:tc>
        <w:tc>
          <w:tcPr>
            <w:tcW w:w="1357" w:type="dxa"/>
            <w:vAlign w:val="center"/>
          </w:tcPr>
          <w:p w14:paraId="1BFBDBCA" w14:textId="77777777" w:rsidR="002A32F0"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69.0 </w:t>
            </w:r>
          </w:p>
        </w:tc>
      </w:tr>
      <w:tr w:rsidR="002A32F0" w:rsidRPr="00015972" w14:paraId="6F5572C3"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2B077D93" w14:textId="77777777" w:rsidR="002A32F0" w:rsidRDefault="002A32F0" w:rsidP="002A32F0">
            <w:pPr>
              <w:ind w:left="180"/>
              <w:rPr>
                <w:sz w:val="18"/>
                <w:szCs w:val="18"/>
              </w:rPr>
            </w:pPr>
            <w:r w:rsidRPr="0053716E">
              <w:rPr>
                <w:sz w:val="18"/>
                <w:szCs w:val="18"/>
              </w:rPr>
              <w:t xml:space="preserve">Bicarbonate </w:t>
            </w:r>
          </w:p>
        </w:tc>
        <w:tc>
          <w:tcPr>
            <w:tcW w:w="1397" w:type="dxa"/>
            <w:noWrap/>
          </w:tcPr>
          <w:p w14:paraId="59694525"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71.2 </w:t>
            </w:r>
          </w:p>
        </w:tc>
        <w:tc>
          <w:tcPr>
            <w:tcW w:w="1672" w:type="dxa"/>
            <w:gridSpan w:val="2"/>
            <w:noWrap/>
            <w:vAlign w:val="center"/>
          </w:tcPr>
          <w:p w14:paraId="368E86FE"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49.2 </w:t>
            </w:r>
          </w:p>
        </w:tc>
        <w:tc>
          <w:tcPr>
            <w:tcW w:w="1593" w:type="dxa"/>
            <w:noWrap/>
            <w:vAlign w:val="center"/>
          </w:tcPr>
          <w:p w14:paraId="14DD7CFE"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56.8 </w:t>
            </w:r>
          </w:p>
        </w:tc>
        <w:tc>
          <w:tcPr>
            <w:tcW w:w="1593" w:type="dxa"/>
            <w:noWrap/>
            <w:vAlign w:val="center"/>
          </w:tcPr>
          <w:p w14:paraId="1010D107"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59.8 </w:t>
            </w:r>
          </w:p>
        </w:tc>
        <w:tc>
          <w:tcPr>
            <w:tcW w:w="1357" w:type="dxa"/>
            <w:vAlign w:val="center"/>
          </w:tcPr>
          <w:p w14:paraId="702FA838"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69.2 </w:t>
            </w:r>
          </w:p>
        </w:tc>
      </w:tr>
      <w:tr w:rsidR="002A32F0" w:rsidRPr="00015972" w14:paraId="1F161CBA"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3C209DF3" w14:textId="77777777" w:rsidR="002A32F0" w:rsidRDefault="002A32F0" w:rsidP="002A32F0">
            <w:pPr>
              <w:ind w:left="180"/>
              <w:rPr>
                <w:sz w:val="18"/>
                <w:szCs w:val="18"/>
              </w:rPr>
            </w:pPr>
            <w:r>
              <w:rPr>
                <w:sz w:val="18"/>
                <w:szCs w:val="18"/>
              </w:rPr>
              <w:t>Glucose</w:t>
            </w:r>
          </w:p>
        </w:tc>
        <w:tc>
          <w:tcPr>
            <w:tcW w:w="1397" w:type="dxa"/>
            <w:noWrap/>
            <w:vAlign w:val="center"/>
          </w:tcPr>
          <w:p w14:paraId="4A583789" w14:textId="77777777" w:rsidR="002A32F0" w:rsidRPr="0045364B"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72.0</w:t>
            </w:r>
          </w:p>
        </w:tc>
        <w:tc>
          <w:tcPr>
            <w:tcW w:w="1672" w:type="dxa"/>
            <w:gridSpan w:val="2"/>
            <w:noWrap/>
            <w:vAlign w:val="center"/>
          </w:tcPr>
          <w:p w14:paraId="35576ED1" w14:textId="77777777" w:rsidR="002A32F0" w:rsidRPr="0045364B"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49.7</w:t>
            </w:r>
          </w:p>
        </w:tc>
        <w:tc>
          <w:tcPr>
            <w:tcW w:w="1593" w:type="dxa"/>
            <w:noWrap/>
            <w:vAlign w:val="center"/>
          </w:tcPr>
          <w:p w14:paraId="76431EEA" w14:textId="77777777" w:rsidR="002A32F0" w:rsidRPr="0045364B"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57.6</w:t>
            </w:r>
          </w:p>
        </w:tc>
        <w:tc>
          <w:tcPr>
            <w:tcW w:w="1593" w:type="dxa"/>
            <w:noWrap/>
            <w:vAlign w:val="center"/>
          </w:tcPr>
          <w:p w14:paraId="0805F2CB" w14:textId="77777777" w:rsidR="002A32F0" w:rsidRPr="0045364B"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60.6</w:t>
            </w:r>
          </w:p>
        </w:tc>
        <w:tc>
          <w:tcPr>
            <w:tcW w:w="1357" w:type="dxa"/>
            <w:vAlign w:val="center"/>
          </w:tcPr>
          <w:p w14:paraId="67400BEB" w14:textId="77777777" w:rsidR="002A32F0" w:rsidRPr="0045364B" w:rsidRDefault="002A32F0" w:rsidP="002A32F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70.0</w:t>
            </w:r>
          </w:p>
        </w:tc>
      </w:tr>
      <w:tr w:rsidR="002A32F0" w:rsidRPr="00015972" w14:paraId="6DF9F9FE"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2E58C3B1" w14:textId="13319F8B" w:rsidR="002A32F0" w:rsidRDefault="009F30D3" w:rsidP="002A32F0">
            <w:pPr>
              <w:ind w:left="180"/>
              <w:rPr>
                <w:sz w:val="18"/>
                <w:szCs w:val="18"/>
              </w:rPr>
            </w:pPr>
            <w:r>
              <w:rPr>
                <w:sz w:val="18"/>
                <w:szCs w:val="18"/>
              </w:rPr>
              <w:t xml:space="preserve">Troponin </w:t>
            </w:r>
          </w:p>
        </w:tc>
        <w:tc>
          <w:tcPr>
            <w:tcW w:w="1397" w:type="dxa"/>
            <w:noWrap/>
          </w:tcPr>
          <w:p w14:paraId="1E583904"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32.2 </w:t>
            </w:r>
          </w:p>
        </w:tc>
        <w:tc>
          <w:tcPr>
            <w:tcW w:w="1672" w:type="dxa"/>
            <w:gridSpan w:val="2"/>
            <w:noWrap/>
            <w:vAlign w:val="center"/>
          </w:tcPr>
          <w:p w14:paraId="39900E84"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25.6 </w:t>
            </w:r>
          </w:p>
        </w:tc>
        <w:tc>
          <w:tcPr>
            <w:tcW w:w="1593" w:type="dxa"/>
            <w:noWrap/>
            <w:vAlign w:val="center"/>
          </w:tcPr>
          <w:p w14:paraId="6689C367"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28.7 </w:t>
            </w:r>
          </w:p>
        </w:tc>
        <w:tc>
          <w:tcPr>
            <w:tcW w:w="1593" w:type="dxa"/>
            <w:noWrap/>
            <w:vAlign w:val="center"/>
          </w:tcPr>
          <w:p w14:paraId="4E1A445F"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30.0 </w:t>
            </w:r>
          </w:p>
        </w:tc>
        <w:tc>
          <w:tcPr>
            <w:tcW w:w="1357" w:type="dxa"/>
            <w:vAlign w:val="center"/>
          </w:tcPr>
          <w:p w14:paraId="60BDD750" w14:textId="77777777" w:rsidR="002A32F0" w:rsidRDefault="002A32F0" w:rsidP="002A32F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30.6 </w:t>
            </w:r>
          </w:p>
        </w:tc>
      </w:tr>
    </w:tbl>
    <w:p w14:paraId="29F86EA0" w14:textId="77777777" w:rsidR="002A32F0" w:rsidRDefault="002A32F0" w:rsidP="002A32F0">
      <w:pPr>
        <w:autoSpaceDE w:val="0"/>
        <w:autoSpaceDN w:val="0"/>
        <w:adjustRightInd w:val="0"/>
        <w:spacing w:after="0" w:line="240" w:lineRule="auto"/>
        <w:rPr>
          <w:rFonts w:cstheme="minorHAnsi"/>
          <w:bCs/>
        </w:rPr>
      </w:pPr>
    </w:p>
    <w:p w14:paraId="4EECDD34" w14:textId="3FF9363F" w:rsidR="009F30D3" w:rsidRPr="009F30D3" w:rsidRDefault="009F30D3" w:rsidP="009F30D3">
      <w:pPr>
        <w:pStyle w:val="Caption"/>
        <w:keepNext/>
        <w:rPr>
          <w:sz w:val="20"/>
        </w:rPr>
      </w:pPr>
      <w:r w:rsidRPr="009F30D3">
        <w:rPr>
          <w:color w:val="auto"/>
          <w:sz w:val="22"/>
          <w:szCs w:val="20"/>
        </w:rPr>
        <w:t xml:space="preserve">Table </w:t>
      </w:r>
      <w:r w:rsidRPr="009F30D3">
        <w:rPr>
          <w:color w:val="auto"/>
          <w:sz w:val="22"/>
          <w:szCs w:val="20"/>
        </w:rPr>
        <w:fldChar w:fldCharType="begin"/>
      </w:r>
      <w:r w:rsidRPr="009F30D3">
        <w:rPr>
          <w:color w:val="auto"/>
          <w:sz w:val="22"/>
          <w:szCs w:val="20"/>
        </w:rPr>
        <w:instrText xml:space="preserve"> SEQ Table \* ARABIC </w:instrText>
      </w:r>
      <w:r w:rsidRPr="009F30D3">
        <w:rPr>
          <w:color w:val="auto"/>
          <w:sz w:val="22"/>
          <w:szCs w:val="20"/>
        </w:rPr>
        <w:fldChar w:fldCharType="separate"/>
      </w:r>
      <w:r w:rsidR="0059261C">
        <w:rPr>
          <w:noProof/>
          <w:color w:val="auto"/>
          <w:sz w:val="22"/>
          <w:szCs w:val="20"/>
        </w:rPr>
        <w:t>4</w:t>
      </w:r>
      <w:r w:rsidRPr="009F30D3">
        <w:rPr>
          <w:color w:val="auto"/>
          <w:sz w:val="22"/>
          <w:szCs w:val="20"/>
        </w:rPr>
        <w:fldChar w:fldCharType="end"/>
      </w:r>
      <w:r w:rsidR="00AE0BCA">
        <w:rPr>
          <w:color w:val="auto"/>
          <w:sz w:val="22"/>
          <w:szCs w:val="20"/>
        </w:rPr>
        <w:t>.</w:t>
      </w:r>
      <w:r w:rsidRPr="009F30D3">
        <w:rPr>
          <w:color w:val="auto"/>
          <w:sz w:val="22"/>
          <w:szCs w:val="20"/>
        </w:rPr>
        <w:t xml:space="preserve"> Percent Captured per Data Element per Hospital (Dataset 2)</w:t>
      </w:r>
    </w:p>
    <w:tbl>
      <w:tblPr>
        <w:tblStyle w:val="LightList-Accent111"/>
        <w:tblW w:w="6654" w:type="dxa"/>
        <w:tblLook w:val="04A0" w:firstRow="1" w:lastRow="0" w:firstColumn="1" w:lastColumn="0" w:noHBand="0" w:noVBand="1"/>
      </w:tblPr>
      <w:tblGrid>
        <w:gridCol w:w="2430"/>
        <w:gridCol w:w="1408"/>
        <w:gridCol w:w="1408"/>
        <w:gridCol w:w="1408"/>
      </w:tblGrid>
      <w:tr w:rsidR="00BF292F" w:rsidRPr="00BA67CA" w14:paraId="252F5AF9" w14:textId="77777777" w:rsidTr="00235B79">
        <w:trPr>
          <w:cnfStyle w:val="100000000000" w:firstRow="1" w:lastRow="0" w:firstColumn="0" w:lastColumn="0" w:oddVBand="0" w:evenVBand="0" w:oddHBand="0" w:evenHBand="0" w:firstRowFirstColumn="0" w:firstRowLastColumn="0" w:lastRowFirstColumn="0" w:lastRowLastColumn="0"/>
          <w:trHeight w:val="287"/>
          <w:tblHeader/>
        </w:trPr>
        <w:tc>
          <w:tcPr>
            <w:cnfStyle w:val="001000000000" w:firstRow="0" w:lastRow="0" w:firstColumn="1" w:lastColumn="0" w:oddVBand="0" w:evenVBand="0" w:oddHBand="0" w:evenHBand="0" w:firstRowFirstColumn="0" w:firstRowLastColumn="0" w:lastRowFirstColumn="0" w:lastRowLastColumn="0"/>
            <w:tcW w:w="2430" w:type="dxa"/>
            <w:noWrap/>
            <w:hideMark/>
          </w:tcPr>
          <w:p w14:paraId="7C7E0B4B" w14:textId="77777777" w:rsidR="00BF292F" w:rsidRPr="00BA67CA" w:rsidRDefault="00BF292F" w:rsidP="00235B79">
            <w:pPr>
              <w:rPr>
                <w:rFonts w:asciiTheme="minorHAnsi" w:eastAsia="Times New Roman" w:hAnsiTheme="minorHAnsi"/>
                <w:bCs w:val="0"/>
                <w:color w:val="000000"/>
              </w:rPr>
            </w:pPr>
            <w:r>
              <w:rPr>
                <w:rFonts w:asciiTheme="minorHAnsi" w:hAnsiTheme="minorHAnsi"/>
              </w:rPr>
              <w:t xml:space="preserve">Data Element/ </w:t>
            </w:r>
            <w:r w:rsidRPr="00BA67CA">
              <w:rPr>
                <w:rFonts w:asciiTheme="minorHAnsi" w:hAnsiTheme="minorHAnsi"/>
              </w:rPr>
              <w:t>CCDE </w:t>
            </w:r>
          </w:p>
        </w:tc>
        <w:tc>
          <w:tcPr>
            <w:tcW w:w="1408" w:type="dxa"/>
            <w:noWrap/>
            <w:hideMark/>
          </w:tcPr>
          <w:p w14:paraId="0A843FD3" w14:textId="7569C38D" w:rsidR="00BF292F" w:rsidRPr="00BA67CA" w:rsidRDefault="00BF292F" w:rsidP="004C0403">
            <w:pPr>
              <w:pStyle w:val="NoSpacing"/>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rPr>
            </w:pPr>
            <w:r w:rsidRPr="00BA67CA">
              <w:rPr>
                <w:rFonts w:asciiTheme="minorHAnsi" w:hAnsiTheme="minorHAnsi"/>
                <w:sz w:val="22"/>
                <w:szCs w:val="22"/>
              </w:rPr>
              <w:t xml:space="preserve">% </w:t>
            </w:r>
            <w:r w:rsidR="004C0403">
              <w:rPr>
                <w:rFonts w:asciiTheme="minorHAnsi" w:hAnsiTheme="minorHAnsi"/>
                <w:sz w:val="22"/>
                <w:szCs w:val="22"/>
              </w:rPr>
              <w:t>Captured</w:t>
            </w:r>
            <w:r w:rsidR="004C0403" w:rsidRPr="00BA67CA">
              <w:rPr>
                <w:rFonts w:asciiTheme="minorHAnsi" w:hAnsiTheme="minorHAnsi"/>
                <w:sz w:val="22"/>
                <w:szCs w:val="22"/>
              </w:rPr>
              <w:t xml:space="preserve"> </w:t>
            </w:r>
            <w:r w:rsidR="004C0403">
              <w:rPr>
                <w:rFonts w:asciiTheme="minorHAnsi" w:hAnsiTheme="minorHAnsi"/>
                <w:sz w:val="22"/>
                <w:szCs w:val="22"/>
              </w:rPr>
              <w:t xml:space="preserve"> </w:t>
            </w:r>
            <w:r>
              <w:rPr>
                <w:rFonts w:asciiTheme="minorHAnsi" w:hAnsiTheme="minorHAnsi"/>
                <w:sz w:val="22"/>
                <w:szCs w:val="22"/>
              </w:rPr>
              <w:t>Hospital 1</w:t>
            </w:r>
          </w:p>
        </w:tc>
        <w:tc>
          <w:tcPr>
            <w:tcW w:w="1408" w:type="dxa"/>
          </w:tcPr>
          <w:p w14:paraId="0E9133A2" w14:textId="0EE4B734" w:rsidR="00BF292F" w:rsidRPr="00BA67CA" w:rsidRDefault="00BF292F" w:rsidP="004C0403">
            <w:pPr>
              <w:pStyle w:val="NoSpacing"/>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BA67CA">
              <w:rPr>
                <w:rFonts w:asciiTheme="minorHAnsi" w:hAnsiTheme="minorHAnsi"/>
                <w:sz w:val="22"/>
                <w:szCs w:val="22"/>
              </w:rPr>
              <w:t xml:space="preserve">% </w:t>
            </w:r>
            <w:r w:rsidR="004C0403">
              <w:rPr>
                <w:rFonts w:asciiTheme="minorHAnsi" w:hAnsiTheme="minorHAnsi"/>
                <w:sz w:val="22"/>
                <w:szCs w:val="22"/>
              </w:rPr>
              <w:t>Captured</w:t>
            </w:r>
            <w:r w:rsidR="004C0403" w:rsidRPr="00BA67CA">
              <w:rPr>
                <w:rFonts w:asciiTheme="minorHAnsi" w:hAnsiTheme="minorHAnsi"/>
                <w:sz w:val="22"/>
                <w:szCs w:val="22"/>
              </w:rPr>
              <w:t xml:space="preserve"> </w:t>
            </w:r>
            <w:r w:rsidR="004C0403">
              <w:rPr>
                <w:rFonts w:asciiTheme="minorHAnsi" w:hAnsiTheme="minorHAnsi"/>
                <w:sz w:val="22"/>
                <w:szCs w:val="22"/>
              </w:rPr>
              <w:t xml:space="preserve"> </w:t>
            </w:r>
            <w:r>
              <w:rPr>
                <w:rFonts w:asciiTheme="minorHAnsi" w:hAnsiTheme="minorHAnsi"/>
                <w:sz w:val="22"/>
                <w:szCs w:val="22"/>
              </w:rPr>
              <w:t>Hospital 2</w:t>
            </w:r>
          </w:p>
        </w:tc>
        <w:tc>
          <w:tcPr>
            <w:tcW w:w="1408" w:type="dxa"/>
          </w:tcPr>
          <w:p w14:paraId="7376873E" w14:textId="4C770C1E" w:rsidR="00BF292F" w:rsidRPr="00BA67CA" w:rsidRDefault="00BF292F" w:rsidP="004C0403">
            <w:pPr>
              <w:pStyle w:val="NoSpacing"/>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BA67CA">
              <w:rPr>
                <w:rFonts w:asciiTheme="minorHAnsi" w:hAnsiTheme="minorHAnsi"/>
                <w:sz w:val="22"/>
                <w:szCs w:val="22"/>
              </w:rPr>
              <w:t xml:space="preserve">% </w:t>
            </w:r>
            <w:r w:rsidR="004C0403">
              <w:rPr>
                <w:rFonts w:asciiTheme="minorHAnsi" w:hAnsiTheme="minorHAnsi"/>
                <w:sz w:val="22"/>
                <w:szCs w:val="22"/>
              </w:rPr>
              <w:t>Captured</w:t>
            </w:r>
            <w:r w:rsidR="004C0403" w:rsidRPr="00BA67CA">
              <w:rPr>
                <w:rFonts w:asciiTheme="minorHAnsi" w:hAnsiTheme="minorHAnsi"/>
                <w:sz w:val="22"/>
                <w:szCs w:val="22"/>
              </w:rPr>
              <w:t xml:space="preserve"> </w:t>
            </w:r>
            <w:r w:rsidR="004C0403">
              <w:rPr>
                <w:rFonts w:asciiTheme="minorHAnsi" w:hAnsiTheme="minorHAnsi"/>
                <w:sz w:val="22"/>
                <w:szCs w:val="22"/>
              </w:rPr>
              <w:t xml:space="preserve"> </w:t>
            </w:r>
            <w:r>
              <w:rPr>
                <w:rFonts w:asciiTheme="minorHAnsi" w:hAnsiTheme="minorHAnsi"/>
                <w:sz w:val="22"/>
                <w:szCs w:val="22"/>
              </w:rPr>
              <w:t>Hospital 3</w:t>
            </w:r>
          </w:p>
        </w:tc>
      </w:tr>
      <w:tr w:rsidR="00BF292F" w:rsidRPr="00BA67CA" w14:paraId="5E260D05" w14:textId="77777777" w:rsidTr="00235B7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24C1C944" w14:textId="6FF6DBC2" w:rsidR="00BF292F" w:rsidRPr="00BA67CA" w:rsidRDefault="00BF292F" w:rsidP="00235B79">
            <w:pPr>
              <w:ind w:firstLineChars="100" w:firstLine="220"/>
              <w:jc w:val="both"/>
              <w:rPr>
                <w:rFonts w:asciiTheme="minorHAnsi" w:eastAsia="Times New Roman" w:hAnsiTheme="minorHAnsi"/>
                <w:b w:val="0"/>
                <w:color w:val="000000"/>
              </w:rPr>
            </w:pPr>
            <w:r w:rsidRPr="00BA67CA">
              <w:rPr>
                <w:rFonts w:asciiTheme="minorHAnsi" w:hAnsiTheme="minorHAnsi"/>
                <w:b w:val="0"/>
              </w:rPr>
              <w:t>Heart Rate (BPM)</w:t>
            </w:r>
          </w:p>
        </w:tc>
        <w:tc>
          <w:tcPr>
            <w:tcW w:w="1408" w:type="dxa"/>
            <w:noWrap/>
            <w:vAlign w:val="bottom"/>
          </w:tcPr>
          <w:p w14:paraId="39530221"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94.27</w:t>
            </w:r>
          </w:p>
        </w:tc>
        <w:tc>
          <w:tcPr>
            <w:tcW w:w="1408" w:type="dxa"/>
            <w:vAlign w:val="bottom"/>
          </w:tcPr>
          <w:p w14:paraId="40859051"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80.54</w:t>
            </w:r>
          </w:p>
        </w:tc>
        <w:tc>
          <w:tcPr>
            <w:tcW w:w="1408" w:type="dxa"/>
            <w:vAlign w:val="bottom"/>
          </w:tcPr>
          <w:p w14:paraId="5EFE5595"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84.48</w:t>
            </w:r>
          </w:p>
        </w:tc>
      </w:tr>
      <w:tr w:rsidR="00BF292F" w:rsidRPr="00BA67CA" w14:paraId="32098EEC" w14:textId="77777777" w:rsidTr="00235B79">
        <w:trPr>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74CE5520"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 xml:space="preserve">Systolic Blood Pressure (mmHG) </w:t>
            </w:r>
          </w:p>
        </w:tc>
        <w:tc>
          <w:tcPr>
            <w:tcW w:w="1408" w:type="dxa"/>
            <w:noWrap/>
            <w:vAlign w:val="bottom"/>
          </w:tcPr>
          <w:p w14:paraId="2AA4A470"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94.42</w:t>
            </w:r>
          </w:p>
        </w:tc>
        <w:tc>
          <w:tcPr>
            <w:tcW w:w="1408" w:type="dxa"/>
            <w:vAlign w:val="bottom"/>
          </w:tcPr>
          <w:p w14:paraId="09452140"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80.88</w:t>
            </w:r>
          </w:p>
        </w:tc>
        <w:tc>
          <w:tcPr>
            <w:tcW w:w="1408" w:type="dxa"/>
            <w:vAlign w:val="bottom"/>
          </w:tcPr>
          <w:p w14:paraId="3C194F72"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84.07</w:t>
            </w:r>
          </w:p>
        </w:tc>
      </w:tr>
      <w:tr w:rsidR="00BF292F" w:rsidRPr="00BA67CA" w14:paraId="15933910" w14:textId="77777777" w:rsidTr="00235B7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33BCCAA7"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 xml:space="preserve">Diastolic Blood Pressure (mmHG) </w:t>
            </w:r>
          </w:p>
        </w:tc>
        <w:tc>
          <w:tcPr>
            <w:tcW w:w="1408" w:type="dxa"/>
            <w:noWrap/>
            <w:vAlign w:val="bottom"/>
          </w:tcPr>
          <w:p w14:paraId="6CB7371E"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94.29</w:t>
            </w:r>
          </w:p>
        </w:tc>
        <w:tc>
          <w:tcPr>
            <w:tcW w:w="1408" w:type="dxa"/>
            <w:vAlign w:val="bottom"/>
          </w:tcPr>
          <w:p w14:paraId="4BCA5A8E"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80.81</w:t>
            </w:r>
          </w:p>
        </w:tc>
        <w:tc>
          <w:tcPr>
            <w:tcW w:w="1408" w:type="dxa"/>
            <w:vAlign w:val="bottom"/>
          </w:tcPr>
          <w:p w14:paraId="2D00DFB7"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83.99</w:t>
            </w:r>
          </w:p>
        </w:tc>
      </w:tr>
      <w:tr w:rsidR="00BF292F" w:rsidRPr="00BA67CA" w14:paraId="499C5739" w14:textId="77777777" w:rsidTr="00235B79">
        <w:trPr>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C00DC86"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Respiratory Rate (BPM)</w:t>
            </w:r>
          </w:p>
        </w:tc>
        <w:tc>
          <w:tcPr>
            <w:tcW w:w="1408" w:type="dxa"/>
            <w:noWrap/>
            <w:vAlign w:val="bottom"/>
          </w:tcPr>
          <w:p w14:paraId="5818E5FB"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93.58</w:t>
            </w:r>
          </w:p>
        </w:tc>
        <w:tc>
          <w:tcPr>
            <w:tcW w:w="1408" w:type="dxa"/>
            <w:vAlign w:val="bottom"/>
          </w:tcPr>
          <w:p w14:paraId="4E3BBE33"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87.69</w:t>
            </w:r>
          </w:p>
        </w:tc>
        <w:tc>
          <w:tcPr>
            <w:tcW w:w="1408" w:type="dxa"/>
            <w:vAlign w:val="bottom"/>
          </w:tcPr>
          <w:p w14:paraId="64FC9992"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84.26</w:t>
            </w:r>
          </w:p>
        </w:tc>
      </w:tr>
      <w:tr w:rsidR="00BF292F" w:rsidRPr="00BA67CA" w14:paraId="70CEC122" w14:textId="77777777" w:rsidTr="00235B7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0DCAEFBD"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 xml:space="preserve">Temperature (C) </w:t>
            </w:r>
          </w:p>
        </w:tc>
        <w:tc>
          <w:tcPr>
            <w:tcW w:w="1408" w:type="dxa"/>
            <w:noWrap/>
            <w:vAlign w:val="bottom"/>
          </w:tcPr>
          <w:p w14:paraId="3D5BEAD2"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92.43</w:t>
            </w:r>
          </w:p>
        </w:tc>
        <w:tc>
          <w:tcPr>
            <w:tcW w:w="1408" w:type="dxa"/>
            <w:vAlign w:val="bottom"/>
          </w:tcPr>
          <w:p w14:paraId="0A4C46DF"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86.48</w:t>
            </w:r>
          </w:p>
        </w:tc>
        <w:tc>
          <w:tcPr>
            <w:tcW w:w="1408" w:type="dxa"/>
            <w:vAlign w:val="bottom"/>
          </w:tcPr>
          <w:p w14:paraId="2B477E8D"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83.77</w:t>
            </w:r>
          </w:p>
        </w:tc>
      </w:tr>
      <w:tr w:rsidR="00BF292F" w:rsidRPr="00BA67CA" w14:paraId="371F0401" w14:textId="77777777" w:rsidTr="00235B79">
        <w:trPr>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6D4345B"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 xml:space="preserve">Oxygen Saturation (%) </w:t>
            </w:r>
          </w:p>
        </w:tc>
        <w:tc>
          <w:tcPr>
            <w:tcW w:w="1408" w:type="dxa"/>
            <w:noWrap/>
            <w:vAlign w:val="bottom"/>
          </w:tcPr>
          <w:p w14:paraId="55E95C67"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83.22</w:t>
            </w:r>
          </w:p>
        </w:tc>
        <w:tc>
          <w:tcPr>
            <w:tcW w:w="1408" w:type="dxa"/>
            <w:vAlign w:val="bottom"/>
          </w:tcPr>
          <w:p w14:paraId="748AB0FC"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78.80</w:t>
            </w:r>
          </w:p>
        </w:tc>
        <w:tc>
          <w:tcPr>
            <w:tcW w:w="1408" w:type="dxa"/>
            <w:vAlign w:val="bottom"/>
          </w:tcPr>
          <w:p w14:paraId="07B49E06"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83.61</w:t>
            </w:r>
          </w:p>
        </w:tc>
      </w:tr>
      <w:tr w:rsidR="00BF292F" w:rsidRPr="00BA67CA" w14:paraId="7C29431C" w14:textId="77777777" w:rsidTr="00235B7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3BE95A34"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 xml:space="preserve">Weight (Kg) </w:t>
            </w:r>
          </w:p>
        </w:tc>
        <w:tc>
          <w:tcPr>
            <w:tcW w:w="1408" w:type="dxa"/>
            <w:noWrap/>
            <w:vAlign w:val="bottom"/>
          </w:tcPr>
          <w:p w14:paraId="02364D71"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99.01</w:t>
            </w:r>
          </w:p>
        </w:tc>
        <w:tc>
          <w:tcPr>
            <w:tcW w:w="1408" w:type="dxa"/>
            <w:vAlign w:val="bottom"/>
          </w:tcPr>
          <w:p w14:paraId="7845A5A4"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98.66</w:t>
            </w:r>
          </w:p>
        </w:tc>
        <w:tc>
          <w:tcPr>
            <w:tcW w:w="1408" w:type="dxa"/>
            <w:vAlign w:val="bottom"/>
          </w:tcPr>
          <w:p w14:paraId="22F06A43"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98.61</w:t>
            </w:r>
          </w:p>
        </w:tc>
      </w:tr>
      <w:tr w:rsidR="00BF292F" w:rsidRPr="00BA67CA" w14:paraId="03A9659A" w14:textId="77777777" w:rsidTr="00235B79">
        <w:trPr>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560080E8"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Hemoglobin</w:t>
            </w:r>
          </w:p>
        </w:tc>
        <w:tc>
          <w:tcPr>
            <w:tcW w:w="1408" w:type="dxa"/>
            <w:noWrap/>
            <w:vAlign w:val="bottom"/>
          </w:tcPr>
          <w:p w14:paraId="6C5E284F"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96.19</w:t>
            </w:r>
          </w:p>
        </w:tc>
        <w:tc>
          <w:tcPr>
            <w:tcW w:w="1408" w:type="dxa"/>
            <w:vAlign w:val="bottom"/>
          </w:tcPr>
          <w:p w14:paraId="733D4B58"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96.29</w:t>
            </w:r>
          </w:p>
        </w:tc>
        <w:tc>
          <w:tcPr>
            <w:tcW w:w="1408" w:type="dxa"/>
            <w:vAlign w:val="bottom"/>
          </w:tcPr>
          <w:p w14:paraId="1180577F"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91.47</w:t>
            </w:r>
          </w:p>
        </w:tc>
      </w:tr>
      <w:tr w:rsidR="00BF292F" w:rsidRPr="00BA67CA" w14:paraId="6856B5A3" w14:textId="77777777" w:rsidTr="00235B7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14AB7CD8"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Hematocrit</w:t>
            </w:r>
          </w:p>
        </w:tc>
        <w:tc>
          <w:tcPr>
            <w:tcW w:w="1408" w:type="dxa"/>
            <w:noWrap/>
            <w:vAlign w:val="bottom"/>
          </w:tcPr>
          <w:p w14:paraId="11E13147"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95.77</w:t>
            </w:r>
          </w:p>
        </w:tc>
        <w:tc>
          <w:tcPr>
            <w:tcW w:w="1408" w:type="dxa"/>
            <w:vAlign w:val="bottom"/>
          </w:tcPr>
          <w:p w14:paraId="072C3D39"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96.29</w:t>
            </w:r>
          </w:p>
        </w:tc>
        <w:tc>
          <w:tcPr>
            <w:tcW w:w="1408" w:type="dxa"/>
            <w:vAlign w:val="bottom"/>
          </w:tcPr>
          <w:p w14:paraId="473571AC"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91.25</w:t>
            </w:r>
          </w:p>
        </w:tc>
      </w:tr>
      <w:tr w:rsidR="00BF292F" w:rsidRPr="00BA67CA" w14:paraId="62A46FD8" w14:textId="77777777" w:rsidTr="00235B79">
        <w:trPr>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61832C78"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lastRenderedPageBreak/>
              <w:t>Platelet</w:t>
            </w:r>
          </w:p>
        </w:tc>
        <w:tc>
          <w:tcPr>
            <w:tcW w:w="1408" w:type="dxa"/>
            <w:noWrap/>
            <w:vAlign w:val="bottom"/>
          </w:tcPr>
          <w:p w14:paraId="004DD3E9"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89.40</w:t>
            </w:r>
          </w:p>
        </w:tc>
        <w:tc>
          <w:tcPr>
            <w:tcW w:w="1408" w:type="dxa"/>
            <w:vAlign w:val="bottom"/>
          </w:tcPr>
          <w:p w14:paraId="44C73CBA"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96.52</w:t>
            </w:r>
          </w:p>
        </w:tc>
        <w:tc>
          <w:tcPr>
            <w:tcW w:w="1408" w:type="dxa"/>
            <w:vAlign w:val="bottom"/>
          </w:tcPr>
          <w:p w14:paraId="2A71966C"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92.26</w:t>
            </w:r>
          </w:p>
        </w:tc>
      </w:tr>
      <w:tr w:rsidR="00BF292F" w:rsidRPr="00BA67CA" w14:paraId="78F3F098" w14:textId="77777777" w:rsidTr="00235B7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59639DAA"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WBC Count</w:t>
            </w:r>
          </w:p>
        </w:tc>
        <w:tc>
          <w:tcPr>
            <w:tcW w:w="1408" w:type="dxa"/>
            <w:noWrap/>
            <w:vAlign w:val="bottom"/>
          </w:tcPr>
          <w:p w14:paraId="5DA467AF"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89.12</w:t>
            </w:r>
          </w:p>
        </w:tc>
        <w:tc>
          <w:tcPr>
            <w:tcW w:w="1408" w:type="dxa"/>
            <w:vAlign w:val="bottom"/>
          </w:tcPr>
          <w:p w14:paraId="072A981E"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96.25</w:t>
            </w:r>
          </w:p>
        </w:tc>
        <w:tc>
          <w:tcPr>
            <w:tcW w:w="1408" w:type="dxa"/>
            <w:vAlign w:val="bottom"/>
          </w:tcPr>
          <w:p w14:paraId="081A6DD3"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91.11</w:t>
            </w:r>
          </w:p>
        </w:tc>
      </w:tr>
      <w:tr w:rsidR="00BF292F" w:rsidRPr="00BA67CA" w14:paraId="51BC42ED" w14:textId="77777777" w:rsidTr="00235B79">
        <w:trPr>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4161F938"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Potassium</w:t>
            </w:r>
          </w:p>
        </w:tc>
        <w:tc>
          <w:tcPr>
            <w:tcW w:w="1408" w:type="dxa"/>
            <w:noWrap/>
            <w:vAlign w:val="bottom"/>
          </w:tcPr>
          <w:p w14:paraId="66A2B8E0"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78.44</w:t>
            </w:r>
          </w:p>
        </w:tc>
        <w:tc>
          <w:tcPr>
            <w:tcW w:w="1408" w:type="dxa"/>
            <w:vAlign w:val="bottom"/>
          </w:tcPr>
          <w:p w14:paraId="0B9B59EC"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81.08</w:t>
            </w:r>
          </w:p>
        </w:tc>
        <w:tc>
          <w:tcPr>
            <w:tcW w:w="1408" w:type="dxa"/>
            <w:vAlign w:val="bottom"/>
          </w:tcPr>
          <w:p w14:paraId="61D55F77"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82.03</w:t>
            </w:r>
          </w:p>
        </w:tc>
      </w:tr>
      <w:tr w:rsidR="00BF292F" w:rsidRPr="00BA67CA" w14:paraId="7978559D" w14:textId="77777777" w:rsidTr="00235B7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3E60711D"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Sodium</w:t>
            </w:r>
          </w:p>
        </w:tc>
        <w:tc>
          <w:tcPr>
            <w:tcW w:w="1408" w:type="dxa"/>
            <w:noWrap/>
            <w:vAlign w:val="bottom"/>
          </w:tcPr>
          <w:p w14:paraId="14E03869"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78.29</w:t>
            </w:r>
          </w:p>
        </w:tc>
        <w:tc>
          <w:tcPr>
            <w:tcW w:w="1408" w:type="dxa"/>
            <w:vAlign w:val="bottom"/>
          </w:tcPr>
          <w:p w14:paraId="78E0C392"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81.03</w:t>
            </w:r>
          </w:p>
        </w:tc>
        <w:tc>
          <w:tcPr>
            <w:tcW w:w="1408" w:type="dxa"/>
            <w:vAlign w:val="bottom"/>
          </w:tcPr>
          <w:p w14:paraId="61BBB76A"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81.78</w:t>
            </w:r>
          </w:p>
        </w:tc>
      </w:tr>
      <w:tr w:rsidR="00BF292F" w:rsidRPr="00BA67CA" w14:paraId="19C4C502" w14:textId="77777777" w:rsidTr="00235B79">
        <w:trPr>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18796EC2"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Chloride</w:t>
            </w:r>
          </w:p>
        </w:tc>
        <w:tc>
          <w:tcPr>
            <w:tcW w:w="1408" w:type="dxa"/>
            <w:noWrap/>
            <w:vAlign w:val="bottom"/>
          </w:tcPr>
          <w:p w14:paraId="059AD2BC"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78.28</w:t>
            </w:r>
          </w:p>
        </w:tc>
        <w:tc>
          <w:tcPr>
            <w:tcW w:w="1408" w:type="dxa"/>
            <w:vAlign w:val="bottom"/>
          </w:tcPr>
          <w:p w14:paraId="1F932A00"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81.03</w:t>
            </w:r>
          </w:p>
        </w:tc>
        <w:tc>
          <w:tcPr>
            <w:tcW w:w="1408" w:type="dxa"/>
            <w:vAlign w:val="bottom"/>
          </w:tcPr>
          <w:p w14:paraId="6BBF0236"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81.78</w:t>
            </w:r>
          </w:p>
        </w:tc>
      </w:tr>
      <w:tr w:rsidR="00BF292F" w:rsidRPr="00BA67CA" w14:paraId="5515BB6B" w14:textId="77777777" w:rsidTr="00235B7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2CC6AD14"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Bicarbonate</w:t>
            </w:r>
          </w:p>
        </w:tc>
        <w:tc>
          <w:tcPr>
            <w:tcW w:w="1408" w:type="dxa"/>
            <w:noWrap/>
            <w:vAlign w:val="bottom"/>
          </w:tcPr>
          <w:p w14:paraId="5CEA9974"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11.53</w:t>
            </w:r>
          </w:p>
        </w:tc>
        <w:tc>
          <w:tcPr>
            <w:tcW w:w="1408" w:type="dxa"/>
            <w:vAlign w:val="bottom"/>
          </w:tcPr>
          <w:p w14:paraId="2F0DD208"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11.23</w:t>
            </w:r>
          </w:p>
        </w:tc>
        <w:tc>
          <w:tcPr>
            <w:tcW w:w="1408" w:type="dxa"/>
            <w:vAlign w:val="bottom"/>
          </w:tcPr>
          <w:p w14:paraId="403F3D0C"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12.29</w:t>
            </w:r>
          </w:p>
        </w:tc>
      </w:tr>
      <w:tr w:rsidR="00BF292F" w:rsidRPr="00BA67CA" w14:paraId="44EB3BEB" w14:textId="77777777" w:rsidTr="00235B79">
        <w:trPr>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3DC3CB57"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Glucose</w:t>
            </w:r>
          </w:p>
        </w:tc>
        <w:tc>
          <w:tcPr>
            <w:tcW w:w="1408" w:type="dxa"/>
            <w:noWrap/>
            <w:vAlign w:val="bottom"/>
          </w:tcPr>
          <w:p w14:paraId="1B5CAFC9"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77.64</w:t>
            </w:r>
          </w:p>
        </w:tc>
        <w:tc>
          <w:tcPr>
            <w:tcW w:w="1408" w:type="dxa"/>
            <w:vAlign w:val="bottom"/>
          </w:tcPr>
          <w:p w14:paraId="4DD06A11"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80.93</w:t>
            </w:r>
          </w:p>
        </w:tc>
        <w:tc>
          <w:tcPr>
            <w:tcW w:w="1408" w:type="dxa"/>
            <w:vAlign w:val="bottom"/>
          </w:tcPr>
          <w:p w14:paraId="4F81E2EB" w14:textId="77777777" w:rsidR="00BF292F" w:rsidRPr="00BA67CA" w:rsidRDefault="00BF292F" w:rsidP="00235B79">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81.32</w:t>
            </w:r>
          </w:p>
        </w:tc>
      </w:tr>
      <w:tr w:rsidR="00BF292F" w:rsidRPr="00BA67CA" w14:paraId="0499C615" w14:textId="77777777" w:rsidTr="00235B7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430" w:type="dxa"/>
            <w:noWrap/>
            <w:hideMark/>
          </w:tcPr>
          <w:p w14:paraId="0F668B74" w14:textId="77777777" w:rsidR="00BF292F" w:rsidRPr="00BA67CA" w:rsidRDefault="00BF292F" w:rsidP="00235B79">
            <w:pPr>
              <w:ind w:firstLineChars="100" w:firstLine="220"/>
              <w:rPr>
                <w:rFonts w:asciiTheme="minorHAnsi" w:eastAsia="Times New Roman" w:hAnsiTheme="minorHAnsi"/>
                <w:b w:val="0"/>
                <w:color w:val="000000"/>
              </w:rPr>
            </w:pPr>
            <w:r w:rsidRPr="00BA67CA">
              <w:rPr>
                <w:rFonts w:asciiTheme="minorHAnsi" w:hAnsiTheme="minorHAnsi"/>
                <w:b w:val="0"/>
              </w:rPr>
              <w:t>Troponin</w:t>
            </w:r>
          </w:p>
        </w:tc>
        <w:tc>
          <w:tcPr>
            <w:tcW w:w="1408" w:type="dxa"/>
            <w:noWrap/>
            <w:vAlign w:val="bottom"/>
          </w:tcPr>
          <w:p w14:paraId="6C0095E3"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29.67</w:t>
            </w:r>
          </w:p>
        </w:tc>
        <w:tc>
          <w:tcPr>
            <w:tcW w:w="1408" w:type="dxa"/>
            <w:vAlign w:val="bottom"/>
          </w:tcPr>
          <w:p w14:paraId="6D8320DF"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32.10</w:t>
            </w:r>
          </w:p>
        </w:tc>
        <w:tc>
          <w:tcPr>
            <w:tcW w:w="1408" w:type="dxa"/>
            <w:vAlign w:val="bottom"/>
          </w:tcPr>
          <w:p w14:paraId="5A90EB25" w14:textId="77777777" w:rsidR="00BF292F" w:rsidRPr="00BA67CA" w:rsidRDefault="00BF292F" w:rsidP="00235B79">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Calibri" w:hAnsi="Calibri"/>
                <w:color w:val="000000"/>
                <w:sz w:val="22"/>
                <w:szCs w:val="22"/>
              </w:rPr>
              <w:t>15.71</w:t>
            </w:r>
          </w:p>
        </w:tc>
      </w:tr>
    </w:tbl>
    <w:p w14:paraId="588E8171" w14:textId="77777777" w:rsidR="00FE4BC5" w:rsidRPr="00092566" w:rsidRDefault="00FE4BC5" w:rsidP="00C14D5D">
      <w:pPr>
        <w:autoSpaceDE w:val="0"/>
        <w:autoSpaceDN w:val="0"/>
        <w:adjustRightInd w:val="0"/>
        <w:spacing w:after="120"/>
        <w:rPr>
          <w:rFonts w:cstheme="minorHAnsi"/>
          <w:bCs/>
        </w:rPr>
      </w:pPr>
    </w:p>
    <w:p w14:paraId="41A0B551" w14:textId="77777777" w:rsidR="00C14D5D" w:rsidRPr="00C14D5D" w:rsidRDefault="00C14D5D" w:rsidP="00C14D5D">
      <w:pPr>
        <w:pBdr>
          <w:top w:val="single" w:sz="4" w:space="1" w:color="auto"/>
          <w:left w:val="single" w:sz="4" w:space="4" w:color="auto"/>
          <w:bottom w:val="single" w:sz="4" w:space="1" w:color="auto"/>
          <w:right w:val="single" w:sz="4" w:space="4" w:color="auto"/>
        </w:pBdr>
        <w:tabs>
          <w:tab w:val="left" w:pos="6150"/>
        </w:tabs>
        <w:autoSpaceDE w:val="0"/>
        <w:autoSpaceDN w:val="0"/>
        <w:adjustRightInd w:val="0"/>
        <w:spacing w:after="160" w:line="240" w:lineRule="auto"/>
        <w:rPr>
          <w:b/>
        </w:rPr>
      </w:pPr>
      <w:r w:rsidRPr="00C14D5D">
        <w:rPr>
          <w:b/>
        </w:rPr>
        <w:t>Phase 3: Further Feasibility and Validity Testing Results</w:t>
      </w:r>
    </w:p>
    <w:p w14:paraId="4D58CB01" w14:textId="0ECB316C" w:rsidR="00C14D5D" w:rsidRDefault="00C14D5D" w:rsidP="00C14D5D">
      <w:pPr>
        <w:pBdr>
          <w:top w:val="single" w:sz="4" w:space="1" w:color="auto"/>
          <w:left w:val="single" w:sz="4" w:space="4" w:color="auto"/>
          <w:bottom w:val="single" w:sz="4" w:space="1" w:color="auto"/>
          <w:right w:val="single" w:sz="4" w:space="4" w:color="auto"/>
        </w:pBdr>
        <w:tabs>
          <w:tab w:val="left" w:pos="6150"/>
        </w:tabs>
        <w:autoSpaceDE w:val="0"/>
        <w:autoSpaceDN w:val="0"/>
        <w:adjustRightInd w:val="0"/>
        <w:spacing w:after="160" w:line="240" w:lineRule="auto"/>
      </w:pPr>
      <w:r w:rsidRPr="00C14D5D">
        <w:t xml:space="preserve">Chart abstraction for validity testing was done in </w:t>
      </w:r>
      <w:r w:rsidRPr="00C14D5D">
        <w:rPr>
          <w:b/>
        </w:rPr>
        <w:t xml:space="preserve">Dataset </w:t>
      </w:r>
      <w:r>
        <w:rPr>
          <w:b/>
        </w:rPr>
        <w:t>2</w:t>
      </w:r>
      <w:r w:rsidRPr="00C14D5D">
        <w:rPr>
          <w:b/>
        </w:rPr>
        <w:t xml:space="preserve"> </w:t>
      </w:r>
      <w:r w:rsidRPr="00BC3465">
        <w:t>and</w:t>
      </w:r>
      <w:r w:rsidRPr="00C14D5D">
        <w:rPr>
          <w:b/>
        </w:rPr>
        <w:t xml:space="preserve"> Dataset </w:t>
      </w:r>
      <w:r>
        <w:rPr>
          <w:b/>
        </w:rPr>
        <w:t>3</w:t>
      </w:r>
      <w:r w:rsidRPr="00C14D5D">
        <w:rPr>
          <w:b/>
        </w:rPr>
        <w:t>.</w:t>
      </w:r>
      <w:r w:rsidRPr="00C14D5D" w:rsidDel="000457F8">
        <w:t xml:space="preserve"> </w:t>
      </w:r>
      <w:r w:rsidRPr="009F30D3">
        <w:t xml:space="preserve">Table </w:t>
      </w:r>
      <w:r w:rsidR="009F30D3" w:rsidRPr="009F30D3">
        <w:t>5</w:t>
      </w:r>
      <w:r w:rsidR="00BC3465" w:rsidRPr="009F30D3">
        <w:t xml:space="preserve"> </w:t>
      </w:r>
      <w:r w:rsidRPr="009F30D3">
        <w:t>demonstrate</w:t>
      </w:r>
      <w:r w:rsidR="009F30D3" w:rsidRPr="009F30D3">
        <w:t>s</w:t>
      </w:r>
      <w:r w:rsidR="00BC3465">
        <w:t xml:space="preserve"> </w:t>
      </w:r>
      <w:r w:rsidRPr="00C14D5D">
        <w:t>the comparison between electronic and manual abstraction of data</w:t>
      </w:r>
      <w:r w:rsidR="00BC3465">
        <w:t xml:space="preserve"> in the two health systems</w:t>
      </w:r>
      <w:r w:rsidRPr="00C14D5D">
        <w:t>.</w:t>
      </w:r>
    </w:p>
    <w:p w14:paraId="6057A2C8" w14:textId="56A2EF9E" w:rsidR="009F30D3" w:rsidRPr="009F30D3" w:rsidRDefault="009F30D3" w:rsidP="009F30D3">
      <w:pPr>
        <w:pStyle w:val="Caption"/>
        <w:keepNext/>
        <w:rPr>
          <w:color w:val="auto"/>
          <w:sz w:val="22"/>
          <w:szCs w:val="20"/>
        </w:rPr>
      </w:pPr>
      <w:r w:rsidRPr="009F30D3">
        <w:rPr>
          <w:color w:val="auto"/>
          <w:sz w:val="22"/>
          <w:szCs w:val="20"/>
        </w:rPr>
        <w:t xml:space="preserve">Table </w:t>
      </w:r>
      <w:r w:rsidRPr="009F30D3">
        <w:rPr>
          <w:color w:val="auto"/>
          <w:sz w:val="22"/>
          <w:szCs w:val="20"/>
        </w:rPr>
        <w:fldChar w:fldCharType="begin"/>
      </w:r>
      <w:r w:rsidRPr="009F30D3">
        <w:rPr>
          <w:color w:val="auto"/>
          <w:sz w:val="22"/>
          <w:szCs w:val="20"/>
        </w:rPr>
        <w:instrText xml:space="preserve"> SEQ Table \* ARABIC </w:instrText>
      </w:r>
      <w:r w:rsidRPr="009F30D3">
        <w:rPr>
          <w:color w:val="auto"/>
          <w:sz w:val="22"/>
          <w:szCs w:val="20"/>
        </w:rPr>
        <w:fldChar w:fldCharType="separate"/>
      </w:r>
      <w:r w:rsidR="0059261C">
        <w:rPr>
          <w:noProof/>
          <w:color w:val="auto"/>
          <w:sz w:val="22"/>
          <w:szCs w:val="20"/>
        </w:rPr>
        <w:t>5</w:t>
      </w:r>
      <w:r w:rsidRPr="009F30D3">
        <w:rPr>
          <w:color w:val="auto"/>
          <w:sz w:val="22"/>
          <w:szCs w:val="20"/>
        </w:rPr>
        <w:fldChar w:fldCharType="end"/>
      </w:r>
      <w:r w:rsidR="00AE0BCA">
        <w:rPr>
          <w:color w:val="auto"/>
          <w:sz w:val="22"/>
          <w:szCs w:val="20"/>
        </w:rPr>
        <w:t>.</w:t>
      </w:r>
      <w:r w:rsidRPr="009F30D3">
        <w:rPr>
          <w:color w:val="auto"/>
          <w:sz w:val="22"/>
          <w:szCs w:val="20"/>
        </w:rPr>
        <w:t xml:space="preserve"> Percent Agreement and Confidence Internals (Dataset 2 and 3)</w:t>
      </w:r>
    </w:p>
    <w:tbl>
      <w:tblPr>
        <w:tblStyle w:val="LightList-Accent11"/>
        <w:tblW w:w="0" w:type="auto"/>
        <w:jc w:val="center"/>
        <w:tblLook w:val="04A0" w:firstRow="1" w:lastRow="0" w:firstColumn="1" w:lastColumn="0" w:noHBand="0" w:noVBand="1"/>
      </w:tblPr>
      <w:tblGrid>
        <w:gridCol w:w="1728"/>
        <w:gridCol w:w="1397"/>
        <w:gridCol w:w="133"/>
        <w:gridCol w:w="1539"/>
        <w:gridCol w:w="1593"/>
        <w:gridCol w:w="1593"/>
        <w:gridCol w:w="1357"/>
      </w:tblGrid>
      <w:tr w:rsidR="00E17E3D" w:rsidRPr="00015972" w14:paraId="4726A3C8" w14:textId="77777777" w:rsidTr="002A32F0">
        <w:trPr>
          <w:cnfStyle w:val="100000000000" w:firstRow="1" w:lastRow="0" w:firstColumn="0" w:lastColumn="0" w:oddVBand="0" w:evenVBand="0" w:oddHBand="0" w:evenHBand="0" w:firstRowFirstColumn="0" w:firstRowLastColumn="0" w:lastRowFirstColumn="0" w:lastRowLastColumn="0"/>
          <w:trHeight w:val="548"/>
          <w:tblHeader/>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hideMark/>
          </w:tcPr>
          <w:p w14:paraId="5989BBFA" w14:textId="77777777" w:rsidR="00E17E3D" w:rsidRPr="0045364B" w:rsidRDefault="00E17E3D" w:rsidP="002A32F0">
            <w:pPr>
              <w:jc w:val="center"/>
              <w:rPr>
                <w:b w:val="0"/>
                <w:bCs w:val="0"/>
                <w:sz w:val="18"/>
                <w:szCs w:val="18"/>
              </w:rPr>
            </w:pPr>
            <w:r>
              <w:rPr>
                <w:sz w:val="18"/>
                <w:szCs w:val="18"/>
              </w:rPr>
              <w:t>Data Element/ CCDE</w:t>
            </w:r>
          </w:p>
        </w:tc>
        <w:tc>
          <w:tcPr>
            <w:tcW w:w="1530" w:type="dxa"/>
            <w:gridSpan w:val="2"/>
            <w:noWrap/>
            <w:vAlign w:val="center"/>
            <w:hideMark/>
          </w:tcPr>
          <w:p w14:paraId="13FD54F1" w14:textId="77777777" w:rsidR="00E17E3D" w:rsidRPr="0045364B" w:rsidRDefault="00E17E3D"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Agreement Between Datasets (Number Matching/ Total Records With A Data Value)</w:t>
            </w:r>
          </w:p>
        </w:tc>
        <w:tc>
          <w:tcPr>
            <w:tcW w:w="1539" w:type="dxa"/>
            <w:noWrap/>
            <w:vAlign w:val="center"/>
            <w:hideMark/>
          </w:tcPr>
          <w:p w14:paraId="78B06356" w14:textId="77777777" w:rsidR="00E17E3D" w:rsidRPr="0045364B" w:rsidRDefault="00E17E3D"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95% Confidence Internal for Agreement</w:t>
            </w:r>
          </w:p>
        </w:tc>
        <w:tc>
          <w:tcPr>
            <w:tcW w:w="1593" w:type="dxa"/>
            <w:noWrap/>
            <w:vAlign w:val="center"/>
            <w:hideMark/>
          </w:tcPr>
          <w:p w14:paraId="21DFC684" w14:textId="77777777" w:rsidR="00E17E3D" w:rsidRPr="0045364B" w:rsidRDefault="00E17E3D"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Present in Electronic Extraction, Missing in Manual Abstraction (N)</w:t>
            </w:r>
          </w:p>
        </w:tc>
        <w:tc>
          <w:tcPr>
            <w:tcW w:w="1593" w:type="dxa"/>
            <w:noWrap/>
            <w:vAlign w:val="center"/>
            <w:hideMark/>
          </w:tcPr>
          <w:p w14:paraId="20CF7B90" w14:textId="77777777" w:rsidR="00E17E3D" w:rsidRPr="0045364B" w:rsidRDefault="00E17E3D"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Present in Manual Abstraction, Missing in Electronic Extraction (N)</w:t>
            </w:r>
          </w:p>
        </w:tc>
        <w:tc>
          <w:tcPr>
            <w:tcW w:w="1357" w:type="dxa"/>
            <w:vAlign w:val="center"/>
          </w:tcPr>
          <w:p w14:paraId="52C41356" w14:textId="77777777" w:rsidR="00E17E3D" w:rsidRPr="0045364B" w:rsidRDefault="00E17E3D" w:rsidP="002A32F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Missing in Both Electronic Extraction and Manual Abstraction (N)</w:t>
            </w:r>
          </w:p>
        </w:tc>
      </w:tr>
      <w:tr w:rsidR="00E17E3D" w:rsidRPr="00015972" w14:paraId="55E03ACC"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40" w:type="dxa"/>
            <w:gridSpan w:val="7"/>
            <w:shd w:val="clear" w:color="auto" w:fill="D9D9D9" w:themeFill="background1" w:themeFillShade="D9"/>
            <w:noWrap/>
            <w:vAlign w:val="center"/>
          </w:tcPr>
          <w:p w14:paraId="30660BD2" w14:textId="38DD131E" w:rsidR="00E17E3D" w:rsidRPr="0045364B" w:rsidRDefault="00E17E3D" w:rsidP="00E17E3D">
            <w:pPr>
              <w:jc w:val="center"/>
              <w:rPr>
                <w:sz w:val="18"/>
                <w:szCs w:val="18"/>
              </w:rPr>
            </w:pPr>
            <w:r>
              <w:rPr>
                <w:sz w:val="18"/>
                <w:szCs w:val="18"/>
              </w:rPr>
              <w:t>Dataset 2 (n=368)</w:t>
            </w:r>
          </w:p>
        </w:tc>
      </w:tr>
      <w:tr w:rsidR="00E17E3D" w:rsidRPr="00015972" w14:paraId="17A0B908"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163C9734" w14:textId="77777777" w:rsidR="00E17E3D" w:rsidRPr="006329F1" w:rsidRDefault="00E17E3D" w:rsidP="002A32F0">
            <w:pPr>
              <w:ind w:left="180"/>
              <w:rPr>
                <w:color w:val="000000"/>
                <w:sz w:val="18"/>
                <w:szCs w:val="18"/>
              </w:rPr>
            </w:pPr>
            <w:r w:rsidRPr="006329F1">
              <w:rPr>
                <w:color w:val="000000"/>
                <w:sz w:val="18"/>
                <w:szCs w:val="18"/>
              </w:rPr>
              <w:t>Heart rate (BPM)</w:t>
            </w:r>
          </w:p>
        </w:tc>
        <w:tc>
          <w:tcPr>
            <w:tcW w:w="1397" w:type="dxa"/>
            <w:noWrap/>
            <w:vAlign w:val="center"/>
          </w:tcPr>
          <w:p w14:paraId="2D81595E" w14:textId="77777777" w:rsidR="00E17E3D" w:rsidRPr="00226553" w:rsidRDefault="00E17E3D" w:rsidP="002A32F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95.55 (322/337)</w:t>
            </w:r>
          </w:p>
        </w:tc>
        <w:tc>
          <w:tcPr>
            <w:tcW w:w="1672" w:type="dxa"/>
            <w:gridSpan w:val="2"/>
            <w:noWrap/>
            <w:vAlign w:val="center"/>
          </w:tcPr>
          <w:p w14:paraId="564E3CD2" w14:textId="77777777" w:rsidR="00E17E3D" w:rsidRPr="00226553" w:rsidRDefault="00E17E3D" w:rsidP="002A32F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92.76 - 97.49</w:t>
            </w:r>
          </w:p>
        </w:tc>
        <w:tc>
          <w:tcPr>
            <w:tcW w:w="1593" w:type="dxa"/>
            <w:noWrap/>
            <w:vAlign w:val="center"/>
          </w:tcPr>
          <w:p w14:paraId="12801DAE" w14:textId="77777777" w:rsidR="00E17E3D" w:rsidRPr="00226553" w:rsidRDefault="00E17E3D" w:rsidP="002A32F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0 (0.00)</w:t>
            </w:r>
          </w:p>
        </w:tc>
        <w:tc>
          <w:tcPr>
            <w:tcW w:w="1593" w:type="dxa"/>
            <w:noWrap/>
            <w:vAlign w:val="center"/>
          </w:tcPr>
          <w:p w14:paraId="57FF6A6F" w14:textId="77777777" w:rsidR="00E17E3D" w:rsidRPr="00226553" w:rsidRDefault="00E17E3D" w:rsidP="002A32F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8.42 (31)</w:t>
            </w:r>
          </w:p>
        </w:tc>
        <w:tc>
          <w:tcPr>
            <w:tcW w:w="1357" w:type="dxa"/>
            <w:vAlign w:val="center"/>
          </w:tcPr>
          <w:p w14:paraId="7CA31670" w14:textId="77777777" w:rsidR="00E17E3D" w:rsidRPr="00226553" w:rsidRDefault="00E17E3D" w:rsidP="002A32F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0 (0.00)</w:t>
            </w:r>
          </w:p>
        </w:tc>
      </w:tr>
      <w:tr w:rsidR="00226553" w:rsidRPr="00015972" w14:paraId="0B68745B"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78BF4EE9" w14:textId="1EB1C357" w:rsidR="00226553" w:rsidRPr="006329F1" w:rsidRDefault="00226553" w:rsidP="00226553">
            <w:pPr>
              <w:ind w:left="180"/>
              <w:rPr>
                <w:color w:val="000000"/>
                <w:sz w:val="18"/>
                <w:szCs w:val="18"/>
              </w:rPr>
            </w:pPr>
            <w:r w:rsidRPr="00226553">
              <w:rPr>
                <w:color w:val="000000"/>
                <w:sz w:val="18"/>
                <w:szCs w:val="18"/>
              </w:rPr>
              <w:t xml:space="preserve">Syst Blood Pressure (mmHG) </w:t>
            </w:r>
          </w:p>
        </w:tc>
        <w:tc>
          <w:tcPr>
            <w:tcW w:w="1397" w:type="dxa"/>
            <w:noWrap/>
            <w:vAlign w:val="center"/>
          </w:tcPr>
          <w:p w14:paraId="5E433EAC" w14:textId="064FE6E9"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94.67 (320/338)</w:t>
            </w:r>
          </w:p>
        </w:tc>
        <w:tc>
          <w:tcPr>
            <w:tcW w:w="1672" w:type="dxa"/>
            <w:gridSpan w:val="2"/>
            <w:noWrap/>
            <w:vAlign w:val="center"/>
          </w:tcPr>
          <w:p w14:paraId="54C83A67" w14:textId="16417970"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91.71 - 96.81</w:t>
            </w:r>
          </w:p>
        </w:tc>
        <w:tc>
          <w:tcPr>
            <w:tcW w:w="1593" w:type="dxa"/>
            <w:noWrap/>
            <w:vAlign w:val="center"/>
          </w:tcPr>
          <w:p w14:paraId="20756D2B" w14:textId="79DD6342"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0 (0.00)</w:t>
            </w:r>
          </w:p>
        </w:tc>
        <w:tc>
          <w:tcPr>
            <w:tcW w:w="1593" w:type="dxa"/>
            <w:noWrap/>
            <w:vAlign w:val="center"/>
          </w:tcPr>
          <w:p w14:paraId="53E9C5BD" w14:textId="062FCF2E"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8.15 (30)</w:t>
            </w:r>
          </w:p>
        </w:tc>
        <w:tc>
          <w:tcPr>
            <w:tcW w:w="1357" w:type="dxa"/>
            <w:vAlign w:val="center"/>
          </w:tcPr>
          <w:p w14:paraId="4A53C990" w14:textId="732BD7EC"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 (0.00)</w:t>
            </w:r>
          </w:p>
        </w:tc>
      </w:tr>
      <w:tr w:rsidR="00E17E3D" w:rsidRPr="00015972" w14:paraId="1762440F"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0BE72294" w14:textId="77777777" w:rsidR="00E17E3D" w:rsidRPr="00226553" w:rsidRDefault="00E17E3D" w:rsidP="002A32F0">
            <w:pPr>
              <w:ind w:left="180"/>
              <w:rPr>
                <w:color w:val="000000"/>
                <w:sz w:val="18"/>
                <w:szCs w:val="18"/>
              </w:rPr>
            </w:pPr>
            <w:r w:rsidRPr="006329F1">
              <w:rPr>
                <w:color w:val="000000"/>
                <w:sz w:val="18"/>
                <w:szCs w:val="18"/>
              </w:rPr>
              <w:t>Diast Blood Pressure (mmHG)</w:t>
            </w:r>
          </w:p>
        </w:tc>
        <w:tc>
          <w:tcPr>
            <w:tcW w:w="1397" w:type="dxa"/>
            <w:noWrap/>
            <w:vAlign w:val="center"/>
          </w:tcPr>
          <w:p w14:paraId="3D2643DC" w14:textId="77777777" w:rsidR="00E17E3D" w:rsidRPr="00226553" w:rsidRDefault="00E17E3D" w:rsidP="002A32F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94.38 (319/338)</w:t>
            </w:r>
          </w:p>
        </w:tc>
        <w:tc>
          <w:tcPr>
            <w:tcW w:w="1672" w:type="dxa"/>
            <w:gridSpan w:val="2"/>
            <w:noWrap/>
            <w:vAlign w:val="center"/>
          </w:tcPr>
          <w:p w14:paraId="00061C54" w14:textId="77777777" w:rsidR="00E17E3D" w:rsidRPr="00226553" w:rsidRDefault="00E17E3D" w:rsidP="002A32F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91.36 - 96.58</w:t>
            </w:r>
          </w:p>
        </w:tc>
        <w:tc>
          <w:tcPr>
            <w:tcW w:w="1593" w:type="dxa"/>
            <w:noWrap/>
            <w:vAlign w:val="center"/>
          </w:tcPr>
          <w:p w14:paraId="057967FC" w14:textId="77777777" w:rsidR="00E17E3D" w:rsidRPr="00226553" w:rsidRDefault="00E17E3D" w:rsidP="002A32F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0 (0.00)</w:t>
            </w:r>
          </w:p>
        </w:tc>
        <w:tc>
          <w:tcPr>
            <w:tcW w:w="1593" w:type="dxa"/>
            <w:noWrap/>
            <w:vAlign w:val="center"/>
          </w:tcPr>
          <w:p w14:paraId="1D96DB22" w14:textId="77777777" w:rsidR="00E17E3D" w:rsidRPr="00226553" w:rsidRDefault="00E17E3D" w:rsidP="002A32F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8.15 (30)</w:t>
            </w:r>
          </w:p>
        </w:tc>
        <w:tc>
          <w:tcPr>
            <w:tcW w:w="1357" w:type="dxa"/>
            <w:vAlign w:val="center"/>
          </w:tcPr>
          <w:p w14:paraId="3F616B68" w14:textId="77777777" w:rsidR="00E17E3D" w:rsidRPr="00226553" w:rsidRDefault="00E17E3D" w:rsidP="002A32F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0 (0.00)</w:t>
            </w:r>
          </w:p>
        </w:tc>
      </w:tr>
      <w:tr w:rsidR="00226553" w:rsidRPr="00015972" w14:paraId="1166E8DE"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50B13C41" w14:textId="18EE366E" w:rsidR="00226553" w:rsidRPr="006329F1" w:rsidRDefault="00226553" w:rsidP="00226553">
            <w:pPr>
              <w:ind w:left="180"/>
              <w:rPr>
                <w:color w:val="000000"/>
                <w:sz w:val="18"/>
                <w:szCs w:val="18"/>
              </w:rPr>
            </w:pPr>
            <w:r w:rsidRPr="00226553">
              <w:rPr>
                <w:color w:val="000000"/>
                <w:sz w:val="18"/>
                <w:szCs w:val="18"/>
              </w:rPr>
              <w:t>Respiratory Rate (BPM)</w:t>
            </w:r>
          </w:p>
        </w:tc>
        <w:tc>
          <w:tcPr>
            <w:tcW w:w="1397" w:type="dxa"/>
            <w:noWrap/>
            <w:vAlign w:val="center"/>
          </w:tcPr>
          <w:p w14:paraId="3A616314" w14:textId="60E093E7"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94.89 (316/333)</w:t>
            </w:r>
          </w:p>
        </w:tc>
        <w:tc>
          <w:tcPr>
            <w:tcW w:w="1672" w:type="dxa"/>
            <w:gridSpan w:val="2"/>
            <w:noWrap/>
            <w:vAlign w:val="center"/>
          </w:tcPr>
          <w:p w14:paraId="4522CB76" w14:textId="04CC7774"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91.95 - 97.00</w:t>
            </w:r>
          </w:p>
        </w:tc>
        <w:tc>
          <w:tcPr>
            <w:tcW w:w="1593" w:type="dxa"/>
            <w:noWrap/>
            <w:vAlign w:val="center"/>
          </w:tcPr>
          <w:p w14:paraId="62E4357F" w14:textId="3D35C454"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0 (0.00)</w:t>
            </w:r>
          </w:p>
        </w:tc>
        <w:tc>
          <w:tcPr>
            <w:tcW w:w="1593" w:type="dxa"/>
            <w:noWrap/>
            <w:vAlign w:val="center"/>
          </w:tcPr>
          <w:p w14:paraId="67E53BDA" w14:textId="2EF33FB5"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9.51 (35)</w:t>
            </w:r>
          </w:p>
        </w:tc>
        <w:tc>
          <w:tcPr>
            <w:tcW w:w="1357" w:type="dxa"/>
            <w:vAlign w:val="center"/>
          </w:tcPr>
          <w:p w14:paraId="6035F78E" w14:textId="44DFCF68"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 (0.00)</w:t>
            </w:r>
          </w:p>
        </w:tc>
      </w:tr>
      <w:tr w:rsidR="00226553" w:rsidRPr="00015972" w14:paraId="45C2BCA0"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4F524537" w14:textId="056CC9CB" w:rsidR="00226553" w:rsidRPr="006329F1" w:rsidRDefault="00226553" w:rsidP="00226553">
            <w:pPr>
              <w:ind w:left="180"/>
              <w:rPr>
                <w:color w:val="000000"/>
                <w:sz w:val="18"/>
                <w:szCs w:val="18"/>
              </w:rPr>
            </w:pPr>
            <w:r w:rsidRPr="00226553">
              <w:rPr>
                <w:color w:val="000000"/>
                <w:sz w:val="18"/>
                <w:szCs w:val="18"/>
              </w:rPr>
              <w:t xml:space="preserve">Temperature (C) </w:t>
            </w:r>
          </w:p>
        </w:tc>
        <w:tc>
          <w:tcPr>
            <w:tcW w:w="1397" w:type="dxa"/>
            <w:noWrap/>
            <w:vAlign w:val="center"/>
          </w:tcPr>
          <w:p w14:paraId="223632DD" w14:textId="2296E4E7"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95.41 (312/327)</w:t>
            </w:r>
          </w:p>
        </w:tc>
        <w:tc>
          <w:tcPr>
            <w:tcW w:w="1672" w:type="dxa"/>
            <w:gridSpan w:val="2"/>
            <w:noWrap/>
            <w:vAlign w:val="center"/>
          </w:tcPr>
          <w:p w14:paraId="144A00A2" w14:textId="330F42AE"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92.55 - 97.41</w:t>
            </w:r>
          </w:p>
        </w:tc>
        <w:tc>
          <w:tcPr>
            <w:tcW w:w="1593" w:type="dxa"/>
            <w:noWrap/>
            <w:vAlign w:val="center"/>
          </w:tcPr>
          <w:p w14:paraId="7607111A" w14:textId="52B98CFA"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0 (0.00)</w:t>
            </w:r>
          </w:p>
        </w:tc>
        <w:tc>
          <w:tcPr>
            <w:tcW w:w="1593" w:type="dxa"/>
            <w:noWrap/>
            <w:vAlign w:val="center"/>
          </w:tcPr>
          <w:p w14:paraId="082812E0" w14:textId="59249BA7"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10.87 (40)</w:t>
            </w:r>
          </w:p>
        </w:tc>
        <w:tc>
          <w:tcPr>
            <w:tcW w:w="1357" w:type="dxa"/>
            <w:vAlign w:val="center"/>
          </w:tcPr>
          <w:p w14:paraId="0468DBBE" w14:textId="6C742B75"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0.27 (1)</w:t>
            </w:r>
          </w:p>
        </w:tc>
      </w:tr>
      <w:tr w:rsidR="00226553" w:rsidRPr="00015972" w14:paraId="7371ABFB"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4007114F" w14:textId="6A61EDCA" w:rsidR="00226553" w:rsidRPr="006329F1" w:rsidRDefault="00226553" w:rsidP="00226553">
            <w:pPr>
              <w:ind w:left="180"/>
              <w:rPr>
                <w:color w:val="000000"/>
                <w:sz w:val="18"/>
                <w:szCs w:val="18"/>
              </w:rPr>
            </w:pPr>
            <w:r w:rsidRPr="00226553">
              <w:rPr>
                <w:color w:val="000000"/>
                <w:sz w:val="18"/>
                <w:szCs w:val="18"/>
              </w:rPr>
              <w:t xml:space="preserve">Oxygen Saturation (%) </w:t>
            </w:r>
          </w:p>
        </w:tc>
        <w:tc>
          <w:tcPr>
            <w:tcW w:w="1397" w:type="dxa"/>
            <w:noWrap/>
            <w:vAlign w:val="center"/>
          </w:tcPr>
          <w:p w14:paraId="6A2FD226" w14:textId="11D83F8C"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94.68 (285/301)</w:t>
            </w:r>
          </w:p>
        </w:tc>
        <w:tc>
          <w:tcPr>
            <w:tcW w:w="1672" w:type="dxa"/>
            <w:gridSpan w:val="2"/>
            <w:noWrap/>
            <w:vAlign w:val="center"/>
          </w:tcPr>
          <w:p w14:paraId="479DDC76" w14:textId="6B7DE71F"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91.51 - 96.93</w:t>
            </w:r>
          </w:p>
        </w:tc>
        <w:tc>
          <w:tcPr>
            <w:tcW w:w="1593" w:type="dxa"/>
            <w:noWrap/>
            <w:vAlign w:val="center"/>
          </w:tcPr>
          <w:p w14:paraId="0E1F80D9" w14:textId="5DC3C07E"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0.27 (1)</w:t>
            </w:r>
          </w:p>
        </w:tc>
        <w:tc>
          <w:tcPr>
            <w:tcW w:w="1593" w:type="dxa"/>
            <w:noWrap/>
            <w:vAlign w:val="center"/>
          </w:tcPr>
          <w:p w14:paraId="699EC079" w14:textId="3FB426E2"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14.40 (53)</w:t>
            </w:r>
          </w:p>
        </w:tc>
        <w:tc>
          <w:tcPr>
            <w:tcW w:w="1357" w:type="dxa"/>
            <w:vAlign w:val="center"/>
          </w:tcPr>
          <w:p w14:paraId="0A4AD247" w14:textId="7D447DD8"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3.53 (13)</w:t>
            </w:r>
          </w:p>
        </w:tc>
      </w:tr>
      <w:tr w:rsidR="00226553" w:rsidRPr="00015972" w14:paraId="3E8AD489"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446E8C7A" w14:textId="0B09BCC6" w:rsidR="00226553" w:rsidRPr="006329F1" w:rsidRDefault="00226553" w:rsidP="00226553">
            <w:pPr>
              <w:ind w:left="180"/>
              <w:rPr>
                <w:color w:val="000000"/>
                <w:sz w:val="18"/>
                <w:szCs w:val="18"/>
              </w:rPr>
            </w:pPr>
            <w:r w:rsidRPr="00226553">
              <w:rPr>
                <w:color w:val="000000"/>
                <w:sz w:val="18"/>
                <w:szCs w:val="18"/>
              </w:rPr>
              <w:t xml:space="preserve">Weight (Kg)* </w:t>
            </w:r>
          </w:p>
        </w:tc>
        <w:tc>
          <w:tcPr>
            <w:tcW w:w="1397" w:type="dxa"/>
            <w:noWrap/>
            <w:vAlign w:val="center"/>
          </w:tcPr>
          <w:p w14:paraId="600FF5B1" w14:textId="300A983B"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14.66 (51/348)</w:t>
            </w:r>
          </w:p>
        </w:tc>
        <w:tc>
          <w:tcPr>
            <w:tcW w:w="1672" w:type="dxa"/>
            <w:gridSpan w:val="2"/>
            <w:noWrap/>
            <w:vAlign w:val="center"/>
          </w:tcPr>
          <w:p w14:paraId="5F516B2E" w14:textId="58188F44"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11.11 - 18.81</w:t>
            </w:r>
          </w:p>
        </w:tc>
        <w:tc>
          <w:tcPr>
            <w:tcW w:w="1593" w:type="dxa"/>
            <w:noWrap/>
            <w:vAlign w:val="center"/>
          </w:tcPr>
          <w:p w14:paraId="5189A26B" w14:textId="39BC9A2F"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1.09 (4)</w:t>
            </w:r>
          </w:p>
        </w:tc>
        <w:tc>
          <w:tcPr>
            <w:tcW w:w="1593" w:type="dxa"/>
            <w:noWrap/>
            <w:vAlign w:val="center"/>
          </w:tcPr>
          <w:p w14:paraId="2828D37D" w14:textId="479CCE31"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3.53 (13)</w:t>
            </w:r>
          </w:p>
        </w:tc>
        <w:tc>
          <w:tcPr>
            <w:tcW w:w="1357" w:type="dxa"/>
            <w:vAlign w:val="center"/>
          </w:tcPr>
          <w:p w14:paraId="41463C79" w14:textId="659EF80E"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0.82 (3)</w:t>
            </w:r>
          </w:p>
        </w:tc>
      </w:tr>
      <w:tr w:rsidR="00226553" w:rsidRPr="00015972" w14:paraId="5A39C1A8"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7861501A" w14:textId="0CBC1D8B" w:rsidR="00226553" w:rsidRPr="006329F1" w:rsidRDefault="00226553" w:rsidP="00226553">
            <w:pPr>
              <w:ind w:left="180"/>
              <w:rPr>
                <w:color w:val="000000"/>
                <w:sz w:val="18"/>
                <w:szCs w:val="18"/>
              </w:rPr>
            </w:pPr>
            <w:r w:rsidRPr="00226553">
              <w:rPr>
                <w:color w:val="000000"/>
                <w:sz w:val="18"/>
                <w:szCs w:val="18"/>
              </w:rPr>
              <w:t>Hemoglobin (g/dL)</w:t>
            </w:r>
          </w:p>
        </w:tc>
        <w:tc>
          <w:tcPr>
            <w:tcW w:w="1397" w:type="dxa"/>
            <w:noWrap/>
            <w:vAlign w:val="center"/>
          </w:tcPr>
          <w:p w14:paraId="484AF07A" w14:textId="265BA9A6"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96.50 (331/343)</w:t>
            </w:r>
          </w:p>
        </w:tc>
        <w:tc>
          <w:tcPr>
            <w:tcW w:w="1672" w:type="dxa"/>
            <w:gridSpan w:val="2"/>
            <w:noWrap/>
            <w:vAlign w:val="center"/>
          </w:tcPr>
          <w:p w14:paraId="7DF85C0C" w14:textId="43BBF414"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93.97 - 98.18</w:t>
            </w:r>
          </w:p>
        </w:tc>
        <w:tc>
          <w:tcPr>
            <w:tcW w:w="1593" w:type="dxa"/>
            <w:noWrap/>
            <w:vAlign w:val="center"/>
          </w:tcPr>
          <w:p w14:paraId="3BF02F7F" w14:textId="34C8A5CD"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0.82 (3)</w:t>
            </w:r>
          </w:p>
        </w:tc>
        <w:tc>
          <w:tcPr>
            <w:tcW w:w="1593" w:type="dxa"/>
            <w:noWrap/>
            <w:vAlign w:val="center"/>
          </w:tcPr>
          <w:p w14:paraId="085AEDC9" w14:textId="108D85F0"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3.80 (14)</w:t>
            </w:r>
          </w:p>
        </w:tc>
        <w:tc>
          <w:tcPr>
            <w:tcW w:w="1357" w:type="dxa"/>
            <w:vAlign w:val="center"/>
          </w:tcPr>
          <w:p w14:paraId="2360F8E9" w14:textId="20580136"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2.17 (8)</w:t>
            </w:r>
          </w:p>
        </w:tc>
      </w:tr>
      <w:tr w:rsidR="00226553" w:rsidRPr="00015972" w14:paraId="3D8D2C31"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1434FEEF" w14:textId="27C60CED" w:rsidR="00226553" w:rsidRPr="006329F1" w:rsidRDefault="00226553" w:rsidP="00226553">
            <w:pPr>
              <w:ind w:left="180"/>
              <w:rPr>
                <w:color w:val="000000"/>
                <w:sz w:val="18"/>
                <w:szCs w:val="18"/>
              </w:rPr>
            </w:pPr>
            <w:r w:rsidRPr="00226553">
              <w:rPr>
                <w:color w:val="000000"/>
                <w:sz w:val="18"/>
                <w:szCs w:val="18"/>
              </w:rPr>
              <w:t>Hematocrit (%)</w:t>
            </w:r>
          </w:p>
        </w:tc>
        <w:tc>
          <w:tcPr>
            <w:tcW w:w="1397" w:type="dxa"/>
            <w:noWrap/>
            <w:vAlign w:val="center"/>
          </w:tcPr>
          <w:p w14:paraId="5024E31A" w14:textId="2588122F"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96.19 (328/341)</w:t>
            </w:r>
          </w:p>
        </w:tc>
        <w:tc>
          <w:tcPr>
            <w:tcW w:w="1672" w:type="dxa"/>
            <w:gridSpan w:val="2"/>
            <w:noWrap/>
            <w:vAlign w:val="center"/>
          </w:tcPr>
          <w:p w14:paraId="322932D7" w14:textId="1C8F8726"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93.57 - 97.95</w:t>
            </w:r>
          </w:p>
        </w:tc>
        <w:tc>
          <w:tcPr>
            <w:tcW w:w="1593" w:type="dxa"/>
            <w:noWrap/>
            <w:vAlign w:val="center"/>
          </w:tcPr>
          <w:p w14:paraId="71902623" w14:textId="6B3330DB"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0.82 (3)</w:t>
            </w:r>
          </w:p>
        </w:tc>
        <w:tc>
          <w:tcPr>
            <w:tcW w:w="1593" w:type="dxa"/>
            <w:noWrap/>
            <w:vAlign w:val="center"/>
          </w:tcPr>
          <w:p w14:paraId="42140A38" w14:textId="25E64343"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3.80 (14)</w:t>
            </w:r>
          </w:p>
        </w:tc>
        <w:tc>
          <w:tcPr>
            <w:tcW w:w="1357" w:type="dxa"/>
            <w:vAlign w:val="center"/>
          </w:tcPr>
          <w:p w14:paraId="15D8E9C7" w14:textId="0DAF2501"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2.72 (10)</w:t>
            </w:r>
          </w:p>
        </w:tc>
      </w:tr>
      <w:tr w:rsidR="00226553" w:rsidRPr="00015972" w14:paraId="0CC6583C"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1308CE9F" w14:textId="73EAB91C" w:rsidR="00226553" w:rsidRPr="00226553" w:rsidRDefault="00226553" w:rsidP="00226553">
            <w:pPr>
              <w:ind w:left="180"/>
              <w:rPr>
                <w:color w:val="000000"/>
                <w:sz w:val="18"/>
                <w:szCs w:val="18"/>
              </w:rPr>
            </w:pPr>
            <w:r w:rsidRPr="00226553">
              <w:rPr>
                <w:color w:val="000000"/>
                <w:sz w:val="18"/>
                <w:szCs w:val="18"/>
              </w:rPr>
              <w:t>Platelet (x10(9)/L)</w:t>
            </w:r>
          </w:p>
        </w:tc>
        <w:tc>
          <w:tcPr>
            <w:tcW w:w="1397" w:type="dxa"/>
            <w:noWrap/>
            <w:vAlign w:val="center"/>
          </w:tcPr>
          <w:p w14:paraId="53EB5F09" w14:textId="702E567C"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96.88 (310/320)</w:t>
            </w:r>
          </w:p>
        </w:tc>
        <w:tc>
          <w:tcPr>
            <w:tcW w:w="1672" w:type="dxa"/>
            <w:gridSpan w:val="2"/>
            <w:noWrap/>
            <w:vAlign w:val="center"/>
          </w:tcPr>
          <w:p w14:paraId="07A9BBBB" w14:textId="49407527"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94.33 - 98.49</w:t>
            </w:r>
          </w:p>
        </w:tc>
        <w:tc>
          <w:tcPr>
            <w:tcW w:w="1593" w:type="dxa"/>
            <w:noWrap/>
            <w:vAlign w:val="center"/>
          </w:tcPr>
          <w:p w14:paraId="1593B826" w14:textId="132B4BAB"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0.82 (3)</w:t>
            </w:r>
          </w:p>
        </w:tc>
        <w:tc>
          <w:tcPr>
            <w:tcW w:w="1593" w:type="dxa"/>
            <w:noWrap/>
            <w:vAlign w:val="center"/>
          </w:tcPr>
          <w:p w14:paraId="5F0C3AA8" w14:textId="7F028A5A"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4.62 (17)</w:t>
            </w:r>
          </w:p>
        </w:tc>
        <w:tc>
          <w:tcPr>
            <w:tcW w:w="1357" w:type="dxa"/>
            <w:vAlign w:val="center"/>
          </w:tcPr>
          <w:p w14:paraId="7333295A" w14:textId="1F82977B"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7.61 (28)</w:t>
            </w:r>
          </w:p>
        </w:tc>
      </w:tr>
      <w:tr w:rsidR="00226553" w:rsidRPr="00015972" w14:paraId="420C8E46"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5943D0B2" w14:textId="0ECC5F49" w:rsidR="00226553" w:rsidRPr="00226553" w:rsidRDefault="00226553" w:rsidP="00226553">
            <w:pPr>
              <w:ind w:left="180"/>
              <w:rPr>
                <w:color w:val="000000"/>
                <w:sz w:val="18"/>
                <w:szCs w:val="18"/>
              </w:rPr>
            </w:pPr>
            <w:r w:rsidRPr="00226553">
              <w:rPr>
                <w:color w:val="000000"/>
                <w:sz w:val="18"/>
                <w:szCs w:val="18"/>
              </w:rPr>
              <w:t>WBC Count (x10(9)/L)</w:t>
            </w:r>
          </w:p>
        </w:tc>
        <w:tc>
          <w:tcPr>
            <w:tcW w:w="1397" w:type="dxa"/>
            <w:noWrap/>
            <w:vAlign w:val="center"/>
          </w:tcPr>
          <w:p w14:paraId="19AA2F75" w14:textId="3CB8C2D7"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96.56 (309/320)</w:t>
            </w:r>
          </w:p>
        </w:tc>
        <w:tc>
          <w:tcPr>
            <w:tcW w:w="1672" w:type="dxa"/>
            <w:gridSpan w:val="2"/>
            <w:noWrap/>
            <w:vAlign w:val="center"/>
          </w:tcPr>
          <w:p w14:paraId="30EB5979" w14:textId="48DB236C"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93.93 - 98.27</w:t>
            </w:r>
          </w:p>
        </w:tc>
        <w:tc>
          <w:tcPr>
            <w:tcW w:w="1593" w:type="dxa"/>
            <w:noWrap/>
            <w:vAlign w:val="center"/>
          </w:tcPr>
          <w:p w14:paraId="4FD432C0" w14:textId="1A7A1E7F"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0.82 (3)</w:t>
            </w:r>
          </w:p>
        </w:tc>
        <w:tc>
          <w:tcPr>
            <w:tcW w:w="1593" w:type="dxa"/>
            <w:noWrap/>
            <w:vAlign w:val="center"/>
          </w:tcPr>
          <w:p w14:paraId="1AABC7A5" w14:textId="59F0AE20"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4.62 (17)</w:t>
            </w:r>
          </w:p>
        </w:tc>
        <w:tc>
          <w:tcPr>
            <w:tcW w:w="1357" w:type="dxa"/>
            <w:vAlign w:val="center"/>
          </w:tcPr>
          <w:p w14:paraId="4B16BAE4" w14:textId="0154E01D"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7.61 (28)</w:t>
            </w:r>
          </w:p>
        </w:tc>
      </w:tr>
      <w:tr w:rsidR="00226553" w:rsidRPr="00015972" w14:paraId="261B26E7"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550CD7D8" w14:textId="51702D97" w:rsidR="00226553" w:rsidRPr="00226553" w:rsidRDefault="00226553" w:rsidP="00226553">
            <w:pPr>
              <w:ind w:left="180"/>
              <w:rPr>
                <w:color w:val="000000"/>
                <w:sz w:val="18"/>
                <w:szCs w:val="18"/>
              </w:rPr>
            </w:pPr>
            <w:r w:rsidRPr="00226553">
              <w:rPr>
                <w:color w:val="000000"/>
                <w:sz w:val="18"/>
                <w:szCs w:val="18"/>
              </w:rPr>
              <w:t>Potassium (meq/L)</w:t>
            </w:r>
          </w:p>
        </w:tc>
        <w:tc>
          <w:tcPr>
            <w:tcW w:w="1397" w:type="dxa"/>
            <w:noWrap/>
            <w:vAlign w:val="center"/>
          </w:tcPr>
          <w:p w14:paraId="68C161EB" w14:textId="17178C3F"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97.22 (280/288)</w:t>
            </w:r>
          </w:p>
        </w:tc>
        <w:tc>
          <w:tcPr>
            <w:tcW w:w="1672" w:type="dxa"/>
            <w:gridSpan w:val="2"/>
            <w:noWrap/>
            <w:vAlign w:val="center"/>
          </w:tcPr>
          <w:p w14:paraId="5DD65627" w14:textId="19EAC04D"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94.60 - 98.79</w:t>
            </w:r>
          </w:p>
        </w:tc>
        <w:tc>
          <w:tcPr>
            <w:tcW w:w="1593" w:type="dxa"/>
            <w:noWrap/>
            <w:vAlign w:val="center"/>
          </w:tcPr>
          <w:p w14:paraId="02B3F196" w14:textId="19D290DC"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 (0.00)</w:t>
            </w:r>
          </w:p>
        </w:tc>
        <w:tc>
          <w:tcPr>
            <w:tcW w:w="1593" w:type="dxa"/>
            <w:noWrap/>
            <w:vAlign w:val="center"/>
          </w:tcPr>
          <w:p w14:paraId="4C47ABAF" w14:textId="3E0BFB66"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5.16 (19)</w:t>
            </w:r>
          </w:p>
        </w:tc>
        <w:tc>
          <w:tcPr>
            <w:tcW w:w="1357" w:type="dxa"/>
            <w:vAlign w:val="center"/>
          </w:tcPr>
          <w:p w14:paraId="74922826" w14:textId="6CB849B9"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16.58 (61)</w:t>
            </w:r>
          </w:p>
        </w:tc>
      </w:tr>
      <w:tr w:rsidR="00226553" w:rsidRPr="00015972" w14:paraId="256A1F8E"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68E4006D" w14:textId="5791CAED" w:rsidR="00226553" w:rsidRPr="00226553" w:rsidRDefault="00226553" w:rsidP="00226553">
            <w:pPr>
              <w:ind w:left="180"/>
              <w:rPr>
                <w:color w:val="000000"/>
                <w:sz w:val="18"/>
                <w:szCs w:val="18"/>
              </w:rPr>
            </w:pPr>
            <w:r w:rsidRPr="00226553">
              <w:rPr>
                <w:color w:val="000000"/>
                <w:sz w:val="18"/>
                <w:szCs w:val="18"/>
              </w:rPr>
              <w:t>Sodium (meq/L)</w:t>
            </w:r>
          </w:p>
        </w:tc>
        <w:tc>
          <w:tcPr>
            <w:tcW w:w="1397" w:type="dxa"/>
            <w:noWrap/>
            <w:vAlign w:val="center"/>
          </w:tcPr>
          <w:p w14:paraId="0DF1544E" w14:textId="7D6C1411"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97.21 (279/287)</w:t>
            </w:r>
          </w:p>
        </w:tc>
        <w:tc>
          <w:tcPr>
            <w:tcW w:w="1672" w:type="dxa"/>
            <w:gridSpan w:val="2"/>
            <w:noWrap/>
            <w:vAlign w:val="center"/>
          </w:tcPr>
          <w:p w14:paraId="7E3BEDBA" w14:textId="5DE00A2F"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94.58 - 98.79</w:t>
            </w:r>
          </w:p>
        </w:tc>
        <w:tc>
          <w:tcPr>
            <w:tcW w:w="1593" w:type="dxa"/>
            <w:noWrap/>
            <w:vAlign w:val="center"/>
          </w:tcPr>
          <w:p w14:paraId="5C1BFE04" w14:textId="74F13DF5"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 (0.00)</w:t>
            </w:r>
          </w:p>
        </w:tc>
        <w:tc>
          <w:tcPr>
            <w:tcW w:w="1593" w:type="dxa"/>
            <w:noWrap/>
            <w:vAlign w:val="center"/>
          </w:tcPr>
          <w:p w14:paraId="38ECCCA0" w14:textId="65E2D4AA"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5.43 (20)</w:t>
            </w:r>
          </w:p>
        </w:tc>
        <w:tc>
          <w:tcPr>
            <w:tcW w:w="1357" w:type="dxa"/>
            <w:vAlign w:val="center"/>
          </w:tcPr>
          <w:p w14:paraId="6F72E28D" w14:textId="4A0576EB"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16.58 (61)</w:t>
            </w:r>
          </w:p>
        </w:tc>
      </w:tr>
      <w:tr w:rsidR="00226553" w:rsidRPr="00015972" w14:paraId="6AEB025F"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6AE5A150" w14:textId="0F22D478" w:rsidR="00226553" w:rsidRPr="00226553" w:rsidRDefault="00226553" w:rsidP="00226553">
            <w:pPr>
              <w:ind w:left="180"/>
              <w:rPr>
                <w:color w:val="000000"/>
                <w:sz w:val="18"/>
                <w:szCs w:val="18"/>
              </w:rPr>
            </w:pPr>
            <w:r w:rsidRPr="00226553">
              <w:rPr>
                <w:color w:val="000000"/>
                <w:sz w:val="18"/>
                <w:szCs w:val="18"/>
              </w:rPr>
              <w:t>Chloride (meq/L)</w:t>
            </w:r>
          </w:p>
        </w:tc>
        <w:tc>
          <w:tcPr>
            <w:tcW w:w="1397" w:type="dxa"/>
            <w:noWrap/>
            <w:vAlign w:val="center"/>
          </w:tcPr>
          <w:p w14:paraId="066A69B6" w14:textId="364ABF72"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97.21 (279/287)</w:t>
            </w:r>
          </w:p>
        </w:tc>
        <w:tc>
          <w:tcPr>
            <w:tcW w:w="1672" w:type="dxa"/>
            <w:gridSpan w:val="2"/>
            <w:noWrap/>
            <w:vAlign w:val="center"/>
          </w:tcPr>
          <w:p w14:paraId="3B66111B" w14:textId="76F3A076"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94.58 - 98.79</w:t>
            </w:r>
          </w:p>
        </w:tc>
        <w:tc>
          <w:tcPr>
            <w:tcW w:w="1593" w:type="dxa"/>
            <w:noWrap/>
            <w:vAlign w:val="center"/>
          </w:tcPr>
          <w:p w14:paraId="55AB162B" w14:textId="4EAFE432"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 (0.00)</w:t>
            </w:r>
          </w:p>
        </w:tc>
        <w:tc>
          <w:tcPr>
            <w:tcW w:w="1593" w:type="dxa"/>
            <w:noWrap/>
            <w:vAlign w:val="center"/>
          </w:tcPr>
          <w:p w14:paraId="1F7E55E7" w14:textId="4CD22F4D"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5.43 (20)</w:t>
            </w:r>
          </w:p>
        </w:tc>
        <w:tc>
          <w:tcPr>
            <w:tcW w:w="1357" w:type="dxa"/>
            <w:vAlign w:val="center"/>
          </w:tcPr>
          <w:p w14:paraId="4CB23012" w14:textId="366D6E58"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16.58 (61)</w:t>
            </w:r>
          </w:p>
        </w:tc>
      </w:tr>
      <w:tr w:rsidR="00226553" w:rsidRPr="00015972" w14:paraId="15ECF3F5"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04EB2947" w14:textId="463DC86D" w:rsidR="00226553" w:rsidRPr="00226553" w:rsidRDefault="00226553" w:rsidP="00226553">
            <w:pPr>
              <w:ind w:left="180"/>
              <w:rPr>
                <w:color w:val="000000"/>
                <w:sz w:val="18"/>
                <w:szCs w:val="18"/>
              </w:rPr>
            </w:pPr>
            <w:r w:rsidRPr="00226553">
              <w:rPr>
                <w:color w:val="000000"/>
                <w:sz w:val="18"/>
                <w:szCs w:val="18"/>
              </w:rPr>
              <w:t>Bicarbonate (meq/L)</w:t>
            </w:r>
          </w:p>
        </w:tc>
        <w:tc>
          <w:tcPr>
            <w:tcW w:w="1397" w:type="dxa"/>
            <w:noWrap/>
            <w:vAlign w:val="center"/>
          </w:tcPr>
          <w:p w14:paraId="4C9B39B9" w14:textId="6C9F4836"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14.81 (8/54)</w:t>
            </w:r>
          </w:p>
        </w:tc>
        <w:tc>
          <w:tcPr>
            <w:tcW w:w="1672" w:type="dxa"/>
            <w:gridSpan w:val="2"/>
            <w:noWrap/>
            <w:vAlign w:val="center"/>
          </w:tcPr>
          <w:p w14:paraId="7A023922" w14:textId="7B5FC494"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6.62 - 27.12</w:t>
            </w:r>
          </w:p>
        </w:tc>
        <w:tc>
          <w:tcPr>
            <w:tcW w:w="1593" w:type="dxa"/>
            <w:noWrap/>
            <w:vAlign w:val="center"/>
          </w:tcPr>
          <w:p w14:paraId="4256BFC4" w14:textId="1F2F09DA"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0.27 (1)</w:t>
            </w:r>
          </w:p>
        </w:tc>
        <w:tc>
          <w:tcPr>
            <w:tcW w:w="1593" w:type="dxa"/>
            <w:noWrap/>
            <w:vAlign w:val="center"/>
          </w:tcPr>
          <w:p w14:paraId="1507AA22" w14:textId="6A99A88A"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68.21 (251)</w:t>
            </w:r>
          </w:p>
        </w:tc>
        <w:tc>
          <w:tcPr>
            <w:tcW w:w="1357" w:type="dxa"/>
            <w:vAlign w:val="center"/>
          </w:tcPr>
          <w:p w14:paraId="62168B5A" w14:textId="23E3A6C1"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16.85 (62)</w:t>
            </w:r>
          </w:p>
        </w:tc>
      </w:tr>
      <w:tr w:rsidR="00226553" w:rsidRPr="00015972" w14:paraId="57A5C915"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44DE5069" w14:textId="77777777" w:rsidR="00226553" w:rsidRPr="00226553" w:rsidRDefault="00226553" w:rsidP="00226553">
            <w:pPr>
              <w:ind w:left="180"/>
              <w:rPr>
                <w:color w:val="000000"/>
                <w:sz w:val="18"/>
                <w:szCs w:val="18"/>
              </w:rPr>
            </w:pPr>
            <w:r w:rsidRPr="00226553">
              <w:rPr>
                <w:color w:val="000000"/>
                <w:sz w:val="18"/>
                <w:szCs w:val="18"/>
              </w:rPr>
              <w:lastRenderedPageBreak/>
              <w:t>Glucose (mg/dL)</w:t>
            </w:r>
          </w:p>
        </w:tc>
        <w:tc>
          <w:tcPr>
            <w:tcW w:w="1397" w:type="dxa"/>
            <w:noWrap/>
            <w:vAlign w:val="center"/>
          </w:tcPr>
          <w:p w14:paraId="1FBFB57F" w14:textId="77777777"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96.14 (274/285)</w:t>
            </w:r>
          </w:p>
        </w:tc>
        <w:tc>
          <w:tcPr>
            <w:tcW w:w="1672" w:type="dxa"/>
            <w:gridSpan w:val="2"/>
            <w:noWrap/>
            <w:vAlign w:val="center"/>
          </w:tcPr>
          <w:p w14:paraId="18A28B73" w14:textId="77777777"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93.20 - 98.06</w:t>
            </w:r>
          </w:p>
        </w:tc>
        <w:tc>
          <w:tcPr>
            <w:tcW w:w="1593" w:type="dxa"/>
            <w:noWrap/>
            <w:vAlign w:val="center"/>
          </w:tcPr>
          <w:p w14:paraId="2ECC8B1A" w14:textId="77777777"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0 (0.00)</w:t>
            </w:r>
          </w:p>
        </w:tc>
        <w:tc>
          <w:tcPr>
            <w:tcW w:w="1593" w:type="dxa"/>
            <w:noWrap/>
            <w:vAlign w:val="center"/>
          </w:tcPr>
          <w:p w14:paraId="7801337E" w14:textId="77777777"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5.43 (20)</w:t>
            </w:r>
          </w:p>
        </w:tc>
        <w:tc>
          <w:tcPr>
            <w:tcW w:w="1357" w:type="dxa"/>
            <w:vAlign w:val="center"/>
          </w:tcPr>
          <w:p w14:paraId="61215AD0" w14:textId="77777777" w:rsidR="00226553" w:rsidRPr="00226553"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6329F1">
              <w:rPr>
                <w:rFonts w:asciiTheme="minorHAnsi" w:hAnsiTheme="minorHAnsi"/>
                <w:sz w:val="18"/>
                <w:szCs w:val="18"/>
              </w:rPr>
              <w:t>17.12 (63)</w:t>
            </w:r>
          </w:p>
        </w:tc>
      </w:tr>
      <w:tr w:rsidR="00226553" w:rsidRPr="00015972" w14:paraId="423905B6"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33A470DC" w14:textId="011B35F2" w:rsidR="00226553" w:rsidRPr="00226553" w:rsidRDefault="00226553" w:rsidP="00226553">
            <w:pPr>
              <w:ind w:left="180"/>
              <w:rPr>
                <w:color w:val="000000"/>
                <w:sz w:val="18"/>
                <w:szCs w:val="18"/>
              </w:rPr>
            </w:pPr>
            <w:r w:rsidRPr="00226553">
              <w:rPr>
                <w:color w:val="000000"/>
                <w:sz w:val="18"/>
                <w:szCs w:val="18"/>
              </w:rPr>
              <w:t>Troponin (ng/mL)</w:t>
            </w:r>
          </w:p>
        </w:tc>
        <w:tc>
          <w:tcPr>
            <w:tcW w:w="1397" w:type="dxa"/>
            <w:noWrap/>
            <w:vAlign w:val="center"/>
          </w:tcPr>
          <w:p w14:paraId="468A6596" w14:textId="551F4BE5"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93.33 (98/105)</w:t>
            </w:r>
          </w:p>
        </w:tc>
        <w:tc>
          <w:tcPr>
            <w:tcW w:w="1672" w:type="dxa"/>
            <w:gridSpan w:val="2"/>
            <w:noWrap/>
            <w:vAlign w:val="center"/>
          </w:tcPr>
          <w:p w14:paraId="46681823" w14:textId="70E9D1B7"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86.75 - 97.28</w:t>
            </w:r>
          </w:p>
        </w:tc>
        <w:tc>
          <w:tcPr>
            <w:tcW w:w="1593" w:type="dxa"/>
            <w:noWrap/>
            <w:vAlign w:val="center"/>
          </w:tcPr>
          <w:p w14:paraId="2272DF18" w14:textId="57CA7BA5"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4.08 (15)</w:t>
            </w:r>
          </w:p>
        </w:tc>
        <w:tc>
          <w:tcPr>
            <w:tcW w:w="1593" w:type="dxa"/>
            <w:noWrap/>
            <w:vAlign w:val="center"/>
          </w:tcPr>
          <w:p w14:paraId="2BE5502C" w14:textId="0DF653DE"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0.54 (2)</w:t>
            </w:r>
          </w:p>
        </w:tc>
        <w:tc>
          <w:tcPr>
            <w:tcW w:w="1357" w:type="dxa"/>
            <w:vAlign w:val="center"/>
          </w:tcPr>
          <w:p w14:paraId="17416128" w14:textId="3DFC26D8" w:rsidR="00226553" w:rsidRPr="00226553"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226553">
              <w:rPr>
                <w:rFonts w:asciiTheme="minorHAnsi" w:hAnsiTheme="minorHAnsi"/>
                <w:sz w:val="18"/>
                <w:szCs w:val="18"/>
              </w:rPr>
              <w:t>66.85 (246)</w:t>
            </w:r>
          </w:p>
        </w:tc>
      </w:tr>
      <w:tr w:rsidR="00226553" w:rsidRPr="00015972" w14:paraId="76D28147"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340" w:type="dxa"/>
            <w:gridSpan w:val="7"/>
            <w:shd w:val="clear" w:color="auto" w:fill="D9D9D9" w:themeFill="background1" w:themeFillShade="D9"/>
            <w:noWrap/>
          </w:tcPr>
          <w:p w14:paraId="4050CCED" w14:textId="0BBC975F" w:rsidR="00226553" w:rsidRPr="00226553" w:rsidRDefault="00226553" w:rsidP="00226553">
            <w:pPr>
              <w:jc w:val="center"/>
              <w:rPr>
                <w:rFonts w:asciiTheme="minorHAnsi" w:hAnsiTheme="minorHAnsi"/>
                <w:sz w:val="18"/>
                <w:szCs w:val="18"/>
              </w:rPr>
            </w:pPr>
            <w:r w:rsidRPr="00226553">
              <w:rPr>
                <w:rFonts w:asciiTheme="minorHAnsi" w:hAnsiTheme="minorHAnsi"/>
                <w:sz w:val="18"/>
                <w:szCs w:val="18"/>
              </w:rPr>
              <w:t>Dataset 3 (n=391)</w:t>
            </w:r>
          </w:p>
        </w:tc>
      </w:tr>
      <w:tr w:rsidR="00226553" w:rsidRPr="00015972" w14:paraId="30D570A2"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04B67130" w14:textId="77777777" w:rsidR="00226553" w:rsidRPr="006329F1" w:rsidRDefault="00226553" w:rsidP="00226553">
            <w:pPr>
              <w:ind w:left="180"/>
              <w:rPr>
                <w:sz w:val="18"/>
                <w:szCs w:val="18"/>
              </w:rPr>
            </w:pPr>
            <w:r w:rsidRPr="006329F1">
              <w:rPr>
                <w:color w:val="000000"/>
                <w:sz w:val="18"/>
                <w:szCs w:val="18"/>
              </w:rPr>
              <w:t>Heart rate (BPM)</w:t>
            </w:r>
          </w:p>
        </w:tc>
        <w:tc>
          <w:tcPr>
            <w:tcW w:w="1397" w:type="dxa"/>
            <w:noWrap/>
            <w:vAlign w:val="center"/>
          </w:tcPr>
          <w:p w14:paraId="66210398" w14:textId="77777777" w:rsidR="00226553" w:rsidRPr="00723CD6"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57.45 (135/235)</w:t>
            </w:r>
          </w:p>
        </w:tc>
        <w:tc>
          <w:tcPr>
            <w:tcW w:w="1672" w:type="dxa"/>
            <w:gridSpan w:val="2"/>
            <w:noWrap/>
            <w:vAlign w:val="center"/>
          </w:tcPr>
          <w:p w14:paraId="1B93D129" w14:textId="77777777" w:rsidR="00226553" w:rsidRPr="00723CD6"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50.85 - 63.85</w:t>
            </w:r>
          </w:p>
        </w:tc>
        <w:tc>
          <w:tcPr>
            <w:tcW w:w="1593" w:type="dxa"/>
            <w:noWrap/>
            <w:vAlign w:val="center"/>
          </w:tcPr>
          <w:p w14:paraId="10CBDDCD" w14:textId="77777777" w:rsidR="00226553" w:rsidRPr="00723CD6"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0 (0.00)</w:t>
            </w:r>
          </w:p>
        </w:tc>
        <w:tc>
          <w:tcPr>
            <w:tcW w:w="1593" w:type="dxa"/>
            <w:noWrap/>
            <w:vAlign w:val="center"/>
          </w:tcPr>
          <w:p w14:paraId="7808B505" w14:textId="77777777" w:rsidR="00226553" w:rsidRPr="00723CD6"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39.39 (154)</w:t>
            </w:r>
          </w:p>
        </w:tc>
        <w:tc>
          <w:tcPr>
            <w:tcW w:w="1357" w:type="dxa"/>
            <w:vAlign w:val="center"/>
          </w:tcPr>
          <w:p w14:paraId="01157FD3" w14:textId="77777777" w:rsidR="00226553" w:rsidRPr="00723CD6"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0.51 (2)</w:t>
            </w:r>
          </w:p>
        </w:tc>
      </w:tr>
      <w:tr w:rsidR="004053A5" w:rsidRPr="00015972" w14:paraId="0BD74ADC"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1512C4C8" w14:textId="1AD967D8" w:rsidR="004053A5" w:rsidRPr="006329F1" w:rsidRDefault="004053A5" w:rsidP="004053A5">
            <w:pPr>
              <w:ind w:left="180"/>
              <w:rPr>
                <w:color w:val="000000"/>
                <w:sz w:val="18"/>
                <w:szCs w:val="18"/>
              </w:rPr>
            </w:pPr>
            <w:r w:rsidRPr="004053A5">
              <w:rPr>
                <w:color w:val="000000"/>
                <w:sz w:val="18"/>
                <w:szCs w:val="18"/>
              </w:rPr>
              <w:t xml:space="preserve">Syst Blood Pressure (mmHG) </w:t>
            </w:r>
          </w:p>
        </w:tc>
        <w:tc>
          <w:tcPr>
            <w:tcW w:w="1397" w:type="dxa"/>
            <w:noWrap/>
            <w:vAlign w:val="center"/>
          </w:tcPr>
          <w:p w14:paraId="0C13F9FC" w14:textId="56129B8B"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60.26 (138/235)</w:t>
            </w:r>
          </w:p>
        </w:tc>
        <w:tc>
          <w:tcPr>
            <w:tcW w:w="1672" w:type="dxa"/>
            <w:gridSpan w:val="2"/>
            <w:noWrap/>
            <w:vAlign w:val="center"/>
          </w:tcPr>
          <w:p w14:paraId="7569FD67" w14:textId="5EC851F1"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53.61 - 66.65</w:t>
            </w:r>
          </w:p>
        </w:tc>
        <w:tc>
          <w:tcPr>
            <w:tcW w:w="1593" w:type="dxa"/>
            <w:noWrap/>
            <w:vAlign w:val="center"/>
          </w:tcPr>
          <w:p w14:paraId="7E2B55D8" w14:textId="0C34942A"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 (0.00)</w:t>
            </w:r>
          </w:p>
        </w:tc>
        <w:tc>
          <w:tcPr>
            <w:tcW w:w="1593" w:type="dxa"/>
            <w:noWrap/>
            <w:vAlign w:val="center"/>
          </w:tcPr>
          <w:p w14:paraId="5F89425E" w14:textId="5824CAD3"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40.92 (160)</w:t>
            </w:r>
          </w:p>
        </w:tc>
        <w:tc>
          <w:tcPr>
            <w:tcW w:w="1357" w:type="dxa"/>
            <w:vAlign w:val="center"/>
          </w:tcPr>
          <w:p w14:paraId="2FC3F694" w14:textId="1685EA01"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0.51 (2)</w:t>
            </w:r>
          </w:p>
        </w:tc>
      </w:tr>
      <w:tr w:rsidR="00226553" w:rsidRPr="00015972" w14:paraId="2762B6F8"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074ECC6D" w14:textId="77777777" w:rsidR="00226553" w:rsidRPr="004053A5" w:rsidRDefault="00226553" w:rsidP="00226553">
            <w:pPr>
              <w:ind w:left="180"/>
              <w:rPr>
                <w:color w:val="000000"/>
                <w:sz w:val="18"/>
                <w:szCs w:val="18"/>
              </w:rPr>
            </w:pPr>
            <w:r w:rsidRPr="006329F1">
              <w:rPr>
                <w:color w:val="000000"/>
                <w:sz w:val="18"/>
                <w:szCs w:val="18"/>
              </w:rPr>
              <w:t>Diast Blood Pressure (mmHG)</w:t>
            </w:r>
          </w:p>
        </w:tc>
        <w:tc>
          <w:tcPr>
            <w:tcW w:w="1397" w:type="dxa"/>
            <w:noWrap/>
            <w:vAlign w:val="center"/>
          </w:tcPr>
          <w:p w14:paraId="75051AD8" w14:textId="77777777" w:rsidR="00226553" w:rsidRPr="00723CD6"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60.09 (137/228)</w:t>
            </w:r>
          </w:p>
        </w:tc>
        <w:tc>
          <w:tcPr>
            <w:tcW w:w="1672" w:type="dxa"/>
            <w:gridSpan w:val="2"/>
            <w:noWrap/>
            <w:vAlign w:val="center"/>
          </w:tcPr>
          <w:p w14:paraId="5FE3BD3A" w14:textId="77777777" w:rsidR="00226553" w:rsidRPr="00723CD6"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53.41 - 66.50</w:t>
            </w:r>
          </w:p>
        </w:tc>
        <w:tc>
          <w:tcPr>
            <w:tcW w:w="1593" w:type="dxa"/>
            <w:noWrap/>
            <w:vAlign w:val="center"/>
          </w:tcPr>
          <w:p w14:paraId="3EDF39C1" w14:textId="77777777" w:rsidR="00226553" w:rsidRPr="00723CD6"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0.26 (1)</w:t>
            </w:r>
          </w:p>
        </w:tc>
        <w:tc>
          <w:tcPr>
            <w:tcW w:w="1593" w:type="dxa"/>
            <w:noWrap/>
            <w:vAlign w:val="center"/>
          </w:tcPr>
          <w:p w14:paraId="14B7793B" w14:textId="77777777" w:rsidR="00226553" w:rsidRPr="00723CD6"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40.92 (160)</w:t>
            </w:r>
          </w:p>
        </w:tc>
        <w:tc>
          <w:tcPr>
            <w:tcW w:w="1357" w:type="dxa"/>
            <w:vAlign w:val="center"/>
          </w:tcPr>
          <w:p w14:paraId="5DB29749" w14:textId="77777777" w:rsidR="00226553" w:rsidRPr="00723CD6" w:rsidRDefault="00226553" w:rsidP="0022655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0.51 (2)</w:t>
            </w:r>
          </w:p>
        </w:tc>
      </w:tr>
      <w:tr w:rsidR="004053A5" w:rsidRPr="00015972" w14:paraId="040FFA61"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5957126B" w14:textId="50A406E6" w:rsidR="004053A5" w:rsidRPr="006329F1" w:rsidRDefault="004053A5" w:rsidP="004053A5">
            <w:pPr>
              <w:ind w:left="180"/>
              <w:rPr>
                <w:color w:val="000000"/>
                <w:sz w:val="18"/>
                <w:szCs w:val="18"/>
              </w:rPr>
            </w:pPr>
            <w:r w:rsidRPr="004053A5">
              <w:rPr>
                <w:color w:val="000000"/>
                <w:sz w:val="18"/>
                <w:szCs w:val="18"/>
              </w:rPr>
              <w:t>Respiratory Rate (BPM)</w:t>
            </w:r>
          </w:p>
        </w:tc>
        <w:tc>
          <w:tcPr>
            <w:tcW w:w="1397" w:type="dxa"/>
            <w:noWrap/>
            <w:vAlign w:val="center"/>
          </w:tcPr>
          <w:p w14:paraId="7C6A7297" w14:textId="22E5FEC3"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70.14 (155/221)</w:t>
            </w:r>
          </w:p>
        </w:tc>
        <w:tc>
          <w:tcPr>
            <w:tcW w:w="1672" w:type="dxa"/>
            <w:gridSpan w:val="2"/>
            <w:noWrap/>
            <w:vAlign w:val="center"/>
          </w:tcPr>
          <w:p w14:paraId="1ABAF99A" w14:textId="34AC5FB2"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63.63 - 76.09</w:t>
            </w:r>
          </w:p>
        </w:tc>
        <w:tc>
          <w:tcPr>
            <w:tcW w:w="1593" w:type="dxa"/>
            <w:noWrap/>
            <w:vAlign w:val="center"/>
          </w:tcPr>
          <w:p w14:paraId="12064E68" w14:textId="199CBDBB"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 (0.00)</w:t>
            </w:r>
          </w:p>
        </w:tc>
        <w:tc>
          <w:tcPr>
            <w:tcW w:w="1593" w:type="dxa"/>
            <w:noWrap/>
            <w:vAlign w:val="center"/>
          </w:tcPr>
          <w:p w14:paraId="16FAADDF" w14:textId="2D27772A"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42.71 (167)</w:t>
            </w:r>
          </w:p>
        </w:tc>
        <w:tc>
          <w:tcPr>
            <w:tcW w:w="1357" w:type="dxa"/>
            <w:vAlign w:val="center"/>
          </w:tcPr>
          <w:p w14:paraId="29ECFF6E" w14:textId="5E1363FE"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0.77 (3)</w:t>
            </w:r>
          </w:p>
        </w:tc>
      </w:tr>
      <w:tr w:rsidR="004053A5" w:rsidRPr="00015972" w14:paraId="0460F074"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16AA538D" w14:textId="65918B77" w:rsidR="004053A5" w:rsidRPr="006329F1" w:rsidRDefault="004053A5" w:rsidP="004053A5">
            <w:pPr>
              <w:ind w:left="180"/>
              <w:rPr>
                <w:color w:val="000000"/>
                <w:sz w:val="18"/>
                <w:szCs w:val="18"/>
              </w:rPr>
            </w:pPr>
            <w:r w:rsidRPr="004053A5">
              <w:rPr>
                <w:color w:val="000000"/>
                <w:sz w:val="18"/>
                <w:szCs w:val="18"/>
              </w:rPr>
              <w:t xml:space="preserve">Temperature (C) </w:t>
            </w:r>
          </w:p>
        </w:tc>
        <w:tc>
          <w:tcPr>
            <w:tcW w:w="1397" w:type="dxa"/>
            <w:noWrap/>
            <w:vAlign w:val="center"/>
          </w:tcPr>
          <w:p w14:paraId="1F5400B9" w14:textId="6C6B3B74"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79.09 (174/220)</w:t>
            </w:r>
          </w:p>
        </w:tc>
        <w:tc>
          <w:tcPr>
            <w:tcW w:w="1672" w:type="dxa"/>
            <w:gridSpan w:val="2"/>
            <w:noWrap/>
            <w:vAlign w:val="center"/>
          </w:tcPr>
          <w:p w14:paraId="74AC6B08" w14:textId="53DFEF0D"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73.11 - 84.27</w:t>
            </w:r>
          </w:p>
        </w:tc>
        <w:tc>
          <w:tcPr>
            <w:tcW w:w="1593" w:type="dxa"/>
            <w:noWrap/>
            <w:vAlign w:val="center"/>
          </w:tcPr>
          <w:p w14:paraId="15930A18" w14:textId="28EFEA08"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 (0.00)</w:t>
            </w:r>
          </w:p>
        </w:tc>
        <w:tc>
          <w:tcPr>
            <w:tcW w:w="1593" w:type="dxa"/>
            <w:noWrap/>
            <w:vAlign w:val="center"/>
          </w:tcPr>
          <w:p w14:paraId="44F6FBAE" w14:textId="16F1F7D2"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42.46 (166)</w:t>
            </w:r>
          </w:p>
        </w:tc>
        <w:tc>
          <w:tcPr>
            <w:tcW w:w="1357" w:type="dxa"/>
            <w:vAlign w:val="center"/>
          </w:tcPr>
          <w:p w14:paraId="52222E8E" w14:textId="5BBCEEA2"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1.28 (5)</w:t>
            </w:r>
          </w:p>
        </w:tc>
      </w:tr>
      <w:tr w:rsidR="004053A5" w:rsidRPr="00015972" w14:paraId="6B324EC7"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2074F7C6" w14:textId="6BAF733A" w:rsidR="004053A5" w:rsidRPr="006329F1" w:rsidRDefault="004053A5" w:rsidP="004053A5">
            <w:pPr>
              <w:ind w:left="180"/>
              <w:rPr>
                <w:color w:val="000000"/>
                <w:sz w:val="18"/>
                <w:szCs w:val="18"/>
              </w:rPr>
            </w:pPr>
            <w:r w:rsidRPr="004053A5">
              <w:rPr>
                <w:color w:val="000000"/>
                <w:sz w:val="18"/>
                <w:szCs w:val="18"/>
              </w:rPr>
              <w:t xml:space="preserve">Oxygen Saturation (%) </w:t>
            </w:r>
          </w:p>
        </w:tc>
        <w:tc>
          <w:tcPr>
            <w:tcW w:w="1397" w:type="dxa"/>
            <w:noWrap/>
            <w:vAlign w:val="center"/>
          </w:tcPr>
          <w:p w14:paraId="42523D3F" w14:textId="68D4CF51"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56.65 (115/203)</w:t>
            </w:r>
          </w:p>
        </w:tc>
        <w:tc>
          <w:tcPr>
            <w:tcW w:w="1672" w:type="dxa"/>
            <w:gridSpan w:val="2"/>
            <w:noWrap/>
            <w:vAlign w:val="center"/>
          </w:tcPr>
          <w:p w14:paraId="68047D50" w14:textId="50E2B930"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49.53 - 63.57</w:t>
            </w:r>
          </w:p>
        </w:tc>
        <w:tc>
          <w:tcPr>
            <w:tcW w:w="1593" w:type="dxa"/>
            <w:noWrap/>
            <w:vAlign w:val="center"/>
          </w:tcPr>
          <w:p w14:paraId="0F4867B1" w14:textId="7A1B914B"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0.26 (1)</w:t>
            </w:r>
          </w:p>
        </w:tc>
        <w:tc>
          <w:tcPr>
            <w:tcW w:w="1593" w:type="dxa"/>
            <w:noWrap/>
            <w:vAlign w:val="center"/>
          </w:tcPr>
          <w:p w14:paraId="67BEADEA" w14:textId="0EA1DF4A"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46.80 (183)</w:t>
            </w:r>
          </w:p>
        </w:tc>
        <w:tc>
          <w:tcPr>
            <w:tcW w:w="1357" w:type="dxa"/>
            <w:vAlign w:val="center"/>
          </w:tcPr>
          <w:p w14:paraId="1922E831" w14:textId="72FFC2DE"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1.02 (4)</w:t>
            </w:r>
          </w:p>
        </w:tc>
      </w:tr>
      <w:tr w:rsidR="004053A5" w:rsidRPr="00015972" w14:paraId="2AE72C7C"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vAlign w:val="center"/>
          </w:tcPr>
          <w:p w14:paraId="2CDDAE96" w14:textId="073B1CFB" w:rsidR="004053A5" w:rsidRPr="006329F1" w:rsidRDefault="004053A5" w:rsidP="004053A5">
            <w:pPr>
              <w:ind w:left="180"/>
              <w:rPr>
                <w:color w:val="000000"/>
                <w:sz w:val="18"/>
                <w:szCs w:val="18"/>
              </w:rPr>
            </w:pPr>
            <w:r w:rsidRPr="004053A5">
              <w:rPr>
                <w:color w:val="000000"/>
                <w:sz w:val="18"/>
                <w:szCs w:val="18"/>
              </w:rPr>
              <w:t xml:space="preserve">Weight (Kg) </w:t>
            </w:r>
          </w:p>
        </w:tc>
        <w:tc>
          <w:tcPr>
            <w:tcW w:w="1397" w:type="dxa"/>
            <w:noWrap/>
            <w:vAlign w:val="center"/>
          </w:tcPr>
          <w:p w14:paraId="4F7F7B58" w14:textId="47225222"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84.41 (157/186)</w:t>
            </w:r>
          </w:p>
        </w:tc>
        <w:tc>
          <w:tcPr>
            <w:tcW w:w="1672" w:type="dxa"/>
            <w:gridSpan w:val="2"/>
            <w:noWrap/>
            <w:vAlign w:val="center"/>
          </w:tcPr>
          <w:p w14:paraId="68ABCA6A" w14:textId="24E73CC2"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78.38 - 89.30</w:t>
            </w:r>
          </w:p>
        </w:tc>
        <w:tc>
          <w:tcPr>
            <w:tcW w:w="1593" w:type="dxa"/>
            <w:noWrap/>
            <w:vAlign w:val="center"/>
          </w:tcPr>
          <w:p w14:paraId="2181307B" w14:textId="58E3A633"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0.26 (1)</w:t>
            </w:r>
          </w:p>
        </w:tc>
        <w:tc>
          <w:tcPr>
            <w:tcW w:w="1593" w:type="dxa"/>
            <w:noWrap/>
            <w:vAlign w:val="center"/>
          </w:tcPr>
          <w:p w14:paraId="742DAEB4" w14:textId="306BCD91"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48.34 (189)</w:t>
            </w:r>
          </w:p>
        </w:tc>
        <w:tc>
          <w:tcPr>
            <w:tcW w:w="1357" w:type="dxa"/>
            <w:vAlign w:val="center"/>
          </w:tcPr>
          <w:p w14:paraId="17942F4C" w14:textId="32BA01C1"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3.84 (15)</w:t>
            </w:r>
          </w:p>
        </w:tc>
      </w:tr>
      <w:tr w:rsidR="004053A5" w:rsidRPr="00015972" w14:paraId="77795E01"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44CA635F" w14:textId="21689FE3" w:rsidR="004053A5" w:rsidRPr="006329F1" w:rsidRDefault="004053A5" w:rsidP="004053A5">
            <w:pPr>
              <w:ind w:left="180"/>
              <w:rPr>
                <w:color w:val="000000"/>
                <w:sz w:val="18"/>
                <w:szCs w:val="18"/>
              </w:rPr>
            </w:pPr>
            <w:r w:rsidRPr="004053A5">
              <w:rPr>
                <w:color w:val="000000"/>
                <w:sz w:val="18"/>
                <w:szCs w:val="18"/>
              </w:rPr>
              <w:t>Hemoglobin (g/dL)</w:t>
            </w:r>
          </w:p>
        </w:tc>
        <w:tc>
          <w:tcPr>
            <w:tcW w:w="1397" w:type="dxa"/>
            <w:noWrap/>
            <w:vAlign w:val="center"/>
          </w:tcPr>
          <w:p w14:paraId="23530676" w14:textId="0AB5B7EC"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88.78 (87/98)</w:t>
            </w:r>
          </w:p>
        </w:tc>
        <w:tc>
          <w:tcPr>
            <w:tcW w:w="1672" w:type="dxa"/>
            <w:gridSpan w:val="2"/>
            <w:noWrap/>
            <w:vAlign w:val="center"/>
          </w:tcPr>
          <w:p w14:paraId="432B9344" w14:textId="5ED27828"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80.80 - 94.26</w:t>
            </w:r>
          </w:p>
        </w:tc>
        <w:tc>
          <w:tcPr>
            <w:tcW w:w="1593" w:type="dxa"/>
            <w:noWrap/>
            <w:vAlign w:val="center"/>
          </w:tcPr>
          <w:p w14:paraId="79BD6C98" w14:textId="27095F87"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0.26 (1)</w:t>
            </w:r>
          </w:p>
        </w:tc>
        <w:tc>
          <w:tcPr>
            <w:tcW w:w="1593" w:type="dxa"/>
            <w:noWrap/>
            <w:vAlign w:val="center"/>
          </w:tcPr>
          <w:p w14:paraId="72FBFBB3" w14:textId="2DA27AE3"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58.06 (227)</w:t>
            </w:r>
          </w:p>
        </w:tc>
        <w:tc>
          <w:tcPr>
            <w:tcW w:w="1357" w:type="dxa"/>
            <w:vAlign w:val="center"/>
          </w:tcPr>
          <w:p w14:paraId="47F4053A" w14:textId="4D511CD2"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16.62 (65)</w:t>
            </w:r>
          </w:p>
        </w:tc>
      </w:tr>
      <w:tr w:rsidR="004053A5" w:rsidRPr="00015972" w14:paraId="65FD6646"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272DE85D" w14:textId="087E6BD1" w:rsidR="004053A5" w:rsidRPr="006329F1" w:rsidRDefault="004053A5" w:rsidP="004053A5">
            <w:pPr>
              <w:ind w:left="180"/>
              <w:rPr>
                <w:color w:val="000000"/>
                <w:sz w:val="18"/>
                <w:szCs w:val="18"/>
              </w:rPr>
            </w:pPr>
            <w:r w:rsidRPr="004053A5">
              <w:rPr>
                <w:color w:val="000000"/>
                <w:sz w:val="18"/>
                <w:szCs w:val="18"/>
              </w:rPr>
              <w:t>Hematocrit (%)</w:t>
            </w:r>
          </w:p>
        </w:tc>
        <w:tc>
          <w:tcPr>
            <w:tcW w:w="1397" w:type="dxa"/>
            <w:noWrap/>
            <w:vAlign w:val="center"/>
          </w:tcPr>
          <w:p w14:paraId="27380D81" w14:textId="785D9CD7"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91.67 (88/96)</w:t>
            </w:r>
          </w:p>
        </w:tc>
        <w:tc>
          <w:tcPr>
            <w:tcW w:w="1672" w:type="dxa"/>
            <w:gridSpan w:val="2"/>
            <w:noWrap/>
            <w:vAlign w:val="center"/>
          </w:tcPr>
          <w:p w14:paraId="2C6ADFE9" w14:textId="4B587743"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84.24 - 96.33</w:t>
            </w:r>
          </w:p>
        </w:tc>
        <w:tc>
          <w:tcPr>
            <w:tcW w:w="1593" w:type="dxa"/>
            <w:noWrap/>
            <w:vAlign w:val="center"/>
          </w:tcPr>
          <w:p w14:paraId="1B1CC384" w14:textId="3BCB93A2"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0.26 (1)</w:t>
            </w:r>
          </w:p>
        </w:tc>
        <w:tc>
          <w:tcPr>
            <w:tcW w:w="1593" w:type="dxa"/>
            <w:noWrap/>
            <w:vAlign w:val="center"/>
          </w:tcPr>
          <w:p w14:paraId="39855893" w14:textId="0BEB848C"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58.31 (228)</w:t>
            </w:r>
          </w:p>
        </w:tc>
        <w:tc>
          <w:tcPr>
            <w:tcW w:w="1357" w:type="dxa"/>
            <w:vAlign w:val="center"/>
          </w:tcPr>
          <w:p w14:paraId="4BA3CD07" w14:textId="6548A867"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16.88 (66)</w:t>
            </w:r>
          </w:p>
        </w:tc>
      </w:tr>
      <w:tr w:rsidR="004053A5" w:rsidRPr="00015972" w14:paraId="56BA5253"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55891ED5" w14:textId="55EE4E0C" w:rsidR="004053A5" w:rsidRPr="006329F1" w:rsidRDefault="004053A5" w:rsidP="004053A5">
            <w:pPr>
              <w:ind w:left="180"/>
              <w:rPr>
                <w:color w:val="000000"/>
                <w:sz w:val="18"/>
                <w:szCs w:val="18"/>
              </w:rPr>
            </w:pPr>
            <w:r w:rsidRPr="004053A5">
              <w:rPr>
                <w:color w:val="000000"/>
                <w:sz w:val="18"/>
                <w:szCs w:val="18"/>
              </w:rPr>
              <w:t>Platelet (x10(9)/L)</w:t>
            </w:r>
          </w:p>
        </w:tc>
        <w:tc>
          <w:tcPr>
            <w:tcW w:w="1397" w:type="dxa"/>
            <w:noWrap/>
            <w:vAlign w:val="center"/>
          </w:tcPr>
          <w:p w14:paraId="0870A2D4" w14:textId="3A56E894"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94.68 (89/94)</w:t>
            </w:r>
          </w:p>
        </w:tc>
        <w:tc>
          <w:tcPr>
            <w:tcW w:w="1672" w:type="dxa"/>
            <w:gridSpan w:val="2"/>
            <w:noWrap/>
            <w:vAlign w:val="center"/>
          </w:tcPr>
          <w:p w14:paraId="64236380" w14:textId="1BE4324A"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88.02 - 98.25</w:t>
            </w:r>
          </w:p>
        </w:tc>
        <w:tc>
          <w:tcPr>
            <w:tcW w:w="1593" w:type="dxa"/>
            <w:noWrap/>
            <w:vAlign w:val="center"/>
          </w:tcPr>
          <w:p w14:paraId="3CAD0017" w14:textId="2F716471"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0.26 (1)</w:t>
            </w:r>
          </w:p>
        </w:tc>
        <w:tc>
          <w:tcPr>
            <w:tcW w:w="1593" w:type="dxa"/>
            <w:noWrap/>
            <w:vAlign w:val="center"/>
          </w:tcPr>
          <w:p w14:paraId="53E93CFC" w14:textId="2C27018B"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59.08 (231)</w:t>
            </w:r>
          </w:p>
        </w:tc>
        <w:tc>
          <w:tcPr>
            <w:tcW w:w="1357" w:type="dxa"/>
            <w:vAlign w:val="center"/>
          </w:tcPr>
          <w:p w14:paraId="35D56617" w14:textId="6F72F7B4"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16.62 (65)</w:t>
            </w:r>
          </w:p>
        </w:tc>
      </w:tr>
      <w:tr w:rsidR="004053A5" w:rsidRPr="00015972" w14:paraId="3ED5E64D"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4D96C7C0" w14:textId="39E39259" w:rsidR="004053A5" w:rsidRPr="006329F1" w:rsidRDefault="004053A5" w:rsidP="004053A5">
            <w:pPr>
              <w:ind w:left="180"/>
              <w:rPr>
                <w:color w:val="000000"/>
                <w:sz w:val="18"/>
                <w:szCs w:val="18"/>
              </w:rPr>
            </w:pPr>
            <w:r w:rsidRPr="004053A5">
              <w:rPr>
                <w:color w:val="000000"/>
                <w:sz w:val="18"/>
                <w:szCs w:val="18"/>
              </w:rPr>
              <w:t>WBC Count (x10(9)/L)</w:t>
            </w:r>
          </w:p>
        </w:tc>
        <w:tc>
          <w:tcPr>
            <w:tcW w:w="1397" w:type="dxa"/>
            <w:noWrap/>
            <w:vAlign w:val="center"/>
          </w:tcPr>
          <w:p w14:paraId="2C79F89A" w14:textId="33255500"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94.62 (88/93)</w:t>
            </w:r>
          </w:p>
        </w:tc>
        <w:tc>
          <w:tcPr>
            <w:tcW w:w="1672" w:type="dxa"/>
            <w:gridSpan w:val="2"/>
            <w:noWrap/>
            <w:vAlign w:val="center"/>
          </w:tcPr>
          <w:p w14:paraId="5E42FC58" w14:textId="1C69F868"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87.90 - 98.23</w:t>
            </w:r>
          </w:p>
        </w:tc>
        <w:tc>
          <w:tcPr>
            <w:tcW w:w="1593" w:type="dxa"/>
            <w:noWrap/>
            <w:vAlign w:val="center"/>
          </w:tcPr>
          <w:p w14:paraId="4AD791FC" w14:textId="289595CD"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0.26 (1)</w:t>
            </w:r>
          </w:p>
        </w:tc>
        <w:tc>
          <w:tcPr>
            <w:tcW w:w="1593" w:type="dxa"/>
            <w:noWrap/>
            <w:vAlign w:val="center"/>
          </w:tcPr>
          <w:p w14:paraId="4B085E77" w14:textId="0DA0920C"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59.34 (232)</w:t>
            </w:r>
          </w:p>
        </w:tc>
        <w:tc>
          <w:tcPr>
            <w:tcW w:w="1357" w:type="dxa"/>
            <w:vAlign w:val="center"/>
          </w:tcPr>
          <w:p w14:paraId="1B1CE6FB" w14:textId="640F8F27"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16.62 (65)</w:t>
            </w:r>
          </w:p>
        </w:tc>
      </w:tr>
      <w:tr w:rsidR="004053A5" w:rsidRPr="00015972" w14:paraId="136DB668"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405F6CBF" w14:textId="3C92EB9F" w:rsidR="004053A5" w:rsidRPr="006329F1" w:rsidRDefault="004053A5" w:rsidP="004053A5">
            <w:pPr>
              <w:ind w:left="180"/>
              <w:rPr>
                <w:color w:val="000000"/>
                <w:sz w:val="18"/>
                <w:szCs w:val="18"/>
              </w:rPr>
            </w:pPr>
            <w:r w:rsidRPr="004053A5">
              <w:rPr>
                <w:color w:val="000000"/>
                <w:sz w:val="18"/>
                <w:szCs w:val="18"/>
              </w:rPr>
              <w:t>Potassium (meq/L)</w:t>
            </w:r>
          </w:p>
        </w:tc>
        <w:tc>
          <w:tcPr>
            <w:tcW w:w="1397" w:type="dxa"/>
            <w:noWrap/>
            <w:vAlign w:val="center"/>
          </w:tcPr>
          <w:p w14:paraId="27DBBB12" w14:textId="3A3AB5AB"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86.75 (72/83)</w:t>
            </w:r>
          </w:p>
        </w:tc>
        <w:tc>
          <w:tcPr>
            <w:tcW w:w="1672" w:type="dxa"/>
            <w:gridSpan w:val="2"/>
            <w:noWrap/>
            <w:vAlign w:val="center"/>
          </w:tcPr>
          <w:p w14:paraId="33A479A8" w14:textId="286B781D"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77.52 - 93.19</w:t>
            </w:r>
          </w:p>
        </w:tc>
        <w:tc>
          <w:tcPr>
            <w:tcW w:w="1593" w:type="dxa"/>
            <w:noWrap/>
            <w:vAlign w:val="center"/>
          </w:tcPr>
          <w:p w14:paraId="47DBECE2" w14:textId="43F3BF3B"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 (0.00)</w:t>
            </w:r>
          </w:p>
        </w:tc>
        <w:tc>
          <w:tcPr>
            <w:tcW w:w="1593" w:type="dxa"/>
            <w:noWrap/>
            <w:vAlign w:val="center"/>
          </w:tcPr>
          <w:p w14:paraId="5B1B858C" w14:textId="78FC2222"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62.66 (245)</w:t>
            </w:r>
          </w:p>
        </w:tc>
        <w:tc>
          <w:tcPr>
            <w:tcW w:w="1357" w:type="dxa"/>
            <w:vAlign w:val="center"/>
          </w:tcPr>
          <w:p w14:paraId="49DF37D5" w14:textId="7BB65B2C"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16.11 (63)</w:t>
            </w:r>
          </w:p>
        </w:tc>
      </w:tr>
      <w:tr w:rsidR="004053A5" w:rsidRPr="00015972" w14:paraId="2FA0B963"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3C83EE8D" w14:textId="4315979A" w:rsidR="004053A5" w:rsidRPr="006329F1" w:rsidRDefault="004053A5" w:rsidP="004053A5">
            <w:pPr>
              <w:ind w:left="180"/>
              <w:rPr>
                <w:color w:val="000000"/>
                <w:sz w:val="18"/>
                <w:szCs w:val="18"/>
              </w:rPr>
            </w:pPr>
            <w:r w:rsidRPr="004053A5">
              <w:rPr>
                <w:color w:val="000000"/>
                <w:sz w:val="18"/>
                <w:szCs w:val="18"/>
              </w:rPr>
              <w:t>Sodium (meq/L)</w:t>
            </w:r>
          </w:p>
        </w:tc>
        <w:tc>
          <w:tcPr>
            <w:tcW w:w="1397" w:type="dxa"/>
            <w:noWrap/>
            <w:vAlign w:val="center"/>
          </w:tcPr>
          <w:p w14:paraId="2C636D51" w14:textId="795844B3"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91.46 (75/82)</w:t>
            </w:r>
          </w:p>
        </w:tc>
        <w:tc>
          <w:tcPr>
            <w:tcW w:w="1672" w:type="dxa"/>
            <w:gridSpan w:val="2"/>
            <w:noWrap/>
            <w:vAlign w:val="center"/>
          </w:tcPr>
          <w:p w14:paraId="7D658AF2" w14:textId="3DEBAB34"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83.20 - 96.50</w:t>
            </w:r>
          </w:p>
        </w:tc>
        <w:tc>
          <w:tcPr>
            <w:tcW w:w="1593" w:type="dxa"/>
            <w:noWrap/>
            <w:vAlign w:val="center"/>
          </w:tcPr>
          <w:p w14:paraId="3B9073E7" w14:textId="1DD4ABAF"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 (0.00)</w:t>
            </w:r>
          </w:p>
        </w:tc>
        <w:tc>
          <w:tcPr>
            <w:tcW w:w="1593" w:type="dxa"/>
            <w:noWrap/>
            <w:vAlign w:val="center"/>
          </w:tcPr>
          <w:p w14:paraId="2FBB46DA" w14:textId="02CB266E"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61.64 (241)</w:t>
            </w:r>
          </w:p>
        </w:tc>
        <w:tc>
          <w:tcPr>
            <w:tcW w:w="1357" w:type="dxa"/>
            <w:vAlign w:val="center"/>
          </w:tcPr>
          <w:p w14:paraId="3E99DC2E" w14:textId="468DF2DF"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17.39 (68)</w:t>
            </w:r>
          </w:p>
        </w:tc>
      </w:tr>
      <w:tr w:rsidR="004053A5" w:rsidRPr="00015972" w14:paraId="27A65488"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6C75B1BD" w14:textId="13448824" w:rsidR="004053A5" w:rsidRPr="006329F1" w:rsidRDefault="004053A5" w:rsidP="004053A5">
            <w:pPr>
              <w:ind w:left="180"/>
              <w:rPr>
                <w:color w:val="000000"/>
                <w:sz w:val="18"/>
                <w:szCs w:val="18"/>
              </w:rPr>
            </w:pPr>
            <w:r w:rsidRPr="004053A5">
              <w:rPr>
                <w:color w:val="000000"/>
                <w:sz w:val="18"/>
                <w:szCs w:val="18"/>
              </w:rPr>
              <w:t>Chloride (meq/L)</w:t>
            </w:r>
          </w:p>
        </w:tc>
        <w:tc>
          <w:tcPr>
            <w:tcW w:w="1397" w:type="dxa"/>
            <w:noWrap/>
            <w:vAlign w:val="center"/>
          </w:tcPr>
          <w:p w14:paraId="7A3088DB" w14:textId="4A50703A"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97.56 (80/82)</w:t>
            </w:r>
          </w:p>
        </w:tc>
        <w:tc>
          <w:tcPr>
            <w:tcW w:w="1672" w:type="dxa"/>
            <w:gridSpan w:val="2"/>
            <w:noWrap/>
            <w:vAlign w:val="center"/>
          </w:tcPr>
          <w:p w14:paraId="32FF3AA9" w14:textId="1513CC59"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91.47 - 99.70</w:t>
            </w:r>
          </w:p>
        </w:tc>
        <w:tc>
          <w:tcPr>
            <w:tcW w:w="1593" w:type="dxa"/>
            <w:noWrap/>
            <w:vAlign w:val="center"/>
          </w:tcPr>
          <w:p w14:paraId="047A3E0A" w14:textId="4EAB3599"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 (0.00)</w:t>
            </w:r>
          </w:p>
        </w:tc>
        <w:tc>
          <w:tcPr>
            <w:tcW w:w="1593" w:type="dxa"/>
            <w:noWrap/>
            <w:vAlign w:val="center"/>
          </w:tcPr>
          <w:p w14:paraId="60AAB489" w14:textId="1933FE3C"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60.61 (237)</w:t>
            </w:r>
          </w:p>
        </w:tc>
        <w:tc>
          <w:tcPr>
            <w:tcW w:w="1357" w:type="dxa"/>
            <w:vAlign w:val="center"/>
          </w:tcPr>
          <w:p w14:paraId="0FDCE0BC" w14:textId="7AACFA7E" w:rsidR="004053A5" w:rsidRPr="004053A5" w:rsidRDefault="004053A5" w:rsidP="004053A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18.41 (72)</w:t>
            </w:r>
          </w:p>
        </w:tc>
      </w:tr>
      <w:tr w:rsidR="004053A5" w:rsidRPr="00015972" w14:paraId="00995D7D"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2AF05622" w14:textId="52DA497B" w:rsidR="004053A5" w:rsidRPr="006329F1" w:rsidRDefault="004053A5" w:rsidP="004053A5">
            <w:pPr>
              <w:ind w:left="180"/>
              <w:rPr>
                <w:color w:val="000000"/>
                <w:sz w:val="18"/>
                <w:szCs w:val="18"/>
              </w:rPr>
            </w:pPr>
            <w:r w:rsidRPr="004053A5">
              <w:rPr>
                <w:color w:val="000000"/>
                <w:sz w:val="18"/>
                <w:szCs w:val="18"/>
              </w:rPr>
              <w:t>Bicarbonate (meq/L)</w:t>
            </w:r>
          </w:p>
        </w:tc>
        <w:tc>
          <w:tcPr>
            <w:tcW w:w="1397" w:type="dxa"/>
            <w:noWrap/>
            <w:vAlign w:val="center"/>
          </w:tcPr>
          <w:p w14:paraId="61252014" w14:textId="0AEE3BD0"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29.41 (5/17)</w:t>
            </w:r>
          </w:p>
        </w:tc>
        <w:tc>
          <w:tcPr>
            <w:tcW w:w="1672" w:type="dxa"/>
            <w:gridSpan w:val="2"/>
            <w:noWrap/>
            <w:vAlign w:val="center"/>
          </w:tcPr>
          <w:p w14:paraId="684C9547" w14:textId="33933FBC"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10.31 - 55.96</w:t>
            </w:r>
          </w:p>
        </w:tc>
        <w:tc>
          <w:tcPr>
            <w:tcW w:w="1593" w:type="dxa"/>
            <w:noWrap/>
            <w:vAlign w:val="center"/>
          </w:tcPr>
          <w:p w14:paraId="5D07A1DA" w14:textId="5912A48A"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0.26 (1)</w:t>
            </w:r>
          </w:p>
        </w:tc>
        <w:tc>
          <w:tcPr>
            <w:tcW w:w="1593" w:type="dxa"/>
            <w:noWrap/>
            <w:vAlign w:val="center"/>
          </w:tcPr>
          <w:p w14:paraId="08D918F7" w14:textId="3B3F2A35"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77.49 (303)</w:t>
            </w:r>
          </w:p>
        </w:tc>
        <w:tc>
          <w:tcPr>
            <w:tcW w:w="1357" w:type="dxa"/>
            <w:vAlign w:val="center"/>
          </w:tcPr>
          <w:p w14:paraId="0B9F7D5F" w14:textId="01431890"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17.90 (70)</w:t>
            </w:r>
          </w:p>
        </w:tc>
      </w:tr>
      <w:tr w:rsidR="00226553" w:rsidRPr="00015972" w14:paraId="5ABF2F29" w14:textId="77777777" w:rsidTr="002A32F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11120DB5" w14:textId="77777777" w:rsidR="00226553" w:rsidRPr="004053A5" w:rsidRDefault="00226553" w:rsidP="00226553">
            <w:pPr>
              <w:ind w:left="180"/>
              <w:rPr>
                <w:color w:val="000000"/>
                <w:sz w:val="18"/>
                <w:szCs w:val="18"/>
              </w:rPr>
            </w:pPr>
            <w:r w:rsidRPr="004053A5">
              <w:rPr>
                <w:color w:val="000000"/>
                <w:sz w:val="18"/>
                <w:szCs w:val="18"/>
              </w:rPr>
              <w:t>Glucose (mg/dL)</w:t>
            </w:r>
          </w:p>
        </w:tc>
        <w:tc>
          <w:tcPr>
            <w:tcW w:w="1397" w:type="dxa"/>
            <w:noWrap/>
            <w:vAlign w:val="center"/>
          </w:tcPr>
          <w:p w14:paraId="7CA48269" w14:textId="77777777" w:rsidR="00226553" w:rsidRPr="00723CD6"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95.12 (78/82)</w:t>
            </w:r>
          </w:p>
        </w:tc>
        <w:tc>
          <w:tcPr>
            <w:tcW w:w="1672" w:type="dxa"/>
            <w:gridSpan w:val="2"/>
            <w:noWrap/>
            <w:vAlign w:val="center"/>
          </w:tcPr>
          <w:p w14:paraId="4E2BF60C" w14:textId="77777777" w:rsidR="00226553" w:rsidRPr="00723CD6"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87.98 - 98.66</w:t>
            </w:r>
          </w:p>
        </w:tc>
        <w:tc>
          <w:tcPr>
            <w:tcW w:w="1593" w:type="dxa"/>
            <w:noWrap/>
            <w:vAlign w:val="center"/>
          </w:tcPr>
          <w:p w14:paraId="078B069A" w14:textId="77777777" w:rsidR="00226553" w:rsidRPr="00723CD6"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0 (0.00)</w:t>
            </w:r>
          </w:p>
        </w:tc>
        <w:tc>
          <w:tcPr>
            <w:tcW w:w="1593" w:type="dxa"/>
            <w:noWrap/>
            <w:vAlign w:val="center"/>
          </w:tcPr>
          <w:p w14:paraId="7B88E60F" w14:textId="77777777" w:rsidR="00226553" w:rsidRPr="00723CD6"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63.17 (247)</w:t>
            </w:r>
          </w:p>
        </w:tc>
        <w:tc>
          <w:tcPr>
            <w:tcW w:w="1357" w:type="dxa"/>
            <w:vAlign w:val="center"/>
          </w:tcPr>
          <w:p w14:paraId="4DEEBC6B" w14:textId="77777777" w:rsidR="00226553" w:rsidRPr="00723CD6" w:rsidRDefault="00226553" w:rsidP="0022655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723CD6">
              <w:rPr>
                <w:rFonts w:asciiTheme="minorHAnsi" w:hAnsiTheme="minorHAnsi"/>
                <w:sz w:val="18"/>
                <w:szCs w:val="18"/>
              </w:rPr>
              <w:t>15.86 (62)</w:t>
            </w:r>
          </w:p>
        </w:tc>
      </w:tr>
      <w:tr w:rsidR="004053A5" w:rsidRPr="00015972" w14:paraId="2736D572" w14:textId="77777777" w:rsidTr="002A32F0">
        <w:trPr>
          <w:trHeight w:val="255"/>
          <w:jc w:val="center"/>
        </w:trPr>
        <w:tc>
          <w:tcPr>
            <w:cnfStyle w:val="001000000000" w:firstRow="0" w:lastRow="0" w:firstColumn="1" w:lastColumn="0" w:oddVBand="0" w:evenVBand="0" w:oddHBand="0" w:evenHBand="0" w:firstRowFirstColumn="0" w:firstRowLastColumn="0" w:lastRowFirstColumn="0" w:lastRowLastColumn="0"/>
            <w:tcW w:w="1728" w:type="dxa"/>
            <w:noWrap/>
          </w:tcPr>
          <w:p w14:paraId="3B34408E" w14:textId="30F7C943" w:rsidR="004053A5" w:rsidRPr="004053A5" w:rsidRDefault="004053A5" w:rsidP="004053A5">
            <w:pPr>
              <w:ind w:left="180"/>
              <w:rPr>
                <w:color w:val="000000"/>
                <w:sz w:val="18"/>
                <w:szCs w:val="18"/>
              </w:rPr>
            </w:pPr>
            <w:r w:rsidRPr="004053A5">
              <w:rPr>
                <w:color w:val="000000"/>
                <w:sz w:val="18"/>
                <w:szCs w:val="18"/>
              </w:rPr>
              <w:t>Troponin (ng/mL)</w:t>
            </w:r>
          </w:p>
        </w:tc>
        <w:tc>
          <w:tcPr>
            <w:tcW w:w="1397" w:type="dxa"/>
            <w:noWrap/>
            <w:vAlign w:val="center"/>
          </w:tcPr>
          <w:p w14:paraId="5E9D6C37" w14:textId="70794CC3"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82.61 (19/23)</w:t>
            </w:r>
          </w:p>
        </w:tc>
        <w:tc>
          <w:tcPr>
            <w:tcW w:w="1672" w:type="dxa"/>
            <w:gridSpan w:val="2"/>
            <w:noWrap/>
            <w:vAlign w:val="center"/>
          </w:tcPr>
          <w:p w14:paraId="584D51A5" w14:textId="0C30E984"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61.22 - 95.05</w:t>
            </w:r>
          </w:p>
        </w:tc>
        <w:tc>
          <w:tcPr>
            <w:tcW w:w="1593" w:type="dxa"/>
            <w:noWrap/>
            <w:vAlign w:val="center"/>
          </w:tcPr>
          <w:p w14:paraId="294214B7" w14:textId="42BD12E8"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0 (0.00)</w:t>
            </w:r>
          </w:p>
        </w:tc>
        <w:tc>
          <w:tcPr>
            <w:tcW w:w="1593" w:type="dxa"/>
            <w:noWrap/>
            <w:vAlign w:val="center"/>
          </w:tcPr>
          <w:p w14:paraId="672167ED" w14:textId="6A8B202D"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13.30 (52)</w:t>
            </w:r>
          </w:p>
        </w:tc>
        <w:tc>
          <w:tcPr>
            <w:tcW w:w="1357" w:type="dxa"/>
            <w:vAlign w:val="center"/>
          </w:tcPr>
          <w:p w14:paraId="079CD8D3" w14:textId="765E4CA4" w:rsidR="004053A5" w:rsidRPr="004053A5" w:rsidRDefault="004053A5" w:rsidP="004053A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4053A5">
              <w:rPr>
                <w:rFonts w:asciiTheme="minorHAnsi" w:hAnsiTheme="minorHAnsi"/>
                <w:sz w:val="18"/>
                <w:szCs w:val="18"/>
              </w:rPr>
              <w:t>80.82 (316)</w:t>
            </w:r>
          </w:p>
        </w:tc>
      </w:tr>
    </w:tbl>
    <w:p w14:paraId="4F1FDC99" w14:textId="77777777" w:rsidR="00A41798" w:rsidRDefault="00A41798" w:rsidP="00092566">
      <w:pPr>
        <w:autoSpaceDE w:val="0"/>
        <w:autoSpaceDN w:val="0"/>
        <w:adjustRightInd w:val="0"/>
        <w:spacing w:after="0" w:line="240" w:lineRule="auto"/>
        <w:rPr>
          <w:rFonts w:cstheme="minorHAnsi"/>
          <w:bCs/>
        </w:rPr>
      </w:pPr>
    </w:p>
    <w:tbl>
      <w:tblPr>
        <w:tblStyle w:val="TableGrid"/>
        <w:tblW w:w="0" w:type="auto"/>
        <w:tblLook w:val="04A0" w:firstRow="1" w:lastRow="0" w:firstColumn="1" w:lastColumn="0" w:noHBand="0" w:noVBand="1"/>
      </w:tblPr>
      <w:tblGrid>
        <w:gridCol w:w="9350"/>
      </w:tblGrid>
      <w:tr w:rsidR="009713D5" w14:paraId="28CB23A1" w14:textId="77777777" w:rsidTr="009713D5">
        <w:tc>
          <w:tcPr>
            <w:tcW w:w="9350" w:type="dxa"/>
          </w:tcPr>
          <w:p w14:paraId="7E5E4D83" w14:textId="77777777" w:rsidR="009713D5" w:rsidRPr="009713D5" w:rsidRDefault="009713D5" w:rsidP="009713D5">
            <w:pPr>
              <w:autoSpaceDE w:val="0"/>
              <w:autoSpaceDN w:val="0"/>
              <w:adjustRightInd w:val="0"/>
              <w:rPr>
                <w:rFonts w:cstheme="minorHAnsi"/>
                <w:bCs/>
              </w:rPr>
            </w:pPr>
            <w:r w:rsidRPr="009713D5">
              <w:rPr>
                <w:rFonts w:cstheme="minorHAnsi"/>
                <w:bCs/>
              </w:rPr>
              <w:t xml:space="preserve">A post-validation review of the code used by the hospital in </w:t>
            </w:r>
            <w:r w:rsidRPr="009713D5">
              <w:rPr>
                <w:rFonts w:cstheme="minorHAnsi"/>
                <w:b/>
                <w:bCs/>
              </w:rPr>
              <w:t>Dataset 3</w:t>
            </w:r>
            <w:r w:rsidRPr="009713D5">
              <w:rPr>
                <w:rFonts w:cstheme="minorHAnsi"/>
                <w:bCs/>
              </w:rPr>
              <w:t xml:space="preserve">, revealed that the hospital experienced a number of errors. The most significant of which was extracting data only within an incorrect two-hour window for laboratory test results (the correct window was 24 hours). Additionally, physical exam (vital signs) data were extracted based on the date/time that results were </w:t>
            </w:r>
            <w:r w:rsidRPr="009713D5">
              <w:rPr>
                <w:rFonts w:cstheme="minorHAnsi"/>
                <w:bCs/>
                <w:u w:val="single"/>
              </w:rPr>
              <w:t>documented</w:t>
            </w:r>
            <w:r w:rsidRPr="009713D5">
              <w:rPr>
                <w:rFonts w:cstheme="minorHAnsi"/>
                <w:bCs/>
              </w:rPr>
              <w:t xml:space="preserve"> rather than the date/time the physical exams were </w:t>
            </w:r>
            <w:r w:rsidRPr="009713D5">
              <w:rPr>
                <w:rFonts w:cstheme="minorHAnsi"/>
                <w:bCs/>
                <w:u w:val="single"/>
              </w:rPr>
              <w:t>performed</w:t>
            </w:r>
            <w:r w:rsidRPr="009713D5">
              <w:rPr>
                <w:rFonts w:cstheme="minorHAnsi"/>
                <w:bCs/>
              </w:rPr>
              <w:t xml:space="preserve">, driving down the accuracy of these data.  However, post-validation review of the code used by the hospital in </w:t>
            </w:r>
            <w:r w:rsidRPr="009713D5">
              <w:rPr>
                <w:rFonts w:cstheme="minorHAnsi"/>
                <w:b/>
                <w:bCs/>
              </w:rPr>
              <w:t>Dataset 2</w:t>
            </w:r>
            <w:r w:rsidRPr="009713D5">
              <w:rPr>
                <w:rFonts w:cstheme="minorHAnsi"/>
                <w:bCs/>
              </w:rPr>
              <w:t xml:space="preserve"> showed no such errors in the query executed. As a result the match rate was much higher.</w:t>
            </w:r>
          </w:p>
          <w:p w14:paraId="6EB15021" w14:textId="77777777" w:rsidR="009713D5" w:rsidRDefault="009713D5" w:rsidP="009713D5">
            <w:pPr>
              <w:autoSpaceDE w:val="0"/>
              <w:autoSpaceDN w:val="0"/>
              <w:adjustRightInd w:val="0"/>
              <w:rPr>
                <w:rFonts w:cstheme="minorHAnsi"/>
                <w:bCs/>
                <w:u w:val="single"/>
              </w:rPr>
            </w:pPr>
          </w:p>
          <w:p w14:paraId="02D0A643" w14:textId="77777777" w:rsidR="009713D5" w:rsidRPr="009713D5" w:rsidRDefault="009713D5" w:rsidP="009713D5">
            <w:pPr>
              <w:autoSpaceDE w:val="0"/>
              <w:autoSpaceDN w:val="0"/>
              <w:adjustRightInd w:val="0"/>
              <w:rPr>
                <w:rFonts w:cstheme="minorHAnsi"/>
                <w:bCs/>
                <w:u w:val="single"/>
              </w:rPr>
            </w:pPr>
            <w:r w:rsidRPr="009713D5">
              <w:rPr>
                <w:rFonts w:cstheme="minorHAnsi"/>
                <w:bCs/>
                <w:u w:val="single"/>
              </w:rPr>
              <w:t xml:space="preserve">Validation against Claims-Only Risk Model </w:t>
            </w:r>
            <w:r w:rsidRPr="009713D5">
              <w:rPr>
                <w:rFonts w:cstheme="minorHAnsi"/>
                <w:b/>
                <w:bCs/>
                <w:u w:val="single"/>
              </w:rPr>
              <w:t>(Dataset 1)</w:t>
            </w:r>
          </w:p>
          <w:p w14:paraId="69DEF0DC" w14:textId="145EB3B9" w:rsidR="009713D5" w:rsidRDefault="009713D5" w:rsidP="00092566">
            <w:pPr>
              <w:autoSpaceDE w:val="0"/>
              <w:autoSpaceDN w:val="0"/>
              <w:adjustRightInd w:val="0"/>
              <w:rPr>
                <w:rFonts w:cstheme="minorHAnsi"/>
                <w:bCs/>
              </w:rPr>
            </w:pPr>
            <w:r w:rsidRPr="009713D5">
              <w:rPr>
                <w:rFonts w:cstheme="minorHAnsi"/>
                <w:bCs/>
              </w:rPr>
              <w:t xml:space="preserve">We estimated hospital-level RSRRs using the corresponding hierarchical logistic regression for each of the models in the linked patient sample. We then examined the linear relationship between the estimates using regression techniques and weighting by the total number of cases in each hospital. The Pearson correlation coefficient of the standardized rates from the claims-only risk-adjustment model and the Hybrid risk-adjustment model in the Development Sample of </w:t>
            </w:r>
            <w:r w:rsidRPr="009713D5">
              <w:rPr>
                <w:rFonts w:cstheme="minorHAnsi"/>
                <w:b/>
                <w:bCs/>
              </w:rPr>
              <w:t>Dataset 1</w:t>
            </w:r>
            <w:r w:rsidRPr="009713D5">
              <w:rPr>
                <w:rFonts w:cstheme="minorHAnsi"/>
                <w:bCs/>
              </w:rPr>
              <w:t xml:space="preserve"> is 0.9902.</w:t>
            </w:r>
          </w:p>
        </w:tc>
      </w:tr>
    </w:tbl>
    <w:p w14:paraId="677CADB2" w14:textId="77777777" w:rsidR="008B48CE" w:rsidRDefault="00092566" w:rsidP="00DB3627">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tbl>
      <w:tblPr>
        <w:tblStyle w:val="TableGrid"/>
        <w:tblW w:w="0" w:type="auto"/>
        <w:tblLook w:val="04A0" w:firstRow="1" w:lastRow="0" w:firstColumn="1" w:lastColumn="0" w:noHBand="0" w:noVBand="1"/>
      </w:tblPr>
      <w:tblGrid>
        <w:gridCol w:w="9350"/>
      </w:tblGrid>
      <w:tr w:rsidR="00A41798" w14:paraId="74BAAA1A" w14:textId="77777777" w:rsidTr="00A41798">
        <w:tc>
          <w:tcPr>
            <w:tcW w:w="9350" w:type="dxa"/>
          </w:tcPr>
          <w:p w14:paraId="4E38A9F3" w14:textId="77777777" w:rsidR="00A41798" w:rsidRPr="00A41798" w:rsidRDefault="00A41798" w:rsidP="00A41798">
            <w:pPr>
              <w:autoSpaceDE w:val="0"/>
              <w:autoSpaceDN w:val="0"/>
              <w:adjustRightInd w:val="0"/>
              <w:rPr>
                <w:rFonts w:cstheme="minorHAnsi"/>
                <w:bCs/>
                <w:u w:val="single"/>
              </w:rPr>
            </w:pPr>
            <w:r w:rsidRPr="00A41798">
              <w:rPr>
                <w:rFonts w:cstheme="minorHAnsi"/>
                <w:bCs/>
                <w:u w:val="single"/>
              </w:rPr>
              <w:t xml:space="preserve">Validity of EHR Data Elements </w:t>
            </w:r>
          </w:p>
          <w:p w14:paraId="6EDCA657" w14:textId="77777777" w:rsidR="00A41798" w:rsidRPr="00A41798" w:rsidRDefault="00A41798" w:rsidP="00A41798">
            <w:pPr>
              <w:autoSpaceDE w:val="0"/>
              <w:autoSpaceDN w:val="0"/>
              <w:adjustRightInd w:val="0"/>
              <w:rPr>
                <w:rFonts w:cstheme="minorHAnsi"/>
                <w:bCs/>
                <w:u w:val="single"/>
              </w:rPr>
            </w:pPr>
            <w:r w:rsidRPr="00A41798">
              <w:rPr>
                <w:rFonts w:cstheme="minorHAnsi"/>
                <w:bCs/>
              </w:rPr>
              <w:t>Feasibility Testing (Phases 1-3)</w:t>
            </w:r>
          </w:p>
          <w:p w14:paraId="21E65A5C" w14:textId="77777777" w:rsidR="00A41798" w:rsidRDefault="00A41798" w:rsidP="00A41798">
            <w:pPr>
              <w:autoSpaceDE w:val="0"/>
              <w:autoSpaceDN w:val="0"/>
              <w:adjustRightInd w:val="0"/>
              <w:rPr>
                <w:rFonts w:cstheme="minorHAnsi"/>
                <w:bCs/>
              </w:rPr>
            </w:pPr>
            <w:r w:rsidRPr="00A41798">
              <w:rPr>
                <w:rFonts w:cstheme="minorHAnsi"/>
                <w:bCs/>
              </w:rPr>
              <w:t xml:space="preserve">The critical data elements were demonstrated to be feasible through consensus of the TEP and direct examination of EHR data establishing consistent capture of the CCDE among adult hospitalized patients. In addition, we established the validity of electronic extraction of the CCDE demonstrated by the high match rate when comparing EHR extracted and manual medical record abstracted CCDE values. </w:t>
            </w:r>
          </w:p>
          <w:p w14:paraId="5E0C6A6C" w14:textId="77777777" w:rsidR="00A41798" w:rsidRPr="00A41798" w:rsidRDefault="00A41798" w:rsidP="00A41798">
            <w:pPr>
              <w:autoSpaceDE w:val="0"/>
              <w:autoSpaceDN w:val="0"/>
              <w:adjustRightInd w:val="0"/>
              <w:rPr>
                <w:rFonts w:cstheme="minorHAnsi"/>
                <w:bCs/>
                <w:u w:val="single"/>
              </w:rPr>
            </w:pPr>
          </w:p>
          <w:p w14:paraId="1D252D8D" w14:textId="77777777" w:rsidR="00A41798" w:rsidRPr="00A41798" w:rsidRDefault="00A41798" w:rsidP="00A41798">
            <w:pPr>
              <w:autoSpaceDE w:val="0"/>
              <w:autoSpaceDN w:val="0"/>
              <w:adjustRightInd w:val="0"/>
              <w:rPr>
                <w:rFonts w:cstheme="minorHAnsi"/>
                <w:bCs/>
                <w:u w:val="single"/>
              </w:rPr>
            </w:pPr>
            <w:r w:rsidRPr="00A41798">
              <w:rPr>
                <w:rFonts w:cstheme="minorHAnsi"/>
                <w:bCs/>
                <w:u w:val="single"/>
              </w:rPr>
              <w:t>Measure Validity (</w:t>
            </w:r>
            <w:r w:rsidRPr="00A41798">
              <w:rPr>
                <w:rFonts w:cstheme="minorHAnsi"/>
                <w:b/>
                <w:bCs/>
                <w:u w:val="single"/>
              </w:rPr>
              <w:t>Dataset 1</w:t>
            </w:r>
            <w:r w:rsidRPr="00A41798">
              <w:rPr>
                <w:rFonts w:cstheme="minorHAnsi"/>
                <w:bCs/>
                <w:u w:val="single"/>
              </w:rPr>
              <w:t>)</w:t>
            </w:r>
          </w:p>
          <w:p w14:paraId="3CF74263" w14:textId="3651418E" w:rsidR="00A41798" w:rsidRDefault="00A41798" w:rsidP="00A41798">
            <w:pPr>
              <w:autoSpaceDE w:val="0"/>
              <w:autoSpaceDN w:val="0"/>
              <w:adjustRightInd w:val="0"/>
              <w:rPr>
                <w:rFonts w:cstheme="minorHAnsi"/>
                <w:bCs/>
              </w:rPr>
            </w:pPr>
            <w:r w:rsidRPr="00A41798">
              <w:rPr>
                <w:rFonts w:cstheme="minorHAnsi"/>
                <w:bCs/>
              </w:rPr>
              <w:t>The results between the Hybrid HWR model and the claims-only risk model were nearly identical. In addition, the high correlation among the RSRRs calculated from all models shows that each model provides a similar or consistent measure result for hospitals.</w:t>
            </w:r>
          </w:p>
        </w:tc>
      </w:tr>
    </w:tbl>
    <w:p w14:paraId="65DEF917" w14:textId="71C6822B" w:rsidR="007422FD" w:rsidRPr="00A25024" w:rsidRDefault="007422FD" w:rsidP="00DB3627">
      <w:pPr>
        <w:autoSpaceDE w:val="0"/>
        <w:autoSpaceDN w:val="0"/>
        <w:adjustRightInd w:val="0"/>
        <w:spacing w:after="0" w:line="240" w:lineRule="auto"/>
        <w:rPr>
          <w:rFonts w:cstheme="minorHAnsi"/>
          <w:bCs/>
        </w:rPr>
      </w:pPr>
    </w:p>
    <w:p w14:paraId="3606C47E"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3CACE725"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502C5A5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5091DA7F" w14:textId="77777777" w:rsidR="00001D73" w:rsidRDefault="00001D73" w:rsidP="00DB3627">
      <w:pPr>
        <w:autoSpaceDE w:val="0"/>
        <w:autoSpaceDN w:val="0"/>
        <w:adjustRightInd w:val="0"/>
        <w:spacing w:after="0" w:line="240" w:lineRule="auto"/>
        <w:rPr>
          <w:rFonts w:cstheme="minorHAnsi"/>
          <w:b/>
          <w:bCs/>
        </w:rPr>
      </w:pPr>
    </w:p>
    <w:p w14:paraId="56910901" w14:textId="77777777" w:rsidR="00B63A20"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tbl>
      <w:tblPr>
        <w:tblStyle w:val="TableGrid"/>
        <w:tblW w:w="0" w:type="auto"/>
        <w:tblLook w:val="04A0" w:firstRow="1" w:lastRow="0" w:firstColumn="1" w:lastColumn="0" w:noHBand="0" w:noVBand="1"/>
      </w:tblPr>
      <w:tblGrid>
        <w:gridCol w:w="9350"/>
      </w:tblGrid>
      <w:tr w:rsidR="00B63A20" w14:paraId="33CE5B9D" w14:textId="77777777" w:rsidTr="00B63A20">
        <w:tc>
          <w:tcPr>
            <w:tcW w:w="9350" w:type="dxa"/>
          </w:tcPr>
          <w:p w14:paraId="20DF5BB8" w14:textId="04AAE3CC" w:rsidR="00B63A20" w:rsidRDefault="00BC3465" w:rsidP="00BC3465">
            <w:pPr>
              <w:autoSpaceDE w:val="0"/>
              <w:autoSpaceDN w:val="0"/>
              <w:adjustRightInd w:val="0"/>
              <w:rPr>
                <w:rFonts w:cstheme="minorHAnsi"/>
                <w:bCs/>
              </w:rPr>
            </w:pPr>
            <w:r w:rsidRPr="005D7765">
              <w:rPr>
                <w:rFonts w:cstheme="minorHAnsi"/>
                <w:bCs/>
              </w:rPr>
              <w:t>All exclusions were determined by careful clinical review and have been made based on clinically relevant decisions and to ensure accurate calculation of the measure. To ascertain impact of exclusions on the cohort, we examined overall frequencies and proportions of the total cohort excluded for each exclusion criterion (</w:t>
            </w:r>
            <w:r w:rsidRPr="00F45C75">
              <w:rPr>
                <w:rFonts w:cstheme="minorHAnsi"/>
                <w:b/>
                <w:bCs/>
              </w:rPr>
              <w:t>Dataset 1</w:t>
            </w:r>
            <w:r w:rsidRPr="005D7765">
              <w:rPr>
                <w:rFonts w:cstheme="minorHAnsi"/>
                <w:bCs/>
              </w:rPr>
              <w:t>). These exclusions are consistent with similar NQF-endorsed outcome measures. Rationales for the exclusions are detailed in data field S.10 (Denominator Exclusions)</w:t>
            </w:r>
            <w:r w:rsidR="00B63A20" w:rsidRPr="00FB569E">
              <w:rPr>
                <w:rFonts w:cstheme="minorHAnsi"/>
                <w:bCs/>
              </w:rPr>
              <w:t xml:space="preserve">. </w:t>
            </w:r>
          </w:p>
        </w:tc>
      </w:tr>
    </w:tbl>
    <w:p w14:paraId="06782AC2" w14:textId="6E6FEAD6" w:rsidR="00833325" w:rsidRPr="00A25024" w:rsidRDefault="00833325" w:rsidP="00DB3627">
      <w:pPr>
        <w:autoSpaceDE w:val="0"/>
        <w:autoSpaceDN w:val="0"/>
        <w:adjustRightInd w:val="0"/>
        <w:spacing w:after="0" w:line="240" w:lineRule="auto"/>
        <w:rPr>
          <w:rFonts w:cstheme="minorHAnsi"/>
          <w:bCs/>
        </w:rPr>
      </w:pPr>
    </w:p>
    <w:p w14:paraId="4B0D082D" w14:textId="77777777" w:rsidR="00833325" w:rsidRPr="00A25024" w:rsidRDefault="00833325" w:rsidP="00DB3627">
      <w:pPr>
        <w:autoSpaceDE w:val="0"/>
        <w:autoSpaceDN w:val="0"/>
        <w:adjustRightInd w:val="0"/>
        <w:spacing w:after="0" w:line="240" w:lineRule="auto"/>
        <w:rPr>
          <w:rFonts w:cstheme="minorHAnsi"/>
          <w:bCs/>
        </w:rPr>
      </w:pPr>
    </w:p>
    <w:p w14:paraId="3E18ADBB" w14:textId="77777777" w:rsidR="006C7127"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tbl>
      <w:tblPr>
        <w:tblStyle w:val="TableGrid"/>
        <w:tblW w:w="0" w:type="auto"/>
        <w:tblLook w:val="04A0" w:firstRow="1" w:lastRow="0" w:firstColumn="1" w:lastColumn="0" w:noHBand="0" w:noVBand="1"/>
      </w:tblPr>
      <w:tblGrid>
        <w:gridCol w:w="9350"/>
      </w:tblGrid>
      <w:tr w:rsidR="006C7127" w14:paraId="4D709D7D" w14:textId="77777777" w:rsidTr="006C7127">
        <w:tc>
          <w:tcPr>
            <w:tcW w:w="9350" w:type="dxa"/>
          </w:tcPr>
          <w:p w14:paraId="165A716B" w14:textId="5E8E3718" w:rsidR="006C7127" w:rsidRPr="00FB569E" w:rsidRDefault="006C7127" w:rsidP="006C7127">
            <w:pPr>
              <w:autoSpaceDE w:val="0"/>
              <w:autoSpaceDN w:val="0"/>
              <w:adjustRightInd w:val="0"/>
              <w:rPr>
                <w:rFonts w:cstheme="minorHAnsi"/>
                <w:bCs/>
              </w:rPr>
            </w:pPr>
            <w:r w:rsidRPr="00FB569E">
              <w:rPr>
                <w:rFonts w:cstheme="minorHAnsi"/>
                <w:bCs/>
              </w:rPr>
              <w:t xml:space="preserve">For the purposes of tabulation, exclusions are performed sequentially. Thus, a hospital stay that would be excluded based on multiple criteria is counted in the first criterion only. This data is from the original initial cohort </w:t>
            </w:r>
            <w:r w:rsidR="001717B6" w:rsidRPr="00FB569E">
              <w:rPr>
                <w:rFonts w:cstheme="minorHAnsi"/>
                <w:bCs/>
              </w:rPr>
              <w:t>(n=</w:t>
            </w:r>
            <w:r w:rsidRPr="00FB569E">
              <w:rPr>
                <w:rFonts w:cstheme="minorHAnsi"/>
                <w:bCs/>
              </w:rPr>
              <w:t xml:space="preserve"> 251,006</w:t>
            </w:r>
            <w:r w:rsidR="001717B6" w:rsidRPr="00FB569E">
              <w:rPr>
                <w:rFonts w:cstheme="minorHAnsi"/>
                <w:bCs/>
              </w:rPr>
              <w:t>) of</w:t>
            </w:r>
            <w:r w:rsidRPr="00FB569E">
              <w:rPr>
                <w:rFonts w:cstheme="minorHAnsi"/>
                <w:bCs/>
              </w:rPr>
              <w:t xml:space="preserve"> index admissions. </w:t>
            </w:r>
          </w:p>
          <w:p w14:paraId="04001793" w14:textId="12950360" w:rsidR="006C7127" w:rsidRPr="00FB569E" w:rsidRDefault="006C7127" w:rsidP="006C7127">
            <w:pPr>
              <w:autoSpaceDE w:val="0"/>
              <w:autoSpaceDN w:val="0"/>
              <w:adjustRightInd w:val="0"/>
              <w:rPr>
                <w:rFonts w:cstheme="minorHAnsi"/>
                <w:bCs/>
              </w:rPr>
            </w:pPr>
          </w:p>
          <w:tbl>
            <w:tblPr>
              <w:tblStyle w:val="TableGrid"/>
              <w:tblW w:w="0" w:type="auto"/>
              <w:tblLook w:val="04A0" w:firstRow="1" w:lastRow="0" w:firstColumn="1" w:lastColumn="0" w:noHBand="0" w:noVBand="1"/>
            </w:tblPr>
            <w:tblGrid>
              <w:gridCol w:w="4022"/>
              <w:gridCol w:w="1440"/>
              <w:gridCol w:w="1381"/>
            </w:tblGrid>
            <w:tr w:rsidR="00594B9A" w:rsidRPr="00FB569E" w14:paraId="5D88DE54" w14:textId="77777777" w:rsidTr="001717B6">
              <w:tc>
                <w:tcPr>
                  <w:tcW w:w="4022" w:type="dxa"/>
                  <w:shd w:val="clear" w:color="auto" w:fill="D9D9D9" w:themeFill="background1" w:themeFillShade="D9"/>
                  <w:vAlign w:val="center"/>
                </w:tcPr>
                <w:p w14:paraId="0F3D34B1" w14:textId="70CA55B7" w:rsidR="00594B9A" w:rsidRPr="00FB569E" w:rsidRDefault="00594B9A" w:rsidP="001717B6">
                  <w:pPr>
                    <w:autoSpaceDE w:val="0"/>
                    <w:autoSpaceDN w:val="0"/>
                    <w:adjustRightInd w:val="0"/>
                    <w:jc w:val="center"/>
                    <w:rPr>
                      <w:rFonts w:cstheme="minorHAnsi"/>
                      <w:b/>
                      <w:bCs/>
                    </w:rPr>
                  </w:pPr>
                  <w:r w:rsidRPr="00FB569E">
                    <w:rPr>
                      <w:rFonts w:cstheme="minorHAnsi"/>
                      <w:b/>
                      <w:bCs/>
                    </w:rPr>
                    <w:t>Exclusion</w:t>
                  </w:r>
                </w:p>
              </w:tc>
              <w:tc>
                <w:tcPr>
                  <w:tcW w:w="1440" w:type="dxa"/>
                  <w:shd w:val="clear" w:color="auto" w:fill="D9D9D9" w:themeFill="background1" w:themeFillShade="D9"/>
                  <w:vAlign w:val="center"/>
                </w:tcPr>
                <w:p w14:paraId="3A1B141D" w14:textId="1D473F13" w:rsidR="00594B9A" w:rsidRPr="00FB569E" w:rsidRDefault="00594B9A" w:rsidP="001717B6">
                  <w:pPr>
                    <w:autoSpaceDE w:val="0"/>
                    <w:autoSpaceDN w:val="0"/>
                    <w:adjustRightInd w:val="0"/>
                    <w:jc w:val="center"/>
                    <w:rPr>
                      <w:rFonts w:cstheme="minorHAnsi"/>
                      <w:b/>
                      <w:bCs/>
                    </w:rPr>
                  </w:pPr>
                  <w:r w:rsidRPr="00FB569E">
                    <w:rPr>
                      <w:rFonts w:cstheme="minorHAnsi"/>
                      <w:b/>
                      <w:bCs/>
                    </w:rPr>
                    <w:t>N</w:t>
                  </w:r>
                </w:p>
              </w:tc>
              <w:tc>
                <w:tcPr>
                  <w:tcW w:w="1381" w:type="dxa"/>
                  <w:shd w:val="clear" w:color="auto" w:fill="D9D9D9" w:themeFill="background1" w:themeFillShade="D9"/>
                  <w:vAlign w:val="center"/>
                </w:tcPr>
                <w:p w14:paraId="3BDF5DA6" w14:textId="514B7D77" w:rsidR="00594B9A" w:rsidRPr="00FB569E" w:rsidRDefault="00594B9A" w:rsidP="001717B6">
                  <w:pPr>
                    <w:autoSpaceDE w:val="0"/>
                    <w:autoSpaceDN w:val="0"/>
                    <w:adjustRightInd w:val="0"/>
                    <w:jc w:val="center"/>
                    <w:rPr>
                      <w:rFonts w:cstheme="minorHAnsi"/>
                      <w:b/>
                      <w:bCs/>
                    </w:rPr>
                  </w:pPr>
                  <w:r w:rsidRPr="00FB569E">
                    <w:rPr>
                      <w:rFonts w:cstheme="minorHAnsi"/>
                      <w:b/>
                      <w:bCs/>
                    </w:rPr>
                    <w:t>%</w:t>
                  </w:r>
                </w:p>
              </w:tc>
            </w:tr>
            <w:tr w:rsidR="00594B9A" w:rsidRPr="00FB569E" w14:paraId="7B1BC90D" w14:textId="77777777" w:rsidTr="001717B6">
              <w:tc>
                <w:tcPr>
                  <w:tcW w:w="4022" w:type="dxa"/>
                  <w:vAlign w:val="center"/>
                </w:tcPr>
                <w:p w14:paraId="66C62890" w14:textId="55B45D9C" w:rsidR="00594B9A" w:rsidRPr="00FB569E" w:rsidRDefault="00594B9A" w:rsidP="0010096A">
                  <w:pPr>
                    <w:autoSpaceDE w:val="0"/>
                    <w:autoSpaceDN w:val="0"/>
                    <w:adjustRightInd w:val="0"/>
                    <w:jc w:val="center"/>
                    <w:rPr>
                      <w:rFonts w:cstheme="minorHAnsi"/>
                      <w:bCs/>
                    </w:rPr>
                  </w:pPr>
                  <w:r w:rsidRPr="00FB569E">
                    <w:t xml:space="preserve">Discharged Against Medical Advice </w:t>
                  </w:r>
                </w:p>
              </w:tc>
              <w:tc>
                <w:tcPr>
                  <w:tcW w:w="1440" w:type="dxa"/>
                  <w:vAlign w:val="center"/>
                </w:tcPr>
                <w:p w14:paraId="5B0F0A4E" w14:textId="04350676" w:rsidR="00594B9A" w:rsidRPr="00FB569E" w:rsidRDefault="00594B9A" w:rsidP="001717B6">
                  <w:pPr>
                    <w:autoSpaceDE w:val="0"/>
                    <w:autoSpaceDN w:val="0"/>
                    <w:adjustRightInd w:val="0"/>
                    <w:jc w:val="center"/>
                    <w:rPr>
                      <w:rFonts w:cstheme="minorHAnsi"/>
                      <w:bCs/>
                    </w:rPr>
                  </w:pPr>
                  <w:r w:rsidRPr="00FB569E">
                    <w:rPr>
                      <w:rFonts w:cstheme="minorHAnsi"/>
                      <w:bCs/>
                    </w:rPr>
                    <w:t>679</w:t>
                  </w:r>
                </w:p>
              </w:tc>
              <w:tc>
                <w:tcPr>
                  <w:tcW w:w="1381" w:type="dxa"/>
                  <w:vAlign w:val="center"/>
                </w:tcPr>
                <w:p w14:paraId="6B0B450D" w14:textId="64CCA986" w:rsidR="00594B9A" w:rsidRPr="00FB569E" w:rsidRDefault="00594B9A" w:rsidP="001717B6">
                  <w:pPr>
                    <w:autoSpaceDE w:val="0"/>
                    <w:autoSpaceDN w:val="0"/>
                    <w:adjustRightInd w:val="0"/>
                    <w:jc w:val="center"/>
                    <w:rPr>
                      <w:rFonts w:cstheme="minorHAnsi"/>
                      <w:bCs/>
                    </w:rPr>
                  </w:pPr>
                  <w:r w:rsidRPr="00FB569E">
                    <w:rPr>
                      <w:rFonts w:cstheme="minorHAnsi"/>
                      <w:bCs/>
                    </w:rPr>
                    <w:t>0.27%</w:t>
                  </w:r>
                </w:p>
              </w:tc>
            </w:tr>
            <w:tr w:rsidR="00594B9A" w:rsidRPr="00FB569E" w14:paraId="3DFC82AD" w14:textId="77777777" w:rsidTr="001717B6">
              <w:tc>
                <w:tcPr>
                  <w:tcW w:w="4022" w:type="dxa"/>
                  <w:vAlign w:val="center"/>
                </w:tcPr>
                <w:p w14:paraId="73FD0389" w14:textId="2587FCA6" w:rsidR="00594B9A" w:rsidRPr="00FB569E" w:rsidRDefault="00594B9A" w:rsidP="001717B6">
                  <w:pPr>
                    <w:autoSpaceDE w:val="0"/>
                    <w:autoSpaceDN w:val="0"/>
                    <w:adjustRightInd w:val="0"/>
                    <w:jc w:val="center"/>
                    <w:rPr>
                      <w:rFonts w:cstheme="minorHAnsi"/>
                      <w:bCs/>
                    </w:rPr>
                  </w:pPr>
                  <w:r w:rsidRPr="00FB569E">
                    <w:t>Cancer Treatment</w:t>
                  </w:r>
                </w:p>
              </w:tc>
              <w:tc>
                <w:tcPr>
                  <w:tcW w:w="1440" w:type="dxa"/>
                  <w:vAlign w:val="center"/>
                </w:tcPr>
                <w:p w14:paraId="4C7D9CE0" w14:textId="6D81FA1D" w:rsidR="00594B9A" w:rsidRPr="00FB569E" w:rsidRDefault="00594B9A" w:rsidP="001717B6">
                  <w:pPr>
                    <w:autoSpaceDE w:val="0"/>
                    <w:autoSpaceDN w:val="0"/>
                    <w:adjustRightInd w:val="0"/>
                    <w:jc w:val="center"/>
                    <w:rPr>
                      <w:rFonts w:cstheme="minorHAnsi"/>
                      <w:bCs/>
                    </w:rPr>
                  </w:pPr>
                  <w:r w:rsidRPr="00FB569E">
                    <w:rPr>
                      <w:rFonts w:cstheme="minorHAnsi"/>
                      <w:bCs/>
                    </w:rPr>
                    <w:t>6,356</w:t>
                  </w:r>
                </w:p>
              </w:tc>
              <w:tc>
                <w:tcPr>
                  <w:tcW w:w="1381" w:type="dxa"/>
                  <w:vAlign w:val="center"/>
                </w:tcPr>
                <w:p w14:paraId="09F80BD4" w14:textId="52B822BC" w:rsidR="00594B9A" w:rsidRPr="00FB569E" w:rsidRDefault="00594B9A" w:rsidP="001717B6">
                  <w:pPr>
                    <w:autoSpaceDE w:val="0"/>
                    <w:autoSpaceDN w:val="0"/>
                    <w:adjustRightInd w:val="0"/>
                    <w:jc w:val="center"/>
                    <w:rPr>
                      <w:rFonts w:cstheme="minorHAnsi"/>
                      <w:bCs/>
                    </w:rPr>
                  </w:pPr>
                  <w:r w:rsidRPr="00FB569E">
                    <w:rPr>
                      <w:rFonts w:cstheme="minorHAnsi"/>
                      <w:bCs/>
                    </w:rPr>
                    <w:t>2.53%</w:t>
                  </w:r>
                </w:p>
              </w:tc>
            </w:tr>
            <w:tr w:rsidR="00594B9A" w:rsidRPr="00FB569E" w14:paraId="13A5619C" w14:textId="77777777" w:rsidTr="001717B6">
              <w:tc>
                <w:tcPr>
                  <w:tcW w:w="4022" w:type="dxa"/>
                  <w:vAlign w:val="center"/>
                </w:tcPr>
                <w:p w14:paraId="1B2E08DB" w14:textId="7B68EC71" w:rsidR="00594B9A" w:rsidRPr="00FB569E" w:rsidRDefault="00594B9A" w:rsidP="001717B6">
                  <w:pPr>
                    <w:autoSpaceDE w:val="0"/>
                    <w:autoSpaceDN w:val="0"/>
                    <w:adjustRightInd w:val="0"/>
                    <w:jc w:val="center"/>
                    <w:rPr>
                      <w:rFonts w:cstheme="minorHAnsi"/>
                      <w:bCs/>
                    </w:rPr>
                  </w:pPr>
                  <w:r w:rsidRPr="00FB569E">
                    <w:t>Psychiatric Treatment</w:t>
                  </w:r>
                </w:p>
              </w:tc>
              <w:tc>
                <w:tcPr>
                  <w:tcW w:w="1440" w:type="dxa"/>
                  <w:vAlign w:val="center"/>
                </w:tcPr>
                <w:p w14:paraId="50168383" w14:textId="2E6526C5" w:rsidR="00594B9A" w:rsidRPr="00FB569E" w:rsidRDefault="00594B9A" w:rsidP="001717B6">
                  <w:pPr>
                    <w:autoSpaceDE w:val="0"/>
                    <w:autoSpaceDN w:val="0"/>
                    <w:adjustRightInd w:val="0"/>
                    <w:jc w:val="center"/>
                    <w:rPr>
                      <w:rFonts w:cstheme="minorHAnsi"/>
                      <w:bCs/>
                    </w:rPr>
                  </w:pPr>
                  <w:r w:rsidRPr="00FB569E">
                    <w:rPr>
                      <w:rFonts w:cstheme="minorHAnsi"/>
                      <w:bCs/>
                    </w:rPr>
                    <w:t>593</w:t>
                  </w:r>
                </w:p>
              </w:tc>
              <w:tc>
                <w:tcPr>
                  <w:tcW w:w="1381" w:type="dxa"/>
                  <w:vAlign w:val="center"/>
                </w:tcPr>
                <w:p w14:paraId="0AC01D26" w14:textId="7D196407" w:rsidR="00594B9A" w:rsidRPr="00FB569E" w:rsidRDefault="00594B9A" w:rsidP="001717B6">
                  <w:pPr>
                    <w:autoSpaceDE w:val="0"/>
                    <w:autoSpaceDN w:val="0"/>
                    <w:adjustRightInd w:val="0"/>
                    <w:jc w:val="center"/>
                    <w:rPr>
                      <w:rFonts w:cstheme="minorHAnsi"/>
                      <w:bCs/>
                    </w:rPr>
                  </w:pPr>
                  <w:r w:rsidRPr="00FB569E">
                    <w:rPr>
                      <w:rFonts w:cstheme="minorHAnsi"/>
                      <w:bCs/>
                    </w:rPr>
                    <w:t>0.24%</w:t>
                  </w:r>
                </w:p>
              </w:tc>
            </w:tr>
            <w:tr w:rsidR="00594B9A" w:rsidRPr="00FB569E" w14:paraId="44233A6F" w14:textId="77777777" w:rsidTr="001717B6">
              <w:tc>
                <w:tcPr>
                  <w:tcW w:w="4022" w:type="dxa"/>
                  <w:vAlign w:val="center"/>
                </w:tcPr>
                <w:p w14:paraId="4A9E54BE" w14:textId="3C80CD29" w:rsidR="00594B9A" w:rsidRPr="00FB569E" w:rsidRDefault="00594B9A" w:rsidP="001717B6">
                  <w:pPr>
                    <w:autoSpaceDE w:val="0"/>
                    <w:autoSpaceDN w:val="0"/>
                    <w:adjustRightInd w:val="0"/>
                    <w:jc w:val="center"/>
                    <w:rPr>
                      <w:rFonts w:cstheme="minorHAnsi"/>
                      <w:bCs/>
                    </w:rPr>
                  </w:pPr>
                  <w:r w:rsidRPr="00FB569E">
                    <w:t>Rehabilitation</w:t>
                  </w:r>
                </w:p>
              </w:tc>
              <w:tc>
                <w:tcPr>
                  <w:tcW w:w="1440" w:type="dxa"/>
                  <w:vAlign w:val="center"/>
                </w:tcPr>
                <w:p w14:paraId="3725EA45" w14:textId="798D0D55" w:rsidR="00594B9A" w:rsidRPr="00FB569E" w:rsidRDefault="00594B9A" w:rsidP="001717B6">
                  <w:pPr>
                    <w:autoSpaceDE w:val="0"/>
                    <w:autoSpaceDN w:val="0"/>
                    <w:adjustRightInd w:val="0"/>
                    <w:jc w:val="center"/>
                    <w:rPr>
                      <w:rFonts w:cstheme="minorHAnsi"/>
                      <w:bCs/>
                    </w:rPr>
                  </w:pPr>
                  <w:r w:rsidRPr="00FB569E">
                    <w:rPr>
                      <w:rFonts w:cstheme="minorHAnsi"/>
                      <w:bCs/>
                    </w:rPr>
                    <w:t>885</w:t>
                  </w:r>
                </w:p>
              </w:tc>
              <w:tc>
                <w:tcPr>
                  <w:tcW w:w="1381" w:type="dxa"/>
                  <w:vAlign w:val="center"/>
                </w:tcPr>
                <w:p w14:paraId="44992C76" w14:textId="521F69A9" w:rsidR="00594B9A" w:rsidRPr="00FB569E" w:rsidRDefault="00594B9A" w:rsidP="001717B6">
                  <w:pPr>
                    <w:autoSpaceDE w:val="0"/>
                    <w:autoSpaceDN w:val="0"/>
                    <w:adjustRightInd w:val="0"/>
                    <w:jc w:val="center"/>
                    <w:rPr>
                      <w:rFonts w:cstheme="minorHAnsi"/>
                      <w:bCs/>
                    </w:rPr>
                  </w:pPr>
                  <w:r w:rsidRPr="00FB569E">
                    <w:rPr>
                      <w:rFonts w:cstheme="minorHAnsi"/>
                      <w:bCs/>
                    </w:rPr>
                    <w:t>0.35%</w:t>
                  </w:r>
                </w:p>
              </w:tc>
            </w:tr>
          </w:tbl>
          <w:p w14:paraId="4FF8AC8A" w14:textId="0F42B833" w:rsidR="006C7127" w:rsidRPr="00FB569E" w:rsidRDefault="006C7127" w:rsidP="006C7127">
            <w:pPr>
              <w:autoSpaceDE w:val="0"/>
              <w:autoSpaceDN w:val="0"/>
              <w:adjustRightInd w:val="0"/>
              <w:rPr>
                <w:rFonts w:cstheme="minorHAnsi"/>
                <w:bCs/>
              </w:rPr>
            </w:pPr>
          </w:p>
          <w:p w14:paraId="151122CC" w14:textId="7D1B5EEA" w:rsidR="006C7127" w:rsidRPr="00B63A20" w:rsidRDefault="001717B6" w:rsidP="006C7127">
            <w:pPr>
              <w:autoSpaceDE w:val="0"/>
              <w:autoSpaceDN w:val="0"/>
              <w:adjustRightInd w:val="0"/>
              <w:rPr>
                <w:rFonts w:cstheme="minorHAnsi"/>
                <w:bCs/>
                <w:color w:val="FF0000"/>
              </w:rPr>
            </w:pPr>
            <w:r w:rsidRPr="00FB569E">
              <w:rPr>
                <w:rFonts w:cstheme="minorHAnsi"/>
                <w:bCs/>
              </w:rPr>
              <w:lastRenderedPageBreak/>
              <w:t xml:space="preserve">These exclusions represent </w:t>
            </w:r>
            <w:r w:rsidR="00FB43C6">
              <w:rPr>
                <w:rFonts w:cstheme="minorHAnsi"/>
                <w:bCs/>
              </w:rPr>
              <w:t xml:space="preserve">only </w:t>
            </w:r>
            <w:r w:rsidRPr="00FB569E">
              <w:rPr>
                <w:rFonts w:cstheme="minorHAnsi"/>
                <w:bCs/>
              </w:rPr>
              <w:t>3.88% of the initial cohort. We do not report frequency of distribution of exclusions across measured entities due to the minimal impact of the exclusions on the measure cohort. The final cohort</w:t>
            </w:r>
            <w:r w:rsidR="00AD54A2">
              <w:rPr>
                <w:rFonts w:cstheme="minorHAnsi"/>
                <w:bCs/>
              </w:rPr>
              <w:t xml:space="preserve"> was 242,515 index admissions.</w:t>
            </w:r>
          </w:p>
        </w:tc>
      </w:tr>
    </w:tbl>
    <w:p w14:paraId="4DFF8CED" w14:textId="5DC733BC" w:rsidR="007422FD" w:rsidRDefault="007422FD" w:rsidP="00092566">
      <w:pPr>
        <w:autoSpaceDE w:val="0"/>
        <w:autoSpaceDN w:val="0"/>
        <w:adjustRightInd w:val="0"/>
        <w:spacing w:after="0" w:line="240" w:lineRule="auto"/>
        <w:rPr>
          <w:rFonts w:cstheme="minorHAnsi"/>
          <w:bCs/>
        </w:rPr>
      </w:pPr>
    </w:p>
    <w:p w14:paraId="5FCE2D1F" w14:textId="77777777" w:rsidR="00092566" w:rsidRPr="00092566" w:rsidRDefault="00092566" w:rsidP="00092566">
      <w:pPr>
        <w:autoSpaceDE w:val="0"/>
        <w:autoSpaceDN w:val="0"/>
        <w:adjustRightInd w:val="0"/>
        <w:spacing w:after="0" w:line="240" w:lineRule="auto"/>
        <w:rPr>
          <w:rFonts w:cstheme="minorHAnsi"/>
          <w:bCs/>
        </w:rPr>
      </w:pPr>
    </w:p>
    <w:p w14:paraId="11277A36" w14:textId="77777777" w:rsidR="008B48CE"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tbl>
      <w:tblPr>
        <w:tblStyle w:val="TableGrid"/>
        <w:tblW w:w="0" w:type="auto"/>
        <w:tblLook w:val="04A0" w:firstRow="1" w:lastRow="0" w:firstColumn="1" w:lastColumn="0" w:noHBand="0" w:noVBand="1"/>
      </w:tblPr>
      <w:tblGrid>
        <w:gridCol w:w="9350"/>
      </w:tblGrid>
      <w:tr w:rsidR="008B48CE" w14:paraId="2EFD00C8" w14:textId="77777777" w:rsidTr="008B48CE">
        <w:tc>
          <w:tcPr>
            <w:tcW w:w="9350" w:type="dxa"/>
          </w:tcPr>
          <w:p w14:paraId="4564F033" w14:textId="6844E437" w:rsidR="0010096A" w:rsidRDefault="0010096A" w:rsidP="0010096A">
            <w:pPr>
              <w:pStyle w:val="ListParagraph"/>
              <w:numPr>
                <w:ilvl w:val="0"/>
                <w:numId w:val="39"/>
              </w:numPr>
              <w:autoSpaceDE w:val="0"/>
              <w:autoSpaceDN w:val="0"/>
              <w:adjustRightInd w:val="0"/>
              <w:rPr>
                <w:rFonts w:cstheme="minorHAnsi"/>
                <w:bCs/>
              </w:rPr>
            </w:pPr>
            <w:r w:rsidRPr="0010096A">
              <w:rPr>
                <w:rFonts w:cstheme="minorHAnsi"/>
                <w:bCs/>
              </w:rPr>
              <w:t>Patients discharged against medical advice (AMA) account for 0.</w:t>
            </w:r>
            <w:r>
              <w:rPr>
                <w:rFonts w:cstheme="minorHAnsi"/>
                <w:bCs/>
              </w:rPr>
              <w:t>27</w:t>
            </w:r>
            <w:r w:rsidRPr="0010096A">
              <w:rPr>
                <w:rFonts w:cstheme="minorHAnsi"/>
                <w:bCs/>
              </w:rPr>
              <w:t xml:space="preserve">% of all index admissions excluded from the initial index cohort. This exclusion is needed for acceptability of the measure to hospitals, who do not have the opportunity to adequately deliver full care and prepare the patient for discharge. </w:t>
            </w:r>
          </w:p>
          <w:p w14:paraId="76909460" w14:textId="13ABBE53" w:rsidR="0010096A" w:rsidRDefault="0010096A" w:rsidP="0010096A">
            <w:pPr>
              <w:pStyle w:val="ListParagraph"/>
              <w:numPr>
                <w:ilvl w:val="0"/>
                <w:numId w:val="39"/>
              </w:numPr>
              <w:autoSpaceDE w:val="0"/>
              <w:autoSpaceDN w:val="0"/>
              <w:adjustRightInd w:val="0"/>
              <w:rPr>
                <w:rFonts w:cstheme="minorHAnsi"/>
                <w:bCs/>
              </w:rPr>
            </w:pPr>
            <w:r w:rsidRPr="0010096A">
              <w:rPr>
                <w:rFonts w:cstheme="minorHAnsi"/>
                <w:bCs/>
              </w:rPr>
              <w:t>Patients admitted for primary psychiatric diagnoses account for 0.2</w:t>
            </w:r>
            <w:r>
              <w:rPr>
                <w:rFonts w:cstheme="minorHAnsi"/>
                <w:bCs/>
              </w:rPr>
              <w:t>4</w:t>
            </w:r>
            <w:r w:rsidRPr="0010096A">
              <w:rPr>
                <w:rFonts w:cstheme="minorHAnsi"/>
                <w:bCs/>
              </w:rPr>
              <w:t xml:space="preserve">% of all index admissions excluded from the initial cohort. This exclusion is needed because these patients are typically cared for in separate psychiatric or rehabilitation centers which are not comparable to acute care hospitals. </w:t>
            </w:r>
          </w:p>
          <w:p w14:paraId="49CF95DE" w14:textId="0FF14751" w:rsidR="0010096A" w:rsidRDefault="0010096A" w:rsidP="0010096A">
            <w:pPr>
              <w:pStyle w:val="ListParagraph"/>
              <w:numPr>
                <w:ilvl w:val="0"/>
                <w:numId w:val="39"/>
              </w:numPr>
              <w:autoSpaceDE w:val="0"/>
              <w:autoSpaceDN w:val="0"/>
              <w:adjustRightInd w:val="0"/>
              <w:rPr>
                <w:rFonts w:cstheme="minorHAnsi"/>
                <w:bCs/>
              </w:rPr>
            </w:pPr>
            <w:r w:rsidRPr="0010096A">
              <w:rPr>
                <w:rFonts w:cstheme="minorHAnsi"/>
                <w:bCs/>
              </w:rPr>
              <w:t>Patients admitted for rehabilitation account for 0.</w:t>
            </w:r>
            <w:r>
              <w:rPr>
                <w:rFonts w:cstheme="minorHAnsi"/>
                <w:bCs/>
              </w:rPr>
              <w:t>35</w:t>
            </w:r>
            <w:r w:rsidRPr="0010096A">
              <w:rPr>
                <w:rFonts w:cstheme="minorHAnsi"/>
                <w:bCs/>
              </w:rPr>
              <w:t>% of all index admissions excluded from the initial cohort. This exclusion is needed because patients admitted for rehabilitation are not admitted for treatment of acute illness and the care provided in rehabilitation centers is not comparable to care provided in acute care hospitals.</w:t>
            </w:r>
          </w:p>
          <w:p w14:paraId="2B386EBD" w14:textId="1E4445D9" w:rsidR="008B48CE" w:rsidRPr="0010096A" w:rsidRDefault="0010096A" w:rsidP="0010096A">
            <w:pPr>
              <w:pStyle w:val="ListParagraph"/>
              <w:numPr>
                <w:ilvl w:val="0"/>
                <w:numId w:val="39"/>
              </w:numPr>
              <w:autoSpaceDE w:val="0"/>
              <w:autoSpaceDN w:val="0"/>
              <w:adjustRightInd w:val="0"/>
              <w:rPr>
                <w:rFonts w:cstheme="minorHAnsi"/>
                <w:bCs/>
              </w:rPr>
            </w:pPr>
            <w:r w:rsidRPr="0010096A">
              <w:rPr>
                <w:rFonts w:cstheme="minorHAnsi"/>
                <w:bCs/>
              </w:rPr>
              <w:t>Patients admitted for medical treatment of cancer account for 2.</w:t>
            </w:r>
            <w:r>
              <w:rPr>
                <w:rFonts w:cstheme="minorHAnsi"/>
                <w:bCs/>
              </w:rPr>
              <w:t>53</w:t>
            </w:r>
            <w:r w:rsidRPr="0010096A">
              <w:rPr>
                <w:rFonts w:cstheme="minorHAnsi"/>
                <w:bCs/>
              </w:rPr>
              <w:t xml:space="preserve">% of all index admissions excluded from the initial cohort. Admissions for treatment of cancer are associated with a very different mortality and readmission risk compared with admissions to other </w:t>
            </w:r>
            <w:r w:rsidR="009F30D3">
              <w:rPr>
                <w:rFonts w:cstheme="minorHAnsi"/>
                <w:bCs/>
              </w:rPr>
              <w:t>Inpatient Prospective Payment Systems (</w:t>
            </w:r>
            <w:r w:rsidRPr="0010096A">
              <w:rPr>
                <w:rFonts w:cstheme="minorHAnsi"/>
                <w:bCs/>
              </w:rPr>
              <w:t>IPPS</w:t>
            </w:r>
            <w:r w:rsidR="009F30D3">
              <w:rPr>
                <w:rFonts w:cstheme="minorHAnsi"/>
                <w:bCs/>
              </w:rPr>
              <w:t>)</w:t>
            </w:r>
            <w:r w:rsidRPr="0010096A">
              <w:rPr>
                <w:rFonts w:cstheme="minorHAnsi"/>
                <w:bCs/>
              </w:rPr>
              <w:t xml:space="preserve"> hospitals for treatment of other diseases. Additionally, outcomes for these admissions do not correlate well with outcomes for other types of admissions. (Patients with cancer who are admitted for other diagnoses or for surgical treatment of their cancer remain in the measure).</w:t>
            </w:r>
          </w:p>
        </w:tc>
      </w:tr>
    </w:tbl>
    <w:p w14:paraId="03A5F3FA" w14:textId="5B4C1752" w:rsidR="007422FD" w:rsidRPr="00A25024" w:rsidRDefault="007422FD" w:rsidP="00DB3627">
      <w:pPr>
        <w:autoSpaceDE w:val="0"/>
        <w:autoSpaceDN w:val="0"/>
        <w:adjustRightInd w:val="0"/>
        <w:spacing w:after="0" w:line="240" w:lineRule="auto"/>
        <w:rPr>
          <w:rFonts w:cstheme="minorHAnsi"/>
          <w:bCs/>
        </w:rPr>
      </w:pPr>
    </w:p>
    <w:p w14:paraId="108D7F03"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1F4E4A9E"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19914F8A" w14:textId="77777777" w:rsidR="008871A9" w:rsidRDefault="008871A9" w:rsidP="00092566">
      <w:pPr>
        <w:autoSpaceDE w:val="0"/>
        <w:autoSpaceDN w:val="0"/>
        <w:adjustRightInd w:val="0"/>
        <w:spacing w:after="0" w:line="240" w:lineRule="auto"/>
        <w:rPr>
          <w:rFonts w:cstheme="minorHAnsi"/>
          <w:b/>
          <w:bCs/>
        </w:rPr>
      </w:pPr>
    </w:p>
    <w:p w14:paraId="76A52730"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38DD5646" w14:textId="77777777" w:rsidR="00033038" w:rsidRPr="005232D6" w:rsidRDefault="004C33A9"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eiryo"/>
            <w14:uncheckedState w14:val="2610" w14:font="Meiryo"/>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1E437C65" w14:textId="6666EBC3" w:rsidR="00743E46" w:rsidRPr="005232D6" w:rsidRDefault="004C33A9"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eiryo"/>
            <w14:uncheckedState w14:val="2610" w14:font="Meiryo"/>
          </w14:checkbox>
        </w:sdtPr>
        <w:sdtEndPr/>
        <w:sdtContent>
          <w:r w:rsidR="001E6CA6">
            <w:rPr>
              <w:rFonts w:ascii="Meiryo" w:eastAsia="Meiryo" w:hAnsi="Meiryo" w:cs="Meiryo"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1E07F4AD" w14:textId="77777777" w:rsidR="00743E46" w:rsidRPr="005232D6" w:rsidRDefault="004C33A9"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32425D5A" w14:textId="77777777" w:rsidR="00743E46" w:rsidRPr="005232D6" w:rsidRDefault="004C33A9"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eiryo"/>
            <w14:uncheckedState w14:val="2610" w14:font="Meiryo"/>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37040AA1" w14:textId="77777777" w:rsidR="00743E46" w:rsidRDefault="00743E46" w:rsidP="00092566">
      <w:pPr>
        <w:autoSpaceDE w:val="0"/>
        <w:autoSpaceDN w:val="0"/>
        <w:adjustRightInd w:val="0"/>
        <w:spacing w:after="0" w:line="240" w:lineRule="auto"/>
        <w:rPr>
          <w:rFonts w:cstheme="minorHAnsi"/>
          <w:b/>
          <w:bCs/>
        </w:rPr>
      </w:pPr>
    </w:p>
    <w:p w14:paraId="3F68BB9E" w14:textId="77777777" w:rsidR="008B48CE"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tbl>
      <w:tblPr>
        <w:tblStyle w:val="TableGrid"/>
        <w:tblW w:w="0" w:type="auto"/>
        <w:tblLook w:val="04A0" w:firstRow="1" w:lastRow="0" w:firstColumn="1" w:lastColumn="0" w:noHBand="0" w:noVBand="1"/>
      </w:tblPr>
      <w:tblGrid>
        <w:gridCol w:w="9350"/>
      </w:tblGrid>
      <w:tr w:rsidR="008B48CE" w14:paraId="76BB01E0" w14:textId="77777777" w:rsidTr="008B48CE">
        <w:tc>
          <w:tcPr>
            <w:tcW w:w="9350" w:type="dxa"/>
          </w:tcPr>
          <w:p w14:paraId="03ABF3F7" w14:textId="641CE04A" w:rsidR="008B48CE" w:rsidRDefault="008B48CE" w:rsidP="002051C4">
            <w:pPr>
              <w:autoSpaceDE w:val="0"/>
              <w:autoSpaceDN w:val="0"/>
              <w:adjustRightInd w:val="0"/>
              <w:rPr>
                <w:rFonts w:cstheme="minorHAnsi"/>
                <w:bCs/>
              </w:rPr>
            </w:pPr>
            <w:r w:rsidRPr="00FB569E">
              <w:rPr>
                <w:rFonts w:cstheme="minorHAnsi"/>
                <w:bCs/>
              </w:rPr>
              <w:t xml:space="preserve">N/A </w:t>
            </w:r>
          </w:p>
        </w:tc>
      </w:tr>
    </w:tbl>
    <w:p w14:paraId="3118A086" w14:textId="68708344" w:rsidR="00092566" w:rsidRPr="00A25024" w:rsidRDefault="00092566" w:rsidP="00092566">
      <w:pPr>
        <w:autoSpaceDE w:val="0"/>
        <w:autoSpaceDN w:val="0"/>
        <w:adjustRightInd w:val="0"/>
        <w:spacing w:after="0" w:line="240" w:lineRule="auto"/>
        <w:rPr>
          <w:rFonts w:cstheme="minorHAnsi"/>
          <w:bCs/>
        </w:rPr>
      </w:pPr>
    </w:p>
    <w:p w14:paraId="18D30CF3"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73A478B4" w14:textId="77777777" w:rsidR="00092566" w:rsidRDefault="00092566" w:rsidP="00001D73">
      <w:pPr>
        <w:autoSpaceDE w:val="0"/>
        <w:autoSpaceDN w:val="0"/>
        <w:adjustRightInd w:val="0"/>
        <w:spacing w:after="0" w:line="240" w:lineRule="auto"/>
        <w:rPr>
          <w:rFonts w:cstheme="minorHAnsi"/>
          <w:bCs/>
        </w:rPr>
      </w:pPr>
      <w:r>
        <w:rPr>
          <w:rFonts w:cstheme="minorHAnsi"/>
          <w:b/>
          <w:bCs/>
        </w:rPr>
        <w:lastRenderedPageBreak/>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tbl>
      <w:tblPr>
        <w:tblStyle w:val="TableGrid"/>
        <w:tblW w:w="0" w:type="auto"/>
        <w:tblLook w:val="04A0" w:firstRow="1" w:lastRow="0" w:firstColumn="1" w:lastColumn="0" w:noHBand="0" w:noVBand="1"/>
      </w:tblPr>
      <w:tblGrid>
        <w:gridCol w:w="9350"/>
      </w:tblGrid>
      <w:tr w:rsidR="008B48CE" w14:paraId="32997CEE" w14:textId="77777777" w:rsidTr="008B48CE">
        <w:tc>
          <w:tcPr>
            <w:tcW w:w="9350" w:type="dxa"/>
          </w:tcPr>
          <w:p w14:paraId="2A76BDA0" w14:textId="26842288" w:rsidR="0010096A" w:rsidRPr="0010096A" w:rsidRDefault="0010096A" w:rsidP="0010096A">
            <w:pPr>
              <w:autoSpaceDE w:val="0"/>
              <w:autoSpaceDN w:val="0"/>
              <w:adjustRightInd w:val="0"/>
              <w:rPr>
                <w:rFonts w:cstheme="minorHAnsi"/>
                <w:bCs/>
              </w:rPr>
            </w:pPr>
            <w:r w:rsidRPr="0010096A">
              <w:rPr>
                <w:rFonts w:cstheme="minorHAnsi"/>
                <w:bCs/>
              </w:rPr>
              <w:t>Our approach to risk adjustment was tailored to and appropriate for a publicly reported outcome measure, as articulated in the American Heart Association (AHA) Scientific Statement, “Standards for Statistical Models Used for Public Reporting of Health Outcomes” (Krumholz et al., 2006).</w:t>
            </w:r>
          </w:p>
          <w:p w14:paraId="28556D61" w14:textId="77777777" w:rsidR="0010096A" w:rsidRPr="0010096A" w:rsidRDefault="0010096A" w:rsidP="0010096A">
            <w:pPr>
              <w:autoSpaceDE w:val="0"/>
              <w:autoSpaceDN w:val="0"/>
              <w:adjustRightInd w:val="0"/>
              <w:rPr>
                <w:rFonts w:cstheme="minorHAnsi"/>
                <w:bCs/>
              </w:rPr>
            </w:pPr>
          </w:p>
          <w:p w14:paraId="7051FC4D" w14:textId="2EFA51C1" w:rsidR="0010096A" w:rsidRPr="0010096A" w:rsidRDefault="0010096A" w:rsidP="0010096A">
            <w:pPr>
              <w:autoSpaceDE w:val="0"/>
              <w:autoSpaceDN w:val="0"/>
              <w:adjustRightInd w:val="0"/>
              <w:rPr>
                <w:rFonts w:cstheme="minorHAnsi"/>
                <w:bCs/>
              </w:rPr>
            </w:pPr>
            <w:r w:rsidRPr="0010096A">
              <w:rPr>
                <w:rFonts w:cstheme="minorHAnsi"/>
                <w:bCs/>
              </w:rPr>
              <w:t xml:space="preserve">The measure estimates hospital-level 30-day all-cause RSRRs using hierarchical logistic regression models. In brief, the approach simultaneously models data at the patient and hospital levels to account for variance in patient outcomes within and between hospitals </w:t>
            </w:r>
            <w:r w:rsidR="00456210" w:rsidRPr="00915292">
              <w:rPr>
                <w:rFonts w:cstheme="minorHAnsi"/>
                <w:bCs/>
              </w:rPr>
              <w:t>(</w:t>
            </w:r>
            <w:r w:rsidR="009F30D3">
              <w:rPr>
                <w:rFonts w:cstheme="minorHAnsi"/>
                <w:bCs/>
              </w:rPr>
              <w:t>Normand S-LT, Shahian DM, 2007)</w:t>
            </w:r>
            <w:r w:rsidRPr="0010096A">
              <w:rPr>
                <w:rFonts w:cstheme="minorHAnsi"/>
                <w:bCs/>
              </w:rPr>
              <w:t>. At the patient level, it models the log-odds of hospital readmission within 30 days of discharge using age, selected clinical covariates, and a hospital-specific intercept. At the hospital level, the approach models the hospital-specific intercepts as arising from a normal distribution. The hospital intercept represents the underlying risk of a readmission at the hospital, after accounting for patient risk. The hospital-specific intercepts are given a distribution to account for the clustering (non-independence) of pa</w:t>
            </w:r>
            <w:r w:rsidR="009F30D3">
              <w:rPr>
                <w:rFonts w:cstheme="minorHAnsi"/>
                <w:bCs/>
              </w:rPr>
              <w:t>tients within the same hospital</w:t>
            </w:r>
            <w:r w:rsidR="00456210" w:rsidRPr="00915292">
              <w:rPr>
                <w:rFonts w:cstheme="minorHAnsi"/>
                <w:bCs/>
              </w:rPr>
              <w:t xml:space="preserve"> (Normand S-LT, Shahian DM., 2007)</w:t>
            </w:r>
            <w:r w:rsidRPr="0010096A">
              <w:rPr>
                <w:rFonts w:cstheme="minorHAnsi"/>
                <w:bCs/>
              </w:rPr>
              <w:t>. If there were no differences among hospitals, then after adjusting for patient risk, the hospital intercepts should be identical across all hospitals.</w:t>
            </w:r>
          </w:p>
          <w:p w14:paraId="1448FC8D" w14:textId="77777777" w:rsidR="0010096A" w:rsidRPr="0010096A" w:rsidRDefault="0010096A" w:rsidP="0010096A">
            <w:pPr>
              <w:autoSpaceDE w:val="0"/>
              <w:autoSpaceDN w:val="0"/>
              <w:adjustRightInd w:val="0"/>
              <w:rPr>
                <w:rFonts w:cstheme="minorHAnsi"/>
                <w:bCs/>
              </w:rPr>
            </w:pPr>
          </w:p>
          <w:p w14:paraId="4F0D7A53" w14:textId="77777777" w:rsidR="0010096A" w:rsidRPr="0010096A" w:rsidRDefault="0010096A" w:rsidP="0010096A">
            <w:pPr>
              <w:autoSpaceDE w:val="0"/>
              <w:autoSpaceDN w:val="0"/>
              <w:adjustRightInd w:val="0"/>
              <w:rPr>
                <w:rFonts w:cstheme="minorHAnsi"/>
                <w:bCs/>
              </w:rPr>
            </w:pPr>
            <w:r w:rsidRPr="0010096A">
              <w:rPr>
                <w:rFonts w:cstheme="minorHAnsi"/>
                <w:bCs/>
              </w:rPr>
              <w:t>Admissions are assigned to one of five mutually exclusive specialty cohort groups consisting of related conditions or procedures. For each specialty cohort group, the standardized readmission ratio (SRR) is calculated as the ratio of the number of “predicted” readmissions to the number of “expected” readmissions at a given hospital. For each hospital, the numerator of the ratio is the number of readmissions within 30 days predicted based on the hospital’s performance with its observed case mix and service mix, and the denominator is the number of readmissions expected based on the nation’s performance with that hospital’s case mix and service mix. This approach is analogous to a ratio of “observed” to “expected” used in other types of statistical analyses. It conceptually allows a particular hospital’s performance, given its case mix and service mix, to be compared to an average hospital’s performance with the same case mix and service mix. Thus, a lower ratio indicates lower-than-expected readmission rates or better quality, while a higher ratio indicates higher-than-expected readmission rates or worse quality.</w:t>
            </w:r>
          </w:p>
          <w:p w14:paraId="531A9878" w14:textId="77777777" w:rsidR="0010096A" w:rsidRPr="0010096A" w:rsidRDefault="0010096A" w:rsidP="0010096A">
            <w:pPr>
              <w:autoSpaceDE w:val="0"/>
              <w:autoSpaceDN w:val="0"/>
              <w:adjustRightInd w:val="0"/>
              <w:rPr>
                <w:rFonts w:cstheme="minorHAnsi"/>
                <w:bCs/>
              </w:rPr>
            </w:pPr>
          </w:p>
          <w:p w14:paraId="3E581706" w14:textId="77777777" w:rsidR="0010096A" w:rsidRPr="0010096A" w:rsidRDefault="0010096A" w:rsidP="0010096A">
            <w:pPr>
              <w:autoSpaceDE w:val="0"/>
              <w:autoSpaceDN w:val="0"/>
              <w:adjustRightInd w:val="0"/>
              <w:rPr>
                <w:rFonts w:cstheme="minorHAnsi"/>
                <w:bCs/>
              </w:rPr>
            </w:pPr>
            <w:r w:rsidRPr="0010096A">
              <w:rPr>
                <w:rFonts w:cstheme="minorHAnsi"/>
                <w:bCs/>
              </w:rPr>
              <w:t>For each specialty cohort, the “predicted” number of readmissions (the numerator) is calculated by using the coefficients estimated by regressing the risk factors (found in the attached Data Dictionary) and the hospital-specific intercept on the risk of readmission. The estimated hospital-specific intercept for each cohort is added to the sum of the estimated regression coefficients multiplied by patient characteristics. The results are transformed and summed over all patients attributed to a hospital to get a predicted value. The “expected” number of readmissions (the denominator) is obtained in the same manner, but a common intercept using all hospitals in our sample is added in place of the hospital-specific intercept. The results are transformed and summed over all patients in the hospital to get an expected value. To assess hospital performance for each reporting period, we re-estimate the model coefficients using the data in that period.</w:t>
            </w:r>
          </w:p>
          <w:p w14:paraId="54781C71" w14:textId="77777777" w:rsidR="0010096A" w:rsidRPr="0010096A" w:rsidRDefault="0010096A" w:rsidP="0010096A">
            <w:pPr>
              <w:autoSpaceDE w:val="0"/>
              <w:autoSpaceDN w:val="0"/>
              <w:adjustRightInd w:val="0"/>
              <w:rPr>
                <w:rFonts w:cstheme="minorHAnsi"/>
                <w:bCs/>
              </w:rPr>
            </w:pPr>
          </w:p>
          <w:p w14:paraId="33BC7ACC" w14:textId="3AB9CA3D" w:rsidR="003A7331" w:rsidRDefault="0010096A" w:rsidP="00696844">
            <w:pPr>
              <w:autoSpaceDE w:val="0"/>
              <w:autoSpaceDN w:val="0"/>
              <w:adjustRightInd w:val="0"/>
              <w:rPr>
                <w:rFonts w:cstheme="minorHAnsi"/>
                <w:bCs/>
              </w:rPr>
            </w:pPr>
            <w:r w:rsidRPr="0010096A">
              <w:rPr>
                <w:rFonts w:cstheme="minorHAnsi"/>
                <w:bCs/>
              </w:rPr>
              <w:t xml:space="preserve">The specialty cohort SRRs are then pooled for each hospital using a volume-weighted geometric mean to create a hospital-wide composite SRR. The composite SRR is multiplied by the national observed readmission rate to produce the RSRR. </w:t>
            </w:r>
          </w:p>
          <w:p w14:paraId="049060AD" w14:textId="77777777" w:rsidR="0010096A" w:rsidRPr="00FB569E" w:rsidRDefault="0010096A" w:rsidP="00696844">
            <w:pPr>
              <w:autoSpaceDE w:val="0"/>
              <w:autoSpaceDN w:val="0"/>
              <w:adjustRightInd w:val="0"/>
              <w:rPr>
                <w:rFonts w:cstheme="minorHAnsi"/>
                <w:bCs/>
              </w:rPr>
            </w:pPr>
          </w:p>
          <w:p w14:paraId="019E976B" w14:textId="77777777" w:rsidR="0010096A" w:rsidRPr="0010096A" w:rsidRDefault="0010096A" w:rsidP="0010096A">
            <w:pPr>
              <w:autoSpaceDE w:val="0"/>
              <w:autoSpaceDN w:val="0"/>
              <w:adjustRightInd w:val="0"/>
              <w:rPr>
                <w:rFonts w:cstheme="minorHAnsi"/>
                <w:bCs/>
                <w:u w:val="single"/>
              </w:rPr>
            </w:pPr>
            <w:r w:rsidRPr="0010096A">
              <w:rPr>
                <w:rFonts w:cstheme="minorHAnsi"/>
                <w:bCs/>
                <w:u w:val="single"/>
              </w:rPr>
              <w:t>Data Source</w:t>
            </w:r>
          </w:p>
          <w:p w14:paraId="3C2390AE" w14:textId="4DAEFE8A" w:rsidR="0010096A" w:rsidRPr="0010096A" w:rsidRDefault="0010096A" w:rsidP="0010096A">
            <w:pPr>
              <w:autoSpaceDE w:val="0"/>
              <w:autoSpaceDN w:val="0"/>
              <w:adjustRightInd w:val="0"/>
              <w:rPr>
                <w:rFonts w:cstheme="minorHAnsi"/>
                <w:bCs/>
              </w:rPr>
            </w:pPr>
            <w:r w:rsidRPr="0010096A">
              <w:rPr>
                <w:rFonts w:cstheme="minorHAnsi"/>
                <w:bCs/>
              </w:rPr>
              <w:t xml:space="preserve">To select candidate variables for the </w:t>
            </w:r>
            <w:r w:rsidR="00A30837">
              <w:rPr>
                <w:rFonts w:cstheme="minorHAnsi"/>
                <w:bCs/>
              </w:rPr>
              <w:t>Hybrid</w:t>
            </w:r>
            <w:r w:rsidRPr="0010096A">
              <w:rPr>
                <w:rFonts w:cstheme="minorHAnsi"/>
                <w:bCs/>
              </w:rPr>
              <w:t xml:space="preserve"> risk model, we began with the list of </w:t>
            </w:r>
            <w:r>
              <w:rPr>
                <w:rFonts w:cstheme="minorHAnsi"/>
                <w:bCs/>
              </w:rPr>
              <w:t>all</w:t>
            </w:r>
            <w:r w:rsidRPr="0010096A">
              <w:rPr>
                <w:rFonts w:cstheme="minorHAnsi"/>
                <w:bCs/>
              </w:rPr>
              <w:t xml:space="preserve"> administrative claims-based risk-adjustment variables included in the currently publicly reported </w:t>
            </w:r>
            <w:r>
              <w:rPr>
                <w:rFonts w:cstheme="minorHAnsi"/>
                <w:bCs/>
              </w:rPr>
              <w:t>Hospital-Wide All Cause Unplanned Readmission</w:t>
            </w:r>
            <w:r w:rsidRPr="0010096A">
              <w:rPr>
                <w:rFonts w:cstheme="minorHAnsi"/>
                <w:bCs/>
              </w:rPr>
              <w:t xml:space="preserve"> Measure. These candidate variables were derived from: the index admission, with comorbidities identified from the index admission secondary diagnoses (excluding potential complications)</w:t>
            </w:r>
            <w:r>
              <w:rPr>
                <w:rFonts w:cstheme="minorHAnsi"/>
                <w:bCs/>
              </w:rPr>
              <w:t xml:space="preserve"> and</w:t>
            </w:r>
            <w:r w:rsidRPr="0010096A">
              <w:rPr>
                <w:rFonts w:cstheme="minorHAnsi"/>
                <w:bCs/>
              </w:rPr>
              <w:t xml:space="preserve"> 12-month pre-index inpatient data (for any condition</w:t>
            </w:r>
            <w:r>
              <w:rPr>
                <w:rFonts w:cstheme="minorHAnsi"/>
                <w:bCs/>
              </w:rPr>
              <w:t>)</w:t>
            </w:r>
            <w:r w:rsidRPr="0010096A">
              <w:rPr>
                <w:rFonts w:cstheme="minorHAnsi"/>
                <w:bCs/>
              </w:rPr>
              <w:t xml:space="preserve">. In identifying these variables for the current publically reported </w:t>
            </w:r>
            <w:r>
              <w:rPr>
                <w:rFonts w:cstheme="minorHAnsi"/>
                <w:bCs/>
              </w:rPr>
              <w:t xml:space="preserve">HWR </w:t>
            </w:r>
            <w:r w:rsidRPr="0010096A">
              <w:rPr>
                <w:rFonts w:cstheme="minorHAnsi"/>
                <w:bCs/>
              </w:rPr>
              <w:t>measure, we sought to develop a model that was parsimonious, using a grouper that is in the public domain for the 15,000+ ICD-9-CM codes we started with the 189 diagnostic groups included in the Hierarchical Condition Category (HCC) clinical classification system (Pope et al., 2000). The HCC clinical classification system was developed for CMS in preparation for all-encounter risk adjustment for Medicare Advantage (managed care) plans and represented a refinement of an earlier risk-adjustment method based solely on principal inpatient diagnosis. The HCC model makes use of all physician and hospital encounter diagnoses and was designed to predict a beneficiary’s expenditures based on the total clinical profile represented by all of his/her assigned HCCs. Under the HCC algorithm, the 15,000+ ICD-9-CM diagnosis codes are first assigned to one of 804 mutually exclusive groupings (“DxGroups”) and then subsequently aggregated into 189 condition categories (CCs). During development, we used the April 2008 version of the ICD-9-CM to CC assignment map, which is maintained annually by CMS and posted at www.qualitynet.org. We do not use the hierarchy and therefore refer to the CCs rather than HCCs.</w:t>
            </w:r>
            <w:r>
              <w:rPr>
                <w:rFonts w:cstheme="minorHAnsi"/>
                <w:bCs/>
              </w:rPr>
              <w:t xml:space="preserve"> </w:t>
            </w:r>
            <w:r w:rsidRPr="0010096A">
              <w:rPr>
                <w:rFonts w:cstheme="minorHAnsi"/>
                <w:bCs/>
              </w:rPr>
              <w:t xml:space="preserve">The HWR risk-adjustment models use only inpatient claims data (history and current) in order to make it feasible to implement with Medicare data, and to make it applicable to all-payer data, which are typically restricted to inpatient claims. </w:t>
            </w:r>
          </w:p>
          <w:p w14:paraId="3B723A03" w14:textId="01D674B6" w:rsidR="0010096A" w:rsidRPr="0010096A" w:rsidRDefault="0010096A" w:rsidP="0010096A">
            <w:pPr>
              <w:autoSpaceDE w:val="0"/>
              <w:autoSpaceDN w:val="0"/>
              <w:adjustRightInd w:val="0"/>
              <w:rPr>
                <w:rFonts w:cstheme="minorHAnsi"/>
                <w:bCs/>
              </w:rPr>
            </w:pPr>
          </w:p>
          <w:p w14:paraId="7FE3158F" w14:textId="2DF722A0" w:rsidR="00626E27" w:rsidRDefault="00696844" w:rsidP="0010096A">
            <w:pPr>
              <w:autoSpaceDE w:val="0"/>
              <w:autoSpaceDN w:val="0"/>
              <w:adjustRightInd w:val="0"/>
              <w:rPr>
                <w:rFonts w:cstheme="minorHAnsi"/>
                <w:bCs/>
              </w:rPr>
            </w:pPr>
            <w:r w:rsidRPr="0010096A">
              <w:rPr>
                <w:rFonts w:cstheme="minorHAnsi"/>
                <w:bCs/>
              </w:rPr>
              <w:t>We also use</w:t>
            </w:r>
            <w:r w:rsidR="0010096A" w:rsidRPr="0010096A">
              <w:rPr>
                <w:rFonts w:cstheme="minorHAnsi"/>
                <w:bCs/>
              </w:rPr>
              <w:t>d</w:t>
            </w:r>
            <w:r w:rsidRPr="0010096A">
              <w:rPr>
                <w:rFonts w:cstheme="minorHAnsi"/>
                <w:bCs/>
              </w:rPr>
              <w:t xml:space="preserve"> the </w:t>
            </w:r>
            <w:r w:rsidR="00AB02C4">
              <w:rPr>
                <w:rFonts w:cstheme="minorHAnsi"/>
                <w:bCs/>
              </w:rPr>
              <w:t xml:space="preserve">core clinical data elements </w:t>
            </w:r>
            <w:r w:rsidRPr="0010096A">
              <w:rPr>
                <w:rFonts w:cstheme="minorHAnsi"/>
                <w:bCs/>
              </w:rPr>
              <w:t>CCDE</w:t>
            </w:r>
            <w:r w:rsidR="00AB02C4">
              <w:rPr>
                <w:rFonts w:cstheme="minorHAnsi"/>
                <w:bCs/>
              </w:rPr>
              <w:t>, the EHR-derived data elements used in the measure</w:t>
            </w:r>
            <w:r w:rsidRPr="0010096A">
              <w:rPr>
                <w:rFonts w:cstheme="minorHAnsi"/>
                <w:bCs/>
              </w:rPr>
              <w:t>. The CCDE include the first vital signs captured within 2 hours of the start of the encounter and the</w:t>
            </w:r>
            <w:r w:rsidR="00C97A66">
              <w:rPr>
                <w:rFonts w:cstheme="minorHAnsi"/>
                <w:bCs/>
              </w:rPr>
              <w:t xml:space="preserve"> first set of</w:t>
            </w:r>
            <w:r w:rsidRPr="0010096A">
              <w:rPr>
                <w:rFonts w:cstheme="minorHAnsi"/>
                <w:bCs/>
              </w:rPr>
              <w:t xml:space="preserve"> results </w:t>
            </w:r>
            <w:r w:rsidR="00C97A66">
              <w:rPr>
                <w:rFonts w:cstheme="minorHAnsi"/>
                <w:bCs/>
              </w:rPr>
              <w:t>for</w:t>
            </w:r>
            <w:r w:rsidRPr="0010096A">
              <w:rPr>
                <w:rFonts w:cstheme="minorHAnsi"/>
                <w:bCs/>
              </w:rPr>
              <w:t xml:space="preserve"> several </w:t>
            </w:r>
            <w:r w:rsidR="00C97A66">
              <w:rPr>
                <w:rFonts w:cstheme="minorHAnsi"/>
                <w:bCs/>
              </w:rPr>
              <w:t xml:space="preserve">basic </w:t>
            </w:r>
            <w:r w:rsidRPr="0010096A">
              <w:rPr>
                <w:rFonts w:cstheme="minorHAnsi"/>
                <w:bCs/>
              </w:rPr>
              <w:t>laboratory tests captured within 24 hours of the start of the encounter (</w:t>
            </w:r>
            <w:r w:rsidR="007A0B49">
              <w:rPr>
                <w:rFonts w:cstheme="minorHAnsi"/>
                <w:bCs/>
              </w:rPr>
              <w:t xml:space="preserve">for example, </w:t>
            </w:r>
            <w:r w:rsidRPr="0010096A">
              <w:rPr>
                <w:rFonts w:cstheme="minorHAnsi"/>
                <w:bCs/>
              </w:rPr>
              <w:t xml:space="preserve">complete blood count and basic chemistry </w:t>
            </w:r>
            <w:r w:rsidR="00E73B14">
              <w:rPr>
                <w:rFonts w:cstheme="minorHAnsi"/>
                <w:bCs/>
              </w:rPr>
              <w:t>panel</w:t>
            </w:r>
            <w:r w:rsidRPr="0010096A">
              <w:rPr>
                <w:rFonts w:cstheme="minorHAnsi"/>
                <w:bCs/>
              </w:rPr>
              <w:t>).  A file that contains a list of the ICD-9-CM codes and their groupings into CCs as well as a list of the CCDE is attached in dat</w:t>
            </w:r>
            <w:r w:rsidR="00626E27" w:rsidRPr="0010096A">
              <w:rPr>
                <w:rFonts w:cstheme="minorHAnsi"/>
                <w:bCs/>
              </w:rPr>
              <w:t>a field S.2b (Data Dictionary</w:t>
            </w:r>
            <w:r w:rsidR="00AB02C4">
              <w:rPr>
                <w:rFonts w:cstheme="minorHAnsi"/>
                <w:bCs/>
              </w:rPr>
              <w:t xml:space="preserve"> and Code Table</w:t>
            </w:r>
            <w:r w:rsidR="00626E27" w:rsidRPr="0010096A">
              <w:rPr>
                <w:rFonts w:cstheme="minorHAnsi"/>
                <w:bCs/>
              </w:rPr>
              <w:t>).</w:t>
            </w:r>
            <w:r w:rsidR="009F30D3">
              <w:rPr>
                <w:rFonts w:cstheme="minorHAnsi"/>
                <w:bCs/>
              </w:rPr>
              <w:t xml:space="preserve"> </w:t>
            </w:r>
          </w:p>
          <w:p w14:paraId="02B2F596" w14:textId="77777777" w:rsidR="009F30D3" w:rsidRDefault="009F30D3" w:rsidP="0010096A">
            <w:pPr>
              <w:autoSpaceDE w:val="0"/>
              <w:autoSpaceDN w:val="0"/>
              <w:adjustRightInd w:val="0"/>
              <w:rPr>
                <w:rFonts w:cstheme="minorHAnsi"/>
                <w:bCs/>
              </w:rPr>
            </w:pPr>
          </w:p>
          <w:p w14:paraId="40E525D0" w14:textId="77777777" w:rsidR="009F30D3" w:rsidRPr="009F30D3" w:rsidRDefault="009F30D3" w:rsidP="009F30D3">
            <w:pPr>
              <w:autoSpaceDE w:val="0"/>
              <w:autoSpaceDN w:val="0"/>
              <w:adjustRightInd w:val="0"/>
              <w:rPr>
                <w:rFonts w:cstheme="minorHAnsi"/>
                <w:bCs/>
              </w:rPr>
            </w:pPr>
            <w:r w:rsidRPr="009F30D3">
              <w:rPr>
                <w:rFonts w:cstheme="minorHAnsi"/>
                <w:bCs/>
              </w:rPr>
              <w:t xml:space="preserve">Complications occurring during hospitalization are not comorbid illnesses, may reflect hospital quality of care, and therefore should not be used for risk adjustment. Hence, conditions that may represent adverse outcomes due to care received during the index hospital stay are not included in the risk-adjusted model. </w:t>
            </w:r>
          </w:p>
          <w:p w14:paraId="31E8816B" w14:textId="77777777" w:rsidR="009F30D3" w:rsidRPr="009F30D3" w:rsidRDefault="009F30D3" w:rsidP="009F30D3">
            <w:pPr>
              <w:autoSpaceDE w:val="0"/>
              <w:autoSpaceDN w:val="0"/>
              <w:adjustRightInd w:val="0"/>
              <w:rPr>
                <w:rFonts w:cstheme="minorHAnsi"/>
                <w:bCs/>
              </w:rPr>
            </w:pPr>
          </w:p>
          <w:p w14:paraId="362D873D" w14:textId="3FB9AC14" w:rsidR="009F30D3" w:rsidRDefault="009F30D3" w:rsidP="009F30D3">
            <w:pPr>
              <w:autoSpaceDE w:val="0"/>
              <w:autoSpaceDN w:val="0"/>
              <w:adjustRightInd w:val="0"/>
              <w:rPr>
                <w:rFonts w:cstheme="minorHAnsi"/>
                <w:bCs/>
              </w:rPr>
            </w:pPr>
            <w:r w:rsidRPr="009F30D3">
              <w:rPr>
                <w:rFonts w:cstheme="minorHAnsi"/>
                <w:bCs/>
              </w:rPr>
              <w:t>Service mix adjustment: The measure includes many different discharge condition categories that differ in their baseline readmission risks. In addition, hospitals differ in their relative distribution of these condition categories (service mix). To adjust for service mix, the measure uses an indicator variable for the discharge condition category in addition to risk variables for comorbid conditions. The models include a condition-specific indicator for all condition categories with sufficient volume (defined as those with more than 1,000 admissions nationally in a given year for Medicare FFS data) as well as a single indicator for conditions with insufficient volume in each model.</w:t>
            </w:r>
          </w:p>
          <w:p w14:paraId="4E1C9842" w14:textId="77777777" w:rsidR="00626E27" w:rsidRDefault="00626E27" w:rsidP="00626E27">
            <w:pPr>
              <w:autoSpaceDE w:val="0"/>
              <w:autoSpaceDN w:val="0"/>
              <w:adjustRightInd w:val="0"/>
              <w:rPr>
                <w:rFonts w:cstheme="minorHAnsi"/>
                <w:bCs/>
              </w:rPr>
            </w:pPr>
          </w:p>
          <w:p w14:paraId="7A712AA2" w14:textId="627142BF" w:rsidR="00FB569E" w:rsidRPr="00F579D5" w:rsidRDefault="009946EF" w:rsidP="00626E27">
            <w:pPr>
              <w:autoSpaceDE w:val="0"/>
              <w:autoSpaceDN w:val="0"/>
              <w:adjustRightInd w:val="0"/>
              <w:rPr>
                <w:rFonts w:cstheme="minorHAnsi"/>
                <w:bCs/>
              </w:rPr>
            </w:pPr>
            <w:r w:rsidRPr="00227ABF">
              <w:rPr>
                <w:rFonts w:cstheme="minorHAnsi"/>
                <w:bCs/>
              </w:rPr>
              <w:t xml:space="preserve">Although the 5 risk models use </w:t>
            </w:r>
            <w:r w:rsidRPr="009946EF">
              <w:rPr>
                <w:rFonts w:cstheme="minorHAnsi"/>
                <w:bCs/>
              </w:rPr>
              <w:t xml:space="preserve">a common set of claims variables, </w:t>
            </w:r>
            <w:r w:rsidRPr="00AB02C4">
              <w:rPr>
                <w:rFonts w:cstheme="minorHAnsi"/>
                <w:bCs/>
              </w:rPr>
              <w:t>t</w:t>
            </w:r>
            <w:r w:rsidR="00FB569E" w:rsidRPr="00AB02C4">
              <w:rPr>
                <w:rFonts w:cstheme="minorHAnsi"/>
                <w:bCs/>
              </w:rPr>
              <w:t xml:space="preserve">he CCDE variables are not the same across specialty cohort models. Only those data elements that are statistically significant in each individual model are included. We estimate a hierarchical logistic regression model for each specialty </w:t>
            </w:r>
            <w:r w:rsidR="00FB569E" w:rsidRPr="00AB02C4">
              <w:rPr>
                <w:rFonts w:cstheme="minorHAnsi"/>
                <w:bCs/>
              </w:rPr>
              <w:lastRenderedPageBreak/>
              <w:t xml:space="preserve">cohort separately, and the coefficients associated with each variable may vary </w:t>
            </w:r>
            <w:r w:rsidR="00FB569E" w:rsidRPr="007A0B49">
              <w:rPr>
                <w:rFonts w:cstheme="minorHAnsi"/>
                <w:bCs/>
              </w:rPr>
              <w:t>across specialty cohorts.</w:t>
            </w:r>
            <w:r w:rsidR="00FB569E" w:rsidRPr="00F579D5">
              <w:rPr>
                <w:rFonts w:cstheme="minorHAnsi"/>
                <w:bCs/>
              </w:rPr>
              <w:t xml:space="preserve"> </w:t>
            </w:r>
          </w:p>
          <w:p w14:paraId="77A3D698" w14:textId="77777777" w:rsidR="003A7331" w:rsidRPr="00FB569E" w:rsidRDefault="003A7331" w:rsidP="00696844">
            <w:pPr>
              <w:autoSpaceDE w:val="0"/>
              <w:autoSpaceDN w:val="0"/>
              <w:adjustRightInd w:val="0"/>
              <w:rPr>
                <w:rFonts w:cstheme="minorHAnsi"/>
                <w:bCs/>
              </w:rPr>
            </w:pPr>
          </w:p>
          <w:p w14:paraId="020B53E2" w14:textId="43E05883" w:rsidR="00696844" w:rsidRPr="00FB569E" w:rsidRDefault="00696844" w:rsidP="00696844">
            <w:pPr>
              <w:autoSpaceDE w:val="0"/>
              <w:autoSpaceDN w:val="0"/>
              <w:adjustRightInd w:val="0"/>
              <w:rPr>
                <w:rFonts w:cstheme="minorHAnsi"/>
                <w:bCs/>
              </w:rPr>
            </w:pPr>
            <w:r w:rsidRPr="00FB569E">
              <w:rPr>
                <w:rFonts w:cstheme="minorHAnsi"/>
                <w:bCs/>
              </w:rPr>
              <w:t>The final set of risk-adjustment variables is</w:t>
            </w:r>
            <w:r w:rsidR="009946EF">
              <w:rPr>
                <w:rFonts w:cstheme="minorHAnsi"/>
                <w:bCs/>
              </w:rPr>
              <w:t xml:space="preserve"> listed on the Submission form in item </w:t>
            </w:r>
            <w:r w:rsidR="00227ABF">
              <w:rPr>
                <w:rFonts w:cstheme="minorHAnsi"/>
                <w:bCs/>
              </w:rPr>
              <w:t xml:space="preserve">S.14 </w:t>
            </w:r>
            <w:r w:rsidR="009946EF">
              <w:rPr>
                <w:rFonts w:cstheme="minorHAnsi"/>
                <w:bCs/>
              </w:rPr>
              <w:t xml:space="preserve">and </w:t>
            </w:r>
            <w:r w:rsidR="00AB02C4">
              <w:rPr>
                <w:rFonts w:cstheme="minorHAnsi"/>
                <w:bCs/>
              </w:rPr>
              <w:t xml:space="preserve">in the </w:t>
            </w:r>
            <w:r w:rsidR="00227ABF">
              <w:rPr>
                <w:rFonts w:cstheme="minorHAnsi"/>
                <w:bCs/>
              </w:rPr>
              <w:t>Data Dictionary</w:t>
            </w:r>
            <w:r w:rsidR="00AB02C4">
              <w:rPr>
                <w:rFonts w:cstheme="minorHAnsi"/>
                <w:bCs/>
              </w:rPr>
              <w:t xml:space="preserve"> and Code Table attached in data filed S.2b</w:t>
            </w:r>
          </w:p>
          <w:p w14:paraId="636C9035" w14:textId="77777777" w:rsidR="003A7331" w:rsidRPr="00FB569E" w:rsidRDefault="003A7331" w:rsidP="00696844">
            <w:pPr>
              <w:autoSpaceDE w:val="0"/>
              <w:autoSpaceDN w:val="0"/>
              <w:adjustRightInd w:val="0"/>
              <w:rPr>
                <w:rFonts w:cstheme="minorHAnsi"/>
                <w:bCs/>
                <w:u w:val="single"/>
              </w:rPr>
            </w:pPr>
          </w:p>
          <w:p w14:paraId="251FAF78" w14:textId="77777777" w:rsidR="00696844" w:rsidRPr="00FB569E" w:rsidRDefault="00696844" w:rsidP="00696844">
            <w:pPr>
              <w:autoSpaceDE w:val="0"/>
              <w:autoSpaceDN w:val="0"/>
              <w:adjustRightInd w:val="0"/>
              <w:rPr>
                <w:rFonts w:cstheme="minorHAnsi"/>
                <w:bCs/>
              </w:rPr>
            </w:pPr>
          </w:p>
          <w:p w14:paraId="4B9B61EA" w14:textId="77777777" w:rsidR="00696844" w:rsidRPr="00FB569E" w:rsidRDefault="00696844" w:rsidP="00696844">
            <w:pPr>
              <w:autoSpaceDE w:val="0"/>
              <w:autoSpaceDN w:val="0"/>
              <w:adjustRightInd w:val="0"/>
              <w:rPr>
                <w:rFonts w:cstheme="minorHAnsi"/>
                <w:bCs/>
              </w:rPr>
            </w:pPr>
            <w:r w:rsidRPr="009F30D3">
              <w:rPr>
                <w:rFonts w:cstheme="minorHAnsi"/>
                <w:bCs/>
                <w:u w:val="single"/>
              </w:rPr>
              <w:t>References</w:t>
            </w:r>
            <w:r w:rsidRPr="00FB569E">
              <w:rPr>
                <w:rFonts w:cstheme="minorHAnsi"/>
                <w:bCs/>
              </w:rPr>
              <w:t>:</w:t>
            </w:r>
          </w:p>
          <w:p w14:paraId="23082740" w14:textId="77777777" w:rsidR="00696844" w:rsidRDefault="00696844" w:rsidP="00696844">
            <w:pPr>
              <w:autoSpaceDE w:val="0"/>
              <w:autoSpaceDN w:val="0"/>
              <w:adjustRightInd w:val="0"/>
              <w:rPr>
                <w:rFonts w:cstheme="minorHAnsi"/>
                <w:bCs/>
              </w:rPr>
            </w:pPr>
            <w:r w:rsidRPr="00FB569E">
              <w:rPr>
                <w:rFonts w:cstheme="minorHAnsi"/>
                <w:bCs/>
              </w:rPr>
              <w:t>Krumholz HM, Brindis RG, Brush JE, et al. 2006. Standards for Statistical Models Used for Public Reporting of Health Outcomes:  An American Heart Association Scientific Statement From the Quality of Care and Outcomes Research Interdisciplinary Writing Group: Cosponsored by the Council on Epidemiology and Prevention and the Stroke Council Endorsed by the American College of Cardiology Foundation. Circulation 113: 456-462.</w:t>
            </w:r>
          </w:p>
          <w:p w14:paraId="1E153BDC" w14:textId="77777777" w:rsidR="00AD54A2" w:rsidRPr="00FB569E" w:rsidRDefault="00AD54A2" w:rsidP="00696844">
            <w:pPr>
              <w:autoSpaceDE w:val="0"/>
              <w:autoSpaceDN w:val="0"/>
              <w:adjustRightInd w:val="0"/>
              <w:rPr>
                <w:rFonts w:cstheme="minorHAnsi"/>
                <w:bCs/>
              </w:rPr>
            </w:pPr>
          </w:p>
          <w:p w14:paraId="2356189D" w14:textId="77777777" w:rsidR="00D5268D" w:rsidRDefault="00696844" w:rsidP="00001D73">
            <w:pPr>
              <w:autoSpaceDE w:val="0"/>
              <w:autoSpaceDN w:val="0"/>
              <w:adjustRightInd w:val="0"/>
              <w:rPr>
                <w:rFonts w:cstheme="minorHAnsi"/>
                <w:bCs/>
              </w:rPr>
            </w:pPr>
            <w:r w:rsidRPr="00FB569E">
              <w:rPr>
                <w:rFonts w:cstheme="minorHAnsi"/>
                <w:bCs/>
              </w:rPr>
              <w:t xml:space="preserve">Normand S-LT, Shahian DM. 2007. Statistical and Clinical Aspects of Hospital Outcomes Profiling. Stat Sci 22 (2): 206-226. </w:t>
            </w:r>
          </w:p>
          <w:p w14:paraId="38C0A58B" w14:textId="77777777" w:rsidR="00292683" w:rsidRDefault="00292683" w:rsidP="00001D73">
            <w:pPr>
              <w:autoSpaceDE w:val="0"/>
              <w:autoSpaceDN w:val="0"/>
              <w:adjustRightInd w:val="0"/>
              <w:rPr>
                <w:rFonts w:cstheme="minorHAnsi"/>
                <w:bCs/>
              </w:rPr>
            </w:pPr>
          </w:p>
          <w:p w14:paraId="068ADA3A" w14:textId="77777777" w:rsidR="00292683" w:rsidRPr="00A41798" w:rsidRDefault="00292683" w:rsidP="00292683">
            <w:pPr>
              <w:autoSpaceDE w:val="0"/>
              <w:autoSpaceDN w:val="0"/>
              <w:adjustRightInd w:val="0"/>
              <w:rPr>
                <w:rFonts w:cstheme="minorHAnsi"/>
                <w:bCs/>
              </w:rPr>
            </w:pPr>
            <w:r w:rsidRPr="00A41798">
              <w:rPr>
                <w:rFonts w:cstheme="minorHAnsi"/>
                <w:bCs/>
              </w:rPr>
              <w:t>Pope, G., et al., Principal Inpatient Diagnostic Cost Group Models for Medicare Risk Adjustment. Health Care Financing Review, 2000. 21(3):26.</w:t>
            </w:r>
          </w:p>
          <w:p w14:paraId="38FB09E4" w14:textId="77777777" w:rsidR="00227ABF" w:rsidRDefault="00227ABF" w:rsidP="00001D73">
            <w:pPr>
              <w:autoSpaceDE w:val="0"/>
              <w:autoSpaceDN w:val="0"/>
              <w:adjustRightInd w:val="0"/>
              <w:rPr>
                <w:rFonts w:cstheme="minorHAnsi"/>
                <w:bCs/>
              </w:rPr>
            </w:pPr>
          </w:p>
          <w:p w14:paraId="7ADF1516" w14:textId="77777777" w:rsidR="00227ABF" w:rsidRDefault="00227ABF" w:rsidP="00227ABF">
            <w:pPr>
              <w:pBdr>
                <w:top w:val="single" w:sz="4" w:space="1" w:color="auto"/>
                <w:left w:val="single" w:sz="4" w:space="4" w:color="auto"/>
                <w:bottom w:val="single" w:sz="4" w:space="1" w:color="auto"/>
                <w:right w:val="single" w:sz="4" w:space="4" w:color="auto"/>
              </w:pBdr>
              <w:rPr>
                <w:u w:val="single"/>
              </w:rPr>
            </w:pPr>
          </w:p>
          <w:p w14:paraId="565B88BD" w14:textId="200730CE" w:rsidR="00227ABF" w:rsidRPr="00227ABF" w:rsidRDefault="00227ABF" w:rsidP="00227ABF">
            <w:pPr>
              <w:pBdr>
                <w:top w:val="single" w:sz="4" w:space="1" w:color="auto"/>
                <w:left w:val="single" w:sz="4" w:space="4" w:color="auto"/>
                <w:bottom w:val="single" w:sz="4" w:space="1" w:color="auto"/>
                <w:right w:val="single" w:sz="4" w:space="4" w:color="auto"/>
              </w:pBdr>
              <w:rPr>
                <w:u w:val="single"/>
              </w:rPr>
            </w:pPr>
            <w:r w:rsidRPr="00227ABF">
              <w:rPr>
                <w:u w:val="single"/>
              </w:rPr>
              <w:t>Socioeconomic Status (SES) Factors and Race</w:t>
            </w:r>
            <w:r>
              <w:rPr>
                <w:u w:val="single"/>
              </w:rPr>
              <w:t xml:space="preserve"> </w:t>
            </w:r>
          </w:p>
          <w:p w14:paraId="10998D02" w14:textId="5D7C150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We selected variables representing SES factors and race for examination based on a review of literature, conceptual pathways, and feasibility. In Section 1.8, we describe the variables that we considered and analyzed based on this review. Below we describe the pathways by which SES and race may influence 30-day readmission.</w:t>
            </w:r>
          </w:p>
          <w:p w14:paraId="6DC3511A"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Our conceptualization of the pathways by which patient SES or race affects 30-day readmission is informed by the literature.</w:t>
            </w:r>
          </w:p>
          <w:p w14:paraId="790B484E"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p>
          <w:p w14:paraId="40E1CDE6"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u w:val="single"/>
              </w:rPr>
              <w:t>Literature Review of Socioeconomic Status (SES) and Race Variables and HF Readmission</w:t>
            </w:r>
          </w:p>
          <w:p w14:paraId="31A4CA3F" w14:textId="1B4A1100"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 xml:space="preserve">To examine the relationship between SES and race variables and hospital 30-day, hospital-wide, all-cause, unplanned readmission following hospitalization, a literature search was performed with the following exclusion criteria: international studies, articles published more than 10 years ago, articles without primary data, articles using Veterans Affairs databases as the primary data source, and articles not explicitly focused on SES or race and readmission across multiple conditions. One hundred and sixty nine articles were initially reviewed, and </w:t>
            </w:r>
            <w:r w:rsidR="00655437">
              <w:rPr>
                <w:rFonts w:cstheme="minorHAnsi"/>
                <w:bCs/>
              </w:rPr>
              <w:t>155</w:t>
            </w:r>
            <w:r w:rsidRPr="00227ABF">
              <w:rPr>
                <w:rFonts w:cstheme="minorHAnsi"/>
                <w:bCs/>
              </w:rPr>
              <w:t xml:space="preserve"> studies were excluded from full-text review based on the above criteria. Studies indicate that S</w:t>
            </w:r>
            <w:r w:rsidR="00594B9A">
              <w:rPr>
                <w:rFonts w:cstheme="minorHAnsi"/>
                <w:bCs/>
              </w:rPr>
              <w:t xml:space="preserve">ES and </w:t>
            </w:r>
            <w:r w:rsidRPr="00227ABF">
              <w:rPr>
                <w:rFonts w:cstheme="minorHAnsi"/>
                <w:bCs/>
              </w:rPr>
              <w:t>race variables were associated with increased risk of readmission across multiple major illnesses and conditions</w:t>
            </w:r>
            <w:r w:rsidR="00456210">
              <w:rPr>
                <w:rFonts w:cstheme="minorHAnsi"/>
                <w:bCs/>
              </w:rPr>
              <w:t xml:space="preserve"> </w:t>
            </w:r>
            <w:r w:rsidR="00456210" w:rsidRPr="00456210">
              <w:rPr>
                <w:rFonts w:cstheme="minorHAnsi"/>
                <w:bCs/>
              </w:rPr>
              <w:t>(Aseltine RH, et al., 2015; Mitchell SE, et al., 2012; Odonkor CA, et al., 2015; Herrin J, et al., 2015; Gu Q, et al., 2014, Kim H, et al., 2010; Kangovi S, et al., 2012; Iloabuchi TC, 2014; Beck AF, et al., 2012; Arbaje AI, et al., 2008; Hu J, 2014; Nagasako EM, et al., 2014; Joynt, K. E., et al., 2013)</w:t>
            </w:r>
            <w:r w:rsidRPr="00227ABF">
              <w:rPr>
                <w:rFonts w:cstheme="minorHAnsi"/>
                <w:bCs/>
              </w:rPr>
              <w:t>, though there may not be a significant effect on hospital-level profiling</w:t>
            </w:r>
            <w:r w:rsidR="00456210">
              <w:rPr>
                <w:rFonts w:cstheme="minorHAnsi"/>
                <w:bCs/>
              </w:rPr>
              <w:t xml:space="preserve"> </w:t>
            </w:r>
            <w:r w:rsidR="00456210" w:rsidRPr="00456210">
              <w:rPr>
                <w:rFonts w:cstheme="minorHAnsi"/>
                <w:bCs/>
              </w:rPr>
              <w:t>(Blum et al., 2014)</w:t>
            </w:r>
            <w:r w:rsidRPr="00227ABF">
              <w:rPr>
                <w:rFonts w:cstheme="minorHAnsi"/>
                <w:bCs/>
              </w:rPr>
              <w:t xml:space="preserve">. </w:t>
            </w:r>
          </w:p>
          <w:p w14:paraId="19EF96A0"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p>
          <w:p w14:paraId="17723365"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u w:val="single"/>
              </w:rPr>
            </w:pPr>
            <w:r w:rsidRPr="00227ABF">
              <w:rPr>
                <w:rFonts w:cstheme="minorHAnsi"/>
                <w:bCs/>
                <w:u w:val="single"/>
              </w:rPr>
              <w:t>Causal Pathways for Socioeconomic Status (SES) and Race Variable Selection</w:t>
            </w:r>
          </w:p>
          <w:p w14:paraId="132A772C" w14:textId="154B177C"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lastRenderedPageBreak/>
              <w:t>Although some recent literature evaluates the relationship between patient SES or race and the readmission outcome, few studies directly address causal pathways or examine the role of the hospital in these pathways. Moreover, the current literature examines a wide range of conditions and risk variables with no clear consensus on which risk factors demonstrate the strongest relationship with readmission. The SES factors that have been examined in the readmission literature can be categorized into three domains: (1) patient-level variables, (2) neighborhood/community-level variables, and (3) hospital-level variables. Patient-level variables describe characteristics of individual patients, and range from the self-reported or documented race or ethnicity of the patient to the patient’s income or education level (Eapen et al., 2015; Hu et al., 2014). Neighborhood/community-level variables use information from sources such as the American Community Survey (ACS) as either a proxy for individual patient-level data or to measure environmental factors. Studies using these variables use one dimensional measures such as median household income or composite measures such as the AHRQ-validated SES index score (Blum et al., 2014). Hospital-level variables measure attributes of the hospital which may be related to patient risk. Examples of hospital-level variables used in studies are ZIP code characteristics aggregated to the hospital level or the proportion of Medicaid patients served in the hospital (Gilman et al., 2014; Joynt and Jha, 2013).</w:t>
            </w:r>
          </w:p>
          <w:p w14:paraId="5F2A7F6A"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The conceptual relationship, or potential causal pathways by which these possible SES risk factors influence the risk of readmission following an acute illness or major surgery, like the factors themselves, are varied and complex. There are at least four potential pathways that are important to consider.</w:t>
            </w:r>
          </w:p>
          <w:p w14:paraId="7C66FAB1"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 xml:space="preserve">1. </w:t>
            </w:r>
            <w:r w:rsidRPr="00227ABF">
              <w:rPr>
                <w:rFonts w:cstheme="minorHAnsi"/>
                <w:b/>
                <w:bCs/>
              </w:rPr>
              <w:t>Relationship of socioeconomic status (SES) factors or race to health at admission</w:t>
            </w:r>
            <w:r w:rsidRPr="00227ABF">
              <w:rPr>
                <w:rFonts w:cstheme="minorHAnsi"/>
                <w:bCs/>
              </w:rPr>
              <w:t>. Patients who have lower income/education/literacy or unstable housing may have a worse general health status and may present for their hospitalization or procedure with a greater severity of underlying illness. These SES risk factors, which are characterized by patient-level or neighborhood/community-level (as proxy for patient-level) variables, may contribute to worse health status at admission due to competing priorities (restrictions based on job, lack of childcare), lack of access to care (geographic, cultural, or financial), or lack of health insurance. Given that these risk factors all lead to worse general health status, this causal pathway should be largely accounted for by current clinical risk-adjustment</w:t>
            </w:r>
            <w:r w:rsidRPr="00227ABF">
              <w:rPr>
                <w:rFonts w:cstheme="minorHAnsi"/>
                <w:b/>
                <w:bCs/>
              </w:rPr>
              <w:t>.</w:t>
            </w:r>
          </w:p>
          <w:p w14:paraId="15AC5BCE"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In addition to SES risk factors, studies have shown that worse health status is more prevalent among African-American patients compared with white patients. The association between race and worse health is in part mediated by the association between race and SES risk factors such as poverty or disparate access to care associated with poverty or neighborhood. The association is also mediated through bias in healthcare as well as other facets of society.</w:t>
            </w:r>
          </w:p>
          <w:p w14:paraId="104A98EC"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 xml:space="preserve">2. </w:t>
            </w:r>
            <w:r w:rsidRPr="00227ABF">
              <w:rPr>
                <w:rFonts w:cstheme="minorHAnsi"/>
                <w:b/>
                <w:bCs/>
              </w:rPr>
              <w:t>Use of low-quality hospitals</w:t>
            </w:r>
            <w:r w:rsidRPr="00227ABF">
              <w:rPr>
                <w:rFonts w:cstheme="minorHAnsi"/>
                <w:bCs/>
              </w:rPr>
              <w:t>. Patients of lower income, lower education, or unstable housing have been shown not to have equitable access to high quality facilities because such facilities are less likely to be found in geographic areas with large populations of poor patients; thus patients with low income are more likely to be seen in lower quality hospitals, which can contribute to increased risk of readmission following hospitalization (Jha et al., 2011; Reames et al., 2014). Similarly African-American patients have been shown to have less access to high quality facilities compared with white patients (Skinner et al., 2005).</w:t>
            </w:r>
          </w:p>
          <w:p w14:paraId="18D95A39"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 xml:space="preserve">3. </w:t>
            </w:r>
            <w:r w:rsidRPr="00227ABF">
              <w:rPr>
                <w:rFonts w:cstheme="minorHAnsi"/>
                <w:b/>
                <w:bCs/>
              </w:rPr>
              <w:t>Differential care within a hospital</w:t>
            </w:r>
            <w:r w:rsidRPr="00227ABF">
              <w:rPr>
                <w:rFonts w:cstheme="minorHAnsi"/>
                <w:bCs/>
              </w:rPr>
              <w:t xml:space="preserve">. The third major pathway by which SES factors or race may contribute to readmission risk is that patients may not receive equivalent care within a facility. For example, African-American patients have been shown to experience differential, lower quality, or discriminatory care within a given facility (Trivedi et al., 2014). Alternatively, patients with SES risk </w:t>
            </w:r>
            <w:r w:rsidRPr="00227ABF">
              <w:rPr>
                <w:rFonts w:cstheme="minorHAnsi"/>
                <w:bCs/>
              </w:rPr>
              <w:lastRenderedPageBreak/>
              <w:t>factors such as lower education may require differentiated care – e.g. provision of lower literacy information – that they do not receive.</w:t>
            </w:r>
            <w:r w:rsidRPr="00227ABF" w:rsidDel="004C6183">
              <w:rPr>
                <w:rFonts w:cstheme="minorHAnsi"/>
                <w:bCs/>
              </w:rPr>
              <w:t xml:space="preserve"> </w:t>
            </w:r>
          </w:p>
          <w:p w14:paraId="6566F0EE"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 xml:space="preserve">4. </w:t>
            </w:r>
            <w:r w:rsidRPr="00227ABF">
              <w:rPr>
                <w:rFonts w:cstheme="minorHAnsi"/>
                <w:b/>
                <w:bCs/>
              </w:rPr>
              <w:t>Influence of SES on readmission risk outside of hospital quality and health status</w:t>
            </w:r>
            <w:r w:rsidRPr="00227ABF">
              <w:rPr>
                <w:rFonts w:cstheme="minorHAnsi"/>
                <w:bCs/>
              </w:rPr>
              <w:t>. Some SES risk factors, such as income or wealth, may affect the likelihood of readmission without directly affecting health status at admission or the quality of care received during the hospital stay. For instance, while a hospital may make appropriate care decisions and provide tailored care and education, a lower-income patient may have a worse outcome post-discharge due to competing economic priorities or a lack of access to care outside of the hospital.</w:t>
            </w:r>
          </w:p>
          <w:p w14:paraId="3935CB74"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These proposed pathways are complex to distinguish analytically. They also have different implications on the decision to risk adjust or not. We, therefore, first assessed if there was evidence of a meaningful effect on the risk model to warrant efforts to distinguish among these pathways. Based on this model and the considerations outlined in Section 1.8, the following SES and race variables were considered:</w:t>
            </w:r>
          </w:p>
          <w:p w14:paraId="5FCAF7AE"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contextualSpacing/>
              <w:rPr>
                <w:rFonts w:cstheme="minorHAnsi"/>
                <w:bCs/>
              </w:rPr>
            </w:pPr>
            <w:r w:rsidRPr="00227ABF">
              <w:rPr>
                <w:rFonts w:cstheme="minorHAnsi"/>
                <w:bCs/>
              </w:rPr>
              <w:t>• Dual eligible status</w:t>
            </w:r>
          </w:p>
          <w:p w14:paraId="088CC68D"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contextualSpacing/>
              <w:rPr>
                <w:rFonts w:cstheme="minorHAnsi"/>
                <w:bCs/>
              </w:rPr>
            </w:pPr>
            <w:r w:rsidRPr="00227ABF">
              <w:rPr>
                <w:rFonts w:cstheme="minorHAnsi"/>
                <w:bCs/>
              </w:rPr>
              <w:t>• African American race</w:t>
            </w:r>
          </w:p>
          <w:p w14:paraId="1BA9B7C3"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 AHRQ SES index</w:t>
            </w:r>
          </w:p>
          <w:p w14:paraId="58FB7194" w14:textId="7CD0B700"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Pr>
                <w:rFonts w:cstheme="minorHAnsi"/>
                <w:bCs/>
              </w:rPr>
              <w:t>Using the data from the Hospital-Wide All</w:t>
            </w:r>
            <w:r w:rsidR="00655437">
              <w:rPr>
                <w:rFonts w:cstheme="minorHAnsi"/>
                <w:bCs/>
              </w:rPr>
              <w:t>-</w:t>
            </w:r>
            <w:r>
              <w:rPr>
                <w:rFonts w:cstheme="minorHAnsi"/>
                <w:bCs/>
              </w:rPr>
              <w:t>Cause Readmission Measure for the 2015 reporting year</w:t>
            </w:r>
            <w:r w:rsidR="002C41A7">
              <w:rPr>
                <w:rFonts w:cstheme="minorHAnsi"/>
                <w:bCs/>
              </w:rPr>
              <w:t xml:space="preserve"> (</w:t>
            </w:r>
            <w:r w:rsidR="002C41A7">
              <w:rPr>
                <w:rFonts w:cstheme="minorHAnsi"/>
                <w:b/>
                <w:bCs/>
              </w:rPr>
              <w:t xml:space="preserve">Dataset 4 </w:t>
            </w:r>
            <w:r w:rsidR="002C41A7">
              <w:rPr>
                <w:rFonts w:cstheme="minorHAnsi"/>
                <w:bCs/>
              </w:rPr>
              <w:t xml:space="preserve">and </w:t>
            </w:r>
            <w:r w:rsidR="002C41A7">
              <w:rPr>
                <w:rFonts w:cstheme="minorHAnsi"/>
                <w:b/>
                <w:bCs/>
              </w:rPr>
              <w:t>Dataset 5</w:t>
            </w:r>
            <w:r w:rsidR="002C41A7" w:rsidRPr="002C41A7">
              <w:rPr>
                <w:rFonts w:cstheme="minorHAnsi"/>
                <w:bCs/>
              </w:rPr>
              <w:t xml:space="preserve"> [AHRQ SES index]</w:t>
            </w:r>
            <w:r w:rsidR="002C41A7">
              <w:rPr>
                <w:rFonts w:cstheme="minorHAnsi"/>
                <w:bCs/>
              </w:rPr>
              <w:t>)</w:t>
            </w:r>
            <w:r>
              <w:rPr>
                <w:rFonts w:cstheme="minorHAnsi"/>
                <w:bCs/>
              </w:rPr>
              <w:t>, we</w:t>
            </w:r>
            <w:r w:rsidRPr="00227ABF">
              <w:rPr>
                <w:rFonts w:cstheme="minorHAnsi"/>
                <w:bCs/>
              </w:rPr>
              <w:t xml:space="preserve"> assessed the relationship between the SES variables and race with the outcome and examined the incremental effect in a multivariable model. For this measure, we also examined the extent to which the addition of any one of these variables improved model performance or changed hospital results. </w:t>
            </w:r>
          </w:p>
          <w:p w14:paraId="244BD421" w14:textId="77777777" w:rsidR="00424630" w:rsidRPr="00424630" w:rsidRDefault="00424630" w:rsidP="0042463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r w:rsidRPr="00424630">
              <w:rPr>
                <w:rFonts w:cstheme="minorHAnsi"/>
                <w:bCs/>
              </w:rPr>
              <w:t xml:space="preserve">One concern with including SES or race factors in a model is that their effect may be at either the patient or the hospital level. For example, low SES may increase the risk of readmission because patients of low SES have an individual higher risk (patient-level effect) or because patients of low SES are more often admitted to hospitals with higher overall readmission rates (hospital-level effect). Thus, as an additional step, we performed a decomposition analysis to assess the independent effects of the SES and race variables at the patient level and the hospital level. If, for example, all the elevated risk of readmission for patients of low SES was due to lower quality/higher readmission risk in hospitals with more patients of low SES, then a significant hospital-level effect would be expected with little-to-no patient-level effect. However, if the increased readmission risk was solely related to higher risk for patients of low SES regardless of hospital effect, then a significant patient-level effect would be expected and a significant hospital-level effect would not be expected. </w:t>
            </w:r>
          </w:p>
          <w:p w14:paraId="0C15B11C" w14:textId="77777777" w:rsidR="00424630" w:rsidRPr="00424630" w:rsidRDefault="00424630" w:rsidP="0042463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37383EB6" w14:textId="77777777" w:rsidR="00424630" w:rsidRPr="00424630" w:rsidRDefault="00424630" w:rsidP="0042463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r w:rsidRPr="00424630">
              <w:rPr>
                <w:rFonts w:cstheme="minorHAnsi"/>
                <w:bCs/>
              </w:rPr>
              <w:t>Specifically, we decomposed each of the SES and race variables as follows: Let X</w:t>
            </w:r>
            <w:r w:rsidRPr="00424630">
              <w:rPr>
                <w:rFonts w:cstheme="minorHAnsi"/>
                <w:bCs/>
                <w:vertAlign w:val="subscript"/>
              </w:rPr>
              <w:t>ij</w:t>
            </w:r>
            <w:r w:rsidRPr="00424630">
              <w:rPr>
                <w:rFonts w:cstheme="minorHAnsi"/>
                <w:bCs/>
              </w:rPr>
              <w:t xml:space="preserve"> be a binary indicator of the SES or race status of the i</w:t>
            </w:r>
            <w:r w:rsidRPr="00424630">
              <w:rPr>
                <w:rFonts w:cstheme="minorHAnsi"/>
                <w:bCs/>
                <w:vertAlign w:val="superscript"/>
              </w:rPr>
              <w:t>th</w:t>
            </w:r>
            <w:r w:rsidRPr="00424630">
              <w:rPr>
                <w:rFonts w:cstheme="minorHAnsi"/>
                <w:bCs/>
              </w:rPr>
              <w:t xml:space="preserve"> patient at the j</w:t>
            </w:r>
            <w:r w:rsidRPr="00424630">
              <w:rPr>
                <w:rFonts w:cstheme="minorHAnsi"/>
                <w:bCs/>
                <w:vertAlign w:val="superscript"/>
              </w:rPr>
              <w:t>th</w:t>
            </w:r>
            <w:r w:rsidRPr="00424630">
              <w:rPr>
                <w:rFonts w:cstheme="minorHAnsi"/>
                <w:bCs/>
              </w:rPr>
              <w:t xml:space="preserve"> hospital, and </w:t>
            </w:r>
            <w:r w:rsidRPr="00424630">
              <w:rPr>
                <w:rFonts w:cstheme="minorHAnsi"/>
                <w:b/>
                <w:bCs/>
              </w:rPr>
              <w:t>X</w:t>
            </w:r>
            <w:r w:rsidRPr="00424630">
              <w:rPr>
                <w:rFonts w:cstheme="minorHAnsi"/>
                <w:bCs/>
                <w:vertAlign w:val="subscript"/>
              </w:rPr>
              <w:t>j</w:t>
            </w:r>
            <w:r w:rsidRPr="00424630">
              <w:rPr>
                <w:rFonts w:cstheme="minorHAnsi"/>
                <w:bCs/>
              </w:rPr>
              <w:t xml:space="preserve"> the percent of patients at hospital j with X</w:t>
            </w:r>
            <w:r w:rsidRPr="00424630">
              <w:rPr>
                <w:rFonts w:cstheme="minorHAnsi"/>
                <w:bCs/>
                <w:vertAlign w:val="subscript"/>
              </w:rPr>
              <w:t>ij</w:t>
            </w:r>
            <w:r w:rsidRPr="00424630">
              <w:rPr>
                <w:rFonts w:cstheme="minorHAnsi"/>
                <w:bCs/>
              </w:rPr>
              <w:t xml:space="preserve"> = 1. Then we rewrote X</w:t>
            </w:r>
            <w:r w:rsidRPr="00424630">
              <w:rPr>
                <w:rFonts w:cstheme="minorHAnsi"/>
                <w:bCs/>
                <w:vertAlign w:val="subscript"/>
              </w:rPr>
              <w:t>ij</w:t>
            </w:r>
            <w:r w:rsidRPr="00424630">
              <w:rPr>
                <w:rFonts w:cstheme="minorHAnsi"/>
                <w:bCs/>
              </w:rPr>
              <w:t xml:space="preserve"> = (X</w:t>
            </w:r>
            <w:r w:rsidRPr="00424630">
              <w:rPr>
                <w:rFonts w:cstheme="minorHAnsi"/>
                <w:bCs/>
                <w:vertAlign w:val="subscript"/>
              </w:rPr>
              <w:t>ij</w:t>
            </w:r>
            <w:r w:rsidRPr="00424630">
              <w:rPr>
                <w:rFonts w:cstheme="minorHAnsi"/>
                <w:bCs/>
              </w:rPr>
              <w:t xml:space="preserve">- </w:t>
            </w:r>
            <w:r w:rsidRPr="00424630">
              <w:rPr>
                <w:rFonts w:cstheme="minorHAnsi"/>
                <w:b/>
                <w:bCs/>
              </w:rPr>
              <w:t>X</w:t>
            </w:r>
            <w:r w:rsidRPr="00424630">
              <w:rPr>
                <w:rFonts w:cstheme="minorHAnsi"/>
                <w:b/>
                <w:bCs/>
                <w:vertAlign w:val="subscript"/>
              </w:rPr>
              <w:t>j</w:t>
            </w:r>
            <w:r w:rsidRPr="00424630">
              <w:rPr>
                <w:rFonts w:cstheme="minorHAnsi"/>
                <w:bCs/>
              </w:rPr>
              <w:t xml:space="preserve">) + </w:t>
            </w:r>
            <w:r w:rsidRPr="00424630">
              <w:rPr>
                <w:rFonts w:cstheme="minorHAnsi"/>
                <w:b/>
                <w:bCs/>
              </w:rPr>
              <w:t>X</w:t>
            </w:r>
            <w:r w:rsidRPr="00424630">
              <w:rPr>
                <w:rFonts w:cstheme="minorHAnsi"/>
                <w:bCs/>
                <w:vertAlign w:val="subscript"/>
              </w:rPr>
              <w:t>j</w:t>
            </w:r>
            <w:r w:rsidRPr="00424630">
              <w:rPr>
                <w:rFonts w:cstheme="minorHAnsi"/>
                <w:bCs/>
              </w:rPr>
              <w:t xml:space="preserve"> </w:t>
            </w:r>
            <w:r w:rsidRPr="00424630">
              <w:rPr>
                <w:rFonts w:cstheme="minorHAnsi"/>
                <w:bCs/>
              </w:rPr>
              <w:sym w:font="Symbol" w:char="F0BA"/>
            </w:r>
            <w:r w:rsidRPr="00424630">
              <w:rPr>
                <w:rFonts w:cstheme="minorHAnsi"/>
                <w:bCs/>
              </w:rPr>
              <w:t xml:space="preserve"> X</w:t>
            </w:r>
            <w:r w:rsidRPr="00424630">
              <w:rPr>
                <w:rFonts w:cstheme="minorHAnsi"/>
                <w:bCs/>
                <w:vertAlign w:val="subscript"/>
              </w:rPr>
              <w:t>patient</w:t>
            </w:r>
            <w:r w:rsidRPr="00424630">
              <w:rPr>
                <w:rFonts w:cstheme="minorHAnsi"/>
                <w:bCs/>
              </w:rPr>
              <w:t>+ X</w:t>
            </w:r>
            <w:r w:rsidRPr="00424630">
              <w:rPr>
                <w:rFonts w:cstheme="minorHAnsi"/>
                <w:bCs/>
                <w:vertAlign w:val="subscript"/>
              </w:rPr>
              <w:t>hospital</w:t>
            </w:r>
            <w:r w:rsidRPr="00424630">
              <w:rPr>
                <w:rFonts w:cstheme="minorHAnsi"/>
                <w:bCs/>
              </w:rPr>
              <w:t>. The first variable, X</w:t>
            </w:r>
            <w:r w:rsidRPr="00424630">
              <w:rPr>
                <w:rFonts w:cstheme="minorHAnsi"/>
                <w:bCs/>
                <w:vertAlign w:val="subscript"/>
              </w:rPr>
              <w:t>patient</w:t>
            </w:r>
            <w:r w:rsidRPr="00424630">
              <w:rPr>
                <w:rFonts w:cstheme="minorHAnsi"/>
                <w:bCs/>
              </w:rPr>
              <w:t>, represents the effect of the risk factor at the patient level (sometimes called the “within” hospital effect), and the second, X</w:t>
            </w:r>
            <w:r w:rsidRPr="00424630">
              <w:rPr>
                <w:rFonts w:cstheme="minorHAnsi"/>
                <w:bCs/>
                <w:vertAlign w:val="subscript"/>
              </w:rPr>
              <w:t>hospital</w:t>
            </w:r>
            <w:r w:rsidRPr="00424630">
              <w:rPr>
                <w:rFonts w:cstheme="minorHAnsi"/>
                <w:bCs/>
              </w:rPr>
              <w:t>, represents the effect at the hospital level (sometimes called the “between” hospital effect). By including both of these in the same model, we can assess whether these are independent effects, or whether only one of these effects contributes. This analysis allows us to simultaneously estimate the independent effects of: 1) hospitals with higher or lower proportions of low SES patients or African-American patients on the readmission rate of an average patient; and 2) a patient’s SES or race on their own readmission rates when seen at an average hospital.</w:t>
            </w:r>
          </w:p>
          <w:p w14:paraId="03CAA729" w14:textId="77777777" w:rsidR="00424630" w:rsidRPr="00424630" w:rsidRDefault="00424630" w:rsidP="0042463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0CA79A7E" w14:textId="107B779C" w:rsidR="00424630" w:rsidRPr="00227ABF" w:rsidRDefault="00424630" w:rsidP="0042463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r w:rsidRPr="00424630">
              <w:rPr>
                <w:rFonts w:cstheme="minorHAnsi"/>
                <w:bCs/>
              </w:rPr>
              <w:lastRenderedPageBreak/>
              <w:t>It is very important to note, however, that even in the presence of a significant patient-level effect and absence of a significant hospital-level effect, the increased risk could be partly or entirely due to the quality of care patients receive in the hospital. For example, biased or differential care provided within a hospital to low-income patients as compared to high-income patients would exert its impact at the level of individual patients, and therefore be a patient-level effect. It is also important to note that the patient-level and hospital-level coefficients cannot be quantitatively compared because the patient’s SES circumstance or race in the model is binary whereas the hospitals’ proportion of low SES patients or African-American patients is continuous.</w:t>
            </w:r>
          </w:p>
          <w:p w14:paraId="7C9D237D"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u w:val="single"/>
              </w:rPr>
            </w:pPr>
            <w:r w:rsidRPr="00227ABF">
              <w:rPr>
                <w:rFonts w:cstheme="minorHAnsi"/>
                <w:bCs/>
                <w:u w:val="single"/>
              </w:rPr>
              <w:t>References:</w:t>
            </w:r>
          </w:p>
          <w:p w14:paraId="4E35D7F3" w14:textId="77777777" w:rsidR="00AD54A2" w:rsidRPr="00AD54A2" w:rsidRDefault="00AD54A2" w:rsidP="00AD54A2">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AD54A2">
              <w:rPr>
                <w:rFonts w:cstheme="minorHAnsi"/>
                <w:bCs/>
              </w:rPr>
              <w:t xml:space="preserve">Arbaje AI, Wolff JL, Yu Q, Powe NR, Anderson GF, Boult C. Postdischarge environmental and socioeconomic factors and the likelihood of early hospital readmission among community-dwelling Medicare beneficiaries. </w:t>
            </w:r>
            <w:r w:rsidRPr="00AD54A2">
              <w:rPr>
                <w:rFonts w:cstheme="minorHAnsi"/>
                <w:bCs/>
                <w:i/>
                <w:iCs/>
              </w:rPr>
              <w:t xml:space="preserve">The Gerontologist. </w:t>
            </w:r>
            <w:r w:rsidRPr="00AD54A2">
              <w:rPr>
                <w:rFonts w:cstheme="minorHAnsi"/>
                <w:bCs/>
              </w:rPr>
              <w:t>2008;48(4):495-504.</w:t>
            </w:r>
          </w:p>
          <w:p w14:paraId="22D88075" w14:textId="77777777" w:rsid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 xml:space="preserve">Aseltine RH, Jr., Yan J, Gruss CB, Wagner C, Katz M. Connecticut Hospital Readmissions Related to Chest Pain and Heart Failure: Differences by Race, Ethnicity, and Payer. </w:t>
            </w:r>
            <w:r w:rsidRPr="00227ABF">
              <w:rPr>
                <w:rFonts w:cstheme="minorHAnsi"/>
                <w:bCs/>
                <w:i/>
                <w:iCs/>
              </w:rPr>
              <w:t xml:space="preserve">Connecticut medicine. </w:t>
            </w:r>
            <w:r w:rsidRPr="00227ABF">
              <w:rPr>
                <w:rFonts w:cstheme="minorHAnsi"/>
                <w:bCs/>
              </w:rPr>
              <w:t>2015;79(2):69-76.</w:t>
            </w:r>
          </w:p>
          <w:p w14:paraId="444E5E97" w14:textId="4C4E4910" w:rsidR="00813BD6" w:rsidRPr="00227ABF" w:rsidRDefault="00813BD6"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813BD6">
              <w:rPr>
                <w:rFonts w:cstheme="minorHAnsi"/>
                <w:bCs/>
              </w:rPr>
              <w:t xml:space="preserve">Beck AF, Simmons JM, Huang B, Kahn RS. Geomedicine: area-based socioeconomic measures for assessing risk of hospital reutilization among children admitted for asthma. </w:t>
            </w:r>
            <w:r w:rsidRPr="00813BD6">
              <w:rPr>
                <w:rFonts w:cstheme="minorHAnsi"/>
                <w:bCs/>
                <w:i/>
                <w:iCs/>
              </w:rPr>
              <w:t xml:space="preserve">American journal of public health. </w:t>
            </w:r>
            <w:r w:rsidRPr="00813BD6">
              <w:rPr>
                <w:rFonts w:cstheme="minorHAnsi"/>
                <w:bCs/>
              </w:rPr>
              <w:t>2012;102(12):2308-2314.</w:t>
            </w:r>
          </w:p>
          <w:p w14:paraId="25C82E35" w14:textId="77FE7F4B"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 xml:space="preserve">Blum, A. B., N. N. Egorova, E. A. Sosunov, A. C. Gelijns, E. DuPree, A. J. Moskowitz, A. D. Federman, D. D. Ascheim and S. Keyhani. "Impact of Socioeconomic Status Measures on Hospital Profiling in New York City." </w:t>
            </w:r>
            <w:r w:rsidRPr="00227ABF">
              <w:rPr>
                <w:rFonts w:cstheme="minorHAnsi"/>
                <w:bCs/>
                <w:i/>
              </w:rPr>
              <w:t>Circ Cardiovasc Qual Outcomes</w:t>
            </w:r>
            <w:r w:rsidRPr="00227ABF">
              <w:rPr>
                <w:rFonts w:cstheme="minorHAnsi"/>
                <w:bCs/>
              </w:rPr>
              <w:t xml:space="preserve"> 7, no. 3 (2014): 391-7.</w:t>
            </w:r>
          </w:p>
          <w:p w14:paraId="55798F43" w14:textId="52A560A4"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Eapen ZJ, McCoy LA, Fonarow GC, Yancy CW, Miranda ML, Peterson ED, Califf RM, Hernandez AF. Utility of socioeconomic status in predicting 30-day outcomes after heart failure hospitalization. Circ Heart Fail. May 2015; 8(3):473-80.</w:t>
            </w:r>
          </w:p>
          <w:p w14:paraId="67FB2672" w14:textId="67900E15" w:rsid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Gilman M, Adams EK, Hockenberry JM, Wilson IB, Milstein AS, Becker ER. California safety-net hospitals likely to be penalized by ACA value, readmission, and meaningful-use programs. Health Aff (Millwood). Aug 2014; 33(8):1314-22.</w:t>
            </w:r>
          </w:p>
          <w:p w14:paraId="0BA73133" w14:textId="7E509539" w:rsidR="00813BD6" w:rsidRDefault="00813BD6"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813BD6">
              <w:rPr>
                <w:rFonts w:cstheme="minorHAnsi"/>
                <w:bCs/>
              </w:rPr>
              <w:t xml:space="preserve">Gu Q, Koenig L, Faerberg J, Steinberg CR, Vaz C, Wheatley MP. The Medicare Hospital Readmissions Reduction Program: potential unintended consequences for hospitals serving vulnerable populations. </w:t>
            </w:r>
            <w:r w:rsidRPr="00813BD6">
              <w:rPr>
                <w:rFonts w:cstheme="minorHAnsi"/>
                <w:bCs/>
                <w:i/>
                <w:iCs/>
              </w:rPr>
              <w:t xml:space="preserve">Health services research. </w:t>
            </w:r>
            <w:r w:rsidRPr="00813BD6">
              <w:rPr>
                <w:rFonts w:cstheme="minorHAnsi"/>
                <w:bCs/>
              </w:rPr>
              <w:t>2014;49(3):818-837.</w:t>
            </w:r>
          </w:p>
          <w:p w14:paraId="7E48ECCB" w14:textId="2935D3C9" w:rsidR="00AD54A2" w:rsidRPr="000F36A4" w:rsidRDefault="00AD54A2" w:rsidP="009F30D3">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0F36A4">
              <w:rPr>
                <w:rFonts w:cstheme="minorHAnsi"/>
                <w:bCs/>
              </w:rPr>
              <w:t xml:space="preserve">Herrin J, St Andre J, Kenward K, Joshi MS, Audet AM, Hines SC. Community factors and hospital readmission rates. </w:t>
            </w:r>
            <w:r w:rsidRPr="000F36A4">
              <w:rPr>
                <w:rFonts w:cstheme="minorHAnsi"/>
                <w:bCs/>
                <w:i/>
                <w:iCs/>
              </w:rPr>
              <w:t xml:space="preserve">Health services research. </w:t>
            </w:r>
            <w:r w:rsidRPr="000F36A4">
              <w:rPr>
                <w:rFonts w:cstheme="minorHAnsi"/>
                <w:bCs/>
              </w:rPr>
              <w:t>2015;50(1):20-39.</w:t>
            </w:r>
          </w:p>
          <w:p w14:paraId="28FEC9B1"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Hu J, Gonsahn MD, Nerenz DR. Socioeconomic status and readmissions: evidence from an urban teaching hospital. Health affairs (Project Hope). 2014; 33(5):778-785.</w:t>
            </w:r>
          </w:p>
          <w:p w14:paraId="7F1C7F6B" w14:textId="1A57B965" w:rsidR="00813BD6" w:rsidRDefault="00813BD6"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813BD6">
              <w:rPr>
                <w:rFonts w:cstheme="minorHAnsi"/>
                <w:bCs/>
              </w:rPr>
              <w:t xml:space="preserve">Iloabuchi TC, Mi D, Tu W, Counsell SR. Risk factors for early hospital readmission in low-income elderly adults. </w:t>
            </w:r>
            <w:r w:rsidRPr="00813BD6">
              <w:rPr>
                <w:rFonts w:cstheme="minorHAnsi"/>
                <w:bCs/>
                <w:i/>
                <w:iCs/>
              </w:rPr>
              <w:t xml:space="preserve">Journal of the American Geriatrics Society. </w:t>
            </w:r>
            <w:r w:rsidRPr="00813BD6">
              <w:rPr>
                <w:rFonts w:cstheme="minorHAnsi"/>
                <w:bCs/>
              </w:rPr>
              <w:t>2014;62(3):489-494.</w:t>
            </w:r>
          </w:p>
          <w:p w14:paraId="518C62D1"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Jha AK, Orav EJ, Epstein AM. Low-quality, high-cost hospitals, mainly in South, care for sharply higher shares of elderly black, Hispanic, and Medicaid patients. Health Affairs 2011; 30:1904-11.</w:t>
            </w:r>
          </w:p>
          <w:p w14:paraId="11B7CBC3"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Joynt KE, Jha AK. Characteristics of hospitals receiving penalties under the Hospital Readmissions Reduction Program. JAMA. Jan 23 2013; 309(4):342-3.</w:t>
            </w:r>
          </w:p>
          <w:p w14:paraId="5310B787" w14:textId="77777777" w:rsid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lastRenderedPageBreak/>
              <w:t>Joynt, K. E., E. J. Orav and A. K. Jha. "Thirty-Day Readmission Rates for Medicare Beneficiaries by Race and Site of Care." JAMA 305, no. 7 (2011): 675-81.</w:t>
            </w:r>
          </w:p>
          <w:p w14:paraId="0DD03B76" w14:textId="75A9EF72" w:rsidR="00813BD6" w:rsidRDefault="00813BD6"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813BD6">
              <w:rPr>
                <w:rFonts w:cstheme="minorHAnsi"/>
                <w:bCs/>
              </w:rPr>
              <w:t xml:space="preserve">Kangovi S, Grande D, Meehan P, Mitra N, Shannon R, Long JA. Perceptions of readmitted patients on the transition from hospital to home. </w:t>
            </w:r>
            <w:r w:rsidRPr="00813BD6">
              <w:rPr>
                <w:rFonts w:cstheme="minorHAnsi"/>
                <w:bCs/>
                <w:i/>
                <w:iCs/>
              </w:rPr>
              <w:t xml:space="preserve">Journal of hospital medicine. </w:t>
            </w:r>
            <w:r w:rsidRPr="00813BD6">
              <w:rPr>
                <w:rFonts w:cstheme="minorHAnsi"/>
                <w:bCs/>
              </w:rPr>
              <w:t>2012;7(9):709-712.</w:t>
            </w:r>
          </w:p>
          <w:p w14:paraId="7DA9964B" w14:textId="07D54370" w:rsidR="00813BD6" w:rsidRPr="00227ABF" w:rsidRDefault="00813BD6"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813BD6">
              <w:rPr>
                <w:rFonts w:cstheme="minorHAnsi"/>
                <w:bCs/>
              </w:rPr>
              <w:t xml:space="preserve">Kim H, Ross JS, Melkus GD, Zhao Z, Boockvar K. Scheduled and unscheduled hospital readmissions among patients with diabetes. </w:t>
            </w:r>
            <w:r w:rsidRPr="00813BD6">
              <w:rPr>
                <w:rFonts w:cstheme="minorHAnsi"/>
                <w:bCs/>
                <w:i/>
                <w:iCs/>
              </w:rPr>
              <w:t xml:space="preserve">The American journal of managed care. </w:t>
            </w:r>
            <w:r w:rsidRPr="00813BD6">
              <w:rPr>
                <w:rFonts w:cstheme="minorHAnsi"/>
                <w:bCs/>
              </w:rPr>
              <w:t>2010;16(10):760-767.</w:t>
            </w:r>
          </w:p>
          <w:p w14:paraId="17F6E96D" w14:textId="66A69579" w:rsidR="00AD54A2" w:rsidRDefault="00AD54A2"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AD54A2">
              <w:rPr>
                <w:rFonts w:cstheme="minorHAnsi"/>
                <w:bCs/>
              </w:rPr>
              <w:t xml:space="preserve">Mitchell SE, Sadikova E, Jack BW, Paasche-Orlow MK. Health literacy and 30-day postdischarge hospital utilization. </w:t>
            </w:r>
            <w:r w:rsidRPr="00AD54A2">
              <w:rPr>
                <w:rFonts w:cstheme="minorHAnsi"/>
                <w:bCs/>
                <w:i/>
                <w:iCs/>
              </w:rPr>
              <w:t xml:space="preserve">Journal of health communication. </w:t>
            </w:r>
            <w:r w:rsidRPr="00AD54A2">
              <w:rPr>
                <w:rFonts w:cstheme="minorHAnsi"/>
                <w:bCs/>
              </w:rPr>
              <w:t>2012;17 Suppl 3:325-338.</w:t>
            </w:r>
          </w:p>
          <w:p w14:paraId="0BBBAFF0" w14:textId="5EAEAB19" w:rsidR="00813BD6" w:rsidRPr="00227ABF" w:rsidRDefault="00813BD6"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813BD6">
              <w:rPr>
                <w:rFonts w:cstheme="minorHAnsi"/>
                <w:bCs/>
              </w:rPr>
              <w:t xml:space="preserve">Nagasako EM, Reidhead M, Waterman B, Dunagan WC. Adding socioeconomic data to hospital readmissions calculations may produce more useful results. </w:t>
            </w:r>
            <w:r w:rsidRPr="00813BD6">
              <w:rPr>
                <w:rFonts w:cstheme="minorHAnsi"/>
                <w:bCs/>
                <w:i/>
                <w:iCs/>
              </w:rPr>
              <w:t xml:space="preserve">Health affairs (Project Hope). </w:t>
            </w:r>
            <w:r w:rsidRPr="00813BD6">
              <w:rPr>
                <w:rFonts w:cstheme="minorHAnsi"/>
                <w:bCs/>
              </w:rPr>
              <w:t>2014;33(5):786-791.</w:t>
            </w:r>
          </w:p>
          <w:p w14:paraId="15DCCDCE" w14:textId="7BC180E3" w:rsidR="00AD54A2" w:rsidRDefault="00AD54A2"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AD54A2">
              <w:rPr>
                <w:rFonts w:cstheme="minorHAnsi"/>
                <w:bCs/>
              </w:rPr>
              <w:t xml:space="preserve">Odonkor CA, Hurst PV, Kondo N, Makary MA, Pronovost PJ. Beyond the Hospital Gates: Elucidating the Interactive Association of Social Support, Depressive Symptoms, and Physical Function with 30-Day Readmissions. </w:t>
            </w:r>
            <w:r w:rsidRPr="00AD54A2">
              <w:rPr>
                <w:rFonts w:cstheme="minorHAnsi"/>
                <w:bCs/>
                <w:i/>
                <w:iCs/>
              </w:rPr>
              <w:t xml:space="preserve">American journal of physical medicine &amp; rehabilitation / Association of Academic Physiatrists. </w:t>
            </w:r>
            <w:r w:rsidRPr="00AD54A2">
              <w:rPr>
                <w:rFonts w:cstheme="minorHAnsi"/>
                <w:bCs/>
              </w:rPr>
              <w:t>2015;94(7):555-567.</w:t>
            </w:r>
          </w:p>
          <w:p w14:paraId="2D375639"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Reames BN, Birkmeyer NJ, Dimick JB, Ghaferi AA. Socioeconomic disparities in mortality after cancer surgery: failure to rescue. JAMA surgery 2014; 149:475-81.</w:t>
            </w:r>
          </w:p>
          <w:p w14:paraId="240302C8"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Skinner J, Chandra A, Staiger D, Lee J, McClellan M. Mortality after acute myocardial infarction in hospitals that disproportionately treat black patients. Circulation 2005; 112:2634-41.</w:t>
            </w:r>
          </w:p>
          <w:p w14:paraId="228E87A1"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cstheme="minorHAnsi"/>
                <w:bCs/>
              </w:rPr>
            </w:pPr>
            <w:r w:rsidRPr="00227ABF">
              <w:rPr>
                <w:rFonts w:cstheme="minorHAnsi"/>
                <w:bCs/>
              </w:rPr>
              <w:t>Trivedi AN, Nsa W, Hausmann LR, et al. Quality and equity of care in U.S. hospitals. The New England journal of medicine 2014; 371:2298-308.</w:t>
            </w:r>
          </w:p>
          <w:p w14:paraId="035ABCB3" w14:textId="77777777" w:rsidR="00227ABF" w:rsidRPr="00227ABF" w:rsidRDefault="00227ABF" w:rsidP="00227ABF">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18D15AEA" w14:textId="7BC07CF8" w:rsidR="00227ABF" w:rsidRPr="003A7331" w:rsidRDefault="00227ABF" w:rsidP="00001D73">
            <w:pPr>
              <w:autoSpaceDE w:val="0"/>
              <w:autoSpaceDN w:val="0"/>
              <w:adjustRightInd w:val="0"/>
              <w:rPr>
                <w:rFonts w:cstheme="minorHAnsi"/>
                <w:bCs/>
                <w:color w:val="FF0000"/>
              </w:rPr>
            </w:pPr>
          </w:p>
        </w:tc>
      </w:tr>
    </w:tbl>
    <w:p w14:paraId="07B77499" w14:textId="77777777" w:rsidR="00001D73" w:rsidRPr="00001D73" w:rsidRDefault="00001D73" w:rsidP="00001D73">
      <w:pPr>
        <w:autoSpaceDE w:val="0"/>
        <w:autoSpaceDN w:val="0"/>
        <w:adjustRightInd w:val="0"/>
        <w:spacing w:after="0" w:line="240" w:lineRule="auto"/>
        <w:rPr>
          <w:rFonts w:cstheme="minorHAnsi"/>
          <w:bCs/>
        </w:rPr>
      </w:pPr>
    </w:p>
    <w:p w14:paraId="20D81B06" w14:textId="1E1B60CA" w:rsidR="008B48CE" w:rsidRDefault="00092566" w:rsidP="00001D73">
      <w:pPr>
        <w:autoSpaceDE w:val="0"/>
        <w:autoSpaceDN w:val="0"/>
        <w:adjustRightInd w:val="0"/>
        <w:spacing w:after="0" w:line="240" w:lineRule="auto"/>
        <w:rPr>
          <w:rFonts w:cstheme="minorHAnsi"/>
          <w:b/>
          <w:bCs/>
        </w:rPr>
      </w:pPr>
      <w:r>
        <w:rPr>
          <w:rFonts w:cstheme="minorHAnsi"/>
          <w:b/>
          <w:bCs/>
        </w:rPr>
        <w:t>2b4.4</w:t>
      </w:r>
      <w:r w:rsidR="006C58BC">
        <w:rPr>
          <w:rFonts w:cstheme="minorHAnsi"/>
          <w:b/>
          <w:bCs/>
        </w:rPr>
        <w:t>a</w:t>
      </w:r>
      <w:r>
        <w:rPr>
          <w:rFonts w:cstheme="minorHAnsi"/>
          <w:b/>
          <w:bCs/>
        </w:rPr>
        <w:t xml:space="preserve">. </w:t>
      </w:r>
      <w:r w:rsidRPr="00A25024">
        <w:rPr>
          <w:rFonts w:cstheme="minorHAnsi"/>
          <w:b/>
          <w:bCs/>
        </w:rPr>
        <w:t>What were the statistical results of the analyses used to select risk factors?</w:t>
      </w:r>
      <w:r w:rsidR="00001D73">
        <w:rPr>
          <w:rFonts w:cstheme="minorHAnsi"/>
          <w:b/>
          <w:bCs/>
        </w:rPr>
        <w:br/>
      </w:r>
    </w:p>
    <w:tbl>
      <w:tblPr>
        <w:tblStyle w:val="TableGrid"/>
        <w:tblW w:w="0" w:type="auto"/>
        <w:tblLook w:val="04A0" w:firstRow="1" w:lastRow="0" w:firstColumn="1" w:lastColumn="0" w:noHBand="0" w:noVBand="1"/>
      </w:tblPr>
      <w:tblGrid>
        <w:gridCol w:w="9350"/>
      </w:tblGrid>
      <w:tr w:rsidR="008B48CE" w14:paraId="18B3388F" w14:textId="77777777" w:rsidTr="008B48CE">
        <w:tc>
          <w:tcPr>
            <w:tcW w:w="9350" w:type="dxa"/>
          </w:tcPr>
          <w:p w14:paraId="71EC7E39" w14:textId="4873D0BB" w:rsidR="008B48CE" w:rsidRPr="00626E27" w:rsidRDefault="00203C3F" w:rsidP="006C58BC">
            <w:pPr>
              <w:autoSpaceDE w:val="0"/>
              <w:autoSpaceDN w:val="0"/>
              <w:adjustRightInd w:val="0"/>
              <w:rPr>
                <w:rFonts w:cstheme="minorHAnsi"/>
                <w:bCs/>
              </w:rPr>
            </w:pPr>
            <w:r w:rsidRPr="00626E27">
              <w:rPr>
                <w:rFonts w:cstheme="minorHAnsi"/>
                <w:bCs/>
              </w:rPr>
              <w:t xml:space="preserve">Candidate and final model variables, with a corresponding CC to ICD-9 code map, are listed in the accompanying Excel </w:t>
            </w:r>
            <w:r w:rsidR="007117D0">
              <w:rPr>
                <w:rFonts w:cstheme="minorHAnsi"/>
                <w:bCs/>
              </w:rPr>
              <w:t>Data Dictionary</w:t>
            </w:r>
            <w:r w:rsidRPr="00626E27">
              <w:rPr>
                <w:rFonts w:cstheme="minorHAnsi"/>
                <w:bCs/>
              </w:rPr>
              <w:t xml:space="preserve">. </w:t>
            </w:r>
            <w:r w:rsidR="004C2764">
              <w:rPr>
                <w:rFonts w:cstheme="minorHAnsi"/>
                <w:bCs/>
              </w:rPr>
              <w:t xml:space="preserve">The model variables from the original HWR measure are forced into the final model to align with that measure. </w:t>
            </w:r>
            <w:r w:rsidR="00132948">
              <w:rPr>
                <w:rFonts w:cstheme="minorHAnsi"/>
                <w:bCs/>
              </w:rPr>
              <w:t>The CCDE variables included in the model us</w:t>
            </w:r>
            <w:r w:rsidR="004C2764">
              <w:rPr>
                <w:rFonts w:cstheme="minorHAnsi"/>
                <w:bCs/>
              </w:rPr>
              <w:t>e</w:t>
            </w:r>
            <w:r w:rsidR="00132948">
              <w:rPr>
                <w:rFonts w:cstheme="minorHAnsi"/>
                <w:bCs/>
              </w:rPr>
              <w:t xml:space="preserve"> logistic regression model</w:t>
            </w:r>
            <w:r w:rsidR="004C2764">
              <w:rPr>
                <w:rFonts w:cstheme="minorHAnsi"/>
                <w:bCs/>
              </w:rPr>
              <w:t>s</w:t>
            </w:r>
            <w:r w:rsidR="00132948">
              <w:rPr>
                <w:rFonts w:cstheme="minorHAnsi"/>
                <w:bCs/>
              </w:rPr>
              <w:t xml:space="preserve"> with stepwise selection method (P=0.05)</w:t>
            </w:r>
            <w:r w:rsidR="004C2764">
              <w:rPr>
                <w:rFonts w:cstheme="minorHAnsi"/>
                <w:bCs/>
              </w:rPr>
              <w:t>.</w:t>
            </w:r>
          </w:p>
        </w:tc>
      </w:tr>
    </w:tbl>
    <w:p w14:paraId="2400D7F1" w14:textId="2D5B40F7" w:rsidR="00092566" w:rsidRDefault="00092566" w:rsidP="00001D73">
      <w:pPr>
        <w:autoSpaceDE w:val="0"/>
        <w:autoSpaceDN w:val="0"/>
        <w:adjustRightInd w:val="0"/>
        <w:spacing w:after="0" w:line="240" w:lineRule="auto"/>
        <w:rPr>
          <w:rFonts w:cstheme="minorHAnsi"/>
          <w:b/>
          <w:bCs/>
        </w:rPr>
      </w:pPr>
    </w:p>
    <w:p w14:paraId="30B496B4" w14:textId="77777777" w:rsidR="006C58BC" w:rsidRPr="006C58BC" w:rsidRDefault="006C58BC" w:rsidP="006C58BC">
      <w:pPr>
        <w:autoSpaceDE w:val="0"/>
        <w:autoSpaceDN w:val="0"/>
        <w:adjustRightInd w:val="0"/>
        <w:spacing w:after="0" w:line="240" w:lineRule="auto"/>
        <w:rPr>
          <w:rFonts w:cstheme="minorHAnsi"/>
          <w:b/>
          <w:bCs/>
        </w:rPr>
      </w:pPr>
      <w:r w:rsidRPr="006C58BC">
        <w:rPr>
          <w:rFonts w:cstheme="minorHAnsi"/>
          <w:b/>
          <w:bCs/>
        </w:rPr>
        <w:t>2b4.4b. Describe the analyses and interpretation resulting in the decision to select SDS factors (e.g. prevalence of the factor across measured entities, empirical association with the outcome, contribution of unique variation in the outcome, assessment of between-unit effects and within-unit effects)</w:t>
      </w:r>
    </w:p>
    <w:p w14:paraId="1B063E33" w14:textId="77777777" w:rsidR="006C58BC" w:rsidRDefault="006C58BC" w:rsidP="006C58B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350"/>
      </w:tblGrid>
      <w:tr w:rsidR="00A41798" w14:paraId="4110DF76" w14:textId="77777777" w:rsidTr="00A41798">
        <w:tc>
          <w:tcPr>
            <w:tcW w:w="9350" w:type="dxa"/>
          </w:tcPr>
          <w:p w14:paraId="7B2E1BF6" w14:textId="77777777" w:rsidR="00A41798" w:rsidRPr="006C58BC" w:rsidRDefault="00A41798" w:rsidP="00A41798">
            <w:pPr>
              <w:autoSpaceDE w:val="0"/>
              <w:autoSpaceDN w:val="0"/>
              <w:adjustRightInd w:val="0"/>
              <w:rPr>
                <w:rFonts w:cstheme="minorHAnsi"/>
                <w:bCs/>
                <w:u w:val="single"/>
              </w:rPr>
            </w:pPr>
            <w:r w:rsidRPr="006C58BC">
              <w:rPr>
                <w:rFonts w:cstheme="minorHAnsi"/>
                <w:bCs/>
                <w:u w:val="single"/>
              </w:rPr>
              <w:t>Variation in prevalence of the factor across measured entities</w:t>
            </w:r>
          </w:p>
          <w:p w14:paraId="32F3B1F7" w14:textId="77777777" w:rsidR="00A41798" w:rsidRPr="006C58BC" w:rsidRDefault="00A41798" w:rsidP="00A41798">
            <w:pPr>
              <w:autoSpaceDE w:val="0"/>
              <w:autoSpaceDN w:val="0"/>
              <w:adjustRightInd w:val="0"/>
              <w:rPr>
                <w:rFonts w:cstheme="minorHAnsi"/>
                <w:bCs/>
              </w:rPr>
            </w:pPr>
            <w:r w:rsidRPr="006C58BC">
              <w:rPr>
                <w:rFonts w:cstheme="minorHAnsi"/>
                <w:bCs/>
              </w:rPr>
              <w:t xml:space="preserve">The prevalence of SDS factors in the </w:t>
            </w:r>
            <w:r>
              <w:rPr>
                <w:rFonts w:cstheme="minorHAnsi"/>
                <w:bCs/>
              </w:rPr>
              <w:t xml:space="preserve">claims-only </w:t>
            </w:r>
            <w:r w:rsidRPr="006C58BC">
              <w:rPr>
                <w:rFonts w:cstheme="minorHAnsi"/>
                <w:bCs/>
              </w:rPr>
              <w:t xml:space="preserve">HWR cohort varies across measured entities. The median percentage of </w:t>
            </w:r>
            <w:r>
              <w:rPr>
                <w:rFonts w:cstheme="minorHAnsi"/>
                <w:bCs/>
              </w:rPr>
              <w:t>dual eligible</w:t>
            </w:r>
            <w:r w:rsidRPr="006C58BC">
              <w:rPr>
                <w:rFonts w:cstheme="minorHAnsi"/>
                <w:bCs/>
              </w:rPr>
              <w:t xml:space="preserve"> patients is 14.9% (interquartile range [IQR] 9.8%-22.6 %). The median percentage of African-American patients is 2.2% (IQR 0.0%-9.4%). The median percentage of low SES AHRQ indicator patients is 19.4% (IQR 5.0%-57.3%).</w:t>
            </w:r>
          </w:p>
          <w:p w14:paraId="49FF2579" w14:textId="77777777" w:rsidR="00A41798" w:rsidRPr="006C58BC" w:rsidRDefault="00A41798" w:rsidP="00A41798">
            <w:pPr>
              <w:autoSpaceDE w:val="0"/>
              <w:autoSpaceDN w:val="0"/>
              <w:adjustRightInd w:val="0"/>
              <w:rPr>
                <w:rFonts w:cstheme="minorHAnsi"/>
                <w:bCs/>
              </w:rPr>
            </w:pPr>
          </w:p>
          <w:p w14:paraId="5C4D7D81" w14:textId="77777777" w:rsidR="00A41798" w:rsidRPr="006C58BC" w:rsidRDefault="00A41798" w:rsidP="00A41798">
            <w:pPr>
              <w:autoSpaceDE w:val="0"/>
              <w:autoSpaceDN w:val="0"/>
              <w:adjustRightInd w:val="0"/>
              <w:rPr>
                <w:rFonts w:cstheme="minorHAnsi"/>
                <w:bCs/>
                <w:u w:val="single"/>
              </w:rPr>
            </w:pPr>
            <w:r w:rsidRPr="006C58BC">
              <w:rPr>
                <w:rFonts w:cstheme="minorHAnsi"/>
                <w:bCs/>
                <w:u w:val="single"/>
              </w:rPr>
              <w:t>Empirical association with the outcome (bivariate)</w:t>
            </w:r>
          </w:p>
          <w:p w14:paraId="23D4A2F2" w14:textId="77777777" w:rsidR="00A41798" w:rsidRPr="006C58BC" w:rsidRDefault="00A41798" w:rsidP="00A41798">
            <w:pPr>
              <w:autoSpaceDE w:val="0"/>
              <w:autoSpaceDN w:val="0"/>
              <w:adjustRightInd w:val="0"/>
              <w:rPr>
                <w:rFonts w:cstheme="minorHAnsi"/>
                <w:bCs/>
              </w:rPr>
            </w:pPr>
            <w:r w:rsidRPr="006C58BC">
              <w:rPr>
                <w:rFonts w:cstheme="minorHAnsi"/>
                <w:bCs/>
              </w:rPr>
              <w:lastRenderedPageBreak/>
              <w:t>The patient-level observed hospital</w:t>
            </w:r>
            <w:r>
              <w:rPr>
                <w:rFonts w:cstheme="minorHAnsi"/>
                <w:bCs/>
              </w:rPr>
              <w:t>-</w:t>
            </w:r>
            <w:r w:rsidRPr="006C58BC">
              <w:rPr>
                <w:rFonts w:cstheme="minorHAnsi"/>
                <w:bCs/>
              </w:rPr>
              <w:t xml:space="preserve">wide readmission rate is higher for </w:t>
            </w:r>
            <w:r>
              <w:rPr>
                <w:rFonts w:cstheme="minorHAnsi"/>
                <w:bCs/>
              </w:rPr>
              <w:t>dual eligible</w:t>
            </w:r>
            <w:r w:rsidRPr="006C58BC">
              <w:rPr>
                <w:rFonts w:cstheme="minorHAnsi"/>
                <w:bCs/>
              </w:rPr>
              <w:t xml:space="preserve"> patients, 19.28%, compared with 14.83% for all other patients. The readmission rate for African-American patients was also higher at 19.16% compared with 15.10% for patients of all other races. Similarly</w:t>
            </w:r>
            <w:r>
              <w:rPr>
                <w:rFonts w:cstheme="minorHAnsi"/>
                <w:bCs/>
              </w:rPr>
              <w:t>,</w:t>
            </w:r>
            <w:r w:rsidRPr="006C58BC">
              <w:rPr>
                <w:rFonts w:cstheme="minorHAnsi"/>
                <w:bCs/>
              </w:rPr>
              <w:t xml:space="preserve"> the readmission rate for patients in the lowest SES quartile by AHRQ Index was 16.81% compared with 15.05% for all other patients.</w:t>
            </w:r>
          </w:p>
          <w:p w14:paraId="2F7BD2AA" w14:textId="77777777" w:rsidR="00A41798" w:rsidRPr="006C58BC" w:rsidRDefault="00A41798" w:rsidP="00A41798">
            <w:pPr>
              <w:autoSpaceDE w:val="0"/>
              <w:autoSpaceDN w:val="0"/>
              <w:adjustRightInd w:val="0"/>
              <w:rPr>
                <w:rFonts w:cstheme="minorHAnsi"/>
                <w:bCs/>
              </w:rPr>
            </w:pPr>
          </w:p>
          <w:p w14:paraId="3C4D98CD" w14:textId="77777777" w:rsidR="00A41798" w:rsidRPr="006C58BC" w:rsidRDefault="00A41798" w:rsidP="00A41798">
            <w:pPr>
              <w:autoSpaceDE w:val="0"/>
              <w:autoSpaceDN w:val="0"/>
              <w:adjustRightInd w:val="0"/>
              <w:rPr>
                <w:rFonts w:cstheme="minorHAnsi"/>
                <w:bCs/>
                <w:u w:val="single"/>
              </w:rPr>
            </w:pPr>
            <w:r w:rsidRPr="006C58BC">
              <w:rPr>
                <w:rFonts w:cstheme="minorHAnsi"/>
                <w:bCs/>
                <w:u w:val="single"/>
              </w:rPr>
              <w:t>Incremental effect of S</w:t>
            </w:r>
            <w:r>
              <w:rPr>
                <w:rFonts w:cstheme="minorHAnsi"/>
                <w:bCs/>
                <w:u w:val="single"/>
              </w:rPr>
              <w:t>E</w:t>
            </w:r>
            <w:r w:rsidRPr="006C58BC">
              <w:rPr>
                <w:rFonts w:cstheme="minorHAnsi"/>
                <w:bCs/>
                <w:u w:val="single"/>
              </w:rPr>
              <w:t>S variables</w:t>
            </w:r>
            <w:r>
              <w:rPr>
                <w:rFonts w:cstheme="minorHAnsi"/>
                <w:bCs/>
                <w:u w:val="single"/>
              </w:rPr>
              <w:t xml:space="preserve"> and race</w:t>
            </w:r>
            <w:r w:rsidRPr="006C58BC">
              <w:rPr>
                <w:rFonts w:cstheme="minorHAnsi"/>
                <w:bCs/>
                <w:u w:val="single"/>
              </w:rPr>
              <w:t xml:space="preserve"> in a multivariable model</w:t>
            </w:r>
          </w:p>
          <w:p w14:paraId="07EBD089" w14:textId="77777777" w:rsidR="00A41798" w:rsidRDefault="00A41798" w:rsidP="00A41798">
            <w:pPr>
              <w:autoSpaceDE w:val="0"/>
              <w:autoSpaceDN w:val="0"/>
              <w:adjustRightInd w:val="0"/>
              <w:rPr>
                <w:rFonts w:cstheme="minorHAnsi"/>
                <w:bCs/>
              </w:rPr>
            </w:pPr>
            <w:r w:rsidRPr="006C58BC">
              <w:rPr>
                <w:rFonts w:cstheme="minorHAnsi"/>
                <w:bCs/>
              </w:rPr>
              <w:t>We then examined the strength and significance of the S</w:t>
            </w:r>
            <w:r>
              <w:rPr>
                <w:rFonts w:cstheme="minorHAnsi"/>
                <w:bCs/>
              </w:rPr>
              <w:t>E</w:t>
            </w:r>
            <w:r w:rsidRPr="006C58BC">
              <w:rPr>
                <w:rFonts w:cstheme="minorHAnsi"/>
                <w:bCs/>
              </w:rPr>
              <w:t>S variables</w:t>
            </w:r>
            <w:r>
              <w:rPr>
                <w:rFonts w:cstheme="minorHAnsi"/>
                <w:bCs/>
              </w:rPr>
              <w:t xml:space="preserve"> and</w:t>
            </w:r>
            <w:r w:rsidRPr="006C58BC">
              <w:rPr>
                <w:rFonts w:cstheme="minorHAnsi"/>
                <w:bCs/>
              </w:rPr>
              <w:t xml:space="preserve"> </w:t>
            </w:r>
            <w:r>
              <w:rPr>
                <w:rFonts w:cstheme="minorHAnsi"/>
                <w:bCs/>
              </w:rPr>
              <w:t xml:space="preserve">race </w:t>
            </w:r>
            <w:r w:rsidRPr="006C58BC">
              <w:rPr>
                <w:rFonts w:cstheme="minorHAnsi"/>
                <w:bCs/>
              </w:rPr>
              <w:t xml:space="preserve">in the context of a multivariable model. </w:t>
            </w:r>
            <w:r>
              <w:rPr>
                <w:rFonts w:cstheme="minorHAnsi"/>
                <w:bCs/>
              </w:rPr>
              <w:t>W</w:t>
            </w:r>
            <w:r w:rsidRPr="006C58BC">
              <w:rPr>
                <w:rFonts w:cstheme="minorHAnsi"/>
                <w:bCs/>
              </w:rPr>
              <w:t>hen we include any of these variables in a multivariate model that includes all of the claims-based clinical variables</w:t>
            </w:r>
            <w:r>
              <w:rPr>
                <w:rFonts w:cstheme="minorHAnsi"/>
                <w:bCs/>
              </w:rPr>
              <w:t>,</w:t>
            </w:r>
            <w:r w:rsidRPr="006C58BC">
              <w:rPr>
                <w:rFonts w:cstheme="minorHAnsi"/>
                <w:bCs/>
              </w:rPr>
              <w:t xml:space="preserve"> the effect size of each of these variables is small. </w:t>
            </w:r>
            <w:r>
              <w:rPr>
                <w:rFonts w:cstheme="minorHAnsi"/>
                <w:bCs/>
              </w:rPr>
              <w:t>T</w:t>
            </w:r>
            <w:r w:rsidRPr="006C58BC">
              <w:rPr>
                <w:rFonts w:cstheme="minorHAnsi"/>
                <w:bCs/>
              </w:rPr>
              <w:t>he c-statistic is essentially unchanged with the addition of any of these variables into the model. Furthermore</w:t>
            </w:r>
            <w:r>
              <w:rPr>
                <w:rFonts w:cstheme="minorHAnsi"/>
                <w:bCs/>
              </w:rPr>
              <w:t>,</w:t>
            </w:r>
            <w:r w:rsidRPr="006C58BC">
              <w:rPr>
                <w:rFonts w:cstheme="minorHAnsi"/>
                <w:bCs/>
              </w:rPr>
              <w:t xml:space="preserve"> we find that the addition of any of these variables into the model has little to no effect on hospital performance. We examined the change in hospitals’ RSRRs with the addition of any of these variables. The </w:t>
            </w:r>
            <w:r>
              <w:rPr>
                <w:rFonts w:cstheme="minorHAnsi"/>
                <w:bCs/>
              </w:rPr>
              <w:t>median</w:t>
            </w:r>
            <w:r w:rsidRPr="006C58BC">
              <w:rPr>
                <w:rFonts w:cstheme="minorHAnsi"/>
                <w:bCs/>
              </w:rPr>
              <w:t xml:space="preserve"> absolute change in hospitals’ RSRRs when adding a </w:t>
            </w:r>
            <w:r>
              <w:rPr>
                <w:rFonts w:cstheme="minorHAnsi"/>
                <w:bCs/>
              </w:rPr>
              <w:t>dual eligibility</w:t>
            </w:r>
            <w:r w:rsidRPr="006C58BC">
              <w:rPr>
                <w:rFonts w:cstheme="minorHAnsi"/>
                <w:bCs/>
              </w:rPr>
              <w:t xml:space="preserve"> indicator is </w:t>
            </w:r>
            <w:r w:rsidRPr="00CF19D3">
              <w:rPr>
                <w:rFonts w:cstheme="minorHAnsi"/>
                <w:bCs/>
              </w:rPr>
              <w:t>0.00</w:t>
            </w:r>
            <w:r>
              <w:rPr>
                <w:rFonts w:cstheme="minorHAnsi"/>
                <w:bCs/>
              </w:rPr>
              <w:t>4</w:t>
            </w:r>
            <w:r w:rsidRPr="006C58BC">
              <w:rPr>
                <w:rFonts w:cstheme="minorHAnsi"/>
                <w:bCs/>
              </w:rPr>
              <w:t xml:space="preserve">% </w:t>
            </w:r>
            <w:r>
              <w:rPr>
                <w:rFonts w:cstheme="minorHAnsi"/>
                <w:bCs/>
              </w:rPr>
              <w:t xml:space="preserve">(interquartile range [IQR] </w:t>
            </w:r>
            <w:r w:rsidRPr="00CF19D3">
              <w:rPr>
                <w:rFonts w:cstheme="minorHAnsi"/>
                <w:bCs/>
              </w:rPr>
              <w:t>-0.01</w:t>
            </w:r>
            <w:r>
              <w:rPr>
                <w:rFonts w:cstheme="minorHAnsi"/>
                <w:bCs/>
              </w:rPr>
              <w:t xml:space="preserve">7% – 0.024%; minimum </w:t>
            </w:r>
            <w:r w:rsidRPr="00CF19D3">
              <w:rPr>
                <w:rFonts w:cstheme="minorHAnsi"/>
                <w:bCs/>
              </w:rPr>
              <w:t>-0.30</w:t>
            </w:r>
            <w:r>
              <w:rPr>
                <w:rFonts w:cstheme="minorHAnsi"/>
                <w:bCs/>
              </w:rPr>
              <w:t xml:space="preserve">9% – maximum </w:t>
            </w:r>
            <w:r w:rsidRPr="00CF19D3">
              <w:rPr>
                <w:rFonts w:cstheme="minorHAnsi"/>
                <w:bCs/>
              </w:rPr>
              <w:t>0.13</w:t>
            </w:r>
            <w:r>
              <w:rPr>
                <w:rFonts w:cstheme="minorHAnsi"/>
                <w:bCs/>
              </w:rPr>
              <w:t xml:space="preserve">5%) </w:t>
            </w:r>
            <w:r w:rsidRPr="006C58BC">
              <w:rPr>
                <w:rFonts w:cstheme="minorHAnsi"/>
                <w:bCs/>
              </w:rPr>
              <w:t xml:space="preserve">with a correlation coefficient between RSRRs for each hospital with and without </w:t>
            </w:r>
            <w:r>
              <w:rPr>
                <w:rFonts w:cstheme="minorHAnsi"/>
                <w:bCs/>
              </w:rPr>
              <w:t>dual eligibility</w:t>
            </w:r>
            <w:r w:rsidRPr="006C58BC">
              <w:rPr>
                <w:rFonts w:cstheme="minorHAnsi"/>
                <w:bCs/>
              </w:rPr>
              <w:t xml:space="preserve"> added of 0.99836. The </w:t>
            </w:r>
            <w:r>
              <w:rPr>
                <w:rFonts w:cstheme="minorHAnsi"/>
                <w:bCs/>
              </w:rPr>
              <w:t>median</w:t>
            </w:r>
            <w:r w:rsidRPr="006C58BC">
              <w:rPr>
                <w:rFonts w:cstheme="minorHAnsi"/>
                <w:bCs/>
              </w:rPr>
              <w:t xml:space="preserve"> absolute change in hospitals’ RSRRs when adding a race indicator is </w:t>
            </w:r>
            <w:r w:rsidRPr="00CF19D3">
              <w:rPr>
                <w:rFonts w:cstheme="minorHAnsi"/>
                <w:bCs/>
              </w:rPr>
              <w:t>0.01</w:t>
            </w:r>
            <w:r>
              <w:rPr>
                <w:rFonts w:cstheme="minorHAnsi"/>
                <w:bCs/>
              </w:rPr>
              <w:t>1</w:t>
            </w:r>
            <w:r w:rsidRPr="006C58BC">
              <w:rPr>
                <w:rFonts w:cstheme="minorHAnsi"/>
                <w:bCs/>
              </w:rPr>
              <w:t xml:space="preserve">% </w:t>
            </w:r>
            <w:r>
              <w:rPr>
                <w:rFonts w:cstheme="minorHAnsi"/>
                <w:bCs/>
              </w:rPr>
              <w:t xml:space="preserve">(IQR -0.010% – </w:t>
            </w:r>
            <w:r w:rsidRPr="00CF19D3">
              <w:rPr>
                <w:rFonts w:cstheme="minorHAnsi"/>
                <w:bCs/>
              </w:rPr>
              <w:t>0.03</w:t>
            </w:r>
            <w:r>
              <w:rPr>
                <w:rFonts w:cstheme="minorHAnsi"/>
                <w:bCs/>
              </w:rPr>
              <w:t xml:space="preserve">3%; minimum </w:t>
            </w:r>
            <w:r w:rsidRPr="00CF19D3">
              <w:rPr>
                <w:rFonts w:cstheme="minorHAnsi"/>
                <w:bCs/>
              </w:rPr>
              <w:t>-0.67</w:t>
            </w:r>
            <w:r>
              <w:rPr>
                <w:rFonts w:cstheme="minorHAnsi"/>
                <w:bCs/>
              </w:rPr>
              <w:t xml:space="preserve">1% – maximum </w:t>
            </w:r>
            <w:r w:rsidRPr="00484F6F">
              <w:rPr>
                <w:rFonts w:cstheme="minorHAnsi"/>
                <w:bCs/>
              </w:rPr>
              <w:t>0.130</w:t>
            </w:r>
            <w:r>
              <w:rPr>
                <w:rFonts w:cstheme="minorHAnsi"/>
                <w:bCs/>
              </w:rPr>
              <w:t xml:space="preserve">%) </w:t>
            </w:r>
            <w:r w:rsidRPr="006C58BC">
              <w:rPr>
                <w:rFonts w:cstheme="minorHAnsi"/>
                <w:bCs/>
              </w:rPr>
              <w:t xml:space="preserve">with a correlation coefficient between RSRRs for each hospital with and without race added of 0.99814. The </w:t>
            </w:r>
            <w:r>
              <w:rPr>
                <w:rFonts w:cstheme="minorHAnsi"/>
                <w:bCs/>
              </w:rPr>
              <w:t>median</w:t>
            </w:r>
            <w:r w:rsidRPr="006C58BC">
              <w:rPr>
                <w:rFonts w:cstheme="minorHAnsi"/>
                <w:bCs/>
              </w:rPr>
              <w:t xml:space="preserve"> absolute change in hospitals’ RSRRs when adding a low SES AHRQ indicator is </w:t>
            </w:r>
            <w:r w:rsidRPr="00CF19D3">
              <w:rPr>
                <w:rFonts w:cstheme="minorHAnsi"/>
                <w:bCs/>
              </w:rPr>
              <w:t>0.007</w:t>
            </w:r>
            <w:r w:rsidRPr="006C58BC">
              <w:rPr>
                <w:rFonts w:cstheme="minorHAnsi"/>
                <w:bCs/>
              </w:rPr>
              <w:t xml:space="preserve">% </w:t>
            </w:r>
            <w:r>
              <w:rPr>
                <w:rFonts w:cstheme="minorHAnsi"/>
                <w:bCs/>
              </w:rPr>
              <w:t xml:space="preserve">(IQR </w:t>
            </w:r>
            <w:r w:rsidRPr="00CF19D3">
              <w:rPr>
                <w:rFonts w:cstheme="minorHAnsi"/>
                <w:bCs/>
              </w:rPr>
              <w:t>-0.03</w:t>
            </w:r>
            <w:r>
              <w:rPr>
                <w:rFonts w:cstheme="minorHAnsi"/>
                <w:bCs/>
              </w:rPr>
              <w:t xml:space="preserve">3% – </w:t>
            </w:r>
            <w:r w:rsidRPr="00CF19D3">
              <w:rPr>
                <w:rFonts w:cstheme="minorHAnsi"/>
                <w:bCs/>
              </w:rPr>
              <w:t>0.0</w:t>
            </w:r>
            <w:r>
              <w:rPr>
                <w:rFonts w:cstheme="minorHAnsi"/>
                <w:bCs/>
              </w:rPr>
              <w:t xml:space="preserve">36%; minimum </w:t>
            </w:r>
            <w:r w:rsidRPr="00CF19D3">
              <w:rPr>
                <w:rFonts w:cstheme="minorHAnsi"/>
                <w:bCs/>
              </w:rPr>
              <w:t>-0.322</w:t>
            </w:r>
            <w:r>
              <w:rPr>
                <w:rFonts w:cstheme="minorHAnsi"/>
                <w:bCs/>
              </w:rPr>
              <w:t xml:space="preserve">% – maximum </w:t>
            </w:r>
            <w:r w:rsidRPr="00CF19D3">
              <w:rPr>
                <w:rFonts w:cstheme="minorHAnsi"/>
                <w:bCs/>
              </w:rPr>
              <w:t>0.1</w:t>
            </w:r>
            <w:r>
              <w:rPr>
                <w:rFonts w:cstheme="minorHAnsi"/>
                <w:bCs/>
              </w:rPr>
              <w:t xml:space="preserve">35%) </w:t>
            </w:r>
            <w:r w:rsidRPr="006C58BC">
              <w:rPr>
                <w:rFonts w:cstheme="minorHAnsi"/>
                <w:bCs/>
              </w:rPr>
              <w:t>with a correlation coefficient between RSRRs for each hospital with and without low SES added of 0.99691.</w:t>
            </w:r>
          </w:p>
          <w:p w14:paraId="7CABC5FF" w14:textId="77777777" w:rsidR="00A41798" w:rsidRDefault="00A41798" w:rsidP="00A41798">
            <w:pPr>
              <w:autoSpaceDE w:val="0"/>
              <w:autoSpaceDN w:val="0"/>
              <w:adjustRightInd w:val="0"/>
              <w:rPr>
                <w:rFonts w:cstheme="minorHAnsi"/>
                <w:bCs/>
              </w:rPr>
            </w:pPr>
          </w:p>
          <w:p w14:paraId="64D7CA9C" w14:textId="77777777" w:rsidR="00A41798" w:rsidRPr="00424630" w:rsidRDefault="00A41798" w:rsidP="00A41798">
            <w:pPr>
              <w:autoSpaceDE w:val="0"/>
              <w:autoSpaceDN w:val="0"/>
              <w:adjustRightInd w:val="0"/>
              <w:rPr>
                <w:rFonts w:cstheme="minorHAnsi"/>
                <w:bCs/>
              </w:rPr>
            </w:pPr>
            <w:r w:rsidRPr="00424630">
              <w:rPr>
                <w:rFonts w:cstheme="minorHAnsi"/>
                <w:bCs/>
              </w:rPr>
              <w:t xml:space="preserve">As an additional step, a decomposition analysis was performed. The results are described in the table below. </w:t>
            </w:r>
          </w:p>
          <w:p w14:paraId="4584AFFE" w14:textId="77777777" w:rsidR="00A41798" w:rsidRDefault="00A41798" w:rsidP="00A41798">
            <w:pPr>
              <w:autoSpaceDE w:val="0"/>
              <w:autoSpaceDN w:val="0"/>
              <w:adjustRightInd w:val="0"/>
              <w:rPr>
                <w:rFonts w:cstheme="minorHAnsi"/>
                <w:bCs/>
              </w:rPr>
            </w:pPr>
          </w:p>
          <w:p w14:paraId="0E607DA4" w14:textId="77777777" w:rsidR="00A41798" w:rsidRDefault="00A41798" w:rsidP="00A41798">
            <w:pPr>
              <w:autoSpaceDE w:val="0"/>
              <w:autoSpaceDN w:val="0"/>
              <w:adjustRightInd w:val="0"/>
              <w:rPr>
                <w:rFonts w:cstheme="minorHAnsi"/>
                <w:bCs/>
              </w:rPr>
            </w:pPr>
            <w:r w:rsidRPr="00424630">
              <w:rPr>
                <w:rFonts w:cstheme="minorHAnsi"/>
                <w:bCs/>
              </w:rPr>
              <w:t>The patient-level and hospital-level dual eligible, race, and low AHRQ SES Index effects were significantly associated with each of the hospital wide readmission models (Medicine, Surgery, Cardiorespiratory, Cardiovascular, and Neurology) in the decomposition analysis. If the dual eligible, race, or low AHRQ SES Index variables are used to adjust for patient-level differences, then some of the differences between hospitals would also be adjusted for</w:t>
            </w:r>
            <w:r>
              <w:rPr>
                <w:rFonts w:cstheme="minorHAnsi"/>
                <w:bCs/>
              </w:rPr>
              <w:t>, potentially obscuring a signal of hospital quality</w:t>
            </w:r>
            <w:r w:rsidRPr="00424630">
              <w:rPr>
                <w:rFonts w:cstheme="minorHAnsi"/>
                <w:bCs/>
              </w:rPr>
              <w:t>.</w:t>
            </w:r>
          </w:p>
          <w:p w14:paraId="26C0B24E" w14:textId="77777777" w:rsidR="00A41798" w:rsidRDefault="00A41798" w:rsidP="00A41798">
            <w:pPr>
              <w:autoSpaceDE w:val="0"/>
              <w:autoSpaceDN w:val="0"/>
              <w:adjustRightInd w:val="0"/>
              <w:rPr>
                <w:rFonts w:cstheme="minorHAnsi"/>
                <w:bCs/>
              </w:rPr>
            </w:pPr>
          </w:p>
          <w:p w14:paraId="498516E1" w14:textId="77777777" w:rsidR="00A41798" w:rsidRDefault="00A41798" w:rsidP="00A41798">
            <w:pPr>
              <w:autoSpaceDE w:val="0"/>
              <w:autoSpaceDN w:val="0"/>
              <w:adjustRightInd w:val="0"/>
              <w:rPr>
                <w:rFonts w:cstheme="minorHAnsi"/>
                <w:bCs/>
              </w:rPr>
            </w:pPr>
            <w:r w:rsidRPr="00424630">
              <w:rPr>
                <w:rFonts w:cstheme="minorHAnsi"/>
                <w:bCs/>
              </w:rPr>
              <w:t xml:space="preserve">Given these findings and the complex pathways that could explain any relationship between SES or race with readmission, we did not incorporate SES variables or race into the measure. </w:t>
            </w:r>
          </w:p>
          <w:p w14:paraId="041BFEF6" w14:textId="77777777" w:rsidR="00A41798" w:rsidRDefault="00A41798" w:rsidP="006C58BC">
            <w:pPr>
              <w:autoSpaceDE w:val="0"/>
              <w:autoSpaceDN w:val="0"/>
              <w:adjustRightInd w:val="0"/>
              <w:rPr>
                <w:rFonts w:cstheme="minorHAnsi"/>
                <w:b/>
                <w:bCs/>
              </w:rPr>
            </w:pPr>
          </w:p>
        </w:tc>
      </w:tr>
    </w:tbl>
    <w:p w14:paraId="1D5B9710" w14:textId="77777777" w:rsidR="00A41798" w:rsidRDefault="00A41798" w:rsidP="006C58BC">
      <w:pPr>
        <w:autoSpaceDE w:val="0"/>
        <w:autoSpaceDN w:val="0"/>
        <w:adjustRightInd w:val="0"/>
        <w:spacing w:after="0" w:line="240" w:lineRule="auto"/>
        <w:rPr>
          <w:rFonts w:cstheme="minorHAnsi"/>
          <w:b/>
          <w:bCs/>
        </w:rPr>
      </w:pPr>
    </w:p>
    <w:p w14:paraId="6312CB77" w14:textId="11CB8697" w:rsidR="0059261C" w:rsidRPr="0059261C" w:rsidRDefault="0059261C" w:rsidP="0059261C">
      <w:pPr>
        <w:pStyle w:val="Caption"/>
        <w:keepNext/>
        <w:rPr>
          <w:color w:val="auto"/>
          <w:sz w:val="22"/>
        </w:rPr>
      </w:pPr>
      <w:r w:rsidRPr="0059261C">
        <w:rPr>
          <w:color w:val="auto"/>
          <w:sz w:val="22"/>
        </w:rPr>
        <w:lastRenderedPageBreak/>
        <w:t xml:space="preserve">Table </w:t>
      </w:r>
      <w:r w:rsidRPr="0059261C">
        <w:rPr>
          <w:color w:val="auto"/>
          <w:sz w:val="22"/>
        </w:rPr>
        <w:fldChar w:fldCharType="begin"/>
      </w:r>
      <w:r w:rsidRPr="0059261C">
        <w:rPr>
          <w:color w:val="auto"/>
          <w:sz w:val="22"/>
        </w:rPr>
        <w:instrText xml:space="preserve"> SEQ Table \* ARABIC </w:instrText>
      </w:r>
      <w:r w:rsidRPr="0059261C">
        <w:rPr>
          <w:color w:val="auto"/>
          <w:sz w:val="22"/>
        </w:rPr>
        <w:fldChar w:fldCharType="separate"/>
      </w:r>
      <w:r>
        <w:rPr>
          <w:noProof/>
          <w:color w:val="auto"/>
          <w:sz w:val="22"/>
        </w:rPr>
        <w:t>6</w:t>
      </w:r>
      <w:r w:rsidRPr="0059261C">
        <w:rPr>
          <w:color w:val="auto"/>
          <w:sz w:val="22"/>
        </w:rPr>
        <w:fldChar w:fldCharType="end"/>
      </w:r>
      <w:r w:rsidR="00A41798">
        <w:rPr>
          <w:color w:val="auto"/>
          <w:sz w:val="22"/>
        </w:rPr>
        <w:t>.</w:t>
      </w:r>
      <w:r w:rsidRPr="0059261C">
        <w:rPr>
          <w:color w:val="auto"/>
          <w:sz w:val="22"/>
        </w:rPr>
        <w:t xml:space="preserve"> HWR Decomposition Analysis</w:t>
      </w:r>
    </w:p>
    <w:tbl>
      <w:tblPr>
        <w:tblStyle w:val="TableGrid"/>
        <w:tblW w:w="0" w:type="auto"/>
        <w:tblLook w:val="04A0" w:firstRow="1" w:lastRow="0" w:firstColumn="1" w:lastColumn="0" w:noHBand="0" w:noVBand="1"/>
      </w:tblPr>
      <w:tblGrid>
        <w:gridCol w:w="4675"/>
        <w:gridCol w:w="2610"/>
        <w:gridCol w:w="2065"/>
      </w:tblGrid>
      <w:tr w:rsidR="00424630" w14:paraId="3DDA178E" w14:textId="77777777" w:rsidTr="00A11B4F">
        <w:trPr>
          <w:tblHeader/>
        </w:trPr>
        <w:tc>
          <w:tcPr>
            <w:tcW w:w="4675" w:type="dxa"/>
            <w:shd w:val="clear" w:color="auto" w:fill="B8CCE4" w:themeFill="accent1" w:themeFillTint="66"/>
            <w:vAlign w:val="center"/>
          </w:tcPr>
          <w:p w14:paraId="0E8832DD" w14:textId="77777777" w:rsidR="00424630" w:rsidRDefault="00424630" w:rsidP="00A11B4F">
            <w:r w:rsidRPr="00A00C82">
              <w:rPr>
                <w:b/>
              </w:rPr>
              <w:t>Parameter</w:t>
            </w:r>
          </w:p>
        </w:tc>
        <w:tc>
          <w:tcPr>
            <w:tcW w:w="2610" w:type="dxa"/>
            <w:shd w:val="clear" w:color="auto" w:fill="B8CCE4" w:themeFill="accent1" w:themeFillTint="66"/>
            <w:vAlign w:val="center"/>
          </w:tcPr>
          <w:p w14:paraId="1A13F7F1" w14:textId="77777777" w:rsidR="00424630" w:rsidRDefault="00424630" w:rsidP="00A11B4F">
            <w:r>
              <w:rPr>
                <w:b/>
              </w:rPr>
              <w:t>E</w:t>
            </w:r>
            <w:r w:rsidRPr="00A00C82">
              <w:rPr>
                <w:b/>
              </w:rPr>
              <w:t>stimate</w:t>
            </w:r>
            <w:r>
              <w:rPr>
                <w:b/>
              </w:rPr>
              <w:t xml:space="preserve"> (Standard Error)</w:t>
            </w:r>
          </w:p>
        </w:tc>
        <w:tc>
          <w:tcPr>
            <w:tcW w:w="2065" w:type="dxa"/>
            <w:shd w:val="clear" w:color="auto" w:fill="B8CCE4" w:themeFill="accent1" w:themeFillTint="66"/>
            <w:vAlign w:val="center"/>
          </w:tcPr>
          <w:p w14:paraId="0B1BA01C" w14:textId="77777777" w:rsidR="00424630" w:rsidRDefault="00424630" w:rsidP="00A11B4F">
            <w:r>
              <w:rPr>
                <w:b/>
              </w:rPr>
              <w:t>P-value</w:t>
            </w:r>
          </w:p>
        </w:tc>
      </w:tr>
      <w:tr w:rsidR="00424630" w14:paraId="1F81C66A" w14:textId="77777777" w:rsidTr="00A11B4F">
        <w:trPr>
          <w:tblHeader/>
        </w:trPr>
        <w:tc>
          <w:tcPr>
            <w:tcW w:w="4675" w:type="dxa"/>
          </w:tcPr>
          <w:p w14:paraId="72C68411" w14:textId="77777777" w:rsidR="00424630" w:rsidRPr="00A00C82" w:rsidRDefault="00424630" w:rsidP="00A11B4F">
            <w:pPr>
              <w:contextualSpacing/>
              <w:rPr>
                <w:b/>
              </w:rPr>
            </w:pPr>
            <w:r w:rsidRPr="00A00C82">
              <w:rPr>
                <w:b/>
              </w:rPr>
              <w:t>Dual Eligible</w:t>
            </w:r>
            <w:r>
              <w:rPr>
                <w:b/>
              </w:rPr>
              <w:t xml:space="preserve"> – P</w:t>
            </w:r>
            <w:r w:rsidRPr="00A00C82">
              <w:rPr>
                <w:b/>
              </w:rPr>
              <w:t>atient</w:t>
            </w:r>
            <w:r>
              <w:rPr>
                <w:b/>
              </w:rPr>
              <w:t>-Level – Medicine</w:t>
            </w:r>
          </w:p>
        </w:tc>
        <w:tc>
          <w:tcPr>
            <w:tcW w:w="2610" w:type="dxa"/>
            <w:vAlign w:val="center"/>
          </w:tcPr>
          <w:p w14:paraId="44C56614" w14:textId="77777777" w:rsidR="00424630" w:rsidRPr="006319AB" w:rsidRDefault="00424630" w:rsidP="00A11B4F">
            <w:r w:rsidRPr="006319AB">
              <w:t>0.0599 (0.00433)</w:t>
            </w:r>
          </w:p>
        </w:tc>
        <w:tc>
          <w:tcPr>
            <w:tcW w:w="2065" w:type="dxa"/>
            <w:vAlign w:val="center"/>
          </w:tcPr>
          <w:p w14:paraId="63E9E84D" w14:textId="77777777" w:rsidR="00424630" w:rsidRPr="006319AB" w:rsidRDefault="00424630" w:rsidP="00A11B4F">
            <w:r w:rsidRPr="006319AB">
              <w:t>&lt;.0001</w:t>
            </w:r>
          </w:p>
        </w:tc>
      </w:tr>
      <w:tr w:rsidR="00424630" w14:paraId="185CEB95" w14:textId="77777777" w:rsidTr="00A11B4F">
        <w:trPr>
          <w:tblHeader/>
        </w:trPr>
        <w:tc>
          <w:tcPr>
            <w:tcW w:w="4675" w:type="dxa"/>
          </w:tcPr>
          <w:p w14:paraId="50A58E53" w14:textId="77777777" w:rsidR="00424630" w:rsidRPr="00A00C82" w:rsidRDefault="00424630" w:rsidP="00A11B4F">
            <w:pPr>
              <w:contextualSpacing/>
              <w:rPr>
                <w:b/>
              </w:rPr>
            </w:pPr>
            <w:r w:rsidRPr="00A00C82">
              <w:rPr>
                <w:b/>
              </w:rPr>
              <w:t>Dual Eligible</w:t>
            </w:r>
            <w:r>
              <w:rPr>
                <w:b/>
              </w:rPr>
              <w:t xml:space="preserve"> – </w:t>
            </w:r>
            <w:r w:rsidRPr="00A00C82">
              <w:rPr>
                <w:b/>
              </w:rPr>
              <w:t>Hospital</w:t>
            </w:r>
            <w:r>
              <w:rPr>
                <w:b/>
              </w:rPr>
              <w:t>-Level – Medicine</w:t>
            </w:r>
          </w:p>
        </w:tc>
        <w:tc>
          <w:tcPr>
            <w:tcW w:w="2610" w:type="dxa"/>
            <w:vAlign w:val="center"/>
          </w:tcPr>
          <w:p w14:paraId="7A51DA5E" w14:textId="77777777" w:rsidR="00424630" w:rsidRPr="006319AB" w:rsidRDefault="00424630" w:rsidP="00A11B4F">
            <w:r w:rsidRPr="006319AB">
              <w:t>0.3207 (0.0177)</w:t>
            </w:r>
          </w:p>
        </w:tc>
        <w:tc>
          <w:tcPr>
            <w:tcW w:w="2065" w:type="dxa"/>
            <w:vAlign w:val="center"/>
          </w:tcPr>
          <w:p w14:paraId="31334EA5" w14:textId="77777777" w:rsidR="00424630" w:rsidRPr="006319AB" w:rsidRDefault="00424630" w:rsidP="00A11B4F">
            <w:r w:rsidRPr="006319AB">
              <w:t>&lt;.0001</w:t>
            </w:r>
          </w:p>
        </w:tc>
      </w:tr>
      <w:tr w:rsidR="00424630" w14:paraId="6252D3D5" w14:textId="77777777" w:rsidTr="00A11B4F">
        <w:trPr>
          <w:tblHeader/>
        </w:trPr>
        <w:tc>
          <w:tcPr>
            <w:tcW w:w="4675" w:type="dxa"/>
          </w:tcPr>
          <w:p w14:paraId="3FC66C39" w14:textId="77777777" w:rsidR="00424630" w:rsidRPr="00A00C82" w:rsidRDefault="00424630" w:rsidP="00A11B4F">
            <w:pPr>
              <w:contextualSpacing/>
              <w:rPr>
                <w:b/>
              </w:rPr>
            </w:pPr>
            <w:r w:rsidRPr="00A00C82">
              <w:rPr>
                <w:b/>
              </w:rPr>
              <w:t>Dual Eligible</w:t>
            </w:r>
            <w:r>
              <w:rPr>
                <w:b/>
              </w:rPr>
              <w:t xml:space="preserve"> – P</w:t>
            </w:r>
            <w:r w:rsidRPr="00A00C82">
              <w:rPr>
                <w:b/>
              </w:rPr>
              <w:t>atient</w:t>
            </w:r>
            <w:r>
              <w:rPr>
                <w:b/>
              </w:rPr>
              <w:t>-Level – Surgery</w:t>
            </w:r>
          </w:p>
        </w:tc>
        <w:tc>
          <w:tcPr>
            <w:tcW w:w="2610" w:type="dxa"/>
            <w:vAlign w:val="center"/>
          </w:tcPr>
          <w:p w14:paraId="3A32B048" w14:textId="77777777" w:rsidR="00424630" w:rsidRPr="006319AB" w:rsidRDefault="00424630" w:rsidP="00A11B4F">
            <w:r w:rsidRPr="006319AB">
              <w:rPr>
                <w:rFonts w:cs="Courier New"/>
                <w:color w:val="000000"/>
              </w:rPr>
              <w:t>0.1483 (0.00794)</w:t>
            </w:r>
          </w:p>
        </w:tc>
        <w:tc>
          <w:tcPr>
            <w:tcW w:w="2065" w:type="dxa"/>
            <w:vAlign w:val="center"/>
          </w:tcPr>
          <w:p w14:paraId="45A1915F" w14:textId="77777777" w:rsidR="00424630" w:rsidRPr="006319AB" w:rsidRDefault="00424630" w:rsidP="00A11B4F">
            <w:r w:rsidRPr="006319AB">
              <w:rPr>
                <w:rFonts w:cs="Courier New"/>
                <w:color w:val="000000"/>
              </w:rPr>
              <w:t>&lt;.0001</w:t>
            </w:r>
          </w:p>
        </w:tc>
      </w:tr>
      <w:tr w:rsidR="00424630" w14:paraId="6CF8165A" w14:textId="77777777" w:rsidTr="00A11B4F">
        <w:trPr>
          <w:tblHeader/>
        </w:trPr>
        <w:tc>
          <w:tcPr>
            <w:tcW w:w="4675" w:type="dxa"/>
          </w:tcPr>
          <w:p w14:paraId="1E9588EB" w14:textId="77777777" w:rsidR="00424630" w:rsidRPr="00A00C82" w:rsidRDefault="00424630" w:rsidP="00A11B4F">
            <w:pPr>
              <w:contextualSpacing/>
              <w:rPr>
                <w:b/>
              </w:rPr>
            </w:pPr>
            <w:r w:rsidRPr="00A00C82">
              <w:rPr>
                <w:b/>
              </w:rPr>
              <w:t>Dual Eligible</w:t>
            </w:r>
            <w:r>
              <w:rPr>
                <w:b/>
              </w:rPr>
              <w:t xml:space="preserve"> – </w:t>
            </w:r>
            <w:r w:rsidRPr="00A00C82">
              <w:rPr>
                <w:b/>
              </w:rPr>
              <w:t>Hospital</w:t>
            </w:r>
            <w:r>
              <w:rPr>
                <w:b/>
              </w:rPr>
              <w:t>-Level – Surgery</w:t>
            </w:r>
          </w:p>
        </w:tc>
        <w:tc>
          <w:tcPr>
            <w:tcW w:w="2610" w:type="dxa"/>
            <w:vAlign w:val="center"/>
          </w:tcPr>
          <w:p w14:paraId="69B2607B" w14:textId="77777777" w:rsidR="00424630" w:rsidRPr="006319AB" w:rsidRDefault="00424630" w:rsidP="00A11B4F">
            <w:r w:rsidRPr="006319AB">
              <w:rPr>
                <w:rFonts w:cs="Courier New"/>
                <w:color w:val="000000"/>
              </w:rPr>
              <w:t>0.4743 (0.0332)</w:t>
            </w:r>
          </w:p>
        </w:tc>
        <w:tc>
          <w:tcPr>
            <w:tcW w:w="2065" w:type="dxa"/>
            <w:vAlign w:val="center"/>
          </w:tcPr>
          <w:p w14:paraId="7B2C48F7" w14:textId="77777777" w:rsidR="00424630" w:rsidRPr="006319AB" w:rsidRDefault="00424630" w:rsidP="00A11B4F">
            <w:r w:rsidRPr="006319AB">
              <w:rPr>
                <w:rFonts w:cs="Courier New"/>
                <w:color w:val="000000"/>
              </w:rPr>
              <w:t>&lt;.0001</w:t>
            </w:r>
          </w:p>
        </w:tc>
      </w:tr>
      <w:tr w:rsidR="00424630" w14:paraId="4A9DC5A5" w14:textId="77777777" w:rsidTr="00A11B4F">
        <w:trPr>
          <w:tblHeader/>
        </w:trPr>
        <w:tc>
          <w:tcPr>
            <w:tcW w:w="4675" w:type="dxa"/>
          </w:tcPr>
          <w:p w14:paraId="047E66D2" w14:textId="77777777" w:rsidR="00424630" w:rsidRPr="00A00C82" w:rsidRDefault="00424630" w:rsidP="00A11B4F">
            <w:pPr>
              <w:contextualSpacing/>
              <w:rPr>
                <w:b/>
              </w:rPr>
            </w:pPr>
            <w:r w:rsidRPr="00A00C82">
              <w:rPr>
                <w:b/>
              </w:rPr>
              <w:t>Dual Eligible</w:t>
            </w:r>
            <w:r>
              <w:rPr>
                <w:b/>
              </w:rPr>
              <w:t xml:space="preserve"> – P</w:t>
            </w:r>
            <w:r w:rsidRPr="00A00C82">
              <w:rPr>
                <w:b/>
              </w:rPr>
              <w:t>atient</w:t>
            </w:r>
            <w:r>
              <w:rPr>
                <w:b/>
              </w:rPr>
              <w:t>-Level – Cardio Respiratory</w:t>
            </w:r>
          </w:p>
        </w:tc>
        <w:tc>
          <w:tcPr>
            <w:tcW w:w="2610" w:type="dxa"/>
            <w:vAlign w:val="center"/>
          </w:tcPr>
          <w:p w14:paraId="003B3DF7" w14:textId="77777777" w:rsidR="00424630" w:rsidRPr="006319AB" w:rsidRDefault="00424630" w:rsidP="00A11B4F">
            <w:r w:rsidRPr="006319AB">
              <w:rPr>
                <w:rFonts w:cs="Courier New"/>
                <w:color w:val="000000"/>
              </w:rPr>
              <w:t>0.1043 (0.00634)</w:t>
            </w:r>
          </w:p>
        </w:tc>
        <w:tc>
          <w:tcPr>
            <w:tcW w:w="2065" w:type="dxa"/>
            <w:vAlign w:val="center"/>
          </w:tcPr>
          <w:p w14:paraId="7BC4DEA1" w14:textId="77777777" w:rsidR="00424630" w:rsidRPr="006319AB" w:rsidRDefault="00424630" w:rsidP="00A11B4F">
            <w:r w:rsidRPr="006319AB">
              <w:rPr>
                <w:rFonts w:cs="Courier New"/>
                <w:color w:val="000000"/>
              </w:rPr>
              <w:t>&lt;.0001</w:t>
            </w:r>
          </w:p>
        </w:tc>
      </w:tr>
      <w:tr w:rsidR="00424630" w14:paraId="6C716C2B" w14:textId="77777777" w:rsidTr="00A11B4F">
        <w:trPr>
          <w:tblHeader/>
        </w:trPr>
        <w:tc>
          <w:tcPr>
            <w:tcW w:w="4675" w:type="dxa"/>
          </w:tcPr>
          <w:p w14:paraId="21B4163F" w14:textId="77777777" w:rsidR="00424630" w:rsidRPr="00A00C82" w:rsidRDefault="00424630" w:rsidP="00A11B4F">
            <w:pPr>
              <w:contextualSpacing/>
              <w:rPr>
                <w:b/>
              </w:rPr>
            </w:pPr>
            <w:r w:rsidRPr="00A00C82">
              <w:rPr>
                <w:b/>
              </w:rPr>
              <w:t>Dual Eligible</w:t>
            </w:r>
            <w:r>
              <w:rPr>
                <w:b/>
              </w:rPr>
              <w:t xml:space="preserve"> – </w:t>
            </w:r>
            <w:r w:rsidRPr="00A00C82">
              <w:rPr>
                <w:b/>
              </w:rPr>
              <w:t>Hospital</w:t>
            </w:r>
            <w:r>
              <w:rPr>
                <w:b/>
              </w:rPr>
              <w:t>-Level – Cardio Respiratory</w:t>
            </w:r>
          </w:p>
        </w:tc>
        <w:tc>
          <w:tcPr>
            <w:tcW w:w="2610" w:type="dxa"/>
            <w:vAlign w:val="center"/>
          </w:tcPr>
          <w:p w14:paraId="14C6376C" w14:textId="77777777" w:rsidR="00424630" w:rsidRPr="006319AB" w:rsidRDefault="00424630" w:rsidP="00A11B4F">
            <w:r w:rsidRPr="006319AB">
              <w:rPr>
                <w:rFonts w:cs="Courier New"/>
                <w:color w:val="000000"/>
              </w:rPr>
              <w:t>0.4148 (0.0269)</w:t>
            </w:r>
          </w:p>
        </w:tc>
        <w:tc>
          <w:tcPr>
            <w:tcW w:w="2065" w:type="dxa"/>
            <w:vAlign w:val="center"/>
          </w:tcPr>
          <w:p w14:paraId="1348D71F" w14:textId="77777777" w:rsidR="00424630" w:rsidRPr="006319AB" w:rsidRDefault="00424630" w:rsidP="00A11B4F">
            <w:r w:rsidRPr="006319AB">
              <w:rPr>
                <w:rFonts w:cs="Courier New"/>
                <w:color w:val="000000"/>
              </w:rPr>
              <w:t>&lt;.0001</w:t>
            </w:r>
          </w:p>
        </w:tc>
      </w:tr>
      <w:tr w:rsidR="00424630" w14:paraId="2D76489F" w14:textId="77777777" w:rsidTr="00A11B4F">
        <w:trPr>
          <w:tblHeader/>
        </w:trPr>
        <w:tc>
          <w:tcPr>
            <w:tcW w:w="4675" w:type="dxa"/>
          </w:tcPr>
          <w:p w14:paraId="564F9865" w14:textId="77777777" w:rsidR="00424630" w:rsidRPr="00A00C82" w:rsidRDefault="00424630" w:rsidP="00A11B4F">
            <w:pPr>
              <w:contextualSpacing/>
              <w:rPr>
                <w:b/>
              </w:rPr>
            </w:pPr>
            <w:r w:rsidRPr="00A00C82">
              <w:rPr>
                <w:b/>
              </w:rPr>
              <w:t>Dual Eligible</w:t>
            </w:r>
            <w:r>
              <w:rPr>
                <w:b/>
              </w:rPr>
              <w:t xml:space="preserve"> – P</w:t>
            </w:r>
            <w:r w:rsidRPr="00A00C82">
              <w:rPr>
                <w:b/>
              </w:rPr>
              <w:t>atient</w:t>
            </w:r>
            <w:r>
              <w:rPr>
                <w:b/>
              </w:rPr>
              <w:t>-Level – Cardiovascular</w:t>
            </w:r>
          </w:p>
        </w:tc>
        <w:tc>
          <w:tcPr>
            <w:tcW w:w="2610" w:type="dxa"/>
            <w:vAlign w:val="center"/>
          </w:tcPr>
          <w:p w14:paraId="46962E63" w14:textId="77777777" w:rsidR="00424630" w:rsidRPr="006319AB" w:rsidRDefault="00424630" w:rsidP="00A11B4F">
            <w:r w:rsidRPr="006319AB">
              <w:rPr>
                <w:rFonts w:cs="Courier New"/>
                <w:color w:val="000000"/>
              </w:rPr>
              <w:t>0.1607 (0.0101)</w:t>
            </w:r>
          </w:p>
        </w:tc>
        <w:tc>
          <w:tcPr>
            <w:tcW w:w="2065" w:type="dxa"/>
            <w:vAlign w:val="center"/>
          </w:tcPr>
          <w:p w14:paraId="0A7E61B0" w14:textId="77777777" w:rsidR="00424630" w:rsidRPr="006319AB" w:rsidRDefault="00424630" w:rsidP="00A11B4F">
            <w:r w:rsidRPr="006319AB">
              <w:rPr>
                <w:rFonts w:cs="Courier New"/>
                <w:color w:val="000000"/>
              </w:rPr>
              <w:t>&lt;.0001</w:t>
            </w:r>
          </w:p>
        </w:tc>
      </w:tr>
      <w:tr w:rsidR="00424630" w14:paraId="592F1CDC" w14:textId="77777777" w:rsidTr="00A11B4F">
        <w:trPr>
          <w:tblHeader/>
        </w:trPr>
        <w:tc>
          <w:tcPr>
            <w:tcW w:w="4675" w:type="dxa"/>
          </w:tcPr>
          <w:p w14:paraId="2DCCD1A2" w14:textId="77777777" w:rsidR="00424630" w:rsidRPr="00A00C82" w:rsidRDefault="00424630" w:rsidP="00A11B4F">
            <w:pPr>
              <w:contextualSpacing/>
              <w:rPr>
                <w:b/>
              </w:rPr>
            </w:pPr>
            <w:r w:rsidRPr="00A00C82">
              <w:rPr>
                <w:b/>
              </w:rPr>
              <w:t>Dual Eligible</w:t>
            </w:r>
            <w:r>
              <w:rPr>
                <w:b/>
              </w:rPr>
              <w:t xml:space="preserve"> – </w:t>
            </w:r>
            <w:r w:rsidRPr="00A00C82">
              <w:rPr>
                <w:b/>
              </w:rPr>
              <w:t>Hospital</w:t>
            </w:r>
            <w:r>
              <w:rPr>
                <w:b/>
              </w:rPr>
              <w:t>-Level – Cardiovascular</w:t>
            </w:r>
          </w:p>
        </w:tc>
        <w:tc>
          <w:tcPr>
            <w:tcW w:w="2610" w:type="dxa"/>
            <w:vAlign w:val="center"/>
          </w:tcPr>
          <w:p w14:paraId="2592ED79" w14:textId="77777777" w:rsidR="00424630" w:rsidRPr="006319AB" w:rsidRDefault="00424630" w:rsidP="00A11B4F">
            <w:r w:rsidRPr="006319AB">
              <w:rPr>
                <w:rFonts w:cs="Courier New"/>
                <w:color w:val="000000"/>
              </w:rPr>
              <w:t>0.5318 (0.0418)</w:t>
            </w:r>
          </w:p>
        </w:tc>
        <w:tc>
          <w:tcPr>
            <w:tcW w:w="2065" w:type="dxa"/>
            <w:vAlign w:val="center"/>
          </w:tcPr>
          <w:p w14:paraId="10AD0896" w14:textId="77777777" w:rsidR="00424630" w:rsidRPr="006319AB" w:rsidRDefault="00424630" w:rsidP="00A11B4F">
            <w:r w:rsidRPr="006319AB">
              <w:rPr>
                <w:rFonts w:cs="Courier New"/>
                <w:color w:val="000000"/>
              </w:rPr>
              <w:t>&lt;.0001</w:t>
            </w:r>
          </w:p>
        </w:tc>
      </w:tr>
      <w:tr w:rsidR="00424630" w14:paraId="3E6C4C0F" w14:textId="77777777" w:rsidTr="00A11B4F">
        <w:trPr>
          <w:tblHeader/>
        </w:trPr>
        <w:tc>
          <w:tcPr>
            <w:tcW w:w="4675" w:type="dxa"/>
          </w:tcPr>
          <w:p w14:paraId="7F7310DD" w14:textId="77777777" w:rsidR="00424630" w:rsidRPr="00A00C82" w:rsidRDefault="00424630" w:rsidP="00A11B4F">
            <w:pPr>
              <w:contextualSpacing/>
              <w:rPr>
                <w:b/>
              </w:rPr>
            </w:pPr>
            <w:r w:rsidRPr="00A00C82">
              <w:rPr>
                <w:b/>
              </w:rPr>
              <w:t>Dual Eligible</w:t>
            </w:r>
            <w:r>
              <w:rPr>
                <w:b/>
              </w:rPr>
              <w:t xml:space="preserve"> – P</w:t>
            </w:r>
            <w:r w:rsidRPr="00A00C82">
              <w:rPr>
                <w:b/>
              </w:rPr>
              <w:t>atient</w:t>
            </w:r>
            <w:r>
              <w:rPr>
                <w:b/>
              </w:rPr>
              <w:t>-Level – Neurology</w:t>
            </w:r>
          </w:p>
        </w:tc>
        <w:tc>
          <w:tcPr>
            <w:tcW w:w="2610" w:type="dxa"/>
            <w:vAlign w:val="center"/>
          </w:tcPr>
          <w:p w14:paraId="7C5AF288" w14:textId="77777777" w:rsidR="00424630" w:rsidRPr="006319AB" w:rsidRDefault="00424630" w:rsidP="00A11B4F">
            <w:r w:rsidRPr="006319AB">
              <w:rPr>
                <w:rFonts w:cs="Courier New"/>
                <w:color w:val="000000"/>
              </w:rPr>
              <w:t>0.0874 (0.0129)</w:t>
            </w:r>
          </w:p>
        </w:tc>
        <w:tc>
          <w:tcPr>
            <w:tcW w:w="2065" w:type="dxa"/>
            <w:vAlign w:val="center"/>
          </w:tcPr>
          <w:p w14:paraId="48173C2C" w14:textId="77777777" w:rsidR="00424630" w:rsidRPr="006319AB" w:rsidRDefault="00424630" w:rsidP="00A11B4F">
            <w:r w:rsidRPr="006319AB">
              <w:rPr>
                <w:rFonts w:cs="Courier New"/>
                <w:color w:val="000000"/>
              </w:rPr>
              <w:t>&lt;.0001</w:t>
            </w:r>
          </w:p>
        </w:tc>
      </w:tr>
      <w:tr w:rsidR="00424630" w14:paraId="7AD28511" w14:textId="77777777" w:rsidTr="00A11B4F">
        <w:trPr>
          <w:tblHeader/>
        </w:trPr>
        <w:tc>
          <w:tcPr>
            <w:tcW w:w="4675" w:type="dxa"/>
          </w:tcPr>
          <w:p w14:paraId="5BAEC0C0" w14:textId="77777777" w:rsidR="00424630" w:rsidRPr="00A00C82" w:rsidRDefault="00424630" w:rsidP="00A11B4F">
            <w:pPr>
              <w:contextualSpacing/>
              <w:rPr>
                <w:b/>
              </w:rPr>
            </w:pPr>
            <w:r w:rsidRPr="00A00C82">
              <w:rPr>
                <w:b/>
              </w:rPr>
              <w:t>Dual Eligible</w:t>
            </w:r>
            <w:r>
              <w:rPr>
                <w:b/>
              </w:rPr>
              <w:t xml:space="preserve"> – </w:t>
            </w:r>
            <w:r w:rsidRPr="00A00C82">
              <w:rPr>
                <w:b/>
              </w:rPr>
              <w:t>Hospital</w:t>
            </w:r>
            <w:r>
              <w:rPr>
                <w:b/>
              </w:rPr>
              <w:t>-Level – Neurology</w:t>
            </w:r>
          </w:p>
        </w:tc>
        <w:tc>
          <w:tcPr>
            <w:tcW w:w="2610" w:type="dxa"/>
            <w:vAlign w:val="center"/>
          </w:tcPr>
          <w:p w14:paraId="5A2575C4" w14:textId="77777777" w:rsidR="00424630" w:rsidRPr="006319AB" w:rsidRDefault="00424630" w:rsidP="00A11B4F">
            <w:r w:rsidRPr="006319AB">
              <w:rPr>
                <w:rFonts w:cs="Courier New"/>
                <w:color w:val="000000"/>
              </w:rPr>
              <w:t>0.4997 (0.0526)</w:t>
            </w:r>
          </w:p>
        </w:tc>
        <w:tc>
          <w:tcPr>
            <w:tcW w:w="2065" w:type="dxa"/>
            <w:vAlign w:val="center"/>
          </w:tcPr>
          <w:p w14:paraId="6A23CF3F" w14:textId="77777777" w:rsidR="00424630" w:rsidRPr="006319AB" w:rsidRDefault="00424630" w:rsidP="00A11B4F">
            <w:r w:rsidRPr="006319AB">
              <w:rPr>
                <w:rFonts w:cs="Courier New"/>
                <w:color w:val="000000"/>
              </w:rPr>
              <w:t>&lt;.0001</w:t>
            </w:r>
          </w:p>
        </w:tc>
      </w:tr>
      <w:tr w:rsidR="00424630" w14:paraId="24981B95" w14:textId="77777777" w:rsidTr="00A11B4F">
        <w:trPr>
          <w:tblHeader/>
        </w:trPr>
        <w:tc>
          <w:tcPr>
            <w:tcW w:w="4675" w:type="dxa"/>
          </w:tcPr>
          <w:p w14:paraId="7947CD91" w14:textId="77777777" w:rsidR="00424630" w:rsidRPr="00A00C82" w:rsidRDefault="00424630" w:rsidP="00A11B4F">
            <w:pPr>
              <w:contextualSpacing/>
              <w:rPr>
                <w:b/>
              </w:rPr>
            </w:pPr>
            <w:r>
              <w:rPr>
                <w:b/>
              </w:rPr>
              <w:t xml:space="preserve">African American – </w:t>
            </w:r>
            <w:r w:rsidRPr="00A00C82">
              <w:rPr>
                <w:b/>
              </w:rPr>
              <w:t>Patient</w:t>
            </w:r>
            <w:r>
              <w:rPr>
                <w:b/>
              </w:rPr>
              <w:t>-Level – Medicine</w:t>
            </w:r>
          </w:p>
        </w:tc>
        <w:tc>
          <w:tcPr>
            <w:tcW w:w="2610" w:type="dxa"/>
            <w:vAlign w:val="center"/>
          </w:tcPr>
          <w:p w14:paraId="52A61F32" w14:textId="77777777" w:rsidR="00424630" w:rsidRPr="000916E1" w:rsidRDefault="00424630" w:rsidP="00A11B4F">
            <w:r w:rsidRPr="000916E1">
              <w:rPr>
                <w:rFonts w:cs="Courier New"/>
                <w:color w:val="000000"/>
              </w:rPr>
              <w:t>0.0374 (0.00558)</w:t>
            </w:r>
          </w:p>
        </w:tc>
        <w:tc>
          <w:tcPr>
            <w:tcW w:w="2065" w:type="dxa"/>
            <w:vAlign w:val="center"/>
          </w:tcPr>
          <w:p w14:paraId="4A07B42E" w14:textId="77777777" w:rsidR="00424630" w:rsidRPr="000916E1" w:rsidRDefault="00424630" w:rsidP="00A11B4F">
            <w:r w:rsidRPr="000916E1">
              <w:t>&lt;.0001</w:t>
            </w:r>
          </w:p>
        </w:tc>
      </w:tr>
      <w:tr w:rsidR="00424630" w14:paraId="1E21017F" w14:textId="77777777" w:rsidTr="00A11B4F">
        <w:trPr>
          <w:tblHeader/>
        </w:trPr>
        <w:tc>
          <w:tcPr>
            <w:tcW w:w="4675" w:type="dxa"/>
          </w:tcPr>
          <w:p w14:paraId="7A66F8EB" w14:textId="77777777" w:rsidR="00424630" w:rsidRPr="00A00C82" w:rsidRDefault="00424630" w:rsidP="00A11B4F">
            <w:pPr>
              <w:contextualSpacing/>
              <w:rPr>
                <w:b/>
              </w:rPr>
            </w:pPr>
            <w:r>
              <w:rPr>
                <w:b/>
              </w:rPr>
              <w:t xml:space="preserve">African American – </w:t>
            </w:r>
            <w:r w:rsidRPr="00A00C82">
              <w:rPr>
                <w:b/>
              </w:rPr>
              <w:t>Hospital</w:t>
            </w:r>
            <w:r>
              <w:rPr>
                <w:b/>
              </w:rPr>
              <w:t>-Level – Medicine</w:t>
            </w:r>
          </w:p>
        </w:tc>
        <w:tc>
          <w:tcPr>
            <w:tcW w:w="2610" w:type="dxa"/>
            <w:vAlign w:val="center"/>
          </w:tcPr>
          <w:p w14:paraId="5B684EBF" w14:textId="77777777" w:rsidR="00424630" w:rsidRPr="000916E1" w:rsidRDefault="00424630" w:rsidP="00A11B4F">
            <w:r w:rsidRPr="000916E1">
              <w:rPr>
                <w:rFonts w:cs="Courier New"/>
                <w:color w:val="000000"/>
              </w:rPr>
              <w:t>0.3208 (0.0119)</w:t>
            </w:r>
          </w:p>
        </w:tc>
        <w:tc>
          <w:tcPr>
            <w:tcW w:w="2065" w:type="dxa"/>
            <w:vAlign w:val="center"/>
          </w:tcPr>
          <w:p w14:paraId="4BA1ED7F" w14:textId="77777777" w:rsidR="00424630" w:rsidRPr="000916E1" w:rsidRDefault="00424630" w:rsidP="00A11B4F">
            <w:r w:rsidRPr="000916E1">
              <w:t>&lt;.0001</w:t>
            </w:r>
          </w:p>
        </w:tc>
      </w:tr>
      <w:tr w:rsidR="00424630" w14:paraId="0B24FBFB" w14:textId="77777777" w:rsidTr="00A11B4F">
        <w:trPr>
          <w:tblHeader/>
        </w:trPr>
        <w:tc>
          <w:tcPr>
            <w:tcW w:w="4675" w:type="dxa"/>
          </w:tcPr>
          <w:p w14:paraId="73432F3D" w14:textId="77777777" w:rsidR="00424630" w:rsidRPr="00A00C82" w:rsidRDefault="00424630" w:rsidP="00A11B4F">
            <w:pPr>
              <w:contextualSpacing/>
              <w:rPr>
                <w:b/>
              </w:rPr>
            </w:pPr>
            <w:r>
              <w:rPr>
                <w:b/>
              </w:rPr>
              <w:t xml:space="preserve">African American – </w:t>
            </w:r>
            <w:r w:rsidRPr="00A00C82">
              <w:rPr>
                <w:b/>
              </w:rPr>
              <w:t>Patient</w:t>
            </w:r>
            <w:r>
              <w:rPr>
                <w:b/>
              </w:rPr>
              <w:t>-Level – Surgery</w:t>
            </w:r>
          </w:p>
        </w:tc>
        <w:tc>
          <w:tcPr>
            <w:tcW w:w="2610" w:type="dxa"/>
            <w:vAlign w:val="center"/>
          </w:tcPr>
          <w:p w14:paraId="737829A6" w14:textId="77777777" w:rsidR="00424630" w:rsidRPr="000916E1" w:rsidRDefault="00424630" w:rsidP="00A11B4F">
            <w:r w:rsidRPr="000916E1">
              <w:rPr>
                <w:rFonts w:cs="Courier New"/>
                <w:color w:val="000000"/>
              </w:rPr>
              <w:t>0.0959 (0.0103)</w:t>
            </w:r>
          </w:p>
        </w:tc>
        <w:tc>
          <w:tcPr>
            <w:tcW w:w="2065" w:type="dxa"/>
            <w:vAlign w:val="center"/>
          </w:tcPr>
          <w:p w14:paraId="63E2B41F" w14:textId="77777777" w:rsidR="00424630" w:rsidRPr="000916E1" w:rsidRDefault="00424630" w:rsidP="00A11B4F">
            <w:r w:rsidRPr="000916E1">
              <w:rPr>
                <w:rFonts w:cs="Courier New"/>
                <w:color w:val="000000"/>
              </w:rPr>
              <w:t>&lt;.0001</w:t>
            </w:r>
          </w:p>
        </w:tc>
      </w:tr>
      <w:tr w:rsidR="00424630" w14:paraId="09A87B6F" w14:textId="77777777" w:rsidTr="00A11B4F">
        <w:trPr>
          <w:tblHeader/>
        </w:trPr>
        <w:tc>
          <w:tcPr>
            <w:tcW w:w="4675" w:type="dxa"/>
          </w:tcPr>
          <w:p w14:paraId="24E3832F" w14:textId="77777777" w:rsidR="00424630" w:rsidRPr="00A00C82" w:rsidRDefault="00424630" w:rsidP="00A11B4F">
            <w:pPr>
              <w:contextualSpacing/>
              <w:rPr>
                <w:b/>
              </w:rPr>
            </w:pPr>
            <w:r>
              <w:rPr>
                <w:b/>
              </w:rPr>
              <w:t xml:space="preserve">African American – </w:t>
            </w:r>
            <w:r w:rsidRPr="00A00C82">
              <w:rPr>
                <w:b/>
              </w:rPr>
              <w:t>Hospital</w:t>
            </w:r>
            <w:r>
              <w:rPr>
                <w:b/>
              </w:rPr>
              <w:t>-Level – Surgery</w:t>
            </w:r>
          </w:p>
        </w:tc>
        <w:tc>
          <w:tcPr>
            <w:tcW w:w="2610" w:type="dxa"/>
            <w:vAlign w:val="center"/>
          </w:tcPr>
          <w:p w14:paraId="472C61FD" w14:textId="77777777" w:rsidR="00424630" w:rsidRPr="000916E1" w:rsidRDefault="00424630" w:rsidP="00A11B4F">
            <w:r w:rsidRPr="000916E1">
              <w:rPr>
                <w:rFonts w:cs="Courier New"/>
                <w:color w:val="000000"/>
              </w:rPr>
              <w:t>0.4423 (0.0214)</w:t>
            </w:r>
          </w:p>
        </w:tc>
        <w:tc>
          <w:tcPr>
            <w:tcW w:w="2065" w:type="dxa"/>
            <w:vAlign w:val="center"/>
          </w:tcPr>
          <w:p w14:paraId="0CB7FE6E" w14:textId="77777777" w:rsidR="00424630" w:rsidRPr="000916E1" w:rsidRDefault="00424630" w:rsidP="00A11B4F">
            <w:r w:rsidRPr="000916E1">
              <w:rPr>
                <w:rFonts w:cs="Courier New"/>
                <w:color w:val="000000"/>
              </w:rPr>
              <w:t>&lt;.0001</w:t>
            </w:r>
          </w:p>
        </w:tc>
      </w:tr>
      <w:tr w:rsidR="00424630" w14:paraId="425F8CA8" w14:textId="77777777" w:rsidTr="00A11B4F">
        <w:trPr>
          <w:tblHeader/>
        </w:trPr>
        <w:tc>
          <w:tcPr>
            <w:tcW w:w="4675" w:type="dxa"/>
          </w:tcPr>
          <w:p w14:paraId="1F941104" w14:textId="77777777" w:rsidR="00424630" w:rsidRPr="00A00C82" w:rsidRDefault="00424630" w:rsidP="00A11B4F">
            <w:pPr>
              <w:contextualSpacing/>
              <w:rPr>
                <w:b/>
              </w:rPr>
            </w:pPr>
            <w:r>
              <w:rPr>
                <w:b/>
              </w:rPr>
              <w:t xml:space="preserve">African American – </w:t>
            </w:r>
            <w:r w:rsidRPr="00A00C82">
              <w:rPr>
                <w:b/>
              </w:rPr>
              <w:t>Patient</w:t>
            </w:r>
            <w:r>
              <w:rPr>
                <w:b/>
              </w:rPr>
              <w:t>-Level – Cardio Respiratory</w:t>
            </w:r>
          </w:p>
        </w:tc>
        <w:tc>
          <w:tcPr>
            <w:tcW w:w="2610" w:type="dxa"/>
            <w:vAlign w:val="center"/>
          </w:tcPr>
          <w:p w14:paraId="0E5D8911" w14:textId="77777777" w:rsidR="00424630" w:rsidRPr="000916E1" w:rsidRDefault="00424630" w:rsidP="00A11B4F">
            <w:r w:rsidRPr="000916E1">
              <w:rPr>
                <w:rFonts w:cs="Courier New"/>
                <w:color w:val="000000"/>
              </w:rPr>
              <w:t>0.0470 (0.00884)</w:t>
            </w:r>
          </w:p>
        </w:tc>
        <w:tc>
          <w:tcPr>
            <w:tcW w:w="2065" w:type="dxa"/>
            <w:vAlign w:val="center"/>
          </w:tcPr>
          <w:p w14:paraId="35601703" w14:textId="77777777" w:rsidR="00424630" w:rsidRPr="000916E1" w:rsidRDefault="00424630" w:rsidP="00A11B4F">
            <w:r w:rsidRPr="000916E1">
              <w:rPr>
                <w:rFonts w:cs="Courier New"/>
                <w:color w:val="000000"/>
              </w:rPr>
              <w:t>&lt;.0001</w:t>
            </w:r>
          </w:p>
        </w:tc>
      </w:tr>
      <w:tr w:rsidR="00424630" w14:paraId="250AEFB1" w14:textId="77777777" w:rsidTr="00A11B4F">
        <w:trPr>
          <w:tblHeader/>
        </w:trPr>
        <w:tc>
          <w:tcPr>
            <w:tcW w:w="4675" w:type="dxa"/>
          </w:tcPr>
          <w:p w14:paraId="66A3D635" w14:textId="77777777" w:rsidR="00424630" w:rsidRPr="00A00C82" w:rsidRDefault="00424630" w:rsidP="00A11B4F">
            <w:pPr>
              <w:contextualSpacing/>
              <w:rPr>
                <w:b/>
              </w:rPr>
            </w:pPr>
            <w:r>
              <w:rPr>
                <w:b/>
              </w:rPr>
              <w:t xml:space="preserve">African American – </w:t>
            </w:r>
            <w:r w:rsidRPr="00A00C82">
              <w:rPr>
                <w:b/>
              </w:rPr>
              <w:t>Hospital</w:t>
            </w:r>
            <w:r>
              <w:rPr>
                <w:b/>
              </w:rPr>
              <w:t>-Level – Cardio Respiratory</w:t>
            </w:r>
          </w:p>
        </w:tc>
        <w:tc>
          <w:tcPr>
            <w:tcW w:w="2610" w:type="dxa"/>
            <w:vAlign w:val="center"/>
          </w:tcPr>
          <w:p w14:paraId="365D8C8A" w14:textId="77777777" w:rsidR="00424630" w:rsidRPr="000916E1" w:rsidRDefault="00424630" w:rsidP="00A11B4F">
            <w:r w:rsidRPr="000916E1">
              <w:rPr>
                <w:rFonts w:cs="Courier New"/>
                <w:color w:val="000000"/>
              </w:rPr>
              <w:t>0.3386 (0.0186)</w:t>
            </w:r>
          </w:p>
        </w:tc>
        <w:tc>
          <w:tcPr>
            <w:tcW w:w="2065" w:type="dxa"/>
            <w:vAlign w:val="center"/>
          </w:tcPr>
          <w:p w14:paraId="3DE56971" w14:textId="77777777" w:rsidR="00424630" w:rsidRPr="000916E1" w:rsidRDefault="00424630" w:rsidP="00A11B4F">
            <w:r w:rsidRPr="000916E1">
              <w:rPr>
                <w:rFonts w:cs="Courier New"/>
                <w:color w:val="000000"/>
              </w:rPr>
              <w:t>&lt;.0001</w:t>
            </w:r>
          </w:p>
        </w:tc>
      </w:tr>
      <w:tr w:rsidR="00424630" w14:paraId="718B72B1" w14:textId="77777777" w:rsidTr="00A11B4F">
        <w:trPr>
          <w:tblHeader/>
        </w:trPr>
        <w:tc>
          <w:tcPr>
            <w:tcW w:w="4675" w:type="dxa"/>
          </w:tcPr>
          <w:p w14:paraId="2F9A1266" w14:textId="77777777" w:rsidR="00424630" w:rsidRPr="00A00C82" w:rsidRDefault="00424630" w:rsidP="00A11B4F">
            <w:pPr>
              <w:contextualSpacing/>
              <w:rPr>
                <w:b/>
              </w:rPr>
            </w:pPr>
            <w:r>
              <w:rPr>
                <w:b/>
              </w:rPr>
              <w:t xml:space="preserve">African American – </w:t>
            </w:r>
            <w:r w:rsidRPr="00A00C82">
              <w:rPr>
                <w:b/>
              </w:rPr>
              <w:t>Patient</w:t>
            </w:r>
            <w:r>
              <w:rPr>
                <w:b/>
              </w:rPr>
              <w:t>-Level – Cardiovascular</w:t>
            </w:r>
          </w:p>
        </w:tc>
        <w:tc>
          <w:tcPr>
            <w:tcW w:w="2610" w:type="dxa"/>
            <w:vAlign w:val="center"/>
          </w:tcPr>
          <w:p w14:paraId="44C09644" w14:textId="77777777" w:rsidR="00424630" w:rsidRPr="000916E1" w:rsidRDefault="00424630" w:rsidP="00A11B4F">
            <w:r w:rsidRPr="000916E1">
              <w:rPr>
                <w:rFonts w:cs="Courier New"/>
                <w:color w:val="000000"/>
              </w:rPr>
              <w:t>0.0763 (0.0131)</w:t>
            </w:r>
          </w:p>
        </w:tc>
        <w:tc>
          <w:tcPr>
            <w:tcW w:w="2065" w:type="dxa"/>
            <w:vAlign w:val="center"/>
          </w:tcPr>
          <w:p w14:paraId="2B5185EC" w14:textId="77777777" w:rsidR="00424630" w:rsidRPr="000916E1" w:rsidRDefault="00424630" w:rsidP="00A11B4F">
            <w:r w:rsidRPr="000916E1">
              <w:rPr>
                <w:rFonts w:cs="Courier New"/>
                <w:color w:val="000000"/>
              </w:rPr>
              <w:t>&lt;.0001</w:t>
            </w:r>
          </w:p>
        </w:tc>
      </w:tr>
      <w:tr w:rsidR="00424630" w14:paraId="68291FE4" w14:textId="77777777" w:rsidTr="00A11B4F">
        <w:trPr>
          <w:tblHeader/>
        </w:trPr>
        <w:tc>
          <w:tcPr>
            <w:tcW w:w="4675" w:type="dxa"/>
          </w:tcPr>
          <w:p w14:paraId="0DBBE6D7" w14:textId="77777777" w:rsidR="00424630" w:rsidRPr="00A00C82" w:rsidRDefault="00424630" w:rsidP="00A11B4F">
            <w:pPr>
              <w:contextualSpacing/>
              <w:rPr>
                <w:b/>
              </w:rPr>
            </w:pPr>
            <w:r>
              <w:rPr>
                <w:b/>
              </w:rPr>
              <w:t xml:space="preserve">African American – </w:t>
            </w:r>
            <w:r w:rsidRPr="00A00C82">
              <w:rPr>
                <w:b/>
              </w:rPr>
              <w:t>Hospital</w:t>
            </w:r>
            <w:r>
              <w:rPr>
                <w:b/>
              </w:rPr>
              <w:t>-Level – Cardiovascular</w:t>
            </w:r>
          </w:p>
        </w:tc>
        <w:tc>
          <w:tcPr>
            <w:tcW w:w="2610" w:type="dxa"/>
            <w:vAlign w:val="center"/>
          </w:tcPr>
          <w:p w14:paraId="7C93875D" w14:textId="77777777" w:rsidR="00424630" w:rsidRPr="000916E1" w:rsidRDefault="00424630" w:rsidP="00A11B4F">
            <w:r w:rsidRPr="000916E1">
              <w:rPr>
                <w:rFonts w:cs="Courier New"/>
                <w:color w:val="000000"/>
              </w:rPr>
              <w:t>0.3501 (0.0269)</w:t>
            </w:r>
          </w:p>
        </w:tc>
        <w:tc>
          <w:tcPr>
            <w:tcW w:w="2065" w:type="dxa"/>
            <w:vAlign w:val="center"/>
          </w:tcPr>
          <w:p w14:paraId="42BD0301" w14:textId="77777777" w:rsidR="00424630" w:rsidRPr="000916E1" w:rsidRDefault="00424630" w:rsidP="00A11B4F">
            <w:r w:rsidRPr="000916E1">
              <w:rPr>
                <w:rFonts w:cs="Courier New"/>
                <w:color w:val="000000"/>
              </w:rPr>
              <w:t>&lt;.0001</w:t>
            </w:r>
          </w:p>
        </w:tc>
      </w:tr>
      <w:tr w:rsidR="00424630" w14:paraId="1397C2F5" w14:textId="77777777" w:rsidTr="00A11B4F">
        <w:trPr>
          <w:tblHeader/>
        </w:trPr>
        <w:tc>
          <w:tcPr>
            <w:tcW w:w="4675" w:type="dxa"/>
          </w:tcPr>
          <w:p w14:paraId="0CB96890" w14:textId="77777777" w:rsidR="00424630" w:rsidRPr="00A00C82" w:rsidRDefault="00424630" w:rsidP="00A11B4F">
            <w:pPr>
              <w:contextualSpacing/>
              <w:rPr>
                <w:b/>
              </w:rPr>
            </w:pPr>
            <w:r>
              <w:rPr>
                <w:b/>
              </w:rPr>
              <w:t xml:space="preserve">African American – </w:t>
            </w:r>
            <w:r w:rsidRPr="00A00C82">
              <w:rPr>
                <w:b/>
              </w:rPr>
              <w:t>Patient</w:t>
            </w:r>
            <w:r>
              <w:rPr>
                <w:b/>
              </w:rPr>
              <w:t>-Level – Neurology</w:t>
            </w:r>
          </w:p>
        </w:tc>
        <w:tc>
          <w:tcPr>
            <w:tcW w:w="2610" w:type="dxa"/>
            <w:vAlign w:val="center"/>
          </w:tcPr>
          <w:p w14:paraId="3FED2405" w14:textId="77777777" w:rsidR="00424630" w:rsidRPr="000916E1" w:rsidRDefault="00424630" w:rsidP="00A11B4F">
            <w:r w:rsidRPr="000916E1">
              <w:rPr>
                <w:rFonts w:cs="Courier New"/>
                <w:color w:val="000000"/>
              </w:rPr>
              <w:t>0.1200 (0.0155)</w:t>
            </w:r>
          </w:p>
        </w:tc>
        <w:tc>
          <w:tcPr>
            <w:tcW w:w="2065" w:type="dxa"/>
            <w:vAlign w:val="center"/>
          </w:tcPr>
          <w:p w14:paraId="078BA724" w14:textId="77777777" w:rsidR="00424630" w:rsidRPr="000916E1" w:rsidRDefault="00424630" w:rsidP="00A11B4F">
            <w:r w:rsidRPr="000916E1">
              <w:rPr>
                <w:rFonts w:cs="Courier New"/>
                <w:color w:val="000000"/>
              </w:rPr>
              <w:t>&lt;.0001</w:t>
            </w:r>
          </w:p>
        </w:tc>
      </w:tr>
      <w:tr w:rsidR="00424630" w14:paraId="02A25CAE" w14:textId="77777777" w:rsidTr="00A11B4F">
        <w:trPr>
          <w:tblHeader/>
        </w:trPr>
        <w:tc>
          <w:tcPr>
            <w:tcW w:w="4675" w:type="dxa"/>
          </w:tcPr>
          <w:p w14:paraId="401EF14B" w14:textId="77777777" w:rsidR="00424630" w:rsidRPr="00A00C82" w:rsidRDefault="00424630" w:rsidP="00A11B4F">
            <w:pPr>
              <w:contextualSpacing/>
              <w:rPr>
                <w:b/>
              </w:rPr>
            </w:pPr>
            <w:r>
              <w:rPr>
                <w:b/>
              </w:rPr>
              <w:t xml:space="preserve">African American – </w:t>
            </w:r>
            <w:r w:rsidRPr="00A00C82">
              <w:rPr>
                <w:b/>
              </w:rPr>
              <w:t>Hospital</w:t>
            </w:r>
            <w:r>
              <w:rPr>
                <w:b/>
              </w:rPr>
              <w:t>-Level – Neurology</w:t>
            </w:r>
          </w:p>
        </w:tc>
        <w:tc>
          <w:tcPr>
            <w:tcW w:w="2610" w:type="dxa"/>
            <w:vAlign w:val="center"/>
          </w:tcPr>
          <w:p w14:paraId="7E1B9E3D" w14:textId="77777777" w:rsidR="00424630" w:rsidRPr="000916E1" w:rsidRDefault="00424630" w:rsidP="00A11B4F">
            <w:r w:rsidRPr="000916E1">
              <w:rPr>
                <w:rFonts w:cs="Courier New"/>
                <w:color w:val="000000"/>
              </w:rPr>
              <w:t>0.5252 (0.0331)</w:t>
            </w:r>
          </w:p>
        </w:tc>
        <w:tc>
          <w:tcPr>
            <w:tcW w:w="2065" w:type="dxa"/>
            <w:vAlign w:val="center"/>
          </w:tcPr>
          <w:p w14:paraId="04927BC1" w14:textId="77777777" w:rsidR="00424630" w:rsidRPr="000916E1" w:rsidRDefault="00424630" w:rsidP="00A11B4F">
            <w:r w:rsidRPr="000916E1">
              <w:rPr>
                <w:rFonts w:cs="Courier New"/>
                <w:color w:val="000000"/>
              </w:rPr>
              <w:t>&lt;.0001</w:t>
            </w:r>
          </w:p>
        </w:tc>
      </w:tr>
      <w:tr w:rsidR="00424630" w14:paraId="3C65DAA5" w14:textId="77777777" w:rsidTr="00A11B4F">
        <w:trPr>
          <w:tblHeader/>
        </w:trPr>
        <w:tc>
          <w:tcPr>
            <w:tcW w:w="4675" w:type="dxa"/>
          </w:tcPr>
          <w:p w14:paraId="29CA3037" w14:textId="77777777" w:rsidR="00424630" w:rsidRPr="00A00C82" w:rsidRDefault="00424630" w:rsidP="00A11B4F">
            <w:pPr>
              <w:contextualSpacing/>
              <w:rPr>
                <w:b/>
              </w:rPr>
            </w:pPr>
            <w:r>
              <w:rPr>
                <w:b/>
              </w:rPr>
              <w:t>AHRQ SES Index – Patient-Level – Medicine</w:t>
            </w:r>
          </w:p>
        </w:tc>
        <w:tc>
          <w:tcPr>
            <w:tcW w:w="2610" w:type="dxa"/>
            <w:vAlign w:val="center"/>
          </w:tcPr>
          <w:p w14:paraId="4CA87FE1" w14:textId="77777777" w:rsidR="00424630" w:rsidRPr="000916E1" w:rsidRDefault="00424630" w:rsidP="00A11B4F">
            <w:r w:rsidRPr="000916E1">
              <w:rPr>
                <w:rFonts w:cs="Courier New"/>
                <w:color w:val="000000"/>
              </w:rPr>
              <w:t>0.0249 (0.00444)</w:t>
            </w:r>
          </w:p>
        </w:tc>
        <w:tc>
          <w:tcPr>
            <w:tcW w:w="2065" w:type="dxa"/>
            <w:vAlign w:val="center"/>
          </w:tcPr>
          <w:p w14:paraId="773EB9AB" w14:textId="77777777" w:rsidR="00424630" w:rsidRPr="006319AB" w:rsidRDefault="00424630" w:rsidP="00A11B4F">
            <w:r w:rsidRPr="006319AB">
              <w:t>&lt;.0001</w:t>
            </w:r>
          </w:p>
        </w:tc>
      </w:tr>
      <w:tr w:rsidR="00424630" w14:paraId="61603810" w14:textId="77777777" w:rsidTr="00A11B4F">
        <w:trPr>
          <w:tblHeader/>
        </w:trPr>
        <w:tc>
          <w:tcPr>
            <w:tcW w:w="4675" w:type="dxa"/>
          </w:tcPr>
          <w:p w14:paraId="2A81B9CB" w14:textId="77777777" w:rsidR="00424630" w:rsidRPr="00A00C82" w:rsidRDefault="00424630" w:rsidP="00A11B4F">
            <w:pPr>
              <w:contextualSpacing/>
              <w:rPr>
                <w:b/>
              </w:rPr>
            </w:pPr>
            <w:r>
              <w:rPr>
                <w:b/>
              </w:rPr>
              <w:t xml:space="preserve">AHRQ SES Index – </w:t>
            </w:r>
            <w:r w:rsidRPr="00A00C82">
              <w:rPr>
                <w:b/>
              </w:rPr>
              <w:t>Hospital</w:t>
            </w:r>
            <w:r>
              <w:rPr>
                <w:b/>
              </w:rPr>
              <w:t>-Level – Medicine</w:t>
            </w:r>
          </w:p>
        </w:tc>
        <w:tc>
          <w:tcPr>
            <w:tcW w:w="2610" w:type="dxa"/>
            <w:vAlign w:val="center"/>
          </w:tcPr>
          <w:p w14:paraId="4DC17005" w14:textId="77777777" w:rsidR="00424630" w:rsidRPr="000916E1" w:rsidRDefault="00424630" w:rsidP="00A11B4F">
            <w:r w:rsidRPr="000916E1">
              <w:rPr>
                <w:rFonts w:cs="Courier New"/>
                <w:color w:val="000000"/>
              </w:rPr>
              <w:t>0.0788 (0.00653)</w:t>
            </w:r>
          </w:p>
        </w:tc>
        <w:tc>
          <w:tcPr>
            <w:tcW w:w="2065" w:type="dxa"/>
            <w:vAlign w:val="center"/>
          </w:tcPr>
          <w:p w14:paraId="10F35067" w14:textId="77777777" w:rsidR="00424630" w:rsidRPr="006319AB" w:rsidRDefault="00424630" w:rsidP="00A11B4F">
            <w:r w:rsidRPr="006319AB">
              <w:t>&lt;.0001</w:t>
            </w:r>
          </w:p>
        </w:tc>
      </w:tr>
      <w:tr w:rsidR="00424630" w14:paraId="64D20B30" w14:textId="77777777" w:rsidTr="00A11B4F">
        <w:trPr>
          <w:tblHeader/>
        </w:trPr>
        <w:tc>
          <w:tcPr>
            <w:tcW w:w="4675" w:type="dxa"/>
          </w:tcPr>
          <w:p w14:paraId="4353A3F1" w14:textId="77777777" w:rsidR="00424630" w:rsidRPr="00A00C82" w:rsidRDefault="00424630" w:rsidP="00A11B4F">
            <w:pPr>
              <w:contextualSpacing/>
              <w:rPr>
                <w:b/>
              </w:rPr>
            </w:pPr>
            <w:r>
              <w:rPr>
                <w:b/>
              </w:rPr>
              <w:t>AHRQ SES Index – Patient-Level – Surgery</w:t>
            </w:r>
          </w:p>
        </w:tc>
        <w:tc>
          <w:tcPr>
            <w:tcW w:w="2610" w:type="dxa"/>
            <w:vAlign w:val="center"/>
          </w:tcPr>
          <w:p w14:paraId="7AC51E21" w14:textId="77777777" w:rsidR="00424630" w:rsidRPr="000916E1" w:rsidRDefault="00424630" w:rsidP="00A11B4F">
            <w:r w:rsidRPr="000916E1">
              <w:rPr>
                <w:rFonts w:cs="Courier New"/>
                <w:color w:val="000000"/>
              </w:rPr>
              <w:t>0.0349 (0.00689)</w:t>
            </w:r>
          </w:p>
        </w:tc>
        <w:tc>
          <w:tcPr>
            <w:tcW w:w="2065" w:type="dxa"/>
            <w:vAlign w:val="center"/>
          </w:tcPr>
          <w:p w14:paraId="7721C010" w14:textId="77777777" w:rsidR="00424630" w:rsidRPr="006319AB" w:rsidRDefault="00424630" w:rsidP="00A11B4F">
            <w:r w:rsidRPr="006319AB">
              <w:rPr>
                <w:rFonts w:cs="Courier New"/>
                <w:color w:val="000000"/>
              </w:rPr>
              <w:t>&lt;.0001</w:t>
            </w:r>
          </w:p>
        </w:tc>
      </w:tr>
      <w:tr w:rsidR="00424630" w14:paraId="5E101610" w14:textId="77777777" w:rsidTr="00A11B4F">
        <w:trPr>
          <w:tblHeader/>
        </w:trPr>
        <w:tc>
          <w:tcPr>
            <w:tcW w:w="4675" w:type="dxa"/>
          </w:tcPr>
          <w:p w14:paraId="6904277F" w14:textId="77777777" w:rsidR="00424630" w:rsidRPr="00A00C82" w:rsidRDefault="00424630" w:rsidP="00A11B4F">
            <w:pPr>
              <w:contextualSpacing/>
              <w:rPr>
                <w:b/>
              </w:rPr>
            </w:pPr>
            <w:r>
              <w:rPr>
                <w:b/>
              </w:rPr>
              <w:t xml:space="preserve">AHRQ SES Index – </w:t>
            </w:r>
            <w:r w:rsidRPr="00A00C82">
              <w:rPr>
                <w:b/>
              </w:rPr>
              <w:t>Hospital</w:t>
            </w:r>
            <w:r>
              <w:rPr>
                <w:b/>
              </w:rPr>
              <w:t>-Level – Surgery</w:t>
            </w:r>
          </w:p>
        </w:tc>
        <w:tc>
          <w:tcPr>
            <w:tcW w:w="2610" w:type="dxa"/>
            <w:vAlign w:val="center"/>
          </w:tcPr>
          <w:p w14:paraId="5F6C2507" w14:textId="77777777" w:rsidR="00424630" w:rsidRPr="000916E1" w:rsidRDefault="00424630" w:rsidP="00A11B4F">
            <w:r w:rsidRPr="000916E1">
              <w:rPr>
                <w:rFonts w:cs="Courier New"/>
                <w:color w:val="000000"/>
              </w:rPr>
              <w:t>0.1254 (0.0120)</w:t>
            </w:r>
          </w:p>
        </w:tc>
        <w:tc>
          <w:tcPr>
            <w:tcW w:w="2065" w:type="dxa"/>
            <w:vAlign w:val="center"/>
          </w:tcPr>
          <w:p w14:paraId="52D55AFA" w14:textId="77777777" w:rsidR="00424630" w:rsidRPr="006319AB" w:rsidRDefault="00424630" w:rsidP="00A11B4F">
            <w:r w:rsidRPr="006319AB">
              <w:rPr>
                <w:rFonts w:cs="Courier New"/>
                <w:color w:val="000000"/>
              </w:rPr>
              <w:t>&lt;.0001</w:t>
            </w:r>
          </w:p>
        </w:tc>
      </w:tr>
      <w:tr w:rsidR="00424630" w14:paraId="12D25E3E" w14:textId="77777777" w:rsidTr="00A11B4F">
        <w:trPr>
          <w:tblHeader/>
        </w:trPr>
        <w:tc>
          <w:tcPr>
            <w:tcW w:w="4675" w:type="dxa"/>
          </w:tcPr>
          <w:p w14:paraId="2A2B5D93" w14:textId="77777777" w:rsidR="00424630" w:rsidRPr="00A00C82" w:rsidRDefault="00424630" w:rsidP="00A11B4F">
            <w:pPr>
              <w:contextualSpacing/>
              <w:rPr>
                <w:b/>
              </w:rPr>
            </w:pPr>
            <w:r>
              <w:rPr>
                <w:b/>
              </w:rPr>
              <w:t>AHRQ SES Index – Patient-Level – Cardio Respiratory</w:t>
            </w:r>
          </w:p>
        </w:tc>
        <w:tc>
          <w:tcPr>
            <w:tcW w:w="2610" w:type="dxa"/>
            <w:vAlign w:val="center"/>
          </w:tcPr>
          <w:p w14:paraId="5CB18A3F" w14:textId="77777777" w:rsidR="00424630" w:rsidRPr="000916E1" w:rsidRDefault="00424630" w:rsidP="00A11B4F">
            <w:r w:rsidRPr="000916E1">
              <w:rPr>
                <w:rFonts w:cs="Courier New"/>
                <w:color w:val="000000"/>
              </w:rPr>
              <w:t>0.0376 (0.00661)</w:t>
            </w:r>
          </w:p>
        </w:tc>
        <w:tc>
          <w:tcPr>
            <w:tcW w:w="2065" w:type="dxa"/>
            <w:vAlign w:val="center"/>
          </w:tcPr>
          <w:p w14:paraId="2211756B" w14:textId="77777777" w:rsidR="00424630" w:rsidRPr="006319AB" w:rsidRDefault="00424630" w:rsidP="00A11B4F">
            <w:r w:rsidRPr="006319AB">
              <w:rPr>
                <w:rFonts w:cs="Courier New"/>
                <w:color w:val="000000"/>
              </w:rPr>
              <w:t>&lt;.0001</w:t>
            </w:r>
          </w:p>
        </w:tc>
      </w:tr>
      <w:tr w:rsidR="00424630" w14:paraId="2218866D" w14:textId="77777777" w:rsidTr="00A11B4F">
        <w:trPr>
          <w:tblHeader/>
        </w:trPr>
        <w:tc>
          <w:tcPr>
            <w:tcW w:w="4675" w:type="dxa"/>
          </w:tcPr>
          <w:p w14:paraId="2B76383B" w14:textId="77777777" w:rsidR="00424630" w:rsidRPr="00A00C82" w:rsidRDefault="00424630" w:rsidP="00A11B4F">
            <w:pPr>
              <w:contextualSpacing/>
              <w:rPr>
                <w:b/>
              </w:rPr>
            </w:pPr>
            <w:r>
              <w:rPr>
                <w:b/>
              </w:rPr>
              <w:t xml:space="preserve">AHRQ SES Index – </w:t>
            </w:r>
            <w:r w:rsidRPr="00A00C82">
              <w:rPr>
                <w:b/>
              </w:rPr>
              <w:t>Hospital</w:t>
            </w:r>
            <w:r>
              <w:rPr>
                <w:b/>
              </w:rPr>
              <w:t>-Level – Cardio Respiratory</w:t>
            </w:r>
          </w:p>
        </w:tc>
        <w:tc>
          <w:tcPr>
            <w:tcW w:w="2610" w:type="dxa"/>
            <w:vAlign w:val="center"/>
          </w:tcPr>
          <w:p w14:paraId="715802C0" w14:textId="77777777" w:rsidR="00424630" w:rsidRPr="000916E1" w:rsidRDefault="00424630" w:rsidP="00A11B4F">
            <w:r w:rsidRPr="000916E1">
              <w:rPr>
                <w:rFonts w:cs="Courier New"/>
                <w:color w:val="000000"/>
              </w:rPr>
              <w:t>0.1105 (0.00910)</w:t>
            </w:r>
          </w:p>
        </w:tc>
        <w:tc>
          <w:tcPr>
            <w:tcW w:w="2065" w:type="dxa"/>
            <w:vAlign w:val="center"/>
          </w:tcPr>
          <w:p w14:paraId="586E7F5A" w14:textId="77777777" w:rsidR="00424630" w:rsidRPr="006319AB" w:rsidRDefault="00424630" w:rsidP="00A11B4F">
            <w:r w:rsidRPr="006319AB">
              <w:rPr>
                <w:rFonts w:cs="Courier New"/>
                <w:color w:val="000000"/>
              </w:rPr>
              <w:t>&lt;.0001</w:t>
            </w:r>
          </w:p>
        </w:tc>
      </w:tr>
      <w:tr w:rsidR="00424630" w14:paraId="10E65A04" w14:textId="77777777" w:rsidTr="00A11B4F">
        <w:trPr>
          <w:tblHeader/>
        </w:trPr>
        <w:tc>
          <w:tcPr>
            <w:tcW w:w="4675" w:type="dxa"/>
          </w:tcPr>
          <w:p w14:paraId="21E9B833" w14:textId="77777777" w:rsidR="00424630" w:rsidRPr="00A00C82" w:rsidRDefault="00424630" w:rsidP="00A11B4F">
            <w:pPr>
              <w:contextualSpacing/>
              <w:rPr>
                <w:b/>
              </w:rPr>
            </w:pPr>
            <w:r>
              <w:rPr>
                <w:b/>
              </w:rPr>
              <w:t>AHRQ SES Index – Patient-Level – Cardiovascular</w:t>
            </w:r>
          </w:p>
        </w:tc>
        <w:tc>
          <w:tcPr>
            <w:tcW w:w="2610" w:type="dxa"/>
            <w:vAlign w:val="center"/>
          </w:tcPr>
          <w:p w14:paraId="1E4C43A3" w14:textId="77777777" w:rsidR="00424630" w:rsidRPr="000916E1" w:rsidRDefault="00424630" w:rsidP="00A11B4F">
            <w:r w:rsidRPr="000916E1">
              <w:rPr>
                <w:rFonts w:cs="Courier New"/>
                <w:color w:val="000000"/>
              </w:rPr>
              <w:t>0.0307 (0.00943)</w:t>
            </w:r>
          </w:p>
        </w:tc>
        <w:tc>
          <w:tcPr>
            <w:tcW w:w="2065" w:type="dxa"/>
            <w:vAlign w:val="center"/>
          </w:tcPr>
          <w:p w14:paraId="6ECB8626" w14:textId="77777777" w:rsidR="00424630" w:rsidRPr="006319AB" w:rsidRDefault="00424630" w:rsidP="00A11B4F">
            <w:r w:rsidRPr="000916E1">
              <w:rPr>
                <w:rFonts w:cs="Courier New"/>
                <w:color w:val="000000"/>
              </w:rPr>
              <w:t>0.0011</w:t>
            </w:r>
          </w:p>
        </w:tc>
      </w:tr>
      <w:tr w:rsidR="00424630" w14:paraId="3F5840C1" w14:textId="77777777" w:rsidTr="00A11B4F">
        <w:trPr>
          <w:tblHeader/>
        </w:trPr>
        <w:tc>
          <w:tcPr>
            <w:tcW w:w="4675" w:type="dxa"/>
          </w:tcPr>
          <w:p w14:paraId="701808D1" w14:textId="77777777" w:rsidR="00424630" w:rsidRPr="00A00C82" w:rsidRDefault="00424630" w:rsidP="00A11B4F">
            <w:pPr>
              <w:contextualSpacing/>
              <w:rPr>
                <w:b/>
              </w:rPr>
            </w:pPr>
            <w:r>
              <w:rPr>
                <w:b/>
              </w:rPr>
              <w:t xml:space="preserve">AHRQ SES Index – </w:t>
            </w:r>
            <w:r w:rsidRPr="00A00C82">
              <w:rPr>
                <w:b/>
              </w:rPr>
              <w:t>Hospital</w:t>
            </w:r>
            <w:r>
              <w:rPr>
                <w:b/>
              </w:rPr>
              <w:t>-Level – Cardiovascular</w:t>
            </w:r>
          </w:p>
        </w:tc>
        <w:tc>
          <w:tcPr>
            <w:tcW w:w="2610" w:type="dxa"/>
            <w:vAlign w:val="center"/>
          </w:tcPr>
          <w:p w14:paraId="6517310F" w14:textId="77777777" w:rsidR="00424630" w:rsidRPr="000916E1" w:rsidRDefault="00424630" w:rsidP="00A11B4F">
            <w:r w:rsidRPr="000916E1">
              <w:rPr>
                <w:rFonts w:cs="Courier New"/>
                <w:color w:val="000000"/>
              </w:rPr>
              <w:t>0.1375 (0.0149)</w:t>
            </w:r>
          </w:p>
        </w:tc>
        <w:tc>
          <w:tcPr>
            <w:tcW w:w="2065" w:type="dxa"/>
            <w:vAlign w:val="center"/>
          </w:tcPr>
          <w:p w14:paraId="45C20575" w14:textId="77777777" w:rsidR="00424630" w:rsidRPr="006319AB" w:rsidRDefault="00424630" w:rsidP="00A11B4F">
            <w:r w:rsidRPr="006319AB">
              <w:rPr>
                <w:rFonts w:cs="Courier New"/>
                <w:color w:val="000000"/>
              </w:rPr>
              <w:t>&lt;.0001</w:t>
            </w:r>
          </w:p>
        </w:tc>
      </w:tr>
      <w:tr w:rsidR="00424630" w14:paraId="4D753897" w14:textId="77777777" w:rsidTr="00A11B4F">
        <w:trPr>
          <w:tblHeader/>
        </w:trPr>
        <w:tc>
          <w:tcPr>
            <w:tcW w:w="4675" w:type="dxa"/>
          </w:tcPr>
          <w:p w14:paraId="37B9117E" w14:textId="77777777" w:rsidR="00424630" w:rsidRPr="00A00C82" w:rsidRDefault="00424630" w:rsidP="00A11B4F">
            <w:pPr>
              <w:contextualSpacing/>
              <w:rPr>
                <w:b/>
              </w:rPr>
            </w:pPr>
            <w:r>
              <w:rPr>
                <w:b/>
              </w:rPr>
              <w:t>AHRQ SES Index – Patient-Level – Neurology</w:t>
            </w:r>
          </w:p>
        </w:tc>
        <w:tc>
          <w:tcPr>
            <w:tcW w:w="2610" w:type="dxa"/>
            <w:vAlign w:val="center"/>
          </w:tcPr>
          <w:p w14:paraId="51E0DF65" w14:textId="77777777" w:rsidR="00424630" w:rsidRPr="000916E1" w:rsidRDefault="00424630" w:rsidP="00A11B4F">
            <w:r w:rsidRPr="000916E1">
              <w:rPr>
                <w:rFonts w:cs="Courier New"/>
                <w:color w:val="000000"/>
              </w:rPr>
              <w:t>0.0544 (0.0125)</w:t>
            </w:r>
          </w:p>
        </w:tc>
        <w:tc>
          <w:tcPr>
            <w:tcW w:w="2065" w:type="dxa"/>
            <w:vAlign w:val="center"/>
          </w:tcPr>
          <w:p w14:paraId="3AE7109D" w14:textId="77777777" w:rsidR="00424630" w:rsidRPr="006319AB" w:rsidRDefault="00424630" w:rsidP="00A11B4F">
            <w:r w:rsidRPr="006319AB">
              <w:rPr>
                <w:rFonts w:cs="Courier New"/>
                <w:color w:val="000000"/>
              </w:rPr>
              <w:t>&lt;.0001</w:t>
            </w:r>
          </w:p>
        </w:tc>
      </w:tr>
      <w:tr w:rsidR="00424630" w14:paraId="3A61FC94" w14:textId="77777777" w:rsidTr="00A11B4F">
        <w:trPr>
          <w:tblHeader/>
        </w:trPr>
        <w:tc>
          <w:tcPr>
            <w:tcW w:w="4675" w:type="dxa"/>
          </w:tcPr>
          <w:p w14:paraId="2508E5BA" w14:textId="77777777" w:rsidR="00424630" w:rsidRPr="00A00C82" w:rsidRDefault="00424630" w:rsidP="00A11B4F">
            <w:pPr>
              <w:contextualSpacing/>
              <w:rPr>
                <w:b/>
              </w:rPr>
            </w:pPr>
            <w:r>
              <w:rPr>
                <w:b/>
              </w:rPr>
              <w:t xml:space="preserve">AHRQ SES Index – </w:t>
            </w:r>
            <w:r w:rsidRPr="00A00C82">
              <w:rPr>
                <w:b/>
              </w:rPr>
              <w:t>Hospital</w:t>
            </w:r>
            <w:r>
              <w:rPr>
                <w:b/>
              </w:rPr>
              <w:t>-Level – Neurology</w:t>
            </w:r>
          </w:p>
        </w:tc>
        <w:tc>
          <w:tcPr>
            <w:tcW w:w="2610" w:type="dxa"/>
            <w:vAlign w:val="center"/>
          </w:tcPr>
          <w:p w14:paraId="6161E77C" w14:textId="77777777" w:rsidR="00424630" w:rsidRPr="000916E1" w:rsidRDefault="00424630" w:rsidP="00A11B4F">
            <w:r w:rsidRPr="000916E1">
              <w:rPr>
                <w:rFonts w:cs="Courier New"/>
                <w:color w:val="000000"/>
              </w:rPr>
              <w:t>0.1314 (0.0198)</w:t>
            </w:r>
          </w:p>
        </w:tc>
        <w:tc>
          <w:tcPr>
            <w:tcW w:w="2065" w:type="dxa"/>
            <w:vAlign w:val="center"/>
          </w:tcPr>
          <w:p w14:paraId="03FA74DD" w14:textId="77777777" w:rsidR="00424630" w:rsidRPr="006319AB" w:rsidRDefault="00424630" w:rsidP="00A11B4F">
            <w:r w:rsidRPr="006319AB">
              <w:rPr>
                <w:rFonts w:cs="Courier New"/>
                <w:color w:val="000000"/>
              </w:rPr>
              <w:t>&lt;.0001</w:t>
            </w:r>
          </w:p>
        </w:tc>
      </w:tr>
    </w:tbl>
    <w:p w14:paraId="5C239FBE" w14:textId="77777777" w:rsidR="00424630" w:rsidRDefault="00424630" w:rsidP="00424630"/>
    <w:p w14:paraId="47F701F5" w14:textId="77777777" w:rsidR="00A41798" w:rsidRDefault="00A41798" w:rsidP="00424630"/>
    <w:p w14:paraId="192325BC" w14:textId="77777777" w:rsidR="006C58BC" w:rsidRPr="006C58BC" w:rsidRDefault="006C58BC" w:rsidP="006C58BC">
      <w:pPr>
        <w:autoSpaceDE w:val="0"/>
        <w:autoSpaceDN w:val="0"/>
        <w:adjustRightInd w:val="0"/>
        <w:spacing w:after="0" w:line="240" w:lineRule="auto"/>
        <w:rPr>
          <w:rFonts w:cstheme="minorHAnsi"/>
          <w:bCs/>
        </w:rPr>
      </w:pPr>
    </w:p>
    <w:p w14:paraId="4F690188" w14:textId="77777777" w:rsidR="00001D73" w:rsidRPr="00001D73" w:rsidRDefault="00001D73" w:rsidP="00001D73">
      <w:pPr>
        <w:autoSpaceDE w:val="0"/>
        <w:autoSpaceDN w:val="0"/>
        <w:adjustRightInd w:val="0"/>
        <w:spacing w:after="0" w:line="240" w:lineRule="auto"/>
        <w:rPr>
          <w:rFonts w:cstheme="minorHAnsi"/>
          <w:b/>
          <w:bCs/>
        </w:rPr>
      </w:pPr>
    </w:p>
    <w:p w14:paraId="318C4667" w14:textId="77777777" w:rsidR="008B48CE" w:rsidRPr="00A25024" w:rsidRDefault="00E1508F" w:rsidP="00092566">
      <w:pPr>
        <w:autoSpaceDE w:val="0"/>
        <w:autoSpaceDN w:val="0"/>
        <w:adjustRightInd w:val="0"/>
        <w:spacing w:after="0" w:line="240" w:lineRule="auto"/>
        <w:rPr>
          <w:rFonts w:cstheme="minorHAnsi"/>
          <w:bCs/>
        </w:rPr>
      </w:pPr>
      <w:r>
        <w:rPr>
          <w:rFonts w:cstheme="minorHAnsi"/>
          <w:b/>
          <w:bCs/>
        </w:rPr>
        <w:lastRenderedPageBreak/>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tbl>
      <w:tblPr>
        <w:tblStyle w:val="TableGrid"/>
        <w:tblW w:w="0" w:type="auto"/>
        <w:tblLook w:val="04A0" w:firstRow="1" w:lastRow="0" w:firstColumn="1" w:lastColumn="0" w:noHBand="0" w:noVBand="1"/>
      </w:tblPr>
      <w:tblGrid>
        <w:gridCol w:w="9350"/>
      </w:tblGrid>
      <w:tr w:rsidR="008B48CE" w14:paraId="74DDB8E8" w14:textId="77777777" w:rsidTr="008B48CE">
        <w:tc>
          <w:tcPr>
            <w:tcW w:w="9350" w:type="dxa"/>
          </w:tcPr>
          <w:p w14:paraId="53382D46" w14:textId="255D3F46" w:rsidR="00087CA0" w:rsidRPr="00626E27" w:rsidRDefault="00087CA0" w:rsidP="00087CA0">
            <w:pPr>
              <w:autoSpaceDE w:val="0"/>
              <w:autoSpaceDN w:val="0"/>
              <w:adjustRightInd w:val="0"/>
              <w:rPr>
                <w:rFonts w:cstheme="minorHAnsi"/>
                <w:bCs/>
              </w:rPr>
            </w:pPr>
            <w:r w:rsidRPr="00626E27">
              <w:rPr>
                <w:rFonts w:cstheme="minorHAnsi"/>
                <w:bCs/>
              </w:rPr>
              <w:t xml:space="preserve">We tested the performance </w:t>
            </w:r>
            <w:r w:rsidR="004858C3" w:rsidRPr="00626E27">
              <w:rPr>
                <w:rFonts w:cstheme="minorHAnsi"/>
                <w:bCs/>
              </w:rPr>
              <w:t xml:space="preserve">of the model across the </w:t>
            </w:r>
            <w:r w:rsidR="006C58BC">
              <w:rPr>
                <w:rFonts w:cstheme="minorHAnsi"/>
                <w:bCs/>
              </w:rPr>
              <w:t>d</w:t>
            </w:r>
            <w:r w:rsidR="006C58BC" w:rsidRPr="00626E27">
              <w:rPr>
                <w:rFonts w:cstheme="minorHAnsi"/>
                <w:bCs/>
              </w:rPr>
              <w:t>evelopment</w:t>
            </w:r>
            <w:r w:rsidR="004858C3" w:rsidRPr="00626E27">
              <w:rPr>
                <w:rFonts w:cstheme="minorHAnsi"/>
                <w:bCs/>
              </w:rPr>
              <w:t xml:space="preserve">, </w:t>
            </w:r>
            <w:r w:rsidR="006C58BC">
              <w:rPr>
                <w:rFonts w:cstheme="minorHAnsi"/>
                <w:bCs/>
              </w:rPr>
              <w:t>v</w:t>
            </w:r>
            <w:r w:rsidR="006C58BC" w:rsidRPr="00626E27">
              <w:rPr>
                <w:rFonts w:cstheme="minorHAnsi"/>
                <w:bCs/>
              </w:rPr>
              <w:t>alidation</w:t>
            </w:r>
            <w:r w:rsidR="004858C3" w:rsidRPr="00626E27">
              <w:rPr>
                <w:rFonts w:cstheme="minorHAnsi"/>
                <w:bCs/>
              </w:rPr>
              <w:t>, and 2012 Samples</w:t>
            </w:r>
            <w:r w:rsidR="006C58BC">
              <w:rPr>
                <w:rFonts w:cstheme="minorHAnsi"/>
                <w:bCs/>
              </w:rPr>
              <w:t xml:space="preserve"> (</w:t>
            </w:r>
            <w:r w:rsidR="006C58BC" w:rsidRPr="006C58BC">
              <w:rPr>
                <w:rFonts w:cstheme="minorHAnsi"/>
                <w:b/>
                <w:bCs/>
              </w:rPr>
              <w:t>Dataset 1</w:t>
            </w:r>
            <w:r w:rsidR="006C58BC">
              <w:rPr>
                <w:rFonts w:cstheme="minorHAnsi"/>
                <w:bCs/>
              </w:rPr>
              <w:t>)</w:t>
            </w:r>
            <w:r w:rsidR="004858C3" w:rsidRPr="00626E27">
              <w:rPr>
                <w:rFonts w:cstheme="minorHAnsi"/>
                <w:bCs/>
              </w:rPr>
              <w:t xml:space="preserve">. </w:t>
            </w:r>
            <w:r w:rsidRPr="00626E27">
              <w:rPr>
                <w:rFonts w:cstheme="minorHAnsi"/>
                <w:bCs/>
              </w:rPr>
              <w:t>We computed three summary statistics for assessing model performance</w:t>
            </w:r>
            <w:r w:rsidR="00292683">
              <w:rPr>
                <w:rFonts w:cstheme="minorHAnsi"/>
                <w:bCs/>
              </w:rPr>
              <w:t xml:space="preserve"> (Harrell and Shih, 2001)</w:t>
            </w:r>
            <w:r w:rsidRPr="00626E27">
              <w:rPr>
                <w:rFonts w:cstheme="minorHAnsi"/>
                <w:bCs/>
              </w:rPr>
              <w:t xml:space="preserve">: </w:t>
            </w:r>
          </w:p>
          <w:p w14:paraId="2D2DBAD6" w14:textId="77777777" w:rsidR="00087CA0" w:rsidRPr="00626E27" w:rsidRDefault="00087CA0" w:rsidP="00087CA0">
            <w:pPr>
              <w:autoSpaceDE w:val="0"/>
              <w:autoSpaceDN w:val="0"/>
              <w:adjustRightInd w:val="0"/>
              <w:rPr>
                <w:rFonts w:cstheme="minorHAnsi"/>
                <w:bCs/>
              </w:rPr>
            </w:pPr>
          </w:p>
          <w:p w14:paraId="4E656681" w14:textId="78B8D2DE" w:rsidR="00087CA0" w:rsidRPr="00626E27" w:rsidRDefault="00087CA0" w:rsidP="00087CA0">
            <w:pPr>
              <w:autoSpaceDE w:val="0"/>
              <w:autoSpaceDN w:val="0"/>
              <w:adjustRightInd w:val="0"/>
              <w:rPr>
                <w:rFonts w:cstheme="minorHAnsi"/>
                <w:bCs/>
              </w:rPr>
            </w:pPr>
            <w:r w:rsidRPr="00626E27">
              <w:rPr>
                <w:rFonts w:cstheme="minorHAnsi"/>
                <w:bCs/>
                <w:u w:val="single"/>
              </w:rPr>
              <w:t>Discrimination statistics</w:t>
            </w:r>
          </w:p>
          <w:p w14:paraId="231A36A3" w14:textId="10B06D23" w:rsidR="00087CA0" w:rsidRPr="00626E27" w:rsidRDefault="00087CA0" w:rsidP="00087CA0">
            <w:pPr>
              <w:autoSpaceDE w:val="0"/>
              <w:autoSpaceDN w:val="0"/>
              <w:adjustRightInd w:val="0"/>
              <w:rPr>
                <w:rFonts w:cstheme="minorHAnsi"/>
                <w:bCs/>
              </w:rPr>
            </w:pPr>
            <w:r w:rsidRPr="00626E27">
              <w:rPr>
                <w:rFonts w:cstheme="minorHAnsi"/>
                <w:bCs/>
              </w:rPr>
              <w:t xml:space="preserve">(1) Area under the receiver operating characteristic (ROC) curve (the </w:t>
            </w:r>
            <w:r w:rsidR="0066470F" w:rsidRPr="00626E27">
              <w:rPr>
                <w:rFonts w:cstheme="minorHAnsi"/>
                <w:bCs/>
              </w:rPr>
              <w:t>c</w:t>
            </w:r>
            <w:r w:rsidR="0066470F">
              <w:rPr>
                <w:rFonts w:cstheme="minorHAnsi"/>
                <w:bCs/>
              </w:rPr>
              <w:t>-</w:t>
            </w:r>
            <w:r w:rsidRPr="00626E27">
              <w:rPr>
                <w:rFonts w:cstheme="minorHAnsi"/>
                <w:bCs/>
              </w:rPr>
              <w:t>statistic (also called ROC) is the probability that predicting the outcome is better than chance, which is a measure of how accurately a statistical model is able to distinguish between a patient with and without an outcome.)</w:t>
            </w:r>
          </w:p>
          <w:p w14:paraId="3FAEC18A" w14:textId="2A9FE592" w:rsidR="00087CA0" w:rsidRPr="00626E27" w:rsidRDefault="00087CA0" w:rsidP="00087CA0">
            <w:pPr>
              <w:autoSpaceDE w:val="0"/>
              <w:autoSpaceDN w:val="0"/>
              <w:adjustRightInd w:val="0"/>
              <w:rPr>
                <w:rFonts w:cstheme="minorHAnsi"/>
                <w:bCs/>
              </w:rPr>
            </w:pPr>
            <w:r w:rsidRPr="00626E27">
              <w:rPr>
                <w:rFonts w:cstheme="minorHAnsi"/>
                <w:bCs/>
              </w:rPr>
              <w:t>(2) Predictive ability (discrimination in predictive ability measures the ability to distinguish high-risk subjects from low-risk subjects. Therefore, we would hope to see a wide range between the lowest decile and highest decile</w:t>
            </w:r>
            <w:r w:rsidR="0066470F">
              <w:rPr>
                <w:rFonts w:cstheme="minorHAnsi"/>
                <w:bCs/>
              </w:rPr>
              <w:t>.</w:t>
            </w:r>
            <w:r w:rsidRPr="00626E27">
              <w:rPr>
                <w:rFonts w:cstheme="minorHAnsi"/>
                <w:bCs/>
              </w:rPr>
              <w:t>)</w:t>
            </w:r>
          </w:p>
          <w:p w14:paraId="657E8B2D" w14:textId="77777777" w:rsidR="00087CA0" w:rsidRPr="00626E27" w:rsidRDefault="00087CA0" w:rsidP="00087CA0">
            <w:pPr>
              <w:autoSpaceDE w:val="0"/>
              <w:autoSpaceDN w:val="0"/>
              <w:adjustRightInd w:val="0"/>
              <w:rPr>
                <w:rFonts w:cstheme="minorHAnsi"/>
                <w:bCs/>
              </w:rPr>
            </w:pPr>
          </w:p>
          <w:p w14:paraId="2E43990F" w14:textId="30DB2323" w:rsidR="00087CA0" w:rsidRPr="00626E27" w:rsidRDefault="00087CA0" w:rsidP="00087CA0">
            <w:pPr>
              <w:autoSpaceDE w:val="0"/>
              <w:autoSpaceDN w:val="0"/>
              <w:adjustRightInd w:val="0"/>
              <w:rPr>
                <w:rFonts w:cstheme="minorHAnsi"/>
                <w:bCs/>
                <w:u w:val="single"/>
              </w:rPr>
            </w:pPr>
            <w:r w:rsidRPr="00626E27">
              <w:rPr>
                <w:rFonts w:cstheme="minorHAnsi"/>
                <w:bCs/>
                <w:u w:val="single"/>
              </w:rPr>
              <w:t>Calibration statistics</w:t>
            </w:r>
          </w:p>
          <w:p w14:paraId="6FEED169" w14:textId="77777777" w:rsidR="008B48CE" w:rsidRDefault="00087CA0" w:rsidP="00087CA0">
            <w:pPr>
              <w:autoSpaceDE w:val="0"/>
              <w:autoSpaceDN w:val="0"/>
              <w:adjustRightInd w:val="0"/>
              <w:rPr>
                <w:rFonts w:cstheme="minorHAnsi"/>
                <w:bCs/>
              </w:rPr>
            </w:pPr>
            <w:r w:rsidRPr="00626E27">
              <w:rPr>
                <w:rFonts w:cstheme="minorHAnsi"/>
                <w:bCs/>
              </w:rPr>
              <w:t>(3) Over-fitting indices (over-fitting refers to the phenomenon in which a model accurately describes the relationship between predictive variables and outcome in the development dataset but fails to provide valid predictions in new patients</w:t>
            </w:r>
            <w:r w:rsidR="0066470F">
              <w:rPr>
                <w:rFonts w:cstheme="minorHAnsi"/>
                <w:bCs/>
              </w:rPr>
              <w:t>.</w:t>
            </w:r>
            <w:r w:rsidRPr="00626E27">
              <w:rPr>
                <w:rFonts w:cstheme="minorHAnsi"/>
                <w:bCs/>
              </w:rPr>
              <w:t>)</w:t>
            </w:r>
          </w:p>
          <w:p w14:paraId="37E4975D" w14:textId="77777777" w:rsidR="006C58BC" w:rsidRDefault="006C58BC" w:rsidP="00087CA0">
            <w:pPr>
              <w:autoSpaceDE w:val="0"/>
              <w:autoSpaceDN w:val="0"/>
              <w:adjustRightInd w:val="0"/>
              <w:rPr>
                <w:rFonts w:cstheme="minorHAnsi"/>
                <w:bCs/>
              </w:rPr>
            </w:pPr>
          </w:p>
          <w:p w14:paraId="0EE07514" w14:textId="77777777" w:rsidR="006C58BC" w:rsidRPr="006C58BC" w:rsidRDefault="006C58BC" w:rsidP="006C58BC">
            <w:pPr>
              <w:autoSpaceDE w:val="0"/>
              <w:autoSpaceDN w:val="0"/>
              <w:adjustRightInd w:val="0"/>
              <w:rPr>
                <w:rFonts w:cstheme="minorHAnsi"/>
                <w:bCs/>
              </w:rPr>
            </w:pPr>
          </w:p>
          <w:p w14:paraId="53F84234" w14:textId="77777777" w:rsidR="006C58BC" w:rsidRPr="006C58BC" w:rsidRDefault="006C58BC" w:rsidP="006C58BC">
            <w:pPr>
              <w:autoSpaceDE w:val="0"/>
              <w:autoSpaceDN w:val="0"/>
              <w:adjustRightInd w:val="0"/>
              <w:rPr>
                <w:rFonts w:cstheme="minorHAnsi"/>
                <w:bCs/>
              </w:rPr>
            </w:pPr>
            <w:r w:rsidRPr="006C58BC">
              <w:rPr>
                <w:rFonts w:cstheme="minorHAnsi"/>
                <w:bCs/>
              </w:rPr>
              <w:t>References:</w:t>
            </w:r>
          </w:p>
          <w:p w14:paraId="577D16BA" w14:textId="761098BB" w:rsidR="006C58BC" w:rsidRDefault="006C58BC" w:rsidP="006C58BC">
            <w:pPr>
              <w:autoSpaceDE w:val="0"/>
              <w:autoSpaceDN w:val="0"/>
              <w:adjustRightInd w:val="0"/>
              <w:rPr>
                <w:rFonts w:cstheme="minorHAnsi"/>
                <w:bCs/>
              </w:rPr>
            </w:pPr>
            <w:r w:rsidRPr="006C58BC">
              <w:rPr>
                <w:rFonts w:cstheme="minorHAnsi"/>
                <w:bCs/>
              </w:rPr>
              <w:t>F.E. Harrell and Y.C.T. Shih, Using full probability models to compute probabilities of actual interest to decision makers, Int. J. Technol. Assess. Health Care 17 (2001), pp. 17–26.</w:t>
            </w:r>
          </w:p>
        </w:tc>
      </w:tr>
    </w:tbl>
    <w:p w14:paraId="0A6C951A" w14:textId="27638FB1" w:rsidR="00092566" w:rsidRPr="00A25024" w:rsidRDefault="00092566" w:rsidP="00092566">
      <w:pPr>
        <w:autoSpaceDE w:val="0"/>
        <w:autoSpaceDN w:val="0"/>
        <w:adjustRightInd w:val="0"/>
        <w:spacing w:after="0" w:line="240" w:lineRule="auto"/>
        <w:rPr>
          <w:rFonts w:cstheme="minorHAnsi"/>
          <w:bCs/>
        </w:rPr>
      </w:pPr>
    </w:p>
    <w:p w14:paraId="02A0BFFF" w14:textId="77777777" w:rsidR="00092566" w:rsidRPr="00A25024" w:rsidRDefault="00092566" w:rsidP="00092566">
      <w:pPr>
        <w:autoSpaceDE w:val="0"/>
        <w:autoSpaceDN w:val="0"/>
        <w:adjustRightInd w:val="0"/>
        <w:spacing w:after="0" w:line="240" w:lineRule="auto"/>
        <w:rPr>
          <w:rFonts w:cstheme="minorHAnsi"/>
          <w:bCs/>
        </w:rPr>
      </w:pPr>
    </w:p>
    <w:p w14:paraId="6BF239EE"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46A54451" w14:textId="77777777" w:rsidR="00743E46" w:rsidRDefault="00743E46" w:rsidP="00092566">
      <w:pPr>
        <w:autoSpaceDE w:val="0"/>
        <w:autoSpaceDN w:val="0"/>
        <w:adjustRightInd w:val="0"/>
        <w:spacing w:after="0" w:line="240" w:lineRule="auto"/>
        <w:rPr>
          <w:rFonts w:cstheme="minorHAnsi"/>
          <w:b/>
          <w:bCs/>
        </w:rPr>
      </w:pPr>
    </w:p>
    <w:p w14:paraId="208E6CA2" w14:textId="77777777" w:rsidR="008B48CE" w:rsidRPr="00203C3F" w:rsidRDefault="00743E46" w:rsidP="00092566">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tbl>
      <w:tblPr>
        <w:tblStyle w:val="TableGrid"/>
        <w:tblW w:w="0" w:type="auto"/>
        <w:tblLook w:val="04A0" w:firstRow="1" w:lastRow="0" w:firstColumn="1" w:lastColumn="0" w:noHBand="0" w:noVBand="1"/>
      </w:tblPr>
      <w:tblGrid>
        <w:gridCol w:w="9350"/>
      </w:tblGrid>
      <w:tr w:rsidR="008B48CE" w:rsidRPr="00203C3F" w14:paraId="7B12699E" w14:textId="77777777" w:rsidTr="008B48CE">
        <w:tc>
          <w:tcPr>
            <w:tcW w:w="9350" w:type="dxa"/>
          </w:tcPr>
          <w:p w14:paraId="0234740D" w14:textId="0FE800B6" w:rsidR="008B48CE" w:rsidRPr="00A41798" w:rsidRDefault="00203C3F" w:rsidP="00203C3F">
            <w:pPr>
              <w:autoSpaceDE w:val="0"/>
              <w:autoSpaceDN w:val="0"/>
              <w:adjustRightInd w:val="0"/>
              <w:rPr>
                <w:rFonts w:cstheme="minorHAnsi"/>
                <w:bCs/>
              </w:rPr>
            </w:pPr>
            <w:r w:rsidRPr="00626E27">
              <w:rPr>
                <w:rFonts w:cstheme="minorHAnsi"/>
                <w:bCs/>
              </w:rPr>
              <w:t xml:space="preserve">C-statistics and discrimination in the Development, Validation, and 2012 Sample </w:t>
            </w:r>
            <w:r w:rsidR="00B80BC1">
              <w:rPr>
                <w:rFonts w:cstheme="minorHAnsi"/>
                <w:bCs/>
              </w:rPr>
              <w:t xml:space="preserve">in </w:t>
            </w:r>
            <w:r w:rsidR="00B80BC1" w:rsidRPr="00AB02C4">
              <w:rPr>
                <w:rFonts w:cstheme="minorHAnsi"/>
                <w:b/>
                <w:bCs/>
              </w:rPr>
              <w:t>Dataset 1</w:t>
            </w:r>
            <w:r w:rsidR="00B80BC1">
              <w:rPr>
                <w:rFonts w:cstheme="minorHAnsi"/>
                <w:bCs/>
              </w:rPr>
              <w:t xml:space="preserve"> </w:t>
            </w:r>
            <w:r w:rsidRPr="00626E27">
              <w:rPr>
                <w:rFonts w:cstheme="minorHAnsi"/>
                <w:bCs/>
              </w:rPr>
              <w:t xml:space="preserve">by specialty cohort: </w:t>
            </w:r>
          </w:p>
          <w:p w14:paraId="7EB6F4E6" w14:textId="77777777" w:rsidR="00203C3F" w:rsidRPr="00A41798" w:rsidRDefault="00203C3F" w:rsidP="00203C3F">
            <w:pPr>
              <w:autoSpaceDE w:val="0"/>
              <w:autoSpaceDN w:val="0"/>
              <w:adjustRightInd w:val="0"/>
              <w:rPr>
                <w:rFonts w:cstheme="minorHAnsi"/>
                <w:bCs/>
              </w:rPr>
            </w:pPr>
          </w:p>
          <w:p w14:paraId="78FD8C1C" w14:textId="6A12E932" w:rsidR="0059261C" w:rsidRPr="00A41798" w:rsidRDefault="0059261C" w:rsidP="0059261C">
            <w:pPr>
              <w:pStyle w:val="Caption"/>
              <w:keepNext/>
              <w:rPr>
                <w:color w:val="auto"/>
                <w:sz w:val="22"/>
                <w:szCs w:val="22"/>
              </w:rPr>
            </w:pPr>
            <w:r w:rsidRPr="00A41798">
              <w:rPr>
                <w:color w:val="auto"/>
                <w:sz w:val="22"/>
                <w:szCs w:val="22"/>
              </w:rPr>
              <w:t xml:space="preserve">Table </w:t>
            </w:r>
            <w:r w:rsidRPr="00A41798">
              <w:rPr>
                <w:color w:val="auto"/>
                <w:sz w:val="22"/>
                <w:szCs w:val="22"/>
              </w:rPr>
              <w:fldChar w:fldCharType="begin"/>
            </w:r>
            <w:r w:rsidRPr="00A41798">
              <w:rPr>
                <w:color w:val="auto"/>
                <w:sz w:val="22"/>
                <w:szCs w:val="22"/>
              </w:rPr>
              <w:instrText xml:space="preserve"> SEQ Table \* ARABIC </w:instrText>
            </w:r>
            <w:r w:rsidRPr="00A41798">
              <w:rPr>
                <w:color w:val="auto"/>
                <w:sz w:val="22"/>
                <w:szCs w:val="22"/>
              </w:rPr>
              <w:fldChar w:fldCharType="separate"/>
            </w:r>
            <w:r w:rsidRPr="00A41798">
              <w:rPr>
                <w:noProof/>
                <w:color w:val="auto"/>
                <w:sz w:val="22"/>
                <w:szCs w:val="22"/>
              </w:rPr>
              <w:t>7</w:t>
            </w:r>
            <w:r w:rsidRPr="00A41798">
              <w:rPr>
                <w:color w:val="auto"/>
                <w:sz w:val="22"/>
                <w:szCs w:val="22"/>
              </w:rPr>
              <w:fldChar w:fldCharType="end"/>
            </w:r>
            <w:r w:rsidR="00A41798" w:rsidRPr="00A41798">
              <w:rPr>
                <w:color w:val="auto"/>
                <w:sz w:val="22"/>
                <w:szCs w:val="22"/>
              </w:rPr>
              <w:t>.</w:t>
            </w:r>
            <w:r w:rsidRPr="00A41798">
              <w:rPr>
                <w:color w:val="auto"/>
                <w:sz w:val="22"/>
                <w:szCs w:val="22"/>
              </w:rPr>
              <w:t xml:space="preserve"> C-statistics and discrimination in the Development, Validation, and 2012 Sample (Dataset 1)</w:t>
            </w:r>
          </w:p>
          <w:tbl>
            <w:tblPr>
              <w:tblStyle w:val="LightList-Accent151"/>
              <w:tblW w:w="9114" w:type="dxa"/>
              <w:jc w:val="center"/>
              <w:tblLook w:val="04A0" w:firstRow="1" w:lastRow="0" w:firstColumn="1" w:lastColumn="0" w:noHBand="0" w:noVBand="1"/>
            </w:tblPr>
            <w:tblGrid>
              <w:gridCol w:w="2439"/>
              <w:gridCol w:w="2225"/>
              <w:gridCol w:w="2225"/>
              <w:gridCol w:w="2225"/>
            </w:tblGrid>
            <w:tr w:rsidR="00203C3F" w:rsidRPr="00A41798" w14:paraId="680C131E" w14:textId="77777777" w:rsidTr="00203C3F">
              <w:trPr>
                <w:cnfStyle w:val="100000000000" w:firstRow="1" w:lastRow="0" w:firstColumn="0" w:lastColumn="0" w:oddVBand="0" w:evenVBand="0" w:oddHBand="0" w:evenHBand="0" w:firstRowFirstColumn="0" w:firstRowLastColumn="0" w:lastRowFirstColumn="0" w:lastRowLastColumn="0"/>
                <w:trHeight w:val="736"/>
                <w:tblHeader/>
                <w:jc w:val="center"/>
              </w:trPr>
              <w:tc>
                <w:tcPr>
                  <w:cnfStyle w:val="001000000000" w:firstRow="0" w:lastRow="0" w:firstColumn="1" w:lastColumn="0" w:oddVBand="0" w:evenVBand="0" w:oddHBand="0" w:evenHBand="0" w:firstRowFirstColumn="0" w:firstRowLastColumn="0" w:lastRowFirstColumn="0" w:lastRowLastColumn="0"/>
                  <w:tcW w:w="2439" w:type="dxa"/>
                  <w:vAlign w:val="center"/>
                  <w:hideMark/>
                </w:tcPr>
                <w:p w14:paraId="2E1B2FFB" w14:textId="77777777" w:rsidR="00203C3F" w:rsidRPr="00A41798" w:rsidRDefault="00203C3F" w:rsidP="00203C3F">
                  <w:pPr>
                    <w:jc w:val="center"/>
                    <w:rPr>
                      <w:rFonts w:asciiTheme="minorHAnsi" w:hAnsiTheme="minorHAnsi"/>
                      <w:b w:val="0"/>
                      <w:bCs w:val="0"/>
                      <w:color w:val="auto"/>
                      <w:sz w:val="18"/>
                      <w:szCs w:val="18"/>
                    </w:rPr>
                  </w:pPr>
                </w:p>
              </w:tc>
              <w:tc>
                <w:tcPr>
                  <w:tcW w:w="2225" w:type="dxa"/>
                  <w:vAlign w:val="center"/>
                </w:tcPr>
                <w:p w14:paraId="640C745E" w14:textId="244404E3" w:rsidR="00203C3F" w:rsidRPr="00A41798" w:rsidRDefault="00A30837" w:rsidP="000B192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FFFFFF" w:themeColor="background1"/>
                      <w:sz w:val="18"/>
                      <w:szCs w:val="18"/>
                    </w:rPr>
                  </w:pPr>
                  <w:r w:rsidRPr="00A41798">
                    <w:rPr>
                      <w:rFonts w:asciiTheme="minorHAnsi" w:hAnsiTheme="minorHAnsi"/>
                      <w:bCs w:val="0"/>
                      <w:color w:val="FFFFFF" w:themeColor="background1"/>
                      <w:sz w:val="18"/>
                      <w:szCs w:val="18"/>
                    </w:rPr>
                    <w:t>Hybrid</w:t>
                  </w:r>
                  <w:r w:rsidR="001B630A" w:rsidRPr="00A41798">
                    <w:rPr>
                      <w:rFonts w:asciiTheme="minorHAnsi" w:hAnsiTheme="minorHAnsi"/>
                      <w:bCs w:val="0"/>
                      <w:color w:val="FFFFFF" w:themeColor="background1"/>
                      <w:sz w:val="18"/>
                      <w:szCs w:val="18"/>
                    </w:rPr>
                    <w:t xml:space="preserve"> HWR Measure</w:t>
                  </w:r>
                  <w:r w:rsidR="00203C3F" w:rsidRPr="00A41798">
                    <w:rPr>
                      <w:rFonts w:asciiTheme="minorHAnsi" w:hAnsiTheme="minorHAnsi"/>
                      <w:bCs w:val="0"/>
                      <w:color w:val="FFFFFF" w:themeColor="background1"/>
                      <w:sz w:val="18"/>
                      <w:szCs w:val="18"/>
                    </w:rPr>
                    <w:t xml:space="preserve"> Development Sample</w:t>
                  </w:r>
                </w:p>
              </w:tc>
              <w:tc>
                <w:tcPr>
                  <w:tcW w:w="2225" w:type="dxa"/>
                  <w:noWrap/>
                  <w:vAlign w:val="center"/>
                  <w:hideMark/>
                </w:tcPr>
                <w:p w14:paraId="4CD91F3A" w14:textId="199FAC58" w:rsidR="00203C3F" w:rsidRPr="00A41798" w:rsidRDefault="00A30837" w:rsidP="000B192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FFFFFF" w:themeColor="background1"/>
                      <w:sz w:val="18"/>
                      <w:szCs w:val="18"/>
                    </w:rPr>
                  </w:pPr>
                  <w:r w:rsidRPr="00A41798">
                    <w:rPr>
                      <w:rFonts w:asciiTheme="minorHAnsi" w:hAnsiTheme="minorHAnsi"/>
                      <w:bCs w:val="0"/>
                      <w:color w:val="FFFFFF" w:themeColor="background1"/>
                      <w:sz w:val="18"/>
                      <w:szCs w:val="18"/>
                    </w:rPr>
                    <w:t>Hybrid</w:t>
                  </w:r>
                  <w:r w:rsidR="001B630A" w:rsidRPr="00A41798">
                    <w:rPr>
                      <w:rFonts w:asciiTheme="minorHAnsi" w:hAnsiTheme="minorHAnsi"/>
                      <w:bCs w:val="0"/>
                      <w:color w:val="FFFFFF" w:themeColor="background1"/>
                      <w:sz w:val="18"/>
                      <w:szCs w:val="18"/>
                    </w:rPr>
                    <w:t xml:space="preserve"> HWR Measure</w:t>
                  </w:r>
                  <w:r w:rsidR="00203C3F" w:rsidRPr="00A41798">
                    <w:rPr>
                      <w:rFonts w:asciiTheme="minorHAnsi" w:hAnsiTheme="minorHAnsi"/>
                      <w:bCs w:val="0"/>
                      <w:color w:val="FFFFFF" w:themeColor="background1"/>
                      <w:sz w:val="18"/>
                      <w:szCs w:val="18"/>
                    </w:rPr>
                    <w:t xml:space="preserve"> Validation Sample</w:t>
                  </w:r>
                </w:p>
              </w:tc>
              <w:tc>
                <w:tcPr>
                  <w:tcW w:w="2225" w:type="dxa"/>
                  <w:vAlign w:val="center"/>
                </w:tcPr>
                <w:p w14:paraId="408FCF2F" w14:textId="1EAB746F" w:rsidR="00203C3F" w:rsidRPr="00A41798" w:rsidRDefault="00A30837" w:rsidP="000B192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FFFFFF" w:themeColor="background1"/>
                      <w:sz w:val="18"/>
                      <w:szCs w:val="18"/>
                    </w:rPr>
                  </w:pPr>
                  <w:r w:rsidRPr="00A41798">
                    <w:rPr>
                      <w:rFonts w:asciiTheme="minorHAnsi" w:hAnsiTheme="minorHAnsi"/>
                      <w:bCs w:val="0"/>
                      <w:color w:val="FFFFFF" w:themeColor="background1"/>
                      <w:sz w:val="18"/>
                      <w:szCs w:val="18"/>
                    </w:rPr>
                    <w:t>Hybrid</w:t>
                  </w:r>
                  <w:r w:rsidR="001B630A" w:rsidRPr="00A41798">
                    <w:rPr>
                      <w:rFonts w:asciiTheme="minorHAnsi" w:hAnsiTheme="minorHAnsi"/>
                      <w:bCs w:val="0"/>
                      <w:color w:val="FFFFFF" w:themeColor="background1"/>
                      <w:sz w:val="18"/>
                      <w:szCs w:val="18"/>
                    </w:rPr>
                    <w:t xml:space="preserve"> HWR Measure</w:t>
                  </w:r>
                  <w:r w:rsidR="00203C3F" w:rsidRPr="00A41798">
                    <w:rPr>
                      <w:rFonts w:asciiTheme="minorHAnsi" w:hAnsiTheme="minorHAnsi"/>
                      <w:bCs w:val="0"/>
                      <w:color w:val="FFFFFF" w:themeColor="background1"/>
                      <w:sz w:val="18"/>
                      <w:szCs w:val="18"/>
                    </w:rPr>
                    <w:t xml:space="preserve"> 2012 Sample</w:t>
                  </w:r>
                </w:p>
              </w:tc>
            </w:tr>
            <w:tr w:rsidR="00203C3F" w:rsidRPr="00A41798" w14:paraId="1AC6AAD2" w14:textId="77777777" w:rsidTr="00203C3F">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2069ED70" w14:textId="77777777" w:rsidR="00203C3F" w:rsidRPr="00A41798" w:rsidRDefault="00203C3F" w:rsidP="00203C3F">
                  <w:pPr>
                    <w:jc w:val="center"/>
                    <w:rPr>
                      <w:rFonts w:asciiTheme="minorHAnsi" w:hAnsiTheme="minorHAnsi"/>
                      <w:bCs w:val="0"/>
                      <w:sz w:val="18"/>
                      <w:szCs w:val="18"/>
                    </w:rPr>
                  </w:pPr>
                  <w:r w:rsidRPr="00A41798">
                    <w:rPr>
                      <w:rFonts w:asciiTheme="minorHAnsi" w:hAnsiTheme="minorHAnsi"/>
                      <w:bCs w:val="0"/>
                      <w:color w:val="000000"/>
                      <w:sz w:val="18"/>
                    </w:rPr>
                    <w:t>c-statistics</w:t>
                  </w:r>
                </w:p>
              </w:tc>
            </w:tr>
            <w:tr w:rsidR="00203C3F" w:rsidRPr="00A41798" w14:paraId="44BC6CD9" w14:textId="77777777" w:rsidTr="00203C3F">
              <w:trPr>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5293F88E"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Surgery/Gynecology</w:t>
                  </w:r>
                </w:p>
              </w:tc>
              <w:tc>
                <w:tcPr>
                  <w:tcW w:w="2225" w:type="dxa"/>
                  <w:vAlign w:val="center"/>
                </w:tcPr>
                <w:p w14:paraId="11B33741"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0.802</w:t>
                  </w:r>
                </w:p>
              </w:tc>
              <w:tc>
                <w:tcPr>
                  <w:tcW w:w="2225" w:type="dxa"/>
                  <w:noWrap/>
                  <w:vAlign w:val="center"/>
                </w:tcPr>
                <w:p w14:paraId="235B8006"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0.799</w:t>
                  </w:r>
                </w:p>
              </w:tc>
              <w:tc>
                <w:tcPr>
                  <w:tcW w:w="2225" w:type="dxa"/>
                  <w:vAlign w:val="center"/>
                </w:tcPr>
                <w:p w14:paraId="084B1DA1"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0.800</w:t>
                  </w:r>
                </w:p>
              </w:tc>
            </w:tr>
            <w:tr w:rsidR="00203C3F" w:rsidRPr="00A41798" w14:paraId="2F94D1D7" w14:textId="77777777" w:rsidTr="00203C3F">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0BA8A5FD"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Cardiorespiratory</w:t>
                  </w:r>
                </w:p>
              </w:tc>
              <w:tc>
                <w:tcPr>
                  <w:tcW w:w="2225" w:type="dxa"/>
                  <w:vAlign w:val="center"/>
                </w:tcPr>
                <w:p w14:paraId="5FF496A0"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0.668</w:t>
                  </w:r>
                </w:p>
              </w:tc>
              <w:tc>
                <w:tcPr>
                  <w:tcW w:w="2225" w:type="dxa"/>
                  <w:noWrap/>
                  <w:vAlign w:val="center"/>
                </w:tcPr>
                <w:p w14:paraId="45436F69"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0.673</w:t>
                  </w:r>
                </w:p>
              </w:tc>
              <w:tc>
                <w:tcPr>
                  <w:tcW w:w="2225" w:type="dxa"/>
                  <w:vAlign w:val="center"/>
                </w:tcPr>
                <w:p w14:paraId="4715EF94"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0.666</w:t>
                  </w:r>
                </w:p>
              </w:tc>
            </w:tr>
            <w:tr w:rsidR="00203C3F" w:rsidRPr="00A41798" w14:paraId="1451969A" w14:textId="77777777" w:rsidTr="00203C3F">
              <w:trPr>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7B42ED1C"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Cardiovascular</w:t>
                  </w:r>
                </w:p>
              </w:tc>
              <w:tc>
                <w:tcPr>
                  <w:tcW w:w="2225" w:type="dxa"/>
                  <w:vAlign w:val="center"/>
                </w:tcPr>
                <w:p w14:paraId="518F3A5D"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0.731</w:t>
                  </w:r>
                </w:p>
              </w:tc>
              <w:tc>
                <w:tcPr>
                  <w:tcW w:w="2225" w:type="dxa"/>
                  <w:noWrap/>
                  <w:vAlign w:val="center"/>
                </w:tcPr>
                <w:p w14:paraId="7EBEF0E6"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0.717</w:t>
                  </w:r>
                </w:p>
              </w:tc>
              <w:tc>
                <w:tcPr>
                  <w:tcW w:w="2225" w:type="dxa"/>
                  <w:vAlign w:val="center"/>
                </w:tcPr>
                <w:p w14:paraId="7E2CB611"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0.726</w:t>
                  </w:r>
                </w:p>
              </w:tc>
            </w:tr>
            <w:tr w:rsidR="00203C3F" w:rsidRPr="00A41798" w14:paraId="722FC4DF" w14:textId="77777777" w:rsidTr="00203C3F">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190B3F21"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Neurology</w:t>
                  </w:r>
                </w:p>
              </w:tc>
              <w:tc>
                <w:tcPr>
                  <w:tcW w:w="2225" w:type="dxa"/>
                  <w:vAlign w:val="center"/>
                </w:tcPr>
                <w:p w14:paraId="5F819CC5"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0.708</w:t>
                  </w:r>
                </w:p>
              </w:tc>
              <w:tc>
                <w:tcPr>
                  <w:tcW w:w="2225" w:type="dxa"/>
                  <w:noWrap/>
                  <w:vAlign w:val="center"/>
                </w:tcPr>
                <w:p w14:paraId="0A680BDC"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0.697</w:t>
                  </w:r>
                </w:p>
              </w:tc>
              <w:tc>
                <w:tcPr>
                  <w:tcW w:w="2225" w:type="dxa"/>
                  <w:vAlign w:val="center"/>
                </w:tcPr>
                <w:p w14:paraId="549BA5AD"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0.693</w:t>
                  </w:r>
                </w:p>
              </w:tc>
            </w:tr>
            <w:tr w:rsidR="00203C3F" w:rsidRPr="00A41798" w14:paraId="74F4E2E1" w14:textId="77777777" w:rsidTr="00203C3F">
              <w:trPr>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2DA095D9"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Medicine</w:t>
                  </w:r>
                </w:p>
              </w:tc>
              <w:tc>
                <w:tcPr>
                  <w:tcW w:w="2225" w:type="dxa"/>
                  <w:vAlign w:val="center"/>
                </w:tcPr>
                <w:p w14:paraId="04A182F9"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0.651</w:t>
                  </w:r>
                </w:p>
              </w:tc>
              <w:tc>
                <w:tcPr>
                  <w:tcW w:w="2225" w:type="dxa"/>
                  <w:noWrap/>
                  <w:vAlign w:val="center"/>
                </w:tcPr>
                <w:p w14:paraId="432A3577"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0.656</w:t>
                  </w:r>
                </w:p>
              </w:tc>
              <w:tc>
                <w:tcPr>
                  <w:tcW w:w="2225" w:type="dxa"/>
                  <w:vAlign w:val="center"/>
                </w:tcPr>
                <w:p w14:paraId="4551FA1C"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0.665</w:t>
                  </w:r>
                </w:p>
              </w:tc>
            </w:tr>
            <w:tr w:rsidR="00203C3F" w:rsidRPr="00A41798" w14:paraId="251CF733" w14:textId="77777777" w:rsidTr="00203C3F">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hideMark/>
                </w:tcPr>
                <w:p w14:paraId="71B0C25A" w14:textId="5B72F361" w:rsidR="00203C3F" w:rsidRPr="00A41798" w:rsidRDefault="00203C3F" w:rsidP="00203C3F">
                  <w:pPr>
                    <w:jc w:val="center"/>
                    <w:rPr>
                      <w:rFonts w:asciiTheme="minorHAnsi" w:hAnsiTheme="minorHAnsi"/>
                      <w:bCs w:val="0"/>
                      <w:sz w:val="18"/>
                      <w:szCs w:val="18"/>
                    </w:rPr>
                  </w:pPr>
                  <w:r w:rsidRPr="00A41798">
                    <w:rPr>
                      <w:rFonts w:asciiTheme="minorHAnsi" w:hAnsiTheme="minorHAnsi"/>
                      <w:bCs w:val="0"/>
                      <w:color w:val="000000"/>
                      <w:sz w:val="18"/>
                    </w:rPr>
                    <w:t>Discrimination-Predictive Ability (lowest decile %, highest decile</w:t>
                  </w:r>
                  <w:r w:rsidR="001B630A" w:rsidRPr="00A41798">
                    <w:rPr>
                      <w:rFonts w:asciiTheme="minorHAnsi" w:hAnsiTheme="minorHAnsi"/>
                      <w:bCs w:val="0"/>
                      <w:color w:val="000000"/>
                      <w:sz w:val="18"/>
                    </w:rPr>
                    <w:t xml:space="preserve"> </w:t>
                  </w:r>
                  <w:r w:rsidRPr="00A41798">
                    <w:rPr>
                      <w:rFonts w:asciiTheme="minorHAnsi" w:hAnsiTheme="minorHAnsi"/>
                      <w:bCs w:val="0"/>
                      <w:color w:val="000000"/>
                      <w:sz w:val="18"/>
                    </w:rPr>
                    <w:t>%)</w:t>
                  </w:r>
                </w:p>
              </w:tc>
            </w:tr>
            <w:tr w:rsidR="00203C3F" w:rsidRPr="00A41798" w14:paraId="5D0B52ED" w14:textId="77777777" w:rsidTr="00203C3F">
              <w:trPr>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634426C8"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lastRenderedPageBreak/>
                    <w:t>Surgery/Gynecology</w:t>
                  </w:r>
                </w:p>
              </w:tc>
              <w:tc>
                <w:tcPr>
                  <w:tcW w:w="2225" w:type="dxa"/>
                  <w:vAlign w:val="center"/>
                </w:tcPr>
                <w:p w14:paraId="4890BCE5"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0-35</w:t>
                  </w:r>
                </w:p>
              </w:tc>
              <w:tc>
                <w:tcPr>
                  <w:tcW w:w="2225" w:type="dxa"/>
                  <w:noWrap/>
                  <w:vAlign w:val="center"/>
                </w:tcPr>
                <w:p w14:paraId="73AB68CB"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0-36</w:t>
                  </w:r>
                </w:p>
              </w:tc>
              <w:tc>
                <w:tcPr>
                  <w:tcW w:w="2225" w:type="dxa"/>
                  <w:vAlign w:val="center"/>
                </w:tcPr>
                <w:p w14:paraId="11E01827"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0-31</w:t>
                  </w:r>
                </w:p>
              </w:tc>
            </w:tr>
            <w:tr w:rsidR="00203C3F" w:rsidRPr="00A41798" w14:paraId="571A11AC" w14:textId="77777777" w:rsidTr="00203C3F">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1679483C"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Cardiorespiratory</w:t>
                  </w:r>
                </w:p>
              </w:tc>
              <w:tc>
                <w:tcPr>
                  <w:tcW w:w="2225" w:type="dxa"/>
                  <w:vAlign w:val="center"/>
                </w:tcPr>
                <w:p w14:paraId="45D4DC1F"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9-39</w:t>
                  </w:r>
                </w:p>
              </w:tc>
              <w:tc>
                <w:tcPr>
                  <w:tcW w:w="2225" w:type="dxa"/>
                  <w:noWrap/>
                  <w:vAlign w:val="center"/>
                </w:tcPr>
                <w:p w14:paraId="120D5F31"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7-41</w:t>
                  </w:r>
                </w:p>
              </w:tc>
              <w:tc>
                <w:tcPr>
                  <w:tcW w:w="2225" w:type="dxa"/>
                  <w:vAlign w:val="center"/>
                </w:tcPr>
                <w:p w14:paraId="26098AAF"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6-36</w:t>
                  </w:r>
                </w:p>
              </w:tc>
            </w:tr>
            <w:tr w:rsidR="00203C3F" w:rsidRPr="00A41798" w14:paraId="115A95C5" w14:textId="77777777" w:rsidTr="00203C3F">
              <w:trPr>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1E24D2DF"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Cardiovascular</w:t>
                  </w:r>
                </w:p>
              </w:tc>
              <w:tc>
                <w:tcPr>
                  <w:tcW w:w="2225" w:type="dxa"/>
                  <w:vAlign w:val="center"/>
                </w:tcPr>
                <w:p w14:paraId="05BA7142"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2-29</w:t>
                  </w:r>
                </w:p>
              </w:tc>
              <w:tc>
                <w:tcPr>
                  <w:tcW w:w="2225" w:type="dxa"/>
                  <w:noWrap/>
                  <w:vAlign w:val="center"/>
                </w:tcPr>
                <w:p w14:paraId="5C97A5F3"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2-32</w:t>
                  </w:r>
                </w:p>
              </w:tc>
              <w:tc>
                <w:tcPr>
                  <w:tcW w:w="2225" w:type="dxa"/>
                  <w:vAlign w:val="center"/>
                </w:tcPr>
                <w:p w14:paraId="40C6453A"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2-24</w:t>
                  </w:r>
                </w:p>
              </w:tc>
            </w:tr>
            <w:tr w:rsidR="00203C3F" w:rsidRPr="00A41798" w14:paraId="6959F962" w14:textId="77777777" w:rsidTr="00203C3F">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5B3055EB"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Neurology</w:t>
                  </w:r>
                </w:p>
              </w:tc>
              <w:tc>
                <w:tcPr>
                  <w:tcW w:w="2225" w:type="dxa"/>
                  <w:vAlign w:val="center"/>
                </w:tcPr>
                <w:p w14:paraId="685D10C7"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4-33</w:t>
                  </w:r>
                </w:p>
              </w:tc>
              <w:tc>
                <w:tcPr>
                  <w:tcW w:w="2225" w:type="dxa"/>
                  <w:noWrap/>
                  <w:vAlign w:val="center"/>
                </w:tcPr>
                <w:p w14:paraId="55599E86"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5-37</w:t>
                  </w:r>
                </w:p>
              </w:tc>
              <w:tc>
                <w:tcPr>
                  <w:tcW w:w="2225" w:type="dxa"/>
                  <w:vAlign w:val="center"/>
                </w:tcPr>
                <w:p w14:paraId="6A235AA9"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5-34</w:t>
                  </w:r>
                </w:p>
              </w:tc>
            </w:tr>
            <w:tr w:rsidR="00203C3F" w:rsidRPr="00A41798" w14:paraId="0FB3C5C6" w14:textId="77777777" w:rsidTr="00203C3F">
              <w:trPr>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3BC10556"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Medicine</w:t>
                  </w:r>
                </w:p>
              </w:tc>
              <w:tc>
                <w:tcPr>
                  <w:tcW w:w="2225" w:type="dxa"/>
                  <w:vAlign w:val="center"/>
                </w:tcPr>
                <w:p w14:paraId="76F67AD2"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8-35</w:t>
                  </w:r>
                </w:p>
              </w:tc>
              <w:tc>
                <w:tcPr>
                  <w:tcW w:w="2225" w:type="dxa"/>
                  <w:noWrap/>
                  <w:vAlign w:val="center"/>
                </w:tcPr>
                <w:p w14:paraId="68D2CE89"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7-35</w:t>
                  </w:r>
                </w:p>
              </w:tc>
              <w:tc>
                <w:tcPr>
                  <w:tcW w:w="2225" w:type="dxa"/>
                  <w:vAlign w:val="center"/>
                </w:tcPr>
                <w:p w14:paraId="7A4A4E89"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6-34</w:t>
                  </w:r>
                </w:p>
              </w:tc>
            </w:tr>
          </w:tbl>
          <w:p w14:paraId="1B094D49" w14:textId="77777777" w:rsidR="00203C3F" w:rsidRPr="00A41798" w:rsidRDefault="00203C3F" w:rsidP="00203C3F">
            <w:pPr>
              <w:autoSpaceDE w:val="0"/>
              <w:autoSpaceDN w:val="0"/>
              <w:adjustRightInd w:val="0"/>
              <w:rPr>
                <w:rFonts w:cstheme="minorHAnsi"/>
                <w:bCs/>
              </w:rPr>
            </w:pPr>
          </w:p>
          <w:p w14:paraId="41D09C8B" w14:textId="35C28350" w:rsidR="00203C3F" w:rsidRPr="00203C3F" w:rsidRDefault="00203C3F" w:rsidP="00203C3F">
            <w:pPr>
              <w:autoSpaceDE w:val="0"/>
              <w:autoSpaceDN w:val="0"/>
              <w:adjustRightInd w:val="0"/>
              <w:rPr>
                <w:rFonts w:cstheme="minorHAnsi"/>
                <w:bCs/>
              </w:rPr>
            </w:pPr>
          </w:p>
        </w:tc>
      </w:tr>
    </w:tbl>
    <w:p w14:paraId="4D3AB4B6" w14:textId="55E07FA9" w:rsidR="00001D73" w:rsidRPr="00001D73" w:rsidRDefault="00001D73" w:rsidP="00092566">
      <w:pPr>
        <w:autoSpaceDE w:val="0"/>
        <w:autoSpaceDN w:val="0"/>
        <w:adjustRightInd w:val="0"/>
        <w:spacing w:after="0" w:line="240" w:lineRule="auto"/>
        <w:rPr>
          <w:rFonts w:cstheme="minorHAnsi"/>
          <w:b/>
          <w:bCs/>
        </w:rPr>
      </w:pPr>
    </w:p>
    <w:p w14:paraId="2684BD6E" w14:textId="77777777" w:rsidR="00203C3F"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tbl>
      <w:tblPr>
        <w:tblStyle w:val="TableGrid"/>
        <w:tblW w:w="0" w:type="auto"/>
        <w:tblLook w:val="04A0" w:firstRow="1" w:lastRow="0" w:firstColumn="1" w:lastColumn="0" w:noHBand="0" w:noVBand="1"/>
      </w:tblPr>
      <w:tblGrid>
        <w:gridCol w:w="9350"/>
      </w:tblGrid>
      <w:tr w:rsidR="00203C3F" w14:paraId="47D1DA1F" w14:textId="77777777" w:rsidTr="00203C3F">
        <w:tc>
          <w:tcPr>
            <w:tcW w:w="9350" w:type="dxa"/>
          </w:tcPr>
          <w:p w14:paraId="379B0B23" w14:textId="526FF9D1" w:rsidR="00203C3F" w:rsidRPr="00626E27" w:rsidRDefault="00203C3F" w:rsidP="00092566">
            <w:pPr>
              <w:autoSpaceDE w:val="0"/>
              <w:autoSpaceDN w:val="0"/>
              <w:adjustRightInd w:val="0"/>
              <w:rPr>
                <w:rFonts w:cstheme="minorHAnsi"/>
                <w:bCs/>
              </w:rPr>
            </w:pPr>
            <w:r w:rsidRPr="00626E27">
              <w:rPr>
                <w:rFonts w:cstheme="minorHAnsi"/>
                <w:bCs/>
              </w:rPr>
              <w:t xml:space="preserve">Calibration in the Development, Validation, and 2012 Sample </w:t>
            </w:r>
            <w:r w:rsidR="00B80BC1">
              <w:rPr>
                <w:rFonts w:cstheme="minorHAnsi"/>
                <w:bCs/>
              </w:rPr>
              <w:t xml:space="preserve">in </w:t>
            </w:r>
            <w:r w:rsidR="00B80BC1" w:rsidRPr="00AB02C4">
              <w:rPr>
                <w:rFonts w:cstheme="minorHAnsi"/>
                <w:b/>
                <w:bCs/>
              </w:rPr>
              <w:t>Dataset 1</w:t>
            </w:r>
            <w:r w:rsidR="00B80BC1">
              <w:rPr>
                <w:rFonts w:cstheme="minorHAnsi"/>
                <w:bCs/>
              </w:rPr>
              <w:t xml:space="preserve"> </w:t>
            </w:r>
            <w:r w:rsidRPr="00626E27">
              <w:rPr>
                <w:rFonts w:cstheme="minorHAnsi"/>
                <w:bCs/>
              </w:rPr>
              <w:t xml:space="preserve">by specialty cohort: </w:t>
            </w:r>
          </w:p>
          <w:p w14:paraId="744ABDD3" w14:textId="77777777" w:rsidR="00203C3F" w:rsidRPr="00A41798" w:rsidRDefault="00203C3F" w:rsidP="00092566">
            <w:pPr>
              <w:autoSpaceDE w:val="0"/>
              <w:autoSpaceDN w:val="0"/>
              <w:adjustRightInd w:val="0"/>
              <w:rPr>
                <w:rFonts w:cstheme="minorHAnsi"/>
                <w:bCs/>
                <w:color w:val="FF0000"/>
              </w:rPr>
            </w:pPr>
          </w:p>
          <w:p w14:paraId="57ED79D6" w14:textId="72891128" w:rsidR="0059261C" w:rsidRPr="00A41798" w:rsidRDefault="0059261C" w:rsidP="0059261C">
            <w:pPr>
              <w:pStyle w:val="Caption"/>
              <w:keepNext/>
              <w:rPr>
                <w:color w:val="auto"/>
                <w:sz w:val="22"/>
                <w:szCs w:val="22"/>
              </w:rPr>
            </w:pPr>
            <w:r w:rsidRPr="00A41798">
              <w:rPr>
                <w:color w:val="auto"/>
                <w:sz w:val="22"/>
                <w:szCs w:val="22"/>
              </w:rPr>
              <w:t xml:space="preserve">Table </w:t>
            </w:r>
            <w:r w:rsidRPr="00A41798">
              <w:rPr>
                <w:color w:val="auto"/>
                <w:sz w:val="22"/>
                <w:szCs w:val="22"/>
              </w:rPr>
              <w:fldChar w:fldCharType="begin"/>
            </w:r>
            <w:r w:rsidRPr="00A41798">
              <w:rPr>
                <w:color w:val="auto"/>
                <w:sz w:val="22"/>
                <w:szCs w:val="22"/>
              </w:rPr>
              <w:instrText xml:space="preserve"> SEQ Table \* ARABIC </w:instrText>
            </w:r>
            <w:r w:rsidRPr="00A41798">
              <w:rPr>
                <w:color w:val="auto"/>
                <w:sz w:val="22"/>
                <w:szCs w:val="22"/>
              </w:rPr>
              <w:fldChar w:fldCharType="separate"/>
            </w:r>
            <w:r w:rsidRPr="00A41798">
              <w:rPr>
                <w:noProof/>
                <w:color w:val="auto"/>
                <w:sz w:val="22"/>
                <w:szCs w:val="22"/>
              </w:rPr>
              <w:t>8</w:t>
            </w:r>
            <w:r w:rsidRPr="00A41798">
              <w:rPr>
                <w:color w:val="auto"/>
                <w:sz w:val="22"/>
                <w:szCs w:val="22"/>
              </w:rPr>
              <w:fldChar w:fldCharType="end"/>
            </w:r>
            <w:r w:rsidR="00A41798">
              <w:rPr>
                <w:color w:val="auto"/>
                <w:sz w:val="22"/>
                <w:szCs w:val="22"/>
              </w:rPr>
              <w:t>.</w:t>
            </w:r>
            <w:r w:rsidRPr="00A41798">
              <w:rPr>
                <w:color w:val="auto"/>
                <w:sz w:val="22"/>
                <w:szCs w:val="22"/>
              </w:rPr>
              <w:t xml:space="preserve"> Calibration in the Development, Validation, and 2012 Sample (Dataset 1)</w:t>
            </w:r>
          </w:p>
          <w:tbl>
            <w:tblPr>
              <w:tblStyle w:val="LightList-Accent151"/>
              <w:tblW w:w="9114" w:type="dxa"/>
              <w:jc w:val="center"/>
              <w:tblLook w:val="04A0" w:firstRow="1" w:lastRow="0" w:firstColumn="1" w:lastColumn="0" w:noHBand="0" w:noVBand="1"/>
            </w:tblPr>
            <w:tblGrid>
              <w:gridCol w:w="2439"/>
              <w:gridCol w:w="2225"/>
              <w:gridCol w:w="2225"/>
              <w:gridCol w:w="2225"/>
            </w:tblGrid>
            <w:tr w:rsidR="00203C3F" w:rsidRPr="00A41798" w14:paraId="47905698" w14:textId="77777777" w:rsidTr="00203C3F">
              <w:trPr>
                <w:cnfStyle w:val="100000000000" w:firstRow="1" w:lastRow="0" w:firstColumn="0" w:lastColumn="0" w:oddVBand="0" w:evenVBand="0" w:oddHBand="0" w:evenHBand="0" w:firstRowFirstColumn="0" w:firstRowLastColumn="0" w:lastRowFirstColumn="0" w:lastRowLastColumn="0"/>
                <w:trHeight w:val="736"/>
                <w:tblHeader/>
                <w:jc w:val="center"/>
              </w:trPr>
              <w:tc>
                <w:tcPr>
                  <w:cnfStyle w:val="001000000000" w:firstRow="0" w:lastRow="0" w:firstColumn="1" w:lastColumn="0" w:oddVBand="0" w:evenVBand="0" w:oddHBand="0" w:evenHBand="0" w:firstRowFirstColumn="0" w:firstRowLastColumn="0" w:lastRowFirstColumn="0" w:lastRowLastColumn="0"/>
                  <w:tcW w:w="2439" w:type="dxa"/>
                  <w:vAlign w:val="center"/>
                  <w:hideMark/>
                </w:tcPr>
                <w:p w14:paraId="7D3EC853" w14:textId="77777777" w:rsidR="00203C3F" w:rsidRPr="00A41798" w:rsidRDefault="00203C3F" w:rsidP="00203C3F">
                  <w:pPr>
                    <w:jc w:val="center"/>
                    <w:rPr>
                      <w:rFonts w:asciiTheme="minorHAnsi" w:hAnsiTheme="minorHAnsi"/>
                      <w:b w:val="0"/>
                      <w:bCs w:val="0"/>
                      <w:color w:val="auto"/>
                      <w:sz w:val="18"/>
                      <w:szCs w:val="18"/>
                    </w:rPr>
                  </w:pPr>
                </w:p>
                <w:p w14:paraId="02ADE593" w14:textId="77777777" w:rsidR="0059261C" w:rsidRPr="00A41798" w:rsidRDefault="0059261C" w:rsidP="00203C3F">
                  <w:pPr>
                    <w:jc w:val="center"/>
                    <w:rPr>
                      <w:rFonts w:asciiTheme="minorHAnsi" w:hAnsiTheme="minorHAnsi"/>
                      <w:b w:val="0"/>
                      <w:bCs w:val="0"/>
                      <w:color w:val="auto"/>
                      <w:sz w:val="18"/>
                      <w:szCs w:val="18"/>
                    </w:rPr>
                  </w:pPr>
                </w:p>
              </w:tc>
              <w:tc>
                <w:tcPr>
                  <w:tcW w:w="2225" w:type="dxa"/>
                  <w:vAlign w:val="center"/>
                </w:tcPr>
                <w:p w14:paraId="644CDFBD" w14:textId="080C189C" w:rsidR="00203C3F" w:rsidRPr="00A41798" w:rsidRDefault="00A30837" w:rsidP="000B192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FFFFFF" w:themeColor="background1"/>
                      <w:sz w:val="18"/>
                      <w:szCs w:val="18"/>
                    </w:rPr>
                  </w:pPr>
                  <w:r w:rsidRPr="00A41798">
                    <w:rPr>
                      <w:rFonts w:asciiTheme="minorHAnsi" w:hAnsiTheme="minorHAnsi"/>
                      <w:bCs w:val="0"/>
                      <w:color w:val="FFFFFF" w:themeColor="background1"/>
                      <w:sz w:val="18"/>
                      <w:szCs w:val="18"/>
                    </w:rPr>
                    <w:t>Hybrid</w:t>
                  </w:r>
                  <w:r w:rsidR="001B630A" w:rsidRPr="00A41798">
                    <w:rPr>
                      <w:rFonts w:asciiTheme="minorHAnsi" w:hAnsiTheme="minorHAnsi"/>
                      <w:bCs w:val="0"/>
                      <w:color w:val="FFFFFF" w:themeColor="background1"/>
                      <w:sz w:val="18"/>
                      <w:szCs w:val="18"/>
                    </w:rPr>
                    <w:t xml:space="preserve"> HWR Measure</w:t>
                  </w:r>
                  <w:r w:rsidR="00203C3F" w:rsidRPr="00A41798">
                    <w:rPr>
                      <w:rFonts w:asciiTheme="minorHAnsi" w:hAnsiTheme="minorHAnsi"/>
                      <w:bCs w:val="0"/>
                      <w:color w:val="FFFFFF" w:themeColor="background1"/>
                      <w:sz w:val="18"/>
                      <w:szCs w:val="18"/>
                    </w:rPr>
                    <w:t xml:space="preserve"> Development Sample</w:t>
                  </w:r>
                </w:p>
              </w:tc>
              <w:tc>
                <w:tcPr>
                  <w:tcW w:w="2225" w:type="dxa"/>
                  <w:noWrap/>
                  <w:vAlign w:val="center"/>
                  <w:hideMark/>
                </w:tcPr>
                <w:p w14:paraId="74303D5C" w14:textId="793A2106" w:rsidR="00203C3F" w:rsidRPr="00A41798" w:rsidRDefault="00A30837" w:rsidP="000B192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FFFFFF" w:themeColor="background1"/>
                      <w:sz w:val="18"/>
                      <w:szCs w:val="18"/>
                    </w:rPr>
                  </w:pPr>
                  <w:r w:rsidRPr="00A41798">
                    <w:rPr>
                      <w:rFonts w:asciiTheme="minorHAnsi" w:hAnsiTheme="minorHAnsi"/>
                      <w:bCs w:val="0"/>
                      <w:color w:val="FFFFFF" w:themeColor="background1"/>
                      <w:sz w:val="18"/>
                      <w:szCs w:val="18"/>
                    </w:rPr>
                    <w:t>Hybrid</w:t>
                  </w:r>
                  <w:r w:rsidR="001B630A" w:rsidRPr="00A41798">
                    <w:rPr>
                      <w:rFonts w:asciiTheme="minorHAnsi" w:hAnsiTheme="minorHAnsi"/>
                      <w:bCs w:val="0"/>
                      <w:color w:val="FFFFFF" w:themeColor="background1"/>
                      <w:sz w:val="18"/>
                      <w:szCs w:val="18"/>
                    </w:rPr>
                    <w:t xml:space="preserve"> HWR Measure</w:t>
                  </w:r>
                  <w:r w:rsidR="00203C3F" w:rsidRPr="00A41798">
                    <w:rPr>
                      <w:rFonts w:asciiTheme="minorHAnsi" w:hAnsiTheme="minorHAnsi"/>
                      <w:bCs w:val="0"/>
                      <w:color w:val="FFFFFF" w:themeColor="background1"/>
                      <w:sz w:val="18"/>
                      <w:szCs w:val="18"/>
                    </w:rPr>
                    <w:t xml:space="preserve"> Validation Sample</w:t>
                  </w:r>
                </w:p>
              </w:tc>
              <w:tc>
                <w:tcPr>
                  <w:tcW w:w="2225" w:type="dxa"/>
                  <w:vAlign w:val="center"/>
                </w:tcPr>
                <w:p w14:paraId="79AEF23F" w14:textId="38E525FC" w:rsidR="00203C3F" w:rsidRPr="00A41798" w:rsidRDefault="00A30837" w:rsidP="000B1929">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FFFFFF" w:themeColor="background1"/>
                      <w:sz w:val="18"/>
                      <w:szCs w:val="18"/>
                    </w:rPr>
                  </w:pPr>
                  <w:r w:rsidRPr="00A41798">
                    <w:rPr>
                      <w:rFonts w:asciiTheme="minorHAnsi" w:hAnsiTheme="minorHAnsi"/>
                      <w:bCs w:val="0"/>
                      <w:color w:val="FFFFFF" w:themeColor="background1"/>
                      <w:sz w:val="18"/>
                      <w:szCs w:val="18"/>
                    </w:rPr>
                    <w:t>Hybrid</w:t>
                  </w:r>
                  <w:r w:rsidR="001B630A" w:rsidRPr="00A41798">
                    <w:rPr>
                      <w:rFonts w:asciiTheme="minorHAnsi" w:hAnsiTheme="minorHAnsi"/>
                      <w:bCs w:val="0"/>
                      <w:color w:val="FFFFFF" w:themeColor="background1"/>
                      <w:sz w:val="18"/>
                      <w:szCs w:val="18"/>
                    </w:rPr>
                    <w:t xml:space="preserve"> HWR Measure</w:t>
                  </w:r>
                  <w:r w:rsidR="00203C3F" w:rsidRPr="00A41798">
                    <w:rPr>
                      <w:rFonts w:asciiTheme="minorHAnsi" w:hAnsiTheme="minorHAnsi"/>
                      <w:bCs w:val="0"/>
                      <w:color w:val="FFFFFF" w:themeColor="background1"/>
                      <w:sz w:val="18"/>
                      <w:szCs w:val="18"/>
                    </w:rPr>
                    <w:t xml:space="preserve"> 2012 Sample</w:t>
                  </w:r>
                </w:p>
              </w:tc>
            </w:tr>
            <w:tr w:rsidR="00203C3F" w:rsidRPr="00A41798" w14:paraId="2A171B5D" w14:textId="77777777" w:rsidTr="00203C3F">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9114" w:type="dxa"/>
                  <w:gridSpan w:val="4"/>
                  <w:shd w:val="clear" w:color="auto" w:fill="F2F2F2" w:themeFill="background1" w:themeFillShade="F2"/>
                  <w:noWrap/>
                  <w:vAlign w:val="center"/>
                </w:tcPr>
                <w:p w14:paraId="0756DADE" w14:textId="77777777" w:rsidR="00203C3F" w:rsidRPr="00A41798" w:rsidRDefault="00203C3F" w:rsidP="00203C3F">
                  <w:pPr>
                    <w:jc w:val="center"/>
                    <w:rPr>
                      <w:rFonts w:asciiTheme="minorHAnsi" w:hAnsiTheme="minorHAnsi"/>
                      <w:bCs w:val="0"/>
                      <w:color w:val="000000"/>
                      <w:sz w:val="18"/>
                    </w:rPr>
                  </w:pPr>
                  <w:r w:rsidRPr="00A41798">
                    <w:rPr>
                      <w:rFonts w:asciiTheme="minorHAnsi" w:hAnsiTheme="minorHAnsi"/>
                      <w:bCs w:val="0"/>
                      <w:color w:val="000000"/>
                      <w:sz w:val="18"/>
                    </w:rPr>
                    <w:t>Calibration (γ0, γ1)</w:t>
                  </w:r>
                </w:p>
              </w:tc>
            </w:tr>
            <w:tr w:rsidR="00203C3F" w:rsidRPr="00A41798" w14:paraId="62CBF835" w14:textId="77777777" w:rsidTr="00203C3F">
              <w:trPr>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538198C6"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Surgery/Gynecology</w:t>
                  </w:r>
                </w:p>
              </w:tc>
              <w:tc>
                <w:tcPr>
                  <w:tcW w:w="2225" w:type="dxa"/>
                  <w:vAlign w:val="center"/>
                </w:tcPr>
                <w:p w14:paraId="2DCEC38A"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(0.000, 1.000)</w:t>
                  </w:r>
                </w:p>
              </w:tc>
              <w:tc>
                <w:tcPr>
                  <w:tcW w:w="2225" w:type="dxa"/>
                  <w:noWrap/>
                  <w:vAlign w:val="center"/>
                </w:tcPr>
                <w:p w14:paraId="70305647"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sz w:val="18"/>
                    </w:rPr>
                  </w:pPr>
                  <w:r w:rsidRPr="00A41798">
                    <w:rPr>
                      <w:rFonts w:asciiTheme="minorHAnsi" w:hAnsiTheme="minorHAnsi"/>
                      <w:bCs/>
                      <w:color w:val="000000"/>
                      <w:sz w:val="18"/>
                    </w:rPr>
                    <w:t>(-0.049,0.948)</w:t>
                  </w:r>
                </w:p>
              </w:tc>
              <w:tc>
                <w:tcPr>
                  <w:tcW w:w="2225" w:type="dxa"/>
                  <w:vAlign w:val="center"/>
                </w:tcPr>
                <w:p w14:paraId="096AD722"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sz w:val="18"/>
                    </w:rPr>
                  </w:pPr>
                  <w:r w:rsidRPr="00A41798">
                    <w:rPr>
                      <w:rFonts w:asciiTheme="minorHAnsi" w:hAnsiTheme="minorHAnsi"/>
                      <w:bCs/>
                      <w:color w:val="000000"/>
                      <w:sz w:val="18"/>
                    </w:rPr>
                    <w:t>(-0.192,0.971)</w:t>
                  </w:r>
                </w:p>
              </w:tc>
            </w:tr>
            <w:tr w:rsidR="00203C3F" w:rsidRPr="00A41798" w14:paraId="6668F990" w14:textId="77777777" w:rsidTr="00203C3F">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45FE06AF"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Cardiorespiratory</w:t>
                  </w:r>
                </w:p>
              </w:tc>
              <w:tc>
                <w:tcPr>
                  <w:tcW w:w="2225" w:type="dxa"/>
                  <w:vAlign w:val="center"/>
                </w:tcPr>
                <w:p w14:paraId="3D5343F6"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(0.000, 1.000)</w:t>
                  </w:r>
                </w:p>
              </w:tc>
              <w:tc>
                <w:tcPr>
                  <w:tcW w:w="2225" w:type="dxa"/>
                  <w:noWrap/>
                  <w:vAlign w:val="center"/>
                </w:tcPr>
                <w:p w14:paraId="3E630CC8"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sz w:val="18"/>
                    </w:rPr>
                  </w:pPr>
                  <w:r w:rsidRPr="00A41798">
                    <w:rPr>
                      <w:rFonts w:asciiTheme="minorHAnsi" w:hAnsiTheme="minorHAnsi"/>
                      <w:bCs/>
                      <w:color w:val="000000"/>
                      <w:sz w:val="18"/>
                    </w:rPr>
                    <w:t>(-0.004,0.995)</w:t>
                  </w:r>
                </w:p>
              </w:tc>
              <w:tc>
                <w:tcPr>
                  <w:tcW w:w="2225" w:type="dxa"/>
                  <w:vAlign w:val="center"/>
                </w:tcPr>
                <w:p w14:paraId="78EE3B61"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sz w:val="18"/>
                    </w:rPr>
                  </w:pPr>
                  <w:r w:rsidRPr="00A41798">
                    <w:rPr>
                      <w:rFonts w:asciiTheme="minorHAnsi" w:hAnsiTheme="minorHAnsi"/>
                      <w:bCs/>
                      <w:color w:val="000000"/>
                      <w:sz w:val="18"/>
                    </w:rPr>
                    <w:t>(-0.111,0.931)</w:t>
                  </w:r>
                </w:p>
              </w:tc>
            </w:tr>
            <w:tr w:rsidR="00203C3F" w:rsidRPr="00A41798" w14:paraId="1C0A8BF4" w14:textId="77777777" w:rsidTr="00203C3F">
              <w:trPr>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643AF6EE"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Cardiovascular</w:t>
                  </w:r>
                </w:p>
              </w:tc>
              <w:tc>
                <w:tcPr>
                  <w:tcW w:w="2225" w:type="dxa"/>
                  <w:vAlign w:val="center"/>
                </w:tcPr>
                <w:p w14:paraId="451FFEB3"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(0.000, 1.000)</w:t>
                  </w:r>
                </w:p>
              </w:tc>
              <w:tc>
                <w:tcPr>
                  <w:tcW w:w="2225" w:type="dxa"/>
                  <w:noWrap/>
                  <w:vAlign w:val="center"/>
                </w:tcPr>
                <w:p w14:paraId="777AE4A0"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sz w:val="18"/>
                    </w:rPr>
                  </w:pPr>
                  <w:r w:rsidRPr="00A41798">
                    <w:rPr>
                      <w:rFonts w:asciiTheme="minorHAnsi" w:hAnsiTheme="minorHAnsi"/>
                      <w:bCs/>
                      <w:color w:val="000000"/>
                      <w:sz w:val="18"/>
                    </w:rPr>
                    <w:t>(0.067,1.007)</w:t>
                  </w:r>
                </w:p>
              </w:tc>
              <w:tc>
                <w:tcPr>
                  <w:tcW w:w="2225" w:type="dxa"/>
                  <w:vAlign w:val="center"/>
                </w:tcPr>
                <w:p w14:paraId="40A1D8E4"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sz w:val="18"/>
                    </w:rPr>
                  </w:pPr>
                  <w:r w:rsidRPr="00A41798">
                    <w:rPr>
                      <w:rFonts w:asciiTheme="minorHAnsi" w:hAnsiTheme="minorHAnsi"/>
                      <w:bCs/>
                      <w:color w:val="000000"/>
                      <w:sz w:val="18"/>
                    </w:rPr>
                    <w:t>(-0.333,0.854)</w:t>
                  </w:r>
                </w:p>
              </w:tc>
            </w:tr>
            <w:tr w:rsidR="00203C3F" w:rsidRPr="00A41798" w14:paraId="5F56444D" w14:textId="77777777" w:rsidTr="00203C3F">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5BA7E369"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Neurology</w:t>
                  </w:r>
                </w:p>
              </w:tc>
              <w:tc>
                <w:tcPr>
                  <w:tcW w:w="2225" w:type="dxa"/>
                  <w:vAlign w:val="center"/>
                </w:tcPr>
                <w:p w14:paraId="52CC0FD4"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(0.000, 1.000)</w:t>
                  </w:r>
                </w:p>
              </w:tc>
              <w:tc>
                <w:tcPr>
                  <w:tcW w:w="2225" w:type="dxa"/>
                  <w:noWrap/>
                  <w:vAlign w:val="center"/>
                </w:tcPr>
                <w:p w14:paraId="79882C4D"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sz w:val="18"/>
                    </w:rPr>
                  </w:pPr>
                  <w:r w:rsidRPr="00A41798">
                    <w:rPr>
                      <w:rFonts w:asciiTheme="minorHAnsi" w:hAnsiTheme="minorHAnsi"/>
                      <w:bCs/>
                      <w:color w:val="000000"/>
                      <w:sz w:val="18"/>
                    </w:rPr>
                    <w:t>(-0.129,0.920)</w:t>
                  </w:r>
                </w:p>
              </w:tc>
              <w:tc>
                <w:tcPr>
                  <w:tcW w:w="2225" w:type="dxa"/>
                  <w:vAlign w:val="center"/>
                </w:tcPr>
                <w:p w14:paraId="78188293" w14:textId="77777777" w:rsidR="00203C3F" w:rsidRPr="00A41798" w:rsidRDefault="00203C3F" w:rsidP="00203C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Cs/>
                      <w:color w:val="000000"/>
                      <w:sz w:val="18"/>
                    </w:rPr>
                  </w:pPr>
                  <w:r w:rsidRPr="00A41798">
                    <w:rPr>
                      <w:rFonts w:asciiTheme="minorHAnsi" w:hAnsiTheme="minorHAnsi"/>
                      <w:bCs/>
                      <w:color w:val="000000"/>
                      <w:sz w:val="18"/>
                    </w:rPr>
                    <w:t>(-0.464,0.781)</w:t>
                  </w:r>
                </w:p>
              </w:tc>
            </w:tr>
            <w:tr w:rsidR="00203C3F" w:rsidRPr="00A41798" w14:paraId="1FC0C581" w14:textId="77777777" w:rsidTr="00203C3F">
              <w:trPr>
                <w:trHeight w:val="255"/>
                <w:jc w:val="center"/>
              </w:trPr>
              <w:tc>
                <w:tcPr>
                  <w:cnfStyle w:val="001000000000" w:firstRow="0" w:lastRow="0" w:firstColumn="1" w:lastColumn="0" w:oddVBand="0" w:evenVBand="0" w:oddHBand="0" w:evenHBand="0" w:firstRowFirstColumn="0" w:firstRowLastColumn="0" w:lastRowFirstColumn="0" w:lastRowLastColumn="0"/>
                  <w:tcW w:w="2439" w:type="dxa"/>
                  <w:noWrap/>
                  <w:vAlign w:val="center"/>
                </w:tcPr>
                <w:p w14:paraId="0B872467" w14:textId="77777777" w:rsidR="00203C3F" w:rsidRPr="00A41798" w:rsidRDefault="00203C3F" w:rsidP="00203C3F">
                  <w:pPr>
                    <w:jc w:val="center"/>
                    <w:rPr>
                      <w:rFonts w:asciiTheme="minorHAnsi" w:hAnsiTheme="minorHAnsi"/>
                      <w:b w:val="0"/>
                      <w:bCs w:val="0"/>
                      <w:color w:val="000000"/>
                      <w:sz w:val="18"/>
                    </w:rPr>
                  </w:pPr>
                  <w:r w:rsidRPr="00A41798">
                    <w:rPr>
                      <w:rFonts w:asciiTheme="minorHAnsi" w:hAnsiTheme="minorHAnsi"/>
                      <w:b w:val="0"/>
                      <w:bCs w:val="0"/>
                      <w:color w:val="000000"/>
                      <w:sz w:val="18"/>
                    </w:rPr>
                    <w:t>Medicine</w:t>
                  </w:r>
                </w:p>
              </w:tc>
              <w:tc>
                <w:tcPr>
                  <w:tcW w:w="2225" w:type="dxa"/>
                  <w:vAlign w:val="center"/>
                </w:tcPr>
                <w:p w14:paraId="5A8C4282"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41798">
                    <w:rPr>
                      <w:rFonts w:asciiTheme="minorHAnsi" w:hAnsiTheme="minorHAnsi"/>
                      <w:bCs/>
                      <w:color w:val="000000"/>
                      <w:sz w:val="18"/>
                    </w:rPr>
                    <w:t>(0.000, 1.000)</w:t>
                  </w:r>
                </w:p>
              </w:tc>
              <w:tc>
                <w:tcPr>
                  <w:tcW w:w="2225" w:type="dxa"/>
                  <w:noWrap/>
                  <w:vAlign w:val="center"/>
                </w:tcPr>
                <w:p w14:paraId="51E04CD1"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sz w:val="18"/>
                    </w:rPr>
                  </w:pPr>
                  <w:r w:rsidRPr="00A41798">
                    <w:rPr>
                      <w:rFonts w:asciiTheme="minorHAnsi" w:hAnsiTheme="minorHAnsi"/>
                      <w:bCs/>
                      <w:color w:val="000000"/>
                      <w:sz w:val="18"/>
                    </w:rPr>
                    <w:t>(-0.047,0.977)</w:t>
                  </w:r>
                </w:p>
              </w:tc>
              <w:tc>
                <w:tcPr>
                  <w:tcW w:w="2225" w:type="dxa"/>
                  <w:vAlign w:val="center"/>
                </w:tcPr>
                <w:p w14:paraId="24EFD4BB" w14:textId="77777777" w:rsidR="00203C3F" w:rsidRPr="00A41798" w:rsidRDefault="00203C3F" w:rsidP="00203C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Cs/>
                      <w:color w:val="000000"/>
                      <w:sz w:val="18"/>
                    </w:rPr>
                  </w:pPr>
                  <w:r w:rsidRPr="00A41798">
                    <w:rPr>
                      <w:rFonts w:asciiTheme="minorHAnsi" w:hAnsiTheme="minorHAnsi"/>
                      <w:bCs/>
                      <w:color w:val="000000"/>
                      <w:sz w:val="18"/>
                    </w:rPr>
                    <w:t>(0.077,1.108)</w:t>
                  </w:r>
                </w:p>
              </w:tc>
            </w:tr>
          </w:tbl>
          <w:p w14:paraId="72614574" w14:textId="77777777" w:rsidR="00203C3F" w:rsidRPr="00A41798" w:rsidRDefault="00203C3F" w:rsidP="00092566">
            <w:pPr>
              <w:autoSpaceDE w:val="0"/>
              <w:autoSpaceDN w:val="0"/>
              <w:adjustRightInd w:val="0"/>
              <w:rPr>
                <w:rFonts w:cstheme="minorHAnsi"/>
                <w:bCs/>
                <w:color w:val="FF0000"/>
              </w:rPr>
            </w:pPr>
          </w:p>
          <w:p w14:paraId="0DCE8BB2" w14:textId="5B2BBA68" w:rsidR="00203C3F" w:rsidRPr="00203C3F" w:rsidRDefault="00203C3F" w:rsidP="00092566">
            <w:pPr>
              <w:autoSpaceDE w:val="0"/>
              <w:autoSpaceDN w:val="0"/>
              <w:adjustRightInd w:val="0"/>
              <w:rPr>
                <w:rFonts w:cstheme="minorHAnsi"/>
                <w:bCs/>
              </w:rPr>
            </w:pPr>
          </w:p>
        </w:tc>
      </w:tr>
    </w:tbl>
    <w:p w14:paraId="6033896D" w14:textId="2CE3496E" w:rsidR="00001D73" w:rsidRDefault="00001D73" w:rsidP="00092566">
      <w:pPr>
        <w:autoSpaceDE w:val="0"/>
        <w:autoSpaceDN w:val="0"/>
        <w:adjustRightInd w:val="0"/>
        <w:spacing w:after="0" w:line="240" w:lineRule="auto"/>
        <w:rPr>
          <w:rFonts w:cstheme="minorHAnsi"/>
          <w:b/>
          <w:bCs/>
        </w:rPr>
      </w:pPr>
    </w:p>
    <w:p w14:paraId="0A2E122D" w14:textId="77777777" w:rsidR="00203C3F" w:rsidRPr="00A25024" w:rsidRDefault="00743E46" w:rsidP="00092566">
      <w:pPr>
        <w:autoSpaceDE w:val="0"/>
        <w:autoSpaceDN w:val="0"/>
        <w:adjustRightInd w:val="0"/>
        <w:spacing w:after="0" w:line="240" w:lineRule="auto"/>
        <w:rPr>
          <w:rFonts w:cstheme="minorHAnsi"/>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tbl>
      <w:tblPr>
        <w:tblStyle w:val="TableGrid"/>
        <w:tblW w:w="0" w:type="auto"/>
        <w:tblLook w:val="04A0" w:firstRow="1" w:lastRow="0" w:firstColumn="1" w:lastColumn="0" w:noHBand="0" w:noVBand="1"/>
      </w:tblPr>
      <w:tblGrid>
        <w:gridCol w:w="9350"/>
      </w:tblGrid>
      <w:tr w:rsidR="00203C3F" w14:paraId="3E223FAD" w14:textId="77777777" w:rsidTr="00203C3F">
        <w:tc>
          <w:tcPr>
            <w:tcW w:w="9350" w:type="dxa"/>
          </w:tcPr>
          <w:p w14:paraId="466F7D2F" w14:textId="04320331" w:rsidR="00203C3F" w:rsidRDefault="007117D0" w:rsidP="00310B81">
            <w:pPr>
              <w:autoSpaceDE w:val="0"/>
              <w:autoSpaceDN w:val="0"/>
              <w:adjustRightInd w:val="0"/>
              <w:rPr>
                <w:rFonts w:cstheme="minorHAnsi"/>
              </w:rPr>
            </w:pPr>
            <w:r>
              <w:rPr>
                <w:rFonts w:cstheme="minorHAnsi"/>
              </w:rPr>
              <w:t xml:space="preserve">See </w:t>
            </w:r>
            <w:r w:rsidR="00310B81">
              <w:rPr>
                <w:rFonts w:cstheme="minorHAnsi"/>
              </w:rPr>
              <w:t xml:space="preserve">Calibration Curves in the </w:t>
            </w:r>
            <w:r>
              <w:t xml:space="preserve">Excel Data Dictionary </w:t>
            </w:r>
            <w:r w:rsidR="00310B81">
              <w:t>attached in data field S.2b</w:t>
            </w:r>
            <w:r w:rsidR="00F27552">
              <w:t>.</w:t>
            </w:r>
          </w:p>
        </w:tc>
      </w:tr>
    </w:tbl>
    <w:p w14:paraId="15923B42" w14:textId="0E174DB0" w:rsidR="00092566" w:rsidRPr="00A25024" w:rsidRDefault="00092566" w:rsidP="00092566">
      <w:pPr>
        <w:autoSpaceDE w:val="0"/>
        <w:autoSpaceDN w:val="0"/>
        <w:adjustRightInd w:val="0"/>
        <w:spacing w:after="0" w:line="240" w:lineRule="auto"/>
        <w:rPr>
          <w:rFonts w:cstheme="minorHAnsi"/>
          <w:bCs/>
        </w:rPr>
      </w:pPr>
      <w:r w:rsidRPr="00A25024">
        <w:rPr>
          <w:rFonts w:cstheme="minorHAnsi"/>
        </w:rPr>
        <w:br/>
      </w:r>
      <w:bookmarkStart w:id="13" w:name="question2b49"/>
      <w:bookmarkEnd w:id="13"/>
      <w:r w:rsidR="00743E46">
        <w:rPr>
          <w:rFonts w:cstheme="minorHAnsi"/>
          <w:b/>
        </w:rPr>
        <w:t>2b4.9</w:t>
      </w:r>
      <w:r w:rsidR="00001D73">
        <w:rPr>
          <w:rFonts w:cstheme="minorHAnsi"/>
          <w:b/>
        </w:rPr>
        <w:t xml:space="preserve">. Results of </w:t>
      </w:r>
      <w:r w:rsidRPr="00A25024">
        <w:rPr>
          <w:rFonts w:cstheme="minorHAnsi"/>
          <w:b/>
        </w:rPr>
        <w:t>Risk Stratification Analysis</w:t>
      </w:r>
      <w:r w:rsidRPr="00A25024">
        <w:rPr>
          <w:rFonts w:cstheme="minorHAnsi"/>
        </w:rPr>
        <w:t xml:space="preserve">: </w:t>
      </w:r>
      <w:r w:rsidRPr="00A25024">
        <w:rPr>
          <w:rFonts w:cstheme="minorHAnsi"/>
          <w:bCs/>
        </w:rPr>
        <w:t xml:space="preserve"> </w:t>
      </w:r>
    </w:p>
    <w:tbl>
      <w:tblPr>
        <w:tblStyle w:val="TableGrid"/>
        <w:tblW w:w="0" w:type="auto"/>
        <w:tblInd w:w="85" w:type="dxa"/>
        <w:tblLook w:val="04A0" w:firstRow="1" w:lastRow="0" w:firstColumn="1" w:lastColumn="0" w:noHBand="0" w:noVBand="1"/>
      </w:tblPr>
      <w:tblGrid>
        <w:gridCol w:w="8630"/>
      </w:tblGrid>
      <w:tr w:rsidR="00203C3F" w14:paraId="7B43CF38" w14:textId="77777777" w:rsidTr="00203C3F">
        <w:tc>
          <w:tcPr>
            <w:tcW w:w="8630" w:type="dxa"/>
          </w:tcPr>
          <w:p w14:paraId="2D2B9019" w14:textId="55BF6F55" w:rsidR="00203C3F" w:rsidRPr="00203C3F" w:rsidRDefault="00203C3F" w:rsidP="00203C3F">
            <w:pPr>
              <w:autoSpaceDE w:val="0"/>
              <w:autoSpaceDN w:val="0"/>
              <w:adjustRightInd w:val="0"/>
              <w:rPr>
                <w:rFonts w:cstheme="minorHAnsi"/>
                <w:bCs/>
                <w:color w:val="FF0000"/>
              </w:rPr>
            </w:pPr>
            <w:r w:rsidRPr="00626E27">
              <w:rPr>
                <w:rFonts w:cstheme="minorHAnsi"/>
                <w:bCs/>
              </w:rPr>
              <w:t xml:space="preserve">N/A This measure is not stratified. </w:t>
            </w:r>
          </w:p>
        </w:tc>
      </w:tr>
    </w:tbl>
    <w:p w14:paraId="25F81630" w14:textId="77777777" w:rsidR="00092566" w:rsidRPr="00A25024" w:rsidRDefault="00092566" w:rsidP="00092566">
      <w:pPr>
        <w:pStyle w:val="ListParagraph"/>
        <w:rPr>
          <w:rFonts w:cstheme="minorHAnsi"/>
          <w:bCs/>
        </w:rPr>
      </w:pPr>
    </w:p>
    <w:p w14:paraId="397806A8"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tbl>
      <w:tblPr>
        <w:tblStyle w:val="TableGrid"/>
        <w:tblW w:w="0" w:type="auto"/>
        <w:tblLook w:val="04A0" w:firstRow="1" w:lastRow="0" w:firstColumn="1" w:lastColumn="0" w:noHBand="0" w:noVBand="1"/>
      </w:tblPr>
      <w:tblGrid>
        <w:gridCol w:w="9350"/>
      </w:tblGrid>
      <w:tr w:rsidR="00203C3F" w14:paraId="3F0C6329" w14:textId="77777777" w:rsidTr="00203C3F">
        <w:tc>
          <w:tcPr>
            <w:tcW w:w="9350" w:type="dxa"/>
          </w:tcPr>
          <w:p w14:paraId="2CCFAD81" w14:textId="363FFAE4" w:rsidR="00B80BC1" w:rsidRDefault="00B80BC1" w:rsidP="00092566">
            <w:pPr>
              <w:rPr>
                <w:rFonts w:cstheme="minorHAnsi"/>
                <w:u w:val="single"/>
              </w:rPr>
            </w:pPr>
            <w:r>
              <w:rPr>
                <w:rFonts w:cstheme="minorHAnsi"/>
                <w:u w:val="single"/>
              </w:rPr>
              <w:t xml:space="preserve">In </w:t>
            </w:r>
            <w:r w:rsidRPr="00AB02C4">
              <w:rPr>
                <w:rFonts w:cstheme="minorHAnsi"/>
                <w:b/>
                <w:u w:val="single"/>
              </w:rPr>
              <w:t>Dataset 1</w:t>
            </w:r>
            <w:r>
              <w:rPr>
                <w:rFonts w:cstheme="minorHAnsi"/>
                <w:u w:val="single"/>
              </w:rPr>
              <w:t>:</w:t>
            </w:r>
          </w:p>
          <w:p w14:paraId="4E38DAB7" w14:textId="1EB351D2" w:rsidR="00203C3F" w:rsidRPr="00626E27" w:rsidRDefault="0062058F" w:rsidP="00092566">
            <w:pPr>
              <w:rPr>
                <w:rFonts w:cstheme="minorHAnsi"/>
                <w:u w:val="single"/>
              </w:rPr>
            </w:pPr>
            <w:r w:rsidRPr="00626E27">
              <w:rPr>
                <w:rFonts w:cstheme="minorHAnsi"/>
                <w:u w:val="single"/>
              </w:rPr>
              <w:t xml:space="preserve">Discrimination Statistics </w:t>
            </w:r>
          </w:p>
          <w:p w14:paraId="7D225E71" w14:textId="2A308E7A" w:rsidR="0062058F" w:rsidRPr="00626E27" w:rsidRDefault="00A918F6" w:rsidP="00092566">
            <w:pPr>
              <w:rPr>
                <w:rFonts w:cstheme="minorHAnsi"/>
              </w:rPr>
            </w:pPr>
            <w:r w:rsidRPr="00626E27">
              <w:rPr>
                <w:rFonts w:cstheme="minorHAnsi"/>
              </w:rPr>
              <w:t xml:space="preserve">The range of c-statistics </w:t>
            </w:r>
            <w:r w:rsidR="00410B1B" w:rsidRPr="00626E27">
              <w:rPr>
                <w:rFonts w:cstheme="minorHAnsi"/>
              </w:rPr>
              <w:t xml:space="preserve">from 0.651 to 0.802 </w:t>
            </w:r>
            <w:r w:rsidR="006C58BC" w:rsidRPr="00626E27">
              <w:rPr>
                <w:rFonts w:cstheme="minorHAnsi"/>
              </w:rPr>
              <w:t>show</w:t>
            </w:r>
            <w:r w:rsidR="006C58BC">
              <w:rPr>
                <w:rFonts w:cstheme="minorHAnsi"/>
              </w:rPr>
              <w:t>ing</w:t>
            </w:r>
            <w:r w:rsidR="006C58BC" w:rsidRPr="00626E27">
              <w:rPr>
                <w:rFonts w:cstheme="minorHAnsi"/>
              </w:rPr>
              <w:t xml:space="preserve"> </w:t>
            </w:r>
            <w:r w:rsidR="00410B1B" w:rsidRPr="00626E27">
              <w:rPr>
                <w:rFonts w:cstheme="minorHAnsi"/>
              </w:rPr>
              <w:t xml:space="preserve">good to excellent discrimination across the specialty cohort models. </w:t>
            </w:r>
          </w:p>
          <w:p w14:paraId="16B0FBA9" w14:textId="77777777" w:rsidR="00A918F6" w:rsidRPr="00626E27" w:rsidRDefault="00A918F6" w:rsidP="00092566">
            <w:pPr>
              <w:rPr>
                <w:rFonts w:cstheme="minorHAnsi"/>
              </w:rPr>
            </w:pPr>
          </w:p>
          <w:p w14:paraId="2A8E0C43" w14:textId="77777777" w:rsidR="0062058F" w:rsidRPr="00626E27" w:rsidRDefault="0062058F" w:rsidP="00092566">
            <w:pPr>
              <w:rPr>
                <w:rFonts w:cstheme="minorHAnsi"/>
                <w:u w:val="single"/>
              </w:rPr>
            </w:pPr>
            <w:r w:rsidRPr="00626E27">
              <w:rPr>
                <w:rFonts w:cstheme="minorHAnsi"/>
                <w:u w:val="single"/>
              </w:rPr>
              <w:t xml:space="preserve">Calibration Statistics </w:t>
            </w:r>
          </w:p>
          <w:p w14:paraId="149476E7" w14:textId="0E947FC0" w:rsidR="0062058F" w:rsidRPr="00626E27" w:rsidRDefault="00A918F6" w:rsidP="00092566">
            <w:pPr>
              <w:rPr>
                <w:rFonts w:cstheme="minorHAnsi"/>
              </w:rPr>
            </w:pPr>
            <w:r w:rsidRPr="00626E27">
              <w:rPr>
                <w:rFonts w:cstheme="minorHAnsi"/>
              </w:rPr>
              <w:t>The calibration value of close to 0 at one end and close to 1 to the other end indicates good calibration of the model. The risk decile plot shows excellent discrimination of the model and good predictive ability.</w:t>
            </w:r>
          </w:p>
          <w:p w14:paraId="101A0592" w14:textId="77777777" w:rsidR="00410B1B" w:rsidRPr="00626E27" w:rsidRDefault="00410B1B" w:rsidP="00092566">
            <w:pPr>
              <w:rPr>
                <w:rFonts w:cstheme="minorHAnsi"/>
              </w:rPr>
            </w:pPr>
          </w:p>
          <w:p w14:paraId="5B90D372" w14:textId="77777777" w:rsidR="00A6095B" w:rsidRPr="00A6095B" w:rsidRDefault="00A6095B" w:rsidP="00A6095B">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u w:val="single"/>
              </w:rPr>
            </w:pPr>
            <w:r w:rsidRPr="00A6095B">
              <w:rPr>
                <w:rFonts w:cstheme="minorHAnsi"/>
                <w:bCs/>
                <w:u w:val="single"/>
              </w:rPr>
              <w:lastRenderedPageBreak/>
              <w:t>Risk Decile Plots</w:t>
            </w:r>
          </w:p>
          <w:p w14:paraId="5E0CB160" w14:textId="7760A58A" w:rsidR="00A6095B" w:rsidRPr="00A6095B" w:rsidRDefault="00A6095B" w:rsidP="00A6095B">
            <w:pPr>
              <w:pBdr>
                <w:top w:val="single" w:sz="4" w:space="1" w:color="auto"/>
                <w:left w:val="single" w:sz="4" w:space="4" w:color="auto"/>
                <w:bottom w:val="single" w:sz="4" w:space="1" w:color="auto"/>
                <w:right w:val="single" w:sz="4" w:space="4" w:color="auto"/>
              </w:pBdr>
              <w:rPr>
                <w:bCs/>
              </w:rPr>
            </w:pPr>
            <w:r w:rsidRPr="00A6095B">
              <w:rPr>
                <w:bCs/>
              </w:rPr>
              <w:t>Higher deciles of the predicted outcomes are associated with higher observed outcomes, which show a good calibration of the model. This plot indicates good discrimination of the model and good predictive ability.</w:t>
            </w:r>
          </w:p>
          <w:p w14:paraId="496D0B8B" w14:textId="77777777" w:rsidR="00A6095B" w:rsidRDefault="00A6095B" w:rsidP="00092566">
            <w:pPr>
              <w:rPr>
                <w:rFonts w:cstheme="minorHAnsi"/>
                <w:u w:val="single"/>
              </w:rPr>
            </w:pPr>
          </w:p>
          <w:p w14:paraId="3571EF7D" w14:textId="77777777" w:rsidR="0062058F" w:rsidRPr="00626E27" w:rsidRDefault="0062058F" w:rsidP="00092566">
            <w:pPr>
              <w:rPr>
                <w:rFonts w:cstheme="minorHAnsi"/>
              </w:rPr>
            </w:pPr>
            <w:r w:rsidRPr="00626E27">
              <w:rPr>
                <w:rFonts w:cstheme="minorHAnsi"/>
                <w:u w:val="single"/>
              </w:rPr>
              <w:t xml:space="preserve">Overall Interpretation </w:t>
            </w:r>
          </w:p>
          <w:p w14:paraId="352A9E6C" w14:textId="19651992" w:rsidR="0062058F" w:rsidRPr="0062058F" w:rsidRDefault="0072178D" w:rsidP="00092566">
            <w:pPr>
              <w:rPr>
                <w:rFonts w:cstheme="minorHAnsi"/>
                <w:color w:val="FF0000"/>
              </w:rPr>
            </w:pPr>
            <w:r w:rsidRPr="00626E27">
              <w:rPr>
                <w:rFonts w:cstheme="minorHAnsi"/>
              </w:rPr>
              <w:t xml:space="preserve">Interpreted together, our diagnostic results demonstrate the risk-adjustment model adequately controls for differences in patient characteristics. </w:t>
            </w:r>
          </w:p>
        </w:tc>
      </w:tr>
    </w:tbl>
    <w:p w14:paraId="4CA41EFE" w14:textId="77777777" w:rsidR="00092566" w:rsidRPr="00A25024" w:rsidRDefault="00092566" w:rsidP="00092566">
      <w:pPr>
        <w:spacing w:after="0" w:line="240" w:lineRule="auto"/>
        <w:rPr>
          <w:rFonts w:cstheme="minorHAnsi"/>
        </w:rPr>
      </w:pPr>
    </w:p>
    <w:p w14:paraId="4F45C672"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42DAEAE4" w14:textId="77777777" w:rsidR="003755CB" w:rsidRDefault="003755CB" w:rsidP="00D61410">
      <w:pPr>
        <w:autoSpaceDE w:val="0"/>
        <w:autoSpaceDN w:val="0"/>
        <w:adjustRightInd w:val="0"/>
        <w:spacing w:after="0" w:line="240" w:lineRule="auto"/>
        <w:rPr>
          <w:rFonts w:cstheme="minorHAnsi"/>
          <w:b/>
          <w:bCs/>
        </w:rPr>
      </w:pPr>
    </w:p>
    <w:p w14:paraId="637200BF"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27938A03"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088AA0F8" w14:textId="77777777" w:rsidR="00962D83"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tbl>
      <w:tblPr>
        <w:tblStyle w:val="TableGrid"/>
        <w:tblW w:w="0" w:type="auto"/>
        <w:tblLook w:val="04A0" w:firstRow="1" w:lastRow="0" w:firstColumn="1" w:lastColumn="0" w:noHBand="0" w:noVBand="1"/>
      </w:tblPr>
      <w:tblGrid>
        <w:gridCol w:w="9350"/>
      </w:tblGrid>
      <w:tr w:rsidR="00962D83" w14:paraId="7E65A660" w14:textId="77777777" w:rsidTr="00962D83">
        <w:tc>
          <w:tcPr>
            <w:tcW w:w="9350" w:type="dxa"/>
          </w:tcPr>
          <w:p w14:paraId="1E10675B" w14:textId="3A6D1BB8" w:rsidR="00A6095B" w:rsidRPr="00A6095B" w:rsidRDefault="00A6095B" w:rsidP="00A6095B">
            <w:pPr>
              <w:pBdr>
                <w:top w:val="single" w:sz="4" w:space="1" w:color="auto"/>
                <w:left w:val="single" w:sz="4" w:space="4" w:color="auto"/>
                <w:bottom w:val="single" w:sz="4" w:space="1" w:color="auto"/>
                <w:right w:val="single" w:sz="4" w:space="4" w:color="auto"/>
              </w:pBdr>
              <w:shd w:val="clear" w:color="auto" w:fill="FFFFFF"/>
              <w:spacing w:after="160"/>
              <w:rPr>
                <w:rFonts w:cstheme="minorHAnsi"/>
                <w:bCs/>
              </w:rPr>
            </w:pPr>
            <w:r w:rsidRPr="00A6095B">
              <w:rPr>
                <w:rFonts w:cstheme="minorHAnsi"/>
                <w:bCs/>
              </w:rPr>
              <w:t>The method for discriminating hospital performance has not been determined. For public reporting of measures of hospital outcomes developed with similar methodology, CMS characterizes the uncertainty associated with the RS</w:t>
            </w:r>
            <w:r>
              <w:rPr>
                <w:rFonts w:cstheme="minorHAnsi"/>
                <w:bCs/>
              </w:rPr>
              <w:t>R</w:t>
            </w:r>
            <w:r w:rsidRPr="00A6095B">
              <w:rPr>
                <w:rFonts w:cstheme="minorHAnsi"/>
                <w:bCs/>
              </w:rPr>
              <w:t>R by estimating the 95% interval estimate. This is similar to a 95% confidence interval but is calculated differently. If the RS</w:t>
            </w:r>
            <w:r>
              <w:rPr>
                <w:rFonts w:cstheme="minorHAnsi"/>
                <w:bCs/>
              </w:rPr>
              <w:t>R</w:t>
            </w:r>
            <w:r w:rsidRPr="00A6095B">
              <w:rPr>
                <w:rFonts w:cstheme="minorHAnsi"/>
                <w:bCs/>
              </w:rPr>
              <w:t>R’s interval estimate does not include the national observed mortality rate (is lower or higher than the rate), then CMS is confident that the hospital’s RS</w:t>
            </w:r>
            <w:r>
              <w:rPr>
                <w:rFonts w:cstheme="minorHAnsi"/>
                <w:bCs/>
              </w:rPr>
              <w:t>R</w:t>
            </w:r>
            <w:r w:rsidRPr="00A6095B">
              <w:rPr>
                <w:rFonts w:cstheme="minorHAnsi"/>
                <w:bCs/>
              </w:rPr>
              <w:t xml:space="preserve">R is different from the national rate, and describes the hospital on the Hospital Compare website as “better than the U.S. national rate” or “worse than the U.S. national rate.” If the interval includes the national rate, then CMS describes the hospital’s </w:t>
            </w:r>
            <w:r w:rsidR="00B80BC1" w:rsidRPr="00A6095B">
              <w:rPr>
                <w:rFonts w:cstheme="minorHAnsi"/>
                <w:bCs/>
              </w:rPr>
              <w:t>RS</w:t>
            </w:r>
            <w:r w:rsidR="00B80BC1">
              <w:rPr>
                <w:rFonts w:cstheme="minorHAnsi"/>
                <w:bCs/>
              </w:rPr>
              <w:t>S</w:t>
            </w:r>
            <w:r w:rsidR="00B80BC1" w:rsidRPr="00A6095B">
              <w:rPr>
                <w:rFonts w:cstheme="minorHAnsi"/>
                <w:bCs/>
              </w:rPr>
              <w:t xml:space="preserve">R </w:t>
            </w:r>
            <w:r w:rsidRPr="00A6095B">
              <w:rPr>
                <w:rFonts w:cstheme="minorHAnsi"/>
                <w:bCs/>
              </w:rPr>
              <w:t xml:space="preserve">as “no different than the U.S. national rate” or “the difference is uncertain.” CMS does not classify performance for hospitals that have fewer than 25 cases in the three-year period. </w:t>
            </w:r>
          </w:p>
          <w:p w14:paraId="7659C594" w14:textId="77777777" w:rsidR="00A6095B" w:rsidRPr="00A6095B" w:rsidRDefault="00A6095B" w:rsidP="00A6095B">
            <w:pPr>
              <w:pBdr>
                <w:top w:val="single" w:sz="4" w:space="1" w:color="auto"/>
                <w:left w:val="single" w:sz="4" w:space="4" w:color="auto"/>
                <w:bottom w:val="single" w:sz="4" w:space="1" w:color="auto"/>
                <w:right w:val="single" w:sz="4" w:space="4" w:color="auto"/>
              </w:pBdr>
              <w:shd w:val="clear" w:color="auto" w:fill="FFFFFF"/>
              <w:spacing w:after="160"/>
              <w:rPr>
                <w:rFonts w:cstheme="minorHAnsi"/>
                <w:bCs/>
              </w:rPr>
            </w:pPr>
            <w:r w:rsidRPr="00A6095B">
              <w:rPr>
                <w:rFonts w:cstheme="minorHAnsi"/>
                <w:bCs/>
              </w:rPr>
              <w:t>However, the measure is not currently publicly reported, and decisions about the approach to discriminating hospital performance have not been made.</w:t>
            </w:r>
          </w:p>
          <w:p w14:paraId="4F36A506" w14:textId="02652A49" w:rsidR="00962D83" w:rsidRPr="00962D83" w:rsidRDefault="00962D83" w:rsidP="00D61410">
            <w:pPr>
              <w:autoSpaceDE w:val="0"/>
              <w:autoSpaceDN w:val="0"/>
              <w:adjustRightInd w:val="0"/>
              <w:rPr>
                <w:rFonts w:cstheme="minorHAnsi"/>
                <w:bCs/>
                <w:color w:val="FF0000"/>
              </w:rPr>
            </w:pPr>
          </w:p>
        </w:tc>
      </w:tr>
    </w:tbl>
    <w:p w14:paraId="62225AC5" w14:textId="5676042A" w:rsidR="00D61410" w:rsidRPr="00A25024" w:rsidRDefault="00D61410" w:rsidP="00D61410">
      <w:pPr>
        <w:autoSpaceDE w:val="0"/>
        <w:autoSpaceDN w:val="0"/>
        <w:adjustRightInd w:val="0"/>
        <w:spacing w:after="0" w:line="240" w:lineRule="auto"/>
        <w:rPr>
          <w:rFonts w:cstheme="minorHAnsi"/>
          <w:bCs/>
        </w:rPr>
      </w:pPr>
    </w:p>
    <w:p w14:paraId="5B0134EC" w14:textId="77777777" w:rsidR="00D61410" w:rsidRPr="00A25024" w:rsidRDefault="00D61410" w:rsidP="00D61410">
      <w:pPr>
        <w:autoSpaceDE w:val="0"/>
        <w:autoSpaceDN w:val="0"/>
        <w:adjustRightInd w:val="0"/>
        <w:spacing w:after="0" w:line="240" w:lineRule="auto"/>
        <w:rPr>
          <w:rFonts w:cstheme="minorHAnsi"/>
          <w:bCs/>
        </w:rPr>
      </w:pPr>
    </w:p>
    <w:p w14:paraId="58581727"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467D0FB4" w14:textId="77777777" w:rsidR="00D61410" w:rsidRPr="00927027" w:rsidRDefault="00D61410" w:rsidP="00D61410">
      <w:pPr>
        <w:autoSpaceDE w:val="0"/>
        <w:autoSpaceDN w:val="0"/>
        <w:adjustRightInd w:val="0"/>
        <w:spacing w:after="0" w:line="240" w:lineRule="auto"/>
        <w:rPr>
          <w:rFonts w:cstheme="minorHAnsi"/>
          <w:bCs/>
        </w:rPr>
      </w:pPr>
    </w:p>
    <w:p w14:paraId="46D052BE" w14:textId="77777777" w:rsidR="00D61410" w:rsidRPr="00A25024"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41032182" w14:textId="77777777" w:rsidR="0086464B" w:rsidRDefault="0086464B" w:rsidP="0086464B">
      <w:pPr>
        <w:spacing w:after="0" w:line="240" w:lineRule="auto"/>
        <w:rPr>
          <w:rFonts w:cstheme="minorHAnsi"/>
          <w:b/>
          <w:bCs/>
        </w:rPr>
      </w:pPr>
      <w:r>
        <w:rPr>
          <w:rFonts w:cstheme="minorHAnsi"/>
          <w:b/>
          <w:bCs/>
        </w:rPr>
        <w:lastRenderedPageBreak/>
        <w:t>_______________________________________</w:t>
      </w:r>
    </w:p>
    <w:p w14:paraId="302953F1"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3C86049D"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7C6BE07C" w14:textId="77777777" w:rsidR="00567D12" w:rsidRPr="00A25024" w:rsidRDefault="00567D12" w:rsidP="00DB3627">
      <w:pPr>
        <w:autoSpaceDE w:val="0"/>
        <w:autoSpaceDN w:val="0"/>
        <w:adjustRightInd w:val="0"/>
        <w:spacing w:after="0" w:line="240" w:lineRule="auto"/>
        <w:rPr>
          <w:rFonts w:cstheme="minorHAnsi"/>
          <w:b/>
          <w:bCs/>
        </w:rPr>
      </w:pPr>
    </w:p>
    <w:p w14:paraId="518FF300"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w:t>
      </w:r>
      <w:r w:rsidRPr="000B1929">
        <w:rPr>
          <w:rFonts w:cstheme="minorHAnsi"/>
          <w:bCs/>
          <w:i/>
          <w:highlight w:val="yellow"/>
        </w:rPr>
        <w:t xml:space="preserve">It does not apply to measures that use more than one </w:t>
      </w:r>
      <w:r w:rsidR="00840A41" w:rsidRPr="000B1929">
        <w:rPr>
          <w:rFonts w:cstheme="minorHAnsi"/>
          <w:bCs/>
          <w:i/>
          <w:highlight w:val="yellow"/>
        </w:rPr>
        <w:t xml:space="preserve">source </w:t>
      </w:r>
      <w:r w:rsidRPr="000B1929">
        <w:rPr>
          <w:rFonts w:cstheme="minorHAnsi"/>
          <w:bCs/>
          <w:i/>
          <w:highlight w:val="yellow"/>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1A6A2DE1" w14:textId="77777777" w:rsidR="000F06B5" w:rsidRPr="00A25024" w:rsidRDefault="000F06B5" w:rsidP="00DB3627">
      <w:pPr>
        <w:autoSpaceDE w:val="0"/>
        <w:autoSpaceDN w:val="0"/>
        <w:adjustRightInd w:val="0"/>
        <w:spacing w:after="0" w:line="240" w:lineRule="auto"/>
        <w:rPr>
          <w:rFonts w:cstheme="minorHAnsi"/>
          <w:bCs/>
        </w:rPr>
      </w:pPr>
    </w:p>
    <w:p w14:paraId="2EF2498C" w14:textId="77777777" w:rsidR="00962D83"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tbl>
      <w:tblPr>
        <w:tblStyle w:val="TableGrid"/>
        <w:tblW w:w="0" w:type="auto"/>
        <w:tblLook w:val="04A0" w:firstRow="1" w:lastRow="0" w:firstColumn="1" w:lastColumn="0" w:noHBand="0" w:noVBand="1"/>
      </w:tblPr>
      <w:tblGrid>
        <w:gridCol w:w="9350"/>
      </w:tblGrid>
      <w:tr w:rsidR="00962D83" w14:paraId="7E1ED706" w14:textId="77777777" w:rsidTr="00962D83">
        <w:tc>
          <w:tcPr>
            <w:tcW w:w="9350" w:type="dxa"/>
          </w:tcPr>
          <w:p w14:paraId="2B2D2630" w14:textId="682EA103" w:rsidR="00962D83" w:rsidRPr="00962D83" w:rsidRDefault="00962D83" w:rsidP="00DB3627">
            <w:pPr>
              <w:autoSpaceDE w:val="0"/>
              <w:autoSpaceDN w:val="0"/>
              <w:adjustRightInd w:val="0"/>
              <w:rPr>
                <w:rFonts w:cstheme="minorHAnsi"/>
                <w:bCs/>
                <w:color w:val="FF0000"/>
              </w:rPr>
            </w:pPr>
          </w:p>
        </w:tc>
      </w:tr>
    </w:tbl>
    <w:p w14:paraId="766ED346" w14:textId="6B441BFB" w:rsidR="000F06B5" w:rsidRPr="00A25024" w:rsidRDefault="000F06B5" w:rsidP="00DB3627">
      <w:pPr>
        <w:autoSpaceDE w:val="0"/>
        <w:autoSpaceDN w:val="0"/>
        <w:adjustRightInd w:val="0"/>
        <w:spacing w:after="0" w:line="240" w:lineRule="auto"/>
        <w:rPr>
          <w:rFonts w:cstheme="minorHAnsi"/>
          <w:bCs/>
        </w:rPr>
      </w:pPr>
    </w:p>
    <w:p w14:paraId="14AC09A9"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26FB5B28"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13E4E14E" w14:textId="77777777" w:rsidR="00E1508F" w:rsidRPr="00E1508F" w:rsidRDefault="00E1508F" w:rsidP="00E1508F">
      <w:pPr>
        <w:autoSpaceDE w:val="0"/>
        <w:autoSpaceDN w:val="0"/>
        <w:adjustRightInd w:val="0"/>
        <w:spacing w:after="0" w:line="240" w:lineRule="auto"/>
        <w:rPr>
          <w:rFonts w:cstheme="minorHAnsi"/>
          <w:bCs/>
        </w:rPr>
      </w:pPr>
    </w:p>
    <w:p w14:paraId="4EA423A9"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09F8D853" w14:textId="77777777" w:rsidR="008F7E67" w:rsidRDefault="008F7E67" w:rsidP="008F7E67">
      <w:pPr>
        <w:spacing w:after="0" w:line="240" w:lineRule="auto"/>
        <w:rPr>
          <w:rFonts w:cstheme="minorHAnsi"/>
          <w:b/>
          <w:bCs/>
        </w:rPr>
      </w:pPr>
      <w:r>
        <w:rPr>
          <w:rFonts w:cstheme="minorHAnsi"/>
          <w:b/>
          <w:bCs/>
        </w:rPr>
        <w:t>_______________________________________</w:t>
      </w:r>
    </w:p>
    <w:p w14:paraId="2A8F9808"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61C8475E" w14:textId="77777777" w:rsidR="008F7E67" w:rsidRDefault="008F7E67" w:rsidP="008F7E67">
      <w:pPr>
        <w:autoSpaceDE w:val="0"/>
        <w:autoSpaceDN w:val="0"/>
        <w:adjustRightInd w:val="0"/>
        <w:spacing w:after="0" w:line="240" w:lineRule="auto"/>
        <w:rPr>
          <w:rFonts w:cstheme="minorHAnsi"/>
          <w:bCs/>
        </w:rPr>
      </w:pPr>
    </w:p>
    <w:p w14:paraId="3966A32A" w14:textId="77777777" w:rsidR="00962D83"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tbl>
      <w:tblPr>
        <w:tblStyle w:val="TableGrid"/>
        <w:tblW w:w="0" w:type="auto"/>
        <w:tblLook w:val="04A0" w:firstRow="1" w:lastRow="0" w:firstColumn="1" w:lastColumn="0" w:noHBand="0" w:noVBand="1"/>
      </w:tblPr>
      <w:tblGrid>
        <w:gridCol w:w="9350"/>
      </w:tblGrid>
      <w:tr w:rsidR="00962D83" w14:paraId="5D82EA02" w14:textId="77777777" w:rsidTr="00962D83">
        <w:tc>
          <w:tcPr>
            <w:tcW w:w="9350" w:type="dxa"/>
          </w:tcPr>
          <w:p w14:paraId="76BAF6A0" w14:textId="4FC0E627" w:rsidR="00235B79" w:rsidRDefault="00235B79" w:rsidP="00923C7E">
            <w:pPr>
              <w:autoSpaceDE w:val="0"/>
              <w:autoSpaceDN w:val="0"/>
              <w:adjustRightInd w:val="0"/>
            </w:pPr>
            <w:r>
              <w:t xml:space="preserve">For the EHR data elements used in the measure’s risk models, we anticipate that there will be some missing data. We examined the rates of data capture, and missing data, in the development and testing </w:t>
            </w:r>
            <w:r w:rsidR="008D04FB">
              <w:t>samples (</w:t>
            </w:r>
            <w:r w:rsidR="008D04FB" w:rsidRPr="008D04FB">
              <w:rPr>
                <w:b/>
              </w:rPr>
              <w:t>Dataset 1</w:t>
            </w:r>
            <w:r w:rsidR="008D04FB">
              <w:t xml:space="preserve">) </w:t>
            </w:r>
            <w:r>
              <w:t>as well as in the EHR data element feasibility and validity datasets</w:t>
            </w:r>
            <w:r w:rsidR="008D04FB">
              <w:t xml:space="preserve"> (</w:t>
            </w:r>
            <w:r w:rsidR="008D04FB" w:rsidRPr="008D04FB">
              <w:rPr>
                <w:b/>
              </w:rPr>
              <w:t>Datasets 2</w:t>
            </w:r>
            <w:r w:rsidR="008D04FB">
              <w:t xml:space="preserve"> and </w:t>
            </w:r>
            <w:r w:rsidR="008D04FB" w:rsidRPr="008D04FB">
              <w:rPr>
                <w:b/>
              </w:rPr>
              <w:t>3</w:t>
            </w:r>
            <w:r w:rsidR="008D04FB">
              <w:t>)</w:t>
            </w:r>
            <w:r>
              <w:t xml:space="preserve">. </w:t>
            </w:r>
            <w:r w:rsidRPr="00235B79">
              <w:t xml:space="preserve">We also examined the distribution of the CCDE data values in </w:t>
            </w:r>
            <w:r w:rsidRPr="008D04FB">
              <w:rPr>
                <w:b/>
              </w:rPr>
              <w:t>Dataset 1</w:t>
            </w:r>
            <w:r w:rsidRPr="00235B79">
              <w:t xml:space="preserve"> to determine what proportion were out of physiological range and might represent data errors. We found that most values fell within physiological range and that there were few apparent errors in the data entry.</w:t>
            </w:r>
          </w:p>
          <w:p w14:paraId="42F37D9D" w14:textId="77777777" w:rsidR="00235B79" w:rsidRDefault="00235B79" w:rsidP="00923C7E">
            <w:pPr>
              <w:autoSpaceDE w:val="0"/>
              <w:autoSpaceDN w:val="0"/>
              <w:adjustRightInd w:val="0"/>
            </w:pPr>
          </w:p>
          <w:p w14:paraId="2001217C" w14:textId="2E2B722D" w:rsidR="00235B79" w:rsidRDefault="00235B79" w:rsidP="00923C7E">
            <w:pPr>
              <w:autoSpaceDE w:val="0"/>
              <w:autoSpaceDN w:val="0"/>
              <w:adjustRightInd w:val="0"/>
            </w:pPr>
            <w:r>
              <w:t>As was shown in 2a.2.3 and 2b.2.3, in all datasets used for testing the rates of capture are above 90% for the data elements included the risk models. Because missing values were rare in the development and testing datasets, it was not necessary to do tests of bias in measure results.</w:t>
            </w:r>
            <w:r w:rsidR="008D04FB">
              <w:t xml:space="preserve"> </w:t>
            </w:r>
            <w:r>
              <w:t xml:space="preserve">However, in order to reduce any small </w:t>
            </w:r>
            <w:r w:rsidR="008D04FB">
              <w:t xml:space="preserve">chance </w:t>
            </w:r>
            <w:r>
              <w:t xml:space="preserve">of bias due to missing data, we set missing values to the median value in all </w:t>
            </w:r>
            <w:r>
              <w:lastRenderedPageBreak/>
              <w:t>measure risk models and included a dummy variable whenever a data element was missing in 5% or more of the admissions in each specialty cohort.</w:t>
            </w:r>
          </w:p>
          <w:p w14:paraId="1226B772" w14:textId="77777777" w:rsidR="00235B79" w:rsidRPr="00235B79" w:rsidRDefault="00235B79" w:rsidP="00235B79">
            <w:pPr>
              <w:autoSpaceDE w:val="0"/>
              <w:autoSpaceDN w:val="0"/>
              <w:adjustRightInd w:val="0"/>
              <w:rPr>
                <w:rFonts w:cstheme="minorHAnsi"/>
                <w:bCs/>
              </w:rPr>
            </w:pPr>
          </w:p>
          <w:p w14:paraId="0EE5D50D" w14:textId="1E49A0D4" w:rsidR="00235B79" w:rsidRPr="00235B79" w:rsidRDefault="00235B79" w:rsidP="00235B79">
            <w:pPr>
              <w:autoSpaceDE w:val="0"/>
              <w:autoSpaceDN w:val="0"/>
              <w:adjustRightInd w:val="0"/>
              <w:rPr>
                <w:rFonts w:cstheme="minorHAnsi"/>
                <w:bCs/>
              </w:rPr>
            </w:pPr>
            <w:r w:rsidRPr="00235B79">
              <w:rPr>
                <w:rFonts w:cstheme="minorHAnsi"/>
                <w:bCs/>
              </w:rPr>
              <w:t>To reduce the effect of the spurious outliers, we transformed extreme values by replacing them with a value at the outer limit of a designated range by a process called Winsorization</w:t>
            </w:r>
            <w:r w:rsidRPr="0059261C">
              <w:rPr>
                <w:rFonts w:cstheme="minorHAnsi"/>
                <w:bCs/>
                <w:vertAlign w:val="superscript"/>
              </w:rPr>
              <w:t>1,2</w:t>
            </w:r>
            <w:r w:rsidRPr="00235B79">
              <w:rPr>
                <w:rFonts w:cstheme="minorHAnsi"/>
                <w:bCs/>
              </w:rPr>
              <w:t>. All continuous variables with values less than 1st percentile or higher than the 99th percentile were Winsorized</w:t>
            </w:r>
            <w:r w:rsidR="008D04FB">
              <w:rPr>
                <w:rFonts w:cstheme="minorHAnsi"/>
                <w:bCs/>
              </w:rPr>
              <w:t xml:space="preserve"> </w:t>
            </w:r>
            <w:r w:rsidRPr="00235B79">
              <w:rPr>
                <w:rFonts w:cstheme="minorHAnsi"/>
                <w:bCs/>
              </w:rPr>
              <w:t>(i.e., values less than the 1st percentile were assigned to the value of the 1st percentile, and values greater than the 99th percentile were assigned to the value of the 99th percentile).  Missing data values were set to the median value for the cohort. In addition, dummy variables for missing data were included in the statistical models.</w:t>
            </w:r>
          </w:p>
          <w:p w14:paraId="222B118A" w14:textId="77777777" w:rsidR="00235B79" w:rsidRPr="00235B79" w:rsidRDefault="00235B79" w:rsidP="00235B79">
            <w:pPr>
              <w:autoSpaceDE w:val="0"/>
              <w:autoSpaceDN w:val="0"/>
              <w:adjustRightInd w:val="0"/>
              <w:rPr>
                <w:rFonts w:cstheme="minorHAnsi"/>
                <w:bCs/>
              </w:rPr>
            </w:pPr>
          </w:p>
          <w:p w14:paraId="694CAF5A" w14:textId="77777777" w:rsidR="00235B79" w:rsidRPr="00235B79" w:rsidRDefault="00235B79" w:rsidP="00235B79">
            <w:pPr>
              <w:autoSpaceDE w:val="0"/>
              <w:autoSpaceDN w:val="0"/>
              <w:adjustRightInd w:val="0"/>
              <w:rPr>
                <w:rFonts w:cstheme="minorHAnsi"/>
                <w:bCs/>
              </w:rPr>
            </w:pPr>
            <w:r w:rsidRPr="00235B79">
              <w:rPr>
                <w:rFonts w:cstheme="minorHAnsi"/>
                <w:bCs/>
              </w:rPr>
              <w:t xml:space="preserve">References: </w:t>
            </w:r>
          </w:p>
          <w:p w14:paraId="3DEFEFD4" w14:textId="77777777" w:rsidR="00235B79" w:rsidRPr="00235B79" w:rsidRDefault="00235B79" w:rsidP="00235B79">
            <w:pPr>
              <w:autoSpaceDE w:val="0"/>
              <w:autoSpaceDN w:val="0"/>
              <w:adjustRightInd w:val="0"/>
              <w:rPr>
                <w:rFonts w:cstheme="minorHAnsi"/>
                <w:bCs/>
              </w:rPr>
            </w:pPr>
            <w:r w:rsidRPr="00235B79">
              <w:rPr>
                <w:rFonts w:cstheme="minorHAnsi"/>
                <w:bCs/>
              </w:rPr>
              <w:t xml:space="preserve">1. Altenburg HP. Estimation of Radioimmunoassay Data Using Robust Nonlinear Regression Methods. In: Dodge Y, Whittaker J, eds. Computational Statistics: Physica-Verlag HD; 1992:367-372. </w:t>
            </w:r>
          </w:p>
          <w:p w14:paraId="38D07394" w14:textId="77777777" w:rsidR="00235B79" w:rsidRPr="00235B79" w:rsidRDefault="00235B79" w:rsidP="00235B79">
            <w:pPr>
              <w:autoSpaceDE w:val="0"/>
              <w:autoSpaceDN w:val="0"/>
              <w:adjustRightInd w:val="0"/>
              <w:rPr>
                <w:rFonts w:cstheme="minorHAnsi"/>
                <w:bCs/>
              </w:rPr>
            </w:pPr>
            <w:r w:rsidRPr="00235B79">
              <w:rPr>
                <w:rFonts w:cstheme="minorHAnsi"/>
                <w:bCs/>
              </w:rPr>
              <w:t xml:space="preserve">2. Dixon WJ, Yuen KK. Trimming and winsorization: A review. Statistische Hefte. 1974/06/01 1974;15(2-3):157-170  </w:t>
            </w:r>
          </w:p>
          <w:p w14:paraId="3A4E00D6" w14:textId="7FF0C1D5" w:rsidR="008137DE" w:rsidRPr="00962D83" w:rsidRDefault="008137DE" w:rsidP="00235B79">
            <w:pPr>
              <w:autoSpaceDE w:val="0"/>
              <w:autoSpaceDN w:val="0"/>
              <w:adjustRightInd w:val="0"/>
              <w:rPr>
                <w:rFonts w:cstheme="minorHAnsi"/>
                <w:bCs/>
                <w:color w:val="FF0000"/>
              </w:rPr>
            </w:pPr>
          </w:p>
        </w:tc>
      </w:tr>
    </w:tbl>
    <w:p w14:paraId="5B66C088" w14:textId="0FD354BD" w:rsidR="008F7E67" w:rsidRPr="00A25024" w:rsidRDefault="008F7E67" w:rsidP="008F7E67">
      <w:pPr>
        <w:autoSpaceDE w:val="0"/>
        <w:autoSpaceDN w:val="0"/>
        <w:adjustRightInd w:val="0"/>
        <w:spacing w:after="0" w:line="240" w:lineRule="auto"/>
        <w:rPr>
          <w:rFonts w:cstheme="minorHAnsi"/>
          <w:bCs/>
        </w:rPr>
      </w:pPr>
    </w:p>
    <w:p w14:paraId="0FF50404" w14:textId="77777777" w:rsidR="008F7E67" w:rsidRPr="00A25024" w:rsidRDefault="008F7E67" w:rsidP="008F7E67">
      <w:pPr>
        <w:pStyle w:val="ListParagraph"/>
        <w:autoSpaceDE w:val="0"/>
        <w:autoSpaceDN w:val="0"/>
        <w:adjustRightInd w:val="0"/>
        <w:spacing w:after="0" w:line="240" w:lineRule="auto"/>
        <w:ind w:left="0"/>
        <w:rPr>
          <w:rFonts w:cstheme="minorHAnsi"/>
          <w:bCs/>
        </w:rPr>
      </w:pPr>
    </w:p>
    <w:p w14:paraId="45A7C26D"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w:t>
      </w:r>
      <w:r w:rsidR="00145D4F" w:rsidRPr="007A0B49">
        <w:rPr>
          <w:rFonts w:cstheme="minorHAnsi"/>
          <w:bCs/>
          <w:i/>
          <w:u w:val="single"/>
        </w:rPr>
        <w:t>empirical sensitivity analysis</w:t>
      </w:r>
      <w:r w:rsidR="00145D4F" w:rsidRPr="007A0B49">
        <w:rPr>
          <w:rFonts w:cstheme="minorHAnsi"/>
          <w:bCs/>
          <w:i/>
        </w:rPr>
        <w:t>,</w:t>
      </w:r>
      <w:r w:rsidR="00145D4F" w:rsidRPr="00FC5DE1">
        <w:rPr>
          <w:rFonts w:cstheme="minorHAnsi"/>
          <w:bCs/>
          <w:i/>
        </w:rPr>
        <w:t xml:space="preserve"> identify the approaches for handling missing data that were considered and pros and cons of each</w:t>
      </w:r>
      <w:r w:rsidRPr="00A25024">
        <w:rPr>
          <w:rFonts w:cstheme="minorHAnsi"/>
          <w:bCs/>
        </w:rPr>
        <w:t>)</w:t>
      </w:r>
      <w:r w:rsidRPr="00A25024">
        <w:rPr>
          <w:rFonts w:cstheme="minorHAnsi"/>
          <w:bCs/>
        </w:rPr>
        <w:br/>
      </w:r>
    </w:p>
    <w:p w14:paraId="564C5D26" w14:textId="2C6B23AF" w:rsidR="00235B79" w:rsidRDefault="00235B79" w:rsidP="009E74C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rPr>
          <w:rFonts w:cstheme="minorHAnsi"/>
          <w:bCs/>
        </w:rPr>
      </w:pPr>
      <w:r>
        <w:rPr>
          <w:rFonts w:cstheme="minorHAnsi"/>
          <w:bCs/>
        </w:rPr>
        <w:t>We report the capture rate of all EHR data elements in each dataset in section 2a.2.3, and 2b.2.3.</w:t>
      </w:r>
    </w:p>
    <w:p w14:paraId="101FBB8F" w14:textId="07902CE1" w:rsidR="00235B79" w:rsidRDefault="00235B79" w:rsidP="009E74C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rPr>
          <w:rFonts w:cstheme="minorHAnsi"/>
          <w:bCs/>
        </w:rPr>
      </w:pPr>
      <w:r>
        <w:rPr>
          <w:rFonts w:cstheme="minorHAnsi"/>
          <w:bCs/>
        </w:rPr>
        <w:t xml:space="preserve">The range of missing data across </w:t>
      </w:r>
      <w:r w:rsidR="00310B81">
        <w:rPr>
          <w:rFonts w:cstheme="minorHAnsi"/>
          <w:bCs/>
        </w:rPr>
        <w:t xml:space="preserve">hospitals </w:t>
      </w:r>
      <w:r>
        <w:rPr>
          <w:rFonts w:cstheme="minorHAnsi"/>
          <w:bCs/>
        </w:rPr>
        <w:t xml:space="preserve">in </w:t>
      </w:r>
      <w:r w:rsidRPr="00235B79">
        <w:rPr>
          <w:rFonts w:cstheme="minorHAnsi"/>
          <w:b/>
          <w:bCs/>
        </w:rPr>
        <w:t>Dataset 1</w:t>
      </w:r>
      <w:r>
        <w:rPr>
          <w:rFonts w:cstheme="minorHAnsi"/>
          <w:bCs/>
        </w:rPr>
        <w:t xml:space="preserve"> </w:t>
      </w:r>
      <w:r w:rsidR="00310B81">
        <w:rPr>
          <w:rFonts w:cstheme="minorHAnsi"/>
          <w:bCs/>
        </w:rPr>
        <w:t xml:space="preserve">can be found in the Data Dictionary attached in data field S.2b </w:t>
      </w:r>
    </w:p>
    <w:p w14:paraId="4FDAB98C" w14:textId="77777777" w:rsidR="008F7E67" w:rsidRPr="00E1508F" w:rsidRDefault="008F7E67" w:rsidP="008F7E67">
      <w:pPr>
        <w:autoSpaceDE w:val="0"/>
        <w:autoSpaceDN w:val="0"/>
        <w:adjustRightInd w:val="0"/>
        <w:spacing w:after="0" w:line="240" w:lineRule="auto"/>
        <w:rPr>
          <w:rFonts w:cstheme="minorHAnsi"/>
          <w:bCs/>
        </w:rPr>
      </w:pPr>
    </w:p>
    <w:p w14:paraId="150D038F"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55F69FFF" w14:textId="54C645FF" w:rsidR="009E74C2" w:rsidRDefault="00AA05B5" w:rsidP="009E74C2">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rPr>
          <w:rFonts w:cstheme="minorHAnsi"/>
          <w:bCs/>
        </w:rPr>
      </w:pPr>
      <w:r>
        <w:rPr>
          <w:rFonts w:cstheme="minorHAnsi"/>
          <w:bCs/>
        </w:rPr>
        <w:t xml:space="preserve">The rate of missing values was low in all of the datasets </w:t>
      </w:r>
      <w:r w:rsidR="008D04FB">
        <w:rPr>
          <w:rFonts w:cstheme="minorHAnsi"/>
          <w:bCs/>
        </w:rPr>
        <w:t xml:space="preserve">and for all hospitals </w:t>
      </w:r>
      <w:r>
        <w:rPr>
          <w:rFonts w:cstheme="minorHAnsi"/>
          <w:bCs/>
        </w:rPr>
        <w:t>used for testing and therefore not likely to introduce bias. However</w:t>
      </w:r>
      <w:r w:rsidR="00712AB0">
        <w:rPr>
          <w:rFonts w:cstheme="minorHAnsi"/>
          <w:bCs/>
        </w:rPr>
        <w:t>,</w:t>
      </w:r>
      <w:r>
        <w:rPr>
          <w:rFonts w:cstheme="minorHAnsi"/>
          <w:bCs/>
        </w:rPr>
        <w:t xml:space="preserve"> we did account for potential outlier values as well as missing values in our risk models to reduce any small possibility of bias. </w:t>
      </w:r>
      <w:r w:rsidR="008D04FB">
        <w:rPr>
          <w:rFonts w:cstheme="minorHAnsi"/>
          <w:bCs/>
        </w:rPr>
        <w:t>However</w:t>
      </w:r>
      <w:r w:rsidR="008D04FB" w:rsidRPr="008D04FB">
        <w:rPr>
          <w:rFonts w:cstheme="minorHAnsi"/>
          <w:bCs/>
        </w:rPr>
        <w:t xml:space="preserve">, approaches to handling missing </w:t>
      </w:r>
      <w:r w:rsidR="008D04FB">
        <w:rPr>
          <w:rFonts w:cstheme="minorHAnsi"/>
          <w:bCs/>
        </w:rPr>
        <w:t>clinical</w:t>
      </w:r>
      <w:r w:rsidR="008D04FB" w:rsidRPr="008D04FB">
        <w:rPr>
          <w:rFonts w:cstheme="minorHAnsi"/>
          <w:bCs/>
        </w:rPr>
        <w:t xml:space="preserve"> data in measure calculation will be reassessed during implementation.</w:t>
      </w:r>
    </w:p>
    <w:p w14:paraId="2F4E344E"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95BD0" w14:textId="77777777" w:rsidR="004C33A9" w:rsidRDefault="004C33A9" w:rsidP="005C73CA">
      <w:pPr>
        <w:spacing w:after="0" w:line="240" w:lineRule="auto"/>
      </w:pPr>
      <w:r>
        <w:separator/>
      </w:r>
    </w:p>
  </w:endnote>
  <w:endnote w:type="continuationSeparator" w:id="0">
    <w:p w14:paraId="03257ABF" w14:textId="77777777" w:rsidR="004C33A9" w:rsidRDefault="004C33A9"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eiryo">
    <w:panose1 w:val="020B0604030504040204"/>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4AD7A" w14:textId="678A66BE" w:rsidR="003925F5" w:rsidRDefault="003925F5">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sidR="006E1C1B">
      <w:rPr>
        <w:noProof/>
      </w:rPr>
      <w:t>26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AE714" w14:textId="77777777" w:rsidR="004C33A9" w:rsidRDefault="004C33A9" w:rsidP="005C73CA">
      <w:pPr>
        <w:spacing w:after="0" w:line="240" w:lineRule="auto"/>
      </w:pPr>
      <w:r>
        <w:separator/>
      </w:r>
    </w:p>
  </w:footnote>
  <w:footnote w:type="continuationSeparator" w:id="0">
    <w:p w14:paraId="2E5DEAFA" w14:textId="77777777" w:rsidR="004C33A9" w:rsidRDefault="004C33A9"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8AB45" w14:textId="77777777" w:rsidR="003925F5" w:rsidRPr="00105D8B" w:rsidRDefault="003925F5"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57CB3"/>
    <w:multiLevelType w:val="hybridMultilevel"/>
    <w:tmpl w:val="84961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52317A"/>
    <w:multiLevelType w:val="hybridMultilevel"/>
    <w:tmpl w:val="A7A87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B01E96"/>
    <w:multiLevelType w:val="hybridMultilevel"/>
    <w:tmpl w:val="48067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E34B09"/>
    <w:multiLevelType w:val="hybridMultilevel"/>
    <w:tmpl w:val="C19C3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E17068"/>
    <w:multiLevelType w:val="hybridMultilevel"/>
    <w:tmpl w:val="318C3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781571"/>
    <w:multiLevelType w:val="hybridMultilevel"/>
    <w:tmpl w:val="7F820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8A3A04"/>
    <w:multiLevelType w:val="hybridMultilevel"/>
    <w:tmpl w:val="BFF0D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B173E2"/>
    <w:multiLevelType w:val="hybridMultilevel"/>
    <w:tmpl w:val="0C0EF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16D1BFE"/>
    <w:multiLevelType w:val="hybridMultilevel"/>
    <w:tmpl w:val="0FA4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8563C4"/>
    <w:multiLevelType w:val="hybridMultilevel"/>
    <w:tmpl w:val="37B68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C991BAC"/>
    <w:multiLevelType w:val="hybridMultilevel"/>
    <w:tmpl w:val="B2608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BAD1E59"/>
    <w:multiLevelType w:val="hybridMultilevel"/>
    <w:tmpl w:val="0C0A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6D2BD9"/>
    <w:multiLevelType w:val="hybridMultilevel"/>
    <w:tmpl w:val="DD1E7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9A0A3A"/>
    <w:multiLevelType w:val="hybridMultilevel"/>
    <w:tmpl w:val="EE609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2"/>
  </w:num>
  <w:num w:numId="4">
    <w:abstractNumId w:val="5"/>
  </w:num>
  <w:num w:numId="5">
    <w:abstractNumId w:val="1"/>
  </w:num>
  <w:num w:numId="6">
    <w:abstractNumId w:val="0"/>
  </w:num>
  <w:num w:numId="7">
    <w:abstractNumId w:val="3"/>
  </w:num>
  <w:num w:numId="8">
    <w:abstractNumId w:val="26"/>
  </w:num>
  <w:num w:numId="9">
    <w:abstractNumId w:val="13"/>
  </w:num>
  <w:num w:numId="10">
    <w:abstractNumId w:val="34"/>
  </w:num>
  <w:num w:numId="11">
    <w:abstractNumId w:val="15"/>
  </w:num>
  <w:num w:numId="12">
    <w:abstractNumId w:val="31"/>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11"/>
  </w:num>
  <w:num w:numId="17">
    <w:abstractNumId w:val="33"/>
  </w:num>
  <w:num w:numId="18">
    <w:abstractNumId w:val="28"/>
  </w:num>
  <w:num w:numId="19">
    <w:abstractNumId w:val="27"/>
  </w:num>
  <w:num w:numId="20">
    <w:abstractNumId w:val="21"/>
  </w:num>
  <w:num w:numId="21">
    <w:abstractNumId w:val="24"/>
  </w:num>
  <w:num w:numId="22">
    <w:abstractNumId w:val="19"/>
  </w:num>
  <w:num w:numId="23">
    <w:abstractNumId w:val="9"/>
  </w:num>
  <w:num w:numId="24">
    <w:abstractNumId w:val="18"/>
  </w:num>
  <w:num w:numId="25">
    <w:abstractNumId w:val="16"/>
  </w:num>
  <w:num w:numId="26">
    <w:abstractNumId w:val="36"/>
  </w:num>
  <w:num w:numId="27">
    <w:abstractNumId w:val="20"/>
  </w:num>
  <w:num w:numId="28">
    <w:abstractNumId w:val="7"/>
  </w:num>
  <w:num w:numId="29">
    <w:abstractNumId w:val="25"/>
  </w:num>
  <w:num w:numId="30">
    <w:abstractNumId w:val="12"/>
  </w:num>
  <w:num w:numId="31">
    <w:abstractNumId w:val="38"/>
  </w:num>
  <w:num w:numId="32">
    <w:abstractNumId w:val="32"/>
  </w:num>
  <w:num w:numId="33">
    <w:abstractNumId w:val="17"/>
  </w:num>
  <w:num w:numId="34">
    <w:abstractNumId w:val="29"/>
  </w:num>
  <w:num w:numId="35">
    <w:abstractNumId w:val="30"/>
  </w:num>
  <w:num w:numId="36">
    <w:abstractNumId w:val="35"/>
  </w:num>
  <w:num w:numId="37">
    <w:abstractNumId w:val="8"/>
  </w:num>
  <w:num w:numId="38">
    <w:abstractNumId w:val="6"/>
  </w:num>
  <w:num w:numId="39">
    <w:abstractNumId w:val="37"/>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0644A"/>
    <w:rsid w:val="0001094F"/>
    <w:rsid w:val="00017AE3"/>
    <w:rsid w:val="00021170"/>
    <w:rsid w:val="0002128B"/>
    <w:rsid w:val="00024DFD"/>
    <w:rsid w:val="00027AB8"/>
    <w:rsid w:val="000309DD"/>
    <w:rsid w:val="00030EBD"/>
    <w:rsid w:val="00031414"/>
    <w:rsid w:val="00033038"/>
    <w:rsid w:val="00033D63"/>
    <w:rsid w:val="0003436F"/>
    <w:rsid w:val="000414E8"/>
    <w:rsid w:val="0004593A"/>
    <w:rsid w:val="00050A3E"/>
    <w:rsid w:val="000517A0"/>
    <w:rsid w:val="00052A6F"/>
    <w:rsid w:val="00053B95"/>
    <w:rsid w:val="00053F02"/>
    <w:rsid w:val="0005612B"/>
    <w:rsid w:val="000574AB"/>
    <w:rsid w:val="0006147A"/>
    <w:rsid w:val="000775F8"/>
    <w:rsid w:val="00080CF7"/>
    <w:rsid w:val="000851B2"/>
    <w:rsid w:val="00087CA0"/>
    <w:rsid w:val="00092566"/>
    <w:rsid w:val="000968F8"/>
    <w:rsid w:val="00097012"/>
    <w:rsid w:val="000B032A"/>
    <w:rsid w:val="000B1929"/>
    <w:rsid w:val="000B2DF7"/>
    <w:rsid w:val="000B3880"/>
    <w:rsid w:val="000C1611"/>
    <w:rsid w:val="000C71DB"/>
    <w:rsid w:val="000D36D5"/>
    <w:rsid w:val="000D5E0C"/>
    <w:rsid w:val="000D7341"/>
    <w:rsid w:val="000D7948"/>
    <w:rsid w:val="000D7C84"/>
    <w:rsid w:val="000E4E13"/>
    <w:rsid w:val="000E6F2F"/>
    <w:rsid w:val="000E78F6"/>
    <w:rsid w:val="000F034A"/>
    <w:rsid w:val="000F06B5"/>
    <w:rsid w:val="000F36A4"/>
    <w:rsid w:val="000F39E9"/>
    <w:rsid w:val="0010096A"/>
    <w:rsid w:val="00104B45"/>
    <w:rsid w:val="00105D8B"/>
    <w:rsid w:val="001112BA"/>
    <w:rsid w:val="0011342F"/>
    <w:rsid w:val="00117056"/>
    <w:rsid w:val="001202E9"/>
    <w:rsid w:val="00120ABA"/>
    <w:rsid w:val="0012454F"/>
    <w:rsid w:val="001246BA"/>
    <w:rsid w:val="00125273"/>
    <w:rsid w:val="0012575E"/>
    <w:rsid w:val="00127C06"/>
    <w:rsid w:val="00132948"/>
    <w:rsid w:val="001412C5"/>
    <w:rsid w:val="00145149"/>
    <w:rsid w:val="00145D4F"/>
    <w:rsid w:val="0014773C"/>
    <w:rsid w:val="001717B6"/>
    <w:rsid w:val="0017267D"/>
    <w:rsid w:val="0017696D"/>
    <w:rsid w:val="001848FC"/>
    <w:rsid w:val="0019233C"/>
    <w:rsid w:val="001969C5"/>
    <w:rsid w:val="001A6CDD"/>
    <w:rsid w:val="001A7F61"/>
    <w:rsid w:val="001B0BAB"/>
    <w:rsid w:val="001B2497"/>
    <w:rsid w:val="001B630A"/>
    <w:rsid w:val="001C12EE"/>
    <w:rsid w:val="001C7B02"/>
    <w:rsid w:val="001E1948"/>
    <w:rsid w:val="001E363A"/>
    <w:rsid w:val="001E4DD4"/>
    <w:rsid w:val="001E69DC"/>
    <w:rsid w:val="001E6CA6"/>
    <w:rsid w:val="001F169D"/>
    <w:rsid w:val="001F1DA1"/>
    <w:rsid w:val="001F6F93"/>
    <w:rsid w:val="001F7A20"/>
    <w:rsid w:val="00203C3F"/>
    <w:rsid w:val="002051C4"/>
    <w:rsid w:val="0021195A"/>
    <w:rsid w:val="00213383"/>
    <w:rsid w:val="00220250"/>
    <w:rsid w:val="00226553"/>
    <w:rsid w:val="0022691B"/>
    <w:rsid w:val="00227ABF"/>
    <w:rsid w:val="00232163"/>
    <w:rsid w:val="00232F77"/>
    <w:rsid w:val="002343B8"/>
    <w:rsid w:val="00235B79"/>
    <w:rsid w:val="002376F8"/>
    <w:rsid w:val="002408E4"/>
    <w:rsid w:val="00241591"/>
    <w:rsid w:val="00250B4F"/>
    <w:rsid w:val="0025762F"/>
    <w:rsid w:val="00260832"/>
    <w:rsid w:val="0026563A"/>
    <w:rsid w:val="00274472"/>
    <w:rsid w:val="00280BF9"/>
    <w:rsid w:val="0028114D"/>
    <w:rsid w:val="00287649"/>
    <w:rsid w:val="00287E84"/>
    <w:rsid w:val="00292683"/>
    <w:rsid w:val="0029286C"/>
    <w:rsid w:val="0029300E"/>
    <w:rsid w:val="00294AA0"/>
    <w:rsid w:val="002A32F0"/>
    <w:rsid w:val="002B0C3A"/>
    <w:rsid w:val="002B2116"/>
    <w:rsid w:val="002B2D9B"/>
    <w:rsid w:val="002B362B"/>
    <w:rsid w:val="002B5016"/>
    <w:rsid w:val="002B742C"/>
    <w:rsid w:val="002B77A6"/>
    <w:rsid w:val="002B7F4D"/>
    <w:rsid w:val="002C285C"/>
    <w:rsid w:val="002C41A7"/>
    <w:rsid w:val="002C7BE4"/>
    <w:rsid w:val="002D417D"/>
    <w:rsid w:val="002D5E5D"/>
    <w:rsid w:val="002E5DDD"/>
    <w:rsid w:val="002E78A0"/>
    <w:rsid w:val="002F0D5F"/>
    <w:rsid w:val="002F2687"/>
    <w:rsid w:val="002F48E1"/>
    <w:rsid w:val="002F4F3B"/>
    <w:rsid w:val="003059EB"/>
    <w:rsid w:val="00310B81"/>
    <w:rsid w:val="003116AC"/>
    <w:rsid w:val="00315567"/>
    <w:rsid w:val="00330144"/>
    <w:rsid w:val="00346245"/>
    <w:rsid w:val="003476A1"/>
    <w:rsid w:val="00347AE1"/>
    <w:rsid w:val="003528C1"/>
    <w:rsid w:val="00356267"/>
    <w:rsid w:val="00356BAD"/>
    <w:rsid w:val="003605B4"/>
    <w:rsid w:val="003627AC"/>
    <w:rsid w:val="00366914"/>
    <w:rsid w:val="00372FE3"/>
    <w:rsid w:val="003755CB"/>
    <w:rsid w:val="00382CA6"/>
    <w:rsid w:val="00383F85"/>
    <w:rsid w:val="003925F5"/>
    <w:rsid w:val="00396A76"/>
    <w:rsid w:val="003A306C"/>
    <w:rsid w:val="003A41AC"/>
    <w:rsid w:val="003A7331"/>
    <w:rsid w:val="003A7DE7"/>
    <w:rsid w:val="003B1006"/>
    <w:rsid w:val="003C5F11"/>
    <w:rsid w:val="003D06A9"/>
    <w:rsid w:val="003D40C2"/>
    <w:rsid w:val="003D6401"/>
    <w:rsid w:val="003E1863"/>
    <w:rsid w:val="003F7F78"/>
    <w:rsid w:val="00401E70"/>
    <w:rsid w:val="004053A5"/>
    <w:rsid w:val="00410B1B"/>
    <w:rsid w:val="0041118B"/>
    <w:rsid w:val="004140D2"/>
    <w:rsid w:val="0041606D"/>
    <w:rsid w:val="00416962"/>
    <w:rsid w:val="00424630"/>
    <w:rsid w:val="0042758A"/>
    <w:rsid w:val="004348CC"/>
    <w:rsid w:val="004408D8"/>
    <w:rsid w:val="00440D88"/>
    <w:rsid w:val="004417FF"/>
    <w:rsid w:val="00456210"/>
    <w:rsid w:val="00456F43"/>
    <w:rsid w:val="004658FF"/>
    <w:rsid w:val="0047279A"/>
    <w:rsid w:val="004738D5"/>
    <w:rsid w:val="00474ED7"/>
    <w:rsid w:val="004756E1"/>
    <w:rsid w:val="0048008A"/>
    <w:rsid w:val="00483E94"/>
    <w:rsid w:val="00484120"/>
    <w:rsid w:val="00484F6F"/>
    <w:rsid w:val="004853A0"/>
    <w:rsid w:val="004858C3"/>
    <w:rsid w:val="00485DC7"/>
    <w:rsid w:val="00496B5F"/>
    <w:rsid w:val="00496FB5"/>
    <w:rsid w:val="004A2E10"/>
    <w:rsid w:val="004B016C"/>
    <w:rsid w:val="004B17FF"/>
    <w:rsid w:val="004B1BA0"/>
    <w:rsid w:val="004B33F3"/>
    <w:rsid w:val="004B4C30"/>
    <w:rsid w:val="004B6CEE"/>
    <w:rsid w:val="004C0403"/>
    <w:rsid w:val="004C2443"/>
    <w:rsid w:val="004C2764"/>
    <w:rsid w:val="004C33A9"/>
    <w:rsid w:val="004C498F"/>
    <w:rsid w:val="004C5D29"/>
    <w:rsid w:val="004C681A"/>
    <w:rsid w:val="004D10C3"/>
    <w:rsid w:val="004D4D8A"/>
    <w:rsid w:val="004F68EE"/>
    <w:rsid w:val="0050292E"/>
    <w:rsid w:val="005038D5"/>
    <w:rsid w:val="0050746E"/>
    <w:rsid w:val="00511BA4"/>
    <w:rsid w:val="00511DA1"/>
    <w:rsid w:val="005149E7"/>
    <w:rsid w:val="00515D28"/>
    <w:rsid w:val="0052052E"/>
    <w:rsid w:val="005232D6"/>
    <w:rsid w:val="005333CC"/>
    <w:rsid w:val="005363F1"/>
    <w:rsid w:val="0053716E"/>
    <w:rsid w:val="0055007C"/>
    <w:rsid w:val="00554922"/>
    <w:rsid w:val="00555282"/>
    <w:rsid w:val="005560E7"/>
    <w:rsid w:val="005612CC"/>
    <w:rsid w:val="00563029"/>
    <w:rsid w:val="005670D6"/>
    <w:rsid w:val="00567D12"/>
    <w:rsid w:val="005722A0"/>
    <w:rsid w:val="00576062"/>
    <w:rsid w:val="0059261C"/>
    <w:rsid w:val="0059417F"/>
    <w:rsid w:val="00594B9A"/>
    <w:rsid w:val="0059559F"/>
    <w:rsid w:val="005A3006"/>
    <w:rsid w:val="005A49FF"/>
    <w:rsid w:val="005A7634"/>
    <w:rsid w:val="005C0447"/>
    <w:rsid w:val="005C6C5C"/>
    <w:rsid w:val="005C739F"/>
    <w:rsid w:val="005C73CA"/>
    <w:rsid w:val="005C7C64"/>
    <w:rsid w:val="005D4768"/>
    <w:rsid w:val="005E2CAB"/>
    <w:rsid w:val="005E399D"/>
    <w:rsid w:val="005E429E"/>
    <w:rsid w:val="00601ED4"/>
    <w:rsid w:val="006030BC"/>
    <w:rsid w:val="006066C1"/>
    <w:rsid w:val="00612866"/>
    <w:rsid w:val="00616EB5"/>
    <w:rsid w:val="00617FA0"/>
    <w:rsid w:val="0062058F"/>
    <w:rsid w:val="006269D4"/>
    <w:rsid w:val="00626E27"/>
    <w:rsid w:val="00627660"/>
    <w:rsid w:val="006327D8"/>
    <w:rsid w:val="0064070A"/>
    <w:rsid w:val="0064192A"/>
    <w:rsid w:val="00643A01"/>
    <w:rsid w:val="00655437"/>
    <w:rsid w:val="006558A0"/>
    <w:rsid w:val="006574D2"/>
    <w:rsid w:val="006607D3"/>
    <w:rsid w:val="006617C2"/>
    <w:rsid w:val="006643F7"/>
    <w:rsid w:val="00664647"/>
    <w:rsid w:val="0066470F"/>
    <w:rsid w:val="00664EDF"/>
    <w:rsid w:val="006676D4"/>
    <w:rsid w:val="00675535"/>
    <w:rsid w:val="00681359"/>
    <w:rsid w:val="00696262"/>
    <w:rsid w:val="00696844"/>
    <w:rsid w:val="006A38A8"/>
    <w:rsid w:val="006B683E"/>
    <w:rsid w:val="006C3A4F"/>
    <w:rsid w:val="006C4845"/>
    <w:rsid w:val="006C58BC"/>
    <w:rsid w:val="006C7127"/>
    <w:rsid w:val="006D6BC1"/>
    <w:rsid w:val="006E1C1B"/>
    <w:rsid w:val="006E2BFC"/>
    <w:rsid w:val="006E5C57"/>
    <w:rsid w:val="006F22A5"/>
    <w:rsid w:val="006F7AF2"/>
    <w:rsid w:val="00702C73"/>
    <w:rsid w:val="00705B0F"/>
    <w:rsid w:val="007117D0"/>
    <w:rsid w:val="00712AB0"/>
    <w:rsid w:val="00713394"/>
    <w:rsid w:val="0072178D"/>
    <w:rsid w:val="00724677"/>
    <w:rsid w:val="007250FC"/>
    <w:rsid w:val="00725AC2"/>
    <w:rsid w:val="00732880"/>
    <w:rsid w:val="00740F49"/>
    <w:rsid w:val="007416B9"/>
    <w:rsid w:val="007422FD"/>
    <w:rsid w:val="00743E46"/>
    <w:rsid w:val="00747C45"/>
    <w:rsid w:val="007529FE"/>
    <w:rsid w:val="00756FDB"/>
    <w:rsid w:val="007629B6"/>
    <w:rsid w:val="007665BF"/>
    <w:rsid w:val="00771B2A"/>
    <w:rsid w:val="007757CE"/>
    <w:rsid w:val="00775800"/>
    <w:rsid w:val="0078507B"/>
    <w:rsid w:val="0079180E"/>
    <w:rsid w:val="007950CC"/>
    <w:rsid w:val="0079538B"/>
    <w:rsid w:val="007961B8"/>
    <w:rsid w:val="00797624"/>
    <w:rsid w:val="007A0B49"/>
    <w:rsid w:val="007A4828"/>
    <w:rsid w:val="007B093D"/>
    <w:rsid w:val="007B0D6F"/>
    <w:rsid w:val="007B1AC5"/>
    <w:rsid w:val="007B2069"/>
    <w:rsid w:val="007B3789"/>
    <w:rsid w:val="007C04A1"/>
    <w:rsid w:val="007C21FA"/>
    <w:rsid w:val="007D4351"/>
    <w:rsid w:val="007D7019"/>
    <w:rsid w:val="007E18DB"/>
    <w:rsid w:val="007E1DB8"/>
    <w:rsid w:val="007E42B9"/>
    <w:rsid w:val="007E6F1C"/>
    <w:rsid w:val="00801C46"/>
    <w:rsid w:val="00804C69"/>
    <w:rsid w:val="0080711D"/>
    <w:rsid w:val="008137DE"/>
    <w:rsid w:val="00813BD6"/>
    <w:rsid w:val="008155CD"/>
    <w:rsid w:val="008159E3"/>
    <w:rsid w:val="00833325"/>
    <w:rsid w:val="00840A41"/>
    <w:rsid w:val="00842F3C"/>
    <w:rsid w:val="008469F7"/>
    <w:rsid w:val="008472F5"/>
    <w:rsid w:val="008505D1"/>
    <w:rsid w:val="00855158"/>
    <w:rsid w:val="00856E66"/>
    <w:rsid w:val="00857EE8"/>
    <w:rsid w:val="0086464B"/>
    <w:rsid w:val="008647FC"/>
    <w:rsid w:val="00864CA8"/>
    <w:rsid w:val="00865E2D"/>
    <w:rsid w:val="00870E6C"/>
    <w:rsid w:val="00884486"/>
    <w:rsid w:val="008871A9"/>
    <w:rsid w:val="008916BA"/>
    <w:rsid w:val="00892176"/>
    <w:rsid w:val="00895AE3"/>
    <w:rsid w:val="008A1DB7"/>
    <w:rsid w:val="008A403A"/>
    <w:rsid w:val="008A4C13"/>
    <w:rsid w:val="008B48CE"/>
    <w:rsid w:val="008B604D"/>
    <w:rsid w:val="008C54A9"/>
    <w:rsid w:val="008D04FB"/>
    <w:rsid w:val="008D1448"/>
    <w:rsid w:val="008D6A28"/>
    <w:rsid w:val="008E67C3"/>
    <w:rsid w:val="008F589F"/>
    <w:rsid w:val="008F76A9"/>
    <w:rsid w:val="008F7717"/>
    <w:rsid w:val="008F7E67"/>
    <w:rsid w:val="00900DBF"/>
    <w:rsid w:val="009048B9"/>
    <w:rsid w:val="00904E91"/>
    <w:rsid w:val="00915886"/>
    <w:rsid w:val="009214DC"/>
    <w:rsid w:val="00923C7E"/>
    <w:rsid w:val="00927027"/>
    <w:rsid w:val="00927ED3"/>
    <w:rsid w:val="00933866"/>
    <w:rsid w:val="009344BA"/>
    <w:rsid w:val="00947F78"/>
    <w:rsid w:val="00953234"/>
    <w:rsid w:val="00961EAF"/>
    <w:rsid w:val="0096278F"/>
    <w:rsid w:val="00962D83"/>
    <w:rsid w:val="009630E4"/>
    <w:rsid w:val="00963CB8"/>
    <w:rsid w:val="009713D5"/>
    <w:rsid w:val="009726E1"/>
    <w:rsid w:val="00977591"/>
    <w:rsid w:val="00980E75"/>
    <w:rsid w:val="009935E5"/>
    <w:rsid w:val="009946EF"/>
    <w:rsid w:val="00994BE0"/>
    <w:rsid w:val="009A04E5"/>
    <w:rsid w:val="009A25B1"/>
    <w:rsid w:val="009A4608"/>
    <w:rsid w:val="009A6A57"/>
    <w:rsid w:val="009A70BF"/>
    <w:rsid w:val="009B1A15"/>
    <w:rsid w:val="009C0852"/>
    <w:rsid w:val="009C13CA"/>
    <w:rsid w:val="009C32C6"/>
    <w:rsid w:val="009C665F"/>
    <w:rsid w:val="009D1B99"/>
    <w:rsid w:val="009D5654"/>
    <w:rsid w:val="009D7E38"/>
    <w:rsid w:val="009E095B"/>
    <w:rsid w:val="009E1846"/>
    <w:rsid w:val="009E1962"/>
    <w:rsid w:val="009E74C2"/>
    <w:rsid w:val="009E78FF"/>
    <w:rsid w:val="009F041B"/>
    <w:rsid w:val="009F30D3"/>
    <w:rsid w:val="00A01494"/>
    <w:rsid w:val="00A04E42"/>
    <w:rsid w:val="00A11B4F"/>
    <w:rsid w:val="00A22356"/>
    <w:rsid w:val="00A22BDE"/>
    <w:rsid w:val="00A22FA9"/>
    <w:rsid w:val="00A24EA0"/>
    <w:rsid w:val="00A25024"/>
    <w:rsid w:val="00A30837"/>
    <w:rsid w:val="00A330A4"/>
    <w:rsid w:val="00A34CC1"/>
    <w:rsid w:val="00A3583B"/>
    <w:rsid w:val="00A35F8F"/>
    <w:rsid w:val="00A41377"/>
    <w:rsid w:val="00A41798"/>
    <w:rsid w:val="00A4263D"/>
    <w:rsid w:val="00A4415D"/>
    <w:rsid w:val="00A471AC"/>
    <w:rsid w:val="00A509B8"/>
    <w:rsid w:val="00A5135A"/>
    <w:rsid w:val="00A52AB9"/>
    <w:rsid w:val="00A6046A"/>
    <w:rsid w:val="00A6095B"/>
    <w:rsid w:val="00A6210B"/>
    <w:rsid w:val="00A7323A"/>
    <w:rsid w:val="00A75933"/>
    <w:rsid w:val="00A831B4"/>
    <w:rsid w:val="00A918F6"/>
    <w:rsid w:val="00A94669"/>
    <w:rsid w:val="00A97798"/>
    <w:rsid w:val="00AA04A7"/>
    <w:rsid w:val="00AA05B5"/>
    <w:rsid w:val="00AA5213"/>
    <w:rsid w:val="00AA65A6"/>
    <w:rsid w:val="00AB02C4"/>
    <w:rsid w:val="00AB13BE"/>
    <w:rsid w:val="00AC1D8E"/>
    <w:rsid w:val="00AC2EDC"/>
    <w:rsid w:val="00AC48FA"/>
    <w:rsid w:val="00AD0240"/>
    <w:rsid w:val="00AD4137"/>
    <w:rsid w:val="00AD54A2"/>
    <w:rsid w:val="00AE0BCA"/>
    <w:rsid w:val="00B037BA"/>
    <w:rsid w:val="00B20139"/>
    <w:rsid w:val="00B218DA"/>
    <w:rsid w:val="00B342FA"/>
    <w:rsid w:val="00B458ED"/>
    <w:rsid w:val="00B52BDF"/>
    <w:rsid w:val="00B53E8B"/>
    <w:rsid w:val="00B63A20"/>
    <w:rsid w:val="00B774D2"/>
    <w:rsid w:val="00B8015A"/>
    <w:rsid w:val="00B80BC1"/>
    <w:rsid w:val="00B82A57"/>
    <w:rsid w:val="00B877BE"/>
    <w:rsid w:val="00B879EF"/>
    <w:rsid w:val="00BA01C3"/>
    <w:rsid w:val="00BA053B"/>
    <w:rsid w:val="00BA1237"/>
    <w:rsid w:val="00BB0F54"/>
    <w:rsid w:val="00BB35AE"/>
    <w:rsid w:val="00BB42FB"/>
    <w:rsid w:val="00BC03A1"/>
    <w:rsid w:val="00BC0D25"/>
    <w:rsid w:val="00BC2BA8"/>
    <w:rsid w:val="00BC3465"/>
    <w:rsid w:val="00BD2505"/>
    <w:rsid w:val="00BD375F"/>
    <w:rsid w:val="00BE08DE"/>
    <w:rsid w:val="00BE592D"/>
    <w:rsid w:val="00BF292F"/>
    <w:rsid w:val="00BF52B0"/>
    <w:rsid w:val="00BF5697"/>
    <w:rsid w:val="00C046FD"/>
    <w:rsid w:val="00C13AF9"/>
    <w:rsid w:val="00C14CCC"/>
    <w:rsid w:val="00C14D5D"/>
    <w:rsid w:val="00C22C1C"/>
    <w:rsid w:val="00C33F2E"/>
    <w:rsid w:val="00C34936"/>
    <w:rsid w:val="00C34C14"/>
    <w:rsid w:val="00C355B9"/>
    <w:rsid w:val="00C401C4"/>
    <w:rsid w:val="00C41680"/>
    <w:rsid w:val="00C60A25"/>
    <w:rsid w:val="00C63E51"/>
    <w:rsid w:val="00C765C5"/>
    <w:rsid w:val="00C82479"/>
    <w:rsid w:val="00C867F0"/>
    <w:rsid w:val="00C93294"/>
    <w:rsid w:val="00C9749F"/>
    <w:rsid w:val="00C97A66"/>
    <w:rsid w:val="00CA06D8"/>
    <w:rsid w:val="00CA26B1"/>
    <w:rsid w:val="00CA345A"/>
    <w:rsid w:val="00CA51D1"/>
    <w:rsid w:val="00CB49FF"/>
    <w:rsid w:val="00CC02CF"/>
    <w:rsid w:val="00CC086A"/>
    <w:rsid w:val="00CC6ED2"/>
    <w:rsid w:val="00CD0F66"/>
    <w:rsid w:val="00CD364B"/>
    <w:rsid w:val="00CE1A60"/>
    <w:rsid w:val="00CE23B8"/>
    <w:rsid w:val="00CE50D7"/>
    <w:rsid w:val="00D00344"/>
    <w:rsid w:val="00D1754D"/>
    <w:rsid w:val="00D2223F"/>
    <w:rsid w:val="00D22A24"/>
    <w:rsid w:val="00D274A4"/>
    <w:rsid w:val="00D277AF"/>
    <w:rsid w:val="00D30A00"/>
    <w:rsid w:val="00D31163"/>
    <w:rsid w:val="00D31A86"/>
    <w:rsid w:val="00D320B1"/>
    <w:rsid w:val="00D33AFD"/>
    <w:rsid w:val="00D36489"/>
    <w:rsid w:val="00D37632"/>
    <w:rsid w:val="00D42195"/>
    <w:rsid w:val="00D50704"/>
    <w:rsid w:val="00D5268D"/>
    <w:rsid w:val="00D5760A"/>
    <w:rsid w:val="00D61410"/>
    <w:rsid w:val="00D8181D"/>
    <w:rsid w:val="00D968D8"/>
    <w:rsid w:val="00DA1CBB"/>
    <w:rsid w:val="00DA563D"/>
    <w:rsid w:val="00DA7277"/>
    <w:rsid w:val="00DB327E"/>
    <w:rsid w:val="00DB3627"/>
    <w:rsid w:val="00DB4724"/>
    <w:rsid w:val="00DC4746"/>
    <w:rsid w:val="00DE65CF"/>
    <w:rsid w:val="00DE7149"/>
    <w:rsid w:val="00DF226C"/>
    <w:rsid w:val="00DF241F"/>
    <w:rsid w:val="00E02C6E"/>
    <w:rsid w:val="00E0314C"/>
    <w:rsid w:val="00E1508F"/>
    <w:rsid w:val="00E17E3D"/>
    <w:rsid w:val="00E27240"/>
    <w:rsid w:val="00E27EDD"/>
    <w:rsid w:val="00E30584"/>
    <w:rsid w:val="00E310B9"/>
    <w:rsid w:val="00E37E1B"/>
    <w:rsid w:val="00E43296"/>
    <w:rsid w:val="00E45904"/>
    <w:rsid w:val="00E562C0"/>
    <w:rsid w:val="00E672D6"/>
    <w:rsid w:val="00E734B2"/>
    <w:rsid w:val="00E73B14"/>
    <w:rsid w:val="00E76024"/>
    <w:rsid w:val="00E856A2"/>
    <w:rsid w:val="00E86B0C"/>
    <w:rsid w:val="00E96884"/>
    <w:rsid w:val="00E97A4E"/>
    <w:rsid w:val="00EA5435"/>
    <w:rsid w:val="00EA5F47"/>
    <w:rsid w:val="00EC36B7"/>
    <w:rsid w:val="00EC79DE"/>
    <w:rsid w:val="00ED4ACE"/>
    <w:rsid w:val="00EE4D35"/>
    <w:rsid w:val="00EF2DA7"/>
    <w:rsid w:val="00F07342"/>
    <w:rsid w:val="00F21142"/>
    <w:rsid w:val="00F27552"/>
    <w:rsid w:val="00F43127"/>
    <w:rsid w:val="00F435AA"/>
    <w:rsid w:val="00F436D7"/>
    <w:rsid w:val="00F44DBC"/>
    <w:rsid w:val="00F521B4"/>
    <w:rsid w:val="00F5738A"/>
    <w:rsid w:val="00F612D4"/>
    <w:rsid w:val="00F73019"/>
    <w:rsid w:val="00F77F1D"/>
    <w:rsid w:val="00F87CCB"/>
    <w:rsid w:val="00FA48C7"/>
    <w:rsid w:val="00FB43C6"/>
    <w:rsid w:val="00FB569E"/>
    <w:rsid w:val="00FB73C1"/>
    <w:rsid w:val="00FD2EFC"/>
    <w:rsid w:val="00FE4BC5"/>
    <w:rsid w:val="00FF6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36315"/>
  <w15:docId w15:val="{A6B0B277-274C-49AC-AA02-779F22967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3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table" w:customStyle="1" w:styleId="LightList-Accent151">
    <w:name w:val="Light List - Accent 151"/>
    <w:basedOn w:val="TableNormal"/>
    <w:next w:val="LightList-Accent1"/>
    <w:uiPriority w:val="61"/>
    <w:rsid w:val="00203C3F"/>
    <w:pPr>
      <w:spacing w:after="0" w:line="240" w:lineRule="auto"/>
    </w:pPr>
    <w:rPr>
      <w:rFonts w:ascii="Cambria" w:eastAsia="Times New Roman" w:hAnsi="Cambria"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1"/>
    <w:semiHidden/>
    <w:unhideWhenUsed/>
    <w:rsid w:val="00203C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12">
    <w:name w:val="Light List - Accent 112"/>
    <w:basedOn w:val="TableNormal"/>
    <w:next w:val="LightList-Accent1"/>
    <w:uiPriority w:val="61"/>
    <w:rsid w:val="00440D88"/>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3">
    <w:name w:val="Light List - Accent 13"/>
    <w:basedOn w:val="TableNormal"/>
    <w:next w:val="LightList-Accent1"/>
    <w:uiPriority w:val="61"/>
    <w:rsid w:val="001A7F61"/>
    <w:pPr>
      <w:spacing w:after="0" w:line="240" w:lineRule="auto"/>
    </w:pPr>
    <w:rPr>
      <w:rFonts w:ascii="Cambria" w:eastAsia="Times New Roman" w:hAnsi="Cambria"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1">
    <w:name w:val="Light List - Accent 11"/>
    <w:basedOn w:val="TableNormal"/>
    <w:next w:val="LightList-Accent1"/>
    <w:uiPriority w:val="61"/>
    <w:rsid w:val="00FE4BC5"/>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Caption">
    <w:name w:val="caption"/>
    <w:basedOn w:val="Normal"/>
    <w:next w:val="Normal"/>
    <w:uiPriority w:val="35"/>
    <w:unhideWhenUsed/>
    <w:qFormat/>
    <w:rsid w:val="00FE4BC5"/>
    <w:pPr>
      <w:spacing w:line="240" w:lineRule="auto"/>
    </w:pPr>
    <w:rPr>
      <w:b/>
      <w:bCs/>
      <w:color w:val="4F81BD" w:themeColor="accent1"/>
      <w:sz w:val="18"/>
      <w:szCs w:val="18"/>
    </w:rPr>
  </w:style>
  <w:style w:type="table" w:customStyle="1" w:styleId="LightList-Accent111">
    <w:name w:val="Light List - Accent 111"/>
    <w:basedOn w:val="TableNormal"/>
    <w:next w:val="LightList-Accent1"/>
    <w:uiPriority w:val="61"/>
    <w:rsid w:val="00E73B14"/>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NoSpacing">
    <w:name w:val="No Spacing"/>
    <w:uiPriority w:val="1"/>
    <w:qFormat/>
    <w:rsid w:val="00E73B14"/>
    <w:pPr>
      <w:spacing w:after="0" w:line="240" w:lineRule="auto"/>
      <w:ind w:left="-13"/>
      <w:jc w:val="center"/>
    </w:pPr>
    <w:rPr>
      <w:rFonts w:ascii="Calibri Light" w:eastAsia="Calibri" w:hAnsi="Calibri Ligh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902130">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60102590">
      <w:bodyDiv w:val="1"/>
      <w:marLeft w:val="0"/>
      <w:marRight w:val="0"/>
      <w:marTop w:val="0"/>
      <w:marBottom w:val="0"/>
      <w:divBdr>
        <w:top w:val="none" w:sz="0" w:space="0" w:color="auto"/>
        <w:left w:val="none" w:sz="0" w:space="0" w:color="auto"/>
        <w:bottom w:val="none" w:sz="0" w:space="0" w:color="auto"/>
        <w:right w:val="none" w:sz="0" w:space="0" w:color="auto"/>
      </w:divBdr>
    </w:div>
    <w:div w:id="1707675980">
      <w:bodyDiv w:val="1"/>
      <w:marLeft w:val="0"/>
      <w:marRight w:val="0"/>
      <w:marTop w:val="0"/>
      <w:marBottom w:val="0"/>
      <w:divBdr>
        <w:top w:val="none" w:sz="0" w:space="0" w:color="auto"/>
        <w:left w:val="none" w:sz="0" w:space="0" w:color="auto"/>
        <w:bottom w:val="none" w:sz="0" w:space="0" w:color="auto"/>
        <w:right w:val="none" w:sz="0" w:space="0" w:color="auto"/>
      </w:divBdr>
    </w:div>
    <w:div w:id="1952665865">
      <w:bodyDiv w:val="1"/>
      <w:marLeft w:val="0"/>
      <w:marRight w:val="0"/>
      <w:marTop w:val="0"/>
      <w:marBottom w:val="0"/>
      <w:divBdr>
        <w:top w:val="none" w:sz="0" w:space="0" w:color="auto"/>
        <w:left w:val="none" w:sz="0" w:space="0" w:color="auto"/>
        <w:bottom w:val="none" w:sz="0" w:space="0" w:color="auto"/>
        <w:right w:val="none" w:sz="0" w:space="0" w:color="auto"/>
      </w:divBdr>
      <w:divsChild>
        <w:div w:id="855339576">
          <w:marLeft w:val="0"/>
          <w:marRight w:val="0"/>
          <w:marTop w:val="0"/>
          <w:marBottom w:val="0"/>
          <w:divBdr>
            <w:top w:val="none" w:sz="0" w:space="0" w:color="auto"/>
            <w:left w:val="none" w:sz="0" w:space="0" w:color="auto"/>
            <w:bottom w:val="none" w:sz="0" w:space="0" w:color="auto"/>
            <w:right w:val="none" w:sz="0" w:space="0" w:color="auto"/>
          </w:divBdr>
          <w:divsChild>
            <w:div w:id="804468341">
              <w:marLeft w:val="0"/>
              <w:marRight w:val="0"/>
              <w:marTop w:val="0"/>
              <w:marBottom w:val="0"/>
              <w:divBdr>
                <w:top w:val="none" w:sz="0" w:space="0" w:color="auto"/>
                <w:left w:val="none" w:sz="0" w:space="0" w:color="auto"/>
                <w:bottom w:val="none" w:sz="0" w:space="0" w:color="auto"/>
                <w:right w:val="none" w:sz="0" w:space="0" w:color="auto"/>
              </w:divBdr>
              <w:divsChild>
                <w:div w:id="678196674">
                  <w:marLeft w:val="0"/>
                  <w:marRight w:val="0"/>
                  <w:marTop w:val="0"/>
                  <w:marBottom w:val="0"/>
                  <w:divBdr>
                    <w:top w:val="none" w:sz="0" w:space="0" w:color="auto"/>
                    <w:left w:val="none" w:sz="0" w:space="0" w:color="auto"/>
                    <w:bottom w:val="none" w:sz="0" w:space="0" w:color="auto"/>
                    <w:right w:val="none" w:sz="0" w:space="0" w:color="auto"/>
                  </w:divBdr>
                  <w:divsChild>
                    <w:div w:id="812480905">
                      <w:marLeft w:val="0"/>
                      <w:marRight w:val="0"/>
                      <w:marTop w:val="0"/>
                      <w:marBottom w:val="0"/>
                      <w:divBdr>
                        <w:top w:val="none" w:sz="0" w:space="0" w:color="auto"/>
                        <w:left w:val="none" w:sz="0" w:space="0" w:color="auto"/>
                        <w:bottom w:val="none" w:sz="0" w:space="0" w:color="auto"/>
                        <w:right w:val="none" w:sz="0" w:space="0" w:color="auto"/>
                      </w:divBdr>
                      <w:divsChild>
                        <w:div w:id="163251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45242">
          <w:marLeft w:val="0"/>
          <w:marRight w:val="0"/>
          <w:marTop w:val="0"/>
          <w:marBottom w:val="0"/>
          <w:divBdr>
            <w:top w:val="none" w:sz="0" w:space="0" w:color="auto"/>
            <w:left w:val="none" w:sz="0" w:space="0" w:color="auto"/>
            <w:bottom w:val="none" w:sz="0" w:space="0" w:color="auto"/>
            <w:right w:val="none" w:sz="0" w:space="0" w:color="auto"/>
          </w:divBdr>
          <w:divsChild>
            <w:div w:id="166944911">
              <w:marLeft w:val="0"/>
              <w:marRight w:val="0"/>
              <w:marTop w:val="0"/>
              <w:marBottom w:val="0"/>
              <w:divBdr>
                <w:top w:val="none" w:sz="0" w:space="0" w:color="auto"/>
                <w:left w:val="none" w:sz="0" w:space="0" w:color="auto"/>
                <w:bottom w:val="none" w:sz="0" w:space="0" w:color="auto"/>
                <w:right w:val="none" w:sz="0" w:space="0" w:color="auto"/>
              </w:divBdr>
              <w:divsChild>
                <w:div w:id="416556281">
                  <w:marLeft w:val="0"/>
                  <w:marRight w:val="0"/>
                  <w:marTop w:val="0"/>
                  <w:marBottom w:val="0"/>
                  <w:divBdr>
                    <w:top w:val="none" w:sz="0" w:space="0" w:color="auto"/>
                    <w:left w:val="none" w:sz="0" w:space="0" w:color="auto"/>
                    <w:bottom w:val="none" w:sz="0" w:space="0" w:color="auto"/>
                    <w:right w:val="none" w:sz="0" w:space="0" w:color="auto"/>
                  </w:divBdr>
                  <w:divsChild>
                    <w:div w:id="1392773635">
                      <w:marLeft w:val="0"/>
                      <w:marRight w:val="0"/>
                      <w:marTop w:val="0"/>
                      <w:marBottom w:val="0"/>
                      <w:divBdr>
                        <w:top w:val="none" w:sz="0" w:space="0" w:color="auto"/>
                        <w:left w:val="none" w:sz="0" w:space="0" w:color="auto"/>
                        <w:bottom w:val="none" w:sz="0" w:space="0" w:color="auto"/>
                        <w:right w:val="none" w:sz="0" w:space="0" w:color="auto"/>
                      </w:divBdr>
                      <w:divsChild>
                        <w:div w:id="1740636682">
                          <w:marLeft w:val="0"/>
                          <w:marRight w:val="0"/>
                          <w:marTop w:val="0"/>
                          <w:marBottom w:val="0"/>
                          <w:divBdr>
                            <w:top w:val="none" w:sz="0" w:space="0" w:color="auto"/>
                            <w:left w:val="none" w:sz="0" w:space="0" w:color="auto"/>
                            <w:bottom w:val="none" w:sz="0" w:space="0" w:color="auto"/>
                            <w:right w:val="none" w:sz="0" w:space="0" w:color="auto"/>
                          </w:divBdr>
                        </w:div>
                        <w:div w:id="1383140956">
                          <w:marLeft w:val="0"/>
                          <w:marRight w:val="0"/>
                          <w:marTop w:val="0"/>
                          <w:marBottom w:val="0"/>
                          <w:divBdr>
                            <w:top w:val="none" w:sz="0" w:space="0" w:color="auto"/>
                            <w:left w:val="none" w:sz="0" w:space="0" w:color="auto"/>
                            <w:bottom w:val="none" w:sz="0" w:space="0" w:color="auto"/>
                            <w:right w:val="none" w:sz="0" w:space="0" w:color="auto"/>
                          </w:divBdr>
                        </w:div>
                        <w:div w:id="1789658830">
                          <w:marLeft w:val="0"/>
                          <w:marRight w:val="0"/>
                          <w:marTop w:val="0"/>
                          <w:marBottom w:val="0"/>
                          <w:divBdr>
                            <w:top w:val="none" w:sz="0" w:space="0" w:color="auto"/>
                            <w:left w:val="none" w:sz="0" w:space="0" w:color="auto"/>
                            <w:bottom w:val="none" w:sz="0" w:space="0" w:color="auto"/>
                            <w:right w:val="none" w:sz="0" w:space="0" w:color="auto"/>
                          </w:divBdr>
                        </w:div>
                        <w:div w:id="62226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114790">
      <w:bodyDiv w:val="1"/>
      <w:marLeft w:val="0"/>
      <w:marRight w:val="0"/>
      <w:marTop w:val="0"/>
      <w:marBottom w:val="0"/>
      <w:divBdr>
        <w:top w:val="none" w:sz="0" w:space="0" w:color="auto"/>
        <w:left w:val="none" w:sz="0" w:space="0" w:color="auto"/>
        <w:bottom w:val="none" w:sz="0" w:space="0" w:color="auto"/>
        <w:right w:val="none" w:sz="0" w:space="0" w:color="auto"/>
      </w:divBdr>
      <w:divsChild>
        <w:div w:id="465440913">
          <w:marLeft w:val="0"/>
          <w:marRight w:val="0"/>
          <w:marTop w:val="0"/>
          <w:marBottom w:val="0"/>
          <w:divBdr>
            <w:top w:val="none" w:sz="0" w:space="0" w:color="auto"/>
            <w:left w:val="none" w:sz="0" w:space="0" w:color="auto"/>
            <w:bottom w:val="none" w:sz="0" w:space="0" w:color="auto"/>
            <w:right w:val="none" w:sz="0" w:space="0" w:color="auto"/>
          </w:divBdr>
          <w:divsChild>
            <w:div w:id="747653846">
              <w:marLeft w:val="0"/>
              <w:marRight w:val="0"/>
              <w:marTop w:val="0"/>
              <w:marBottom w:val="0"/>
              <w:divBdr>
                <w:top w:val="none" w:sz="0" w:space="0" w:color="auto"/>
                <w:left w:val="none" w:sz="0" w:space="0" w:color="auto"/>
                <w:bottom w:val="none" w:sz="0" w:space="0" w:color="auto"/>
                <w:right w:val="none" w:sz="0" w:space="0" w:color="auto"/>
              </w:divBdr>
              <w:divsChild>
                <w:div w:id="1998684073">
                  <w:marLeft w:val="0"/>
                  <w:marRight w:val="0"/>
                  <w:marTop w:val="0"/>
                  <w:marBottom w:val="0"/>
                  <w:divBdr>
                    <w:top w:val="none" w:sz="0" w:space="0" w:color="auto"/>
                    <w:left w:val="none" w:sz="0" w:space="0" w:color="auto"/>
                    <w:bottom w:val="none" w:sz="0" w:space="0" w:color="auto"/>
                    <w:right w:val="none" w:sz="0" w:space="0" w:color="auto"/>
                  </w:divBdr>
                  <w:divsChild>
                    <w:div w:id="645671955">
                      <w:marLeft w:val="0"/>
                      <w:marRight w:val="0"/>
                      <w:marTop w:val="0"/>
                      <w:marBottom w:val="0"/>
                      <w:divBdr>
                        <w:top w:val="none" w:sz="0" w:space="0" w:color="auto"/>
                        <w:left w:val="none" w:sz="0" w:space="0" w:color="auto"/>
                        <w:bottom w:val="none" w:sz="0" w:space="0" w:color="auto"/>
                        <w:right w:val="none" w:sz="0" w:space="0" w:color="auto"/>
                      </w:divBdr>
                      <w:divsChild>
                        <w:div w:id="1203249768">
                          <w:marLeft w:val="0"/>
                          <w:marRight w:val="0"/>
                          <w:marTop w:val="0"/>
                          <w:marBottom w:val="0"/>
                          <w:divBdr>
                            <w:top w:val="none" w:sz="0" w:space="0" w:color="auto"/>
                            <w:left w:val="none" w:sz="0" w:space="0" w:color="auto"/>
                            <w:bottom w:val="none" w:sz="0" w:space="0" w:color="auto"/>
                            <w:right w:val="none" w:sz="0" w:space="0" w:color="auto"/>
                          </w:divBdr>
                        </w:div>
                        <w:div w:id="191353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442403">
          <w:marLeft w:val="0"/>
          <w:marRight w:val="0"/>
          <w:marTop w:val="0"/>
          <w:marBottom w:val="0"/>
          <w:divBdr>
            <w:top w:val="none" w:sz="0" w:space="0" w:color="auto"/>
            <w:left w:val="none" w:sz="0" w:space="0" w:color="auto"/>
            <w:bottom w:val="none" w:sz="0" w:space="0" w:color="auto"/>
            <w:right w:val="none" w:sz="0" w:space="0" w:color="auto"/>
          </w:divBdr>
          <w:divsChild>
            <w:div w:id="745617531">
              <w:marLeft w:val="0"/>
              <w:marRight w:val="0"/>
              <w:marTop w:val="0"/>
              <w:marBottom w:val="0"/>
              <w:divBdr>
                <w:top w:val="none" w:sz="0" w:space="0" w:color="auto"/>
                <w:left w:val="none" w:sz="0" w:space="0" w:color="auto"/>
                <w:bottom w:val="none" w:sz="0" w:space="0" w:color="auto"/>
                <w:right w:val="none" w:sz="0" w:space="0" w:color="auto"/>
              </w:divBdr>
              <w:divsChild>
                <w:div w:id="159009782">
                  <w:marLeft w:val="0"/>
                  <w:marRight w:val="0"/>
                  <w:marTop w:val="0"/>
                  <w:marBottom w:val="0"/>
                  <w:divBdr>
                    <w:top w:val="none" w:sz="0" w:space="0" w:color="auto"/>
                    <w:left w:val="none" w:sz="0" w:space="0" w:color="auto"/>
                    <w:bottom w:val="none" w:sz="0" w:space="0" w:color="auto"/>
                    <w:right w:val="none" w:sz="0" w:space="0" w:color="auto"/>
                  </w:divBdr>
                  <w:divsChild>
                    <w:div w:id="1178693310">
                      <w:marLeft w:val="0"/>
                      <w:marRight w:val="0"/>
                      <w:marTop w:val="0"/>
                      <w:marBottom w:val="0"/>
                      <w:divBdr>
                        <w:top w:val="none" w:sz="0" w:space="0" w:color="auto"/>
                        <w:left w:val="none" w:sz="0" w:space="0" w:color="auto"/>
                        <w:bottom w:val="none" w:sz="0" w:space="0" w:color="auto"/>
                        <w:right w:val="none" w:sz="0" w:space="0" w:color="auto"/>
                      </w:divBdr>
                      <w:divsChild>
                        <w:div w:id="643660564">
                          <w:marLeft w:val="0"/>
                          <w:marRight w:val="0"/>
                          <w:marTop w:val="0"/>
                          <w:marBottom w:val="0"/>
                          <w:divBdr>
                            <w:top w:val="none" w:sz="0" w:space="0" w:color="auto"/>
                            <w:left w:val="none" w:sz="0" w:space="0" w:color="auto"/>
                            <w:bottom w:val="none" w:sz="0" w:space="0" w:color="auto"/>
                            <w:right w:val="none" w:sz="0" w:space="0" w:color="auto"/>
                          </w:divBdr>
                        </w:div>
                        <w:div w:id="1622571556">
                          <w:marLeft w:val="0"/>
                          <w:marRight w:val="0"/>
                          <w:marTop w:val="0"/>
                          <w:marBottom w:val="0"/>
                          <w:divBdr>
                            <w:top w:val="none" w:sz="0" w:space="0" w:color="auto"/>
                            <w:left w:val="none" w:sz="0" w:space="0" w:color="auto"/>
                            <w:bottom w:val="none" w:sz="0" w:space="0" w:color="auto"/>
                            <w:right w:val="none" w:sz="0" w:space="0" w:color="auto"/>
                          </w:divBdr>
                        </w:div>
                        <w:div w:id="1820999676">
                          <w:marLeft w:val="0"/>
                          <w:marRight w:val="0"/>
                          <w:marTop w:val="0"/>
                          <w:marBottom w:val="0"/>
                          <w:divBdr>
                            <w:top w:val="none" w:sz="0" w:space="0" w:color="auto"/>
                            <w:left w:val="none" w:sz="0" w:space="0" w:color="auto"/>
                            <w:bottom w:val="none" w:sz="0" w:space="0" w:color="auto"/>
                            <w:right w:val="none" w:sz="0" w:space="0" w:color="auto"/>
                          </w:divBdr>
                        </w:div>
                        <w:div w:id="1028485249">
                          <w:marLeft w:val="0"/>
                          <w:marRight w:val="0"/>
                          <w:marTop w:val="0"/>
                          <w:marBottom w:val="0"/>
                          <w:divBdr>
                            <w:top w:val="none" w:sz="0" w:space="0" w:color="auto"/>
                            <w:left w:val="none" w:sz="0" w:space="0" w:color="auto"/>
                            <w:bottom w:val="none" w:sz="0" w:space="0" w:color="auto"/>
                            <w:right w:val="none" w:sz="0" w:space="0" w:color="auto"/>
                          </w:divBdr>
                        </w:div>
                        <w:div w:id="95783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406006">
          <w:marLeft w:val="0"/>
          <w:marRight w:val="0"/>
          <w:marTop w:val="0"/>
          <w:marBottom w:val="0"/>
          <w:divBdr>
            <w:top w:val="none" w:sz="0" w:space="0" w:color="auto"/>
            <w:left w:val="none" w:sz="0" w:space="0" w:color="auto"/>
            <w:bottom w:val="none" w:sz="0" w:space="0" w:color="auto"/>
            <w:right w:val="none" w:sz="0" w:space="0" w:color="auto"/>
          </w:divBdr>
          <w:divsChild>
            <w:div w:id="381905126">
              <w:marLeft w:val="0"/>
              <w:marRight w:val="0"/>
              <w:marTop w:val="0"/>
              <w:marBottom w:val="0"/>
              <w:divBdr>
                <w:top w:val="none" w:sz="0" w:space="0" w:color="auto"/>
                <w:left w:val="none" w:sz="0" w:space="0" w:color="auto"/>
                <w:bottom w:val="none" w:sz="0" w:space="0" w:color="auto"/>
                <w:right w:val="none" w:sz="0" w:space="0" w:color="auto"/>
              </w:divBdr>
              <w:divsChild>
                <w:div w:id="1361978861">
                  <w:marLeft w:val="0"/>
                  <w:marRight w:val="0"/>
                  <w:marTop w:val="0"/>
                  <w:marBottom w:val="0"/>
                  <w:divBdr>
                    <w:top w:val="none" w:sz="0" w:space="0" w:color="auto"/>
                    <w:left w:val="none" w:sz="0" w:space="0" w:color="auto"/>
                    <w:bottom w:val="none" w:sz="0" w:space="0" w:color="auto"/>
                    <w:right w:val="none" w:sz="0" w:space="0" w:color="auto"/>
                  </w:divBdr>
                  <w:divsChild>
                    <w:div w:id="1083911884">
                      <w:marLeft w:val="0"/>
                      <w:marRight w:val="0"/>
                      <w:marTop w:val="0"/>
                      <w:marBottom w:val="0"/>
                      <w:divBdr>
                        <w:top w:val="none" w:sz="0" w:space="0" w:color="auto"/>
                        <w:left w:val="none" w:sz="0" w:space="0" w:color="auto"/>
                        <w:bottom w:val="none" w:sz="0" w:space="0" w:color="auto"/>
                        <w:right w:val="none" w:sz="0" w:space="0" w:color="auto"/>
                      </w:divBdr>
                      <w:divsChild>
                        <w:div w:id="147720931">
                          <w:marLeft w:val="0"/>
                          <w:marRight w:val="0"/>
                          <w:marTop w:val="0"/>
                          <w:marBottom w:val="0"/>
                          <w:divBdr>
                            <w:top w:val="none" w:sz="0" w:space="0" w:color="auto"/>
                            <w:left w:val="none" w:sz="0" w:space="0" w:color="auto"/>
                            <w:bottom w:val="none" w:sz="0" w:space="0" w:color="auto"/>
                            <w:right w:val="none" w:sz="0" w:space="0" w:color="auto"/>
                          </w:divBdr>
                        </w:div>
                        <w:div w:id="852962354">
                          <w:marLeft w:val="0"/>
                          <w:marRight w:val="0"/>
                          <w:marTop w:val="0"/>
                          <w:marBottom w:val="0"/>
                          <w:divBdr>
                            <w:top w:val="none" w:sz="0" w:space="0" w:color="auto"/>
                            <w:left w:val="none" w:sz="0" w:space="0" w:color="auto"/>
                            <w:bottom w:val="none" w:sz="0" w:space="0" w:color="auto"/>
                            <w:right w:val="none" w:sz="0" w:space="0" w:color="auto"/>
                          </w:divBdr>
                        </w:div>
                        <w:div w:id="153838508">
                          <w:marLeft w:val="0"/>
                          <w:marRight w:val="0"/>
                          <w:marTop w:val="0"/>
                          <w:marBottom w:val="0"/>
                          <w:divBdr>
                            <w:top w:val="none" w:sz="0" w:space="0" w:color="auto"/>
                            <w:left w:val="none" w:sz="0" w:space="0" w:color="auto"/>
                            <w:bottom w:val="none" w:sz="0" w:space="0" w:color="auto"/>
                            <w:right w:val="none" w:sz="0" w:space="0" w:color="auto"/>
                          </w:divBdr>
                        </w:div>
                        <w:div w:id="1580290384">
                          <w:marLeft w:val="0"/>
                          <w:marRight w:val="0"/>
                          <w:marTop w:val="0"/>
                          <w:marBottom w:val="0"/>
                          <w:divBdr>
                            <w:top w:val="none" w:sz="0" w:space="0" w:color="auto"/>
                            <w:left w:val="none" w:sz="0" w:space="0" w:color="auto"/>
                            <w:bottom w:val="none" w:sz="0" w:space="0" w:color="auto"/>
                            <w:right w:val="none" w:sz="0" w:space="0" w:color="auto"/>
                          </w:divBdr>
                        </w:div>
                        <w:div w:id="5774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922195">
          <w:marLeft w:val="0"/>
          <w:marRight w:val="0"/>
          <w:marTop w:val="0"/>
          <w:marBottom w:val="0"/>
          <w:divBdr>
            <w:top w:val="none" w:sz="0" w:space="0" w:color="auto"/>
            <w:left w:val="none" w:sz="0" w:space="0" w:color="auto"/>
            <w:bottom w:val="none" w:sz="0" w:space="0" w:color="auto"/>
            <w:right w:val="none" w:sz="0" w:space="0" w:color="auto"/>
          </w:divBdr>
          <w:divsChild>
            <w:div w:id="686443156">
              <w:marLeft w:val="0"/>
              <w:marRight w:val="0"/>
              <w:marTop w:val="0"/>
              <w:marBottom w:val="0"/>
              <w:divBdr>
                <w:top w:val="none" w:sz="0" w:space="0" w:color="auto"/>
                <w:left w:val="none" w:sz="0" w:space="0" w:color="auto"/>
                <w:bottom w:val="none" w:sz="0" w:space="0" w:color="auto"/>
                <w:right w:val="none" w:sz="0" w:space="0" w:color="auto"/>
              </w:divBdr>
              <w:divsChild>
                <w:div w:id="417092898">
                  <w:marLeft w:val="0"/>
                  <w:marRight w:val="0"/>
                  <w:marTop w:val="0"/>
                  <w:marBottom w:val="0"/>
                  <w:divBdr>
                    <w:top w:val="none" w:sz="0" w:space="0" w:color="auto"/>
                    <w:left w:val="none" w:sz="0" w:space="0" w:color="auto"/>
                    <w:bottom w:val="none" w:sz="0" w:space="0" w:color="auto"/>
                    <w:right w:val="none" w:sz="0" w:space="0" w:color="auto"/>
                  </w:divBdr>
                  <w:divsChild>
                    <w:div w:id="4523406">
                      <w:marLeft w:val="0"/>
                      <w:marRight w:val="0"/>
                      <w:marTop w:val="0"/>
                      <w:marBottom w:val="0"/>
                      <w:divBdr>
                        <w:top w:val="none" w:sz="0" w:space="0" w:color="auto"/>
                        <w:left w:val="none" w:sz="0" w:space="0" w:color="auto"/>
                        <w:bottom w:val="none" w:sz="0" w:space="0" w:color="auto"/>
                        <w:right w:val="none" w:sz="0" w:space="0" w:color="auto"/>
                      </w:divBdr>
                      <w:divsChild>
                        <w:div w:id="1355888287">
                          <w:marLeft w:val="0"/>
                          <w:marRight w:val="0"/>
                          <w:marTop w:val="0"/>
                          <w:marBottom w:val="0"/>
                          <w:divBdr>
                            <w:top w:val="none" w:sz="0" w:space="0" w:color="auto"/>
                            <w:left w:val="none" w:sz="0" w:space="0" w:color="auto"/>
                            <w:bottom w:val="none" w:sz="0" w:space="0" w:color="auto"/>
                            <w:right w:val="none" w:sz="0" w:space="0" w:color="auto"/>
                          </w:divBdr>
                        </w:div>
                        <w:div w:id="243295557">
                          <w:marLeft w:val="0"/>
                          <w:marRight w:val="0"/>
                          <w:marTop w:val="0"/>
                          <w:marBottom w:val="0"/>
                          <w:divBdr>
                            <w:top w:val="none" w:sz="0" w:space="0" w:color="auto"/>
                            <w:left w:val="none" w:sz="0" w:space="0" w:color="auto"/>
                            <w:bottom w:val="none" w:sz="0" w:space="0" w:color="auto"/>
                            <w:right w:val="none" w:sz="0" w:space="0" w:color="auto"/>
                          </w:divBdr>
                        </w:div>
                        <w:div w:id="573469586">
                          <w:marLeft w:val="0"/>
                          <w:marRight w:val="0"/>
                          <w:marTop w:val="0"/>
                          <w:marBottom w:val="0"/>
                          <w:divBdr>
                            <w:top w:val="none" w:sz="0" w:space="0" w:color="auto"/>
                            <w:left w:val="none" w:sz="0" w:space="0" w:color="auto"/>
                            <w:bottom w:val="none" w:sz="0" w:space="0" w:color="auto"/>
                            <w:right w:val="none" w:sz="0" w:space="0" w:color="auto"/>
                          </w:divBdr>
                        </w:div>
                        <w:div w:id="156992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192385">
          <w:marLeft w:val="0"/>
          <w:marRight w:val="0"/>
          <w:marTop w:val="0"/>
          <w:marBottom w:val="0"/>
          <w:divBdr>
            <w:top w:val="none" w:sz="0" w:space="0" w:color="auto"/>
            <w:left w:val="none" w:sz="0" w:space="0" w:color="auto"/>
            <w:bottom w:val="none" w:sz="0" w:space="0" w:color="auto"/>
            <w:right w:val="none" w:sz="0" w:space="0" w:color="auto"/>
          </w:divBdr>
          <w:divsChild>
            <w:div w:id="1882939975">
              <w:marLeft w:val="0"/>
              <w:marRight w:val="0"/>
              <w:marTop w:val="0"/>
              <w:marBottom w:val="0"/>
              <w:divBdr>
                <w:top w:val="none" w:sz="0" w:space="0" w:color="auto"/>
                <w:left w:val="none" w:sz="0" w:space="0" w:color="auto"/>
                <w:bottom w:val="none" w:sz="0" w:space="0" w:color="auto"/>
                <w:right w:val="none" w:sz="0" w:space="0" w:color="auto"/>
              </w:divBdr>
              <w:divsChild>
                <w:div w:id="1370491264">
                  <w:marLeft w:val="0"/>
                  <w:marRight w:val="0"/>
                  <w:marTop w:val="0"/>
                  <w:marBottom w:val="0"/>
                  <w:divBdr>
                    <w:top w:val="none" w:sz="0" w:space="0" w:color="auto"/>
                    <w:left w:val="none" w:sz="0" w:space="0" w:color="auto"/>
                    <w:bottom w:val="none" w:sz="0" w:space="0" w:color="auto"/>
                    <w:right w:val="none" w:sz="0" w:space="0" w:color="auto"/>
                  </w:divBdr>
                  <w:divsChild>
                    <w:div w:id="240452844">
                      <w:marLeft w:val="0"/>
                      <w:marRight w:val="0"/>
                      <w:marTop w:val="0"/>
                      <w:marBottom w:val="0"/>
                      <w:divBdr>
                        <w:top w:val="none" w:sz="0" w:space="0" w:color="auto"/>
                        <w:left w:val="none" w:sz="0" w:space="0" w:color="auto"/>
                        <w:bottom w:val="none" w:sz="0" w:space="0" w:color="auto"/>
                        <w:right w:val="none" w:sz="0" w:space="0" w:color="auto"/>
                      </w:divBdr>
                      <w:divsChild>
                        <w:div w:id="1878543009">
                          <w:marLeft w:val="0"/>
                          <w:marRight w:val="0"/>
                          <w:marTop w:val="0"/>
                          <w:marBottom w:val="0"/>
                          <w:divBdr>
                            <w:top w:val="none" w:sz="0" w:space="0" w:color="auto"/>
                            <w:left w:val="none" w:sz="0" w:space="0" w:color="auto"/>
                            <w:bottom w:val="none" w:sz="0" w:space="0" w:color="auto"/>
                            <w:right w:val="none" w:sz="0" w:space="0" w:color="auto"/>
                          </w:divBdr>
                        </w:div>
                        <w:div w:id="328601996">
                          <w:marLeft w:val="0"/>
                          <w:marRight w:val="0"/>
                          <w:marTop w:val="0"/>
                          <w:marBottom w:val="0"/>
                          <w:divBdr>
                            <w:top w:val="none" w:sz="0" w:space="0" w:color="auto"/>
                            <w:left w:val="none" w:sz="0" w:space="0" w:color="auto"/>
                            <w:bottom w:val="none" w:sz="0" w:space="0" w:color="auto"/>
                            <w:right w:val="none" w:sz="0" w:space="0" w:color="auto"/>
                          </w:divBdr>
                        </w:div>
                        <w:div w:id="642465090">
                          <w:marLeft w:val="0"/>
                          <w:marRight w:val="0"/>
                          <w:marTop w:val="0"/>
                          <w:marBottom w:val="0"/>
                          <w:divBdr>
                            <w:top w:val="none" w:sz="0" w:space="0" w:color="auto"/>
                            <w:left w:val="none" w:sz="0" w:space="0" w:color="auto"/>
                            <w:bottom w:val="none" w:sz="0" w:space="0" w:color="auto"/>
                            <w:right w:val="none" w:sz="0" w:space="0" w:color="auto"/>
                          </w:divBdr>
                        </w:div>
                        <w:div w:id="492335974">
                          <w:marLeft w:val="0"/>
                          <w:marRight w:val="0"/>
                          <w:marTop w:val="0"/>
                          <w:marBottom w:val="0"/>
                          <w:divBdr>
                            <w:top w:val="none" w:sz="0" w:space="0" w:color="auto"/>
                            <w:left w:val="none" w:sz="0" w:space="0" w:color="auto"/>
                            <w:bottom w:val="none" w:sz="0" w:space="0" w:color="auto"/>
                            <w:right w:val="none" w:sz="0" w:space="0" w:color="auto"/>
                          </w:divBdr>
                        </w:div>
                        <w:div w:id="75427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495795">
          <w:marLeft w:val="0"/>
          <w:marRight w:val="0"/>
          <w:marTop w:val="0"/>
          <w:marBottom w:val="0"/>
          <w:divBdr>
            <w:top w:val="none" w:sz="0" w:space="0" w:color="auto"/>
            <w:left w:val="none" w:sz="0" w:space="0" w:color="auto"/>
            <w:bottom w:val="none" w:sz="0" w:space="0" w:color="auto"/>
            <w:right w:val="none" w:sz="0" w:space="0" w:color="auto"/>
          </w:divBdr>
          <w:divsChild>
            <w:div w:id="621157436">
              <w:marLeft w:val="0"/>
              <w:marRight w:val="0"/>
              <w:marTop w:val="0"/>
              <w:marBottom w:val="0"/>
              <w:divBdr>
                <w:top w:val="none" w:sz="0" w:space="0" w:color="auto"/>
                <w:left w:val="none" w:sz="0" w:space="0" w:color="auto"/>
                <w:bottom w:val="none" w:sz="0" w:space="0" w:color="auto"/>
                <w:right w:val="none" w:sz="0" w:space="0" w:color="auto"/>
              </w:divBdr>
              <w:divsChild>
                <w:div w:id="1726639993">
                  <w:marLeft w:val="0"/>
                  <w:marRight w:val="0"/>
                  <w:marTop w:val="0"/>
                  <w:marBottom w:val="0"/>
                  <w:divBdr>
                    <w:top w:val="none" w:sz="0" w:space="0" w:color="auto"/>
                    <w:left w:val="none" w:sz="0" w:space="0" w:color="auto"/>
                    <w:bottom w:val="none" w:sz="0" w:space="0" w:color="auto"/>
                    <w:right w:val="none" w:sz="0" w:space="0" w:color="auto"/>
                  </w:divBdr>
                  <w:divsChild>
                    <w:div w:id="15010619">
                      <w:marLeft w:val="0"/>
                      <w:marRight w:val="0"/>
                      <w:marTop w:val="0"/>
                      <w:marBottom w:val="0"/>
                      <w:divBdr>
                        <w:top w:val="none" w:sz="0" w:space="0" w:color="auto"/>
                        <w:left w:val="none" w:sz="0" w:space="0" w:color="auto"/>
                        <w:bottom w:val="none" w:sz="0" w:space="0" w:color="auto"/>
                        <w:right w:val="none" w:sz="0" w:space="0" w:color="auto"/>
                      </w:divBdr>
                      <w:divsChild>
                        <w:div w:id="806901544">
                          <w:marLeft w:val="0"/>
                          <w:marRight w:val="0"/>
                          <w:marTop w:val="0"/>
                          <w:marBottom w:val="0"/>
                          <w:divBdr>
                            <w:top w:val="none" w:sz="0" w:space="0" w:color="auto"/>
                            <w:left w:val="none" w:sz="0" w:space="0" w:color="auto"/>
                            <w:bottom w:val="none" w:sz="0" w:space="0" w:color="auto"/>
                            <w:right w:val="none" w:sz="0" w:space="0" w:color="auto"/>
                          </w:divBdr>
                        </w:div>
                        <w:div w:id="706569515">
                          <w:marLeft w:val="0"/>
                          <w:marRight w:val="0"/>
                          <w:marTop w:val="0"/>
                          <w:marBottom w:val="0"/>
                          <w:divBdr>
                            <w:top w:val="none" w:sz="0" w:space="0" w:color="auto"/>
                            <w:left w:val="none" w:sz="0" w:space="0" w:color="auto"/>
                            <w:bottom w:val="none" w:sz="0" w:space="0" w:color="auto"/>
                            <w:right w:val="none" w:sz="0" w:space="0" w:color="auto"/>
                          </w:divBdr>
                        </w:div>
                        <w:div w:id="963580467">
                          <w:marLeft w:val="0"/>
                          <w:marRight w:val="0"/>
                          <w:marTop w:val="0"/>
                          <w:marBottom w:val="0"/>
                          <w:divBdr>
                            <w:top w:val="none" w:sz="0" w:space="0" w:color="auto"/>
                            <w:left w:val="none" w:sz="0" w:space="0" w:color="auto"/>
                            <w:bottom w:val="none" w:sz="0" w:space="0" w:color="auto"/>
                            <w:right w:val="none" w:sz="0" w:space="0" w:color="auto"/>
                          </w:divBdr>
                        </w:div>
                        <w:div w:id="8392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77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cup-us.ahrq.gov/toolssoftware/ccs10/ccs10.jsp"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qualityforum.org/projects/Patient_Outcome_Measures_Phases1-2.aspx" TargetMode="External"/><Relationship Id="rId4" Type="http://schemas.openxmlformats.org/officeDocument/2006/relationships/settings" Target="settings.xml"/><Relationship Id="rId9" Type="http://schemas.openxmlformats.org/officeDocument/2006/relationships/hyperlink" Target="https://www.cms.gov/Medicare/Quality-Initiatives-Patient-Assessment-Instruments/MMS/CallforPublicComment.html"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eiryo">
    <w:panose1 w:val="020B0604030504040204"/>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80E10"/>
    <w:rsid w:val="000C79E0"/>
    <w:rsid w:val="000D7C4B"/>
    <w:rsid w:val="00127222"/>
    <w:rsid w:val="00176B3F"/>
    <w:rsid w:val="00185204"/>
    <w:rsid w:val="00190AF4"/>
    <w:rsid w:val="00223FA3"/>
    <w:rsid w:val="002A288F"/>
    <w:rsid w:val="002F052A"/>
    <w:rsid w:val="00331E74"/>
    <w:rsid w:val="003431D3"/>
    <w:rsid w:val="00350176"/>
    <w:rsid w:val="00365042"/>
    <w:rsid w:val="003840F0"/>
    <w:rsid w:val="0039762C"/>
    <w:rsid w:val="003A63F0"/>
    <w:rsid w:val="003F29AE"/>
    <w:rsid w:val="00400E7C"/>
    <w:rsid w:val="00437537"/>
    <w:rsid w:val="004E4A52"/>
    <w:rsid w:val="004E5BB4"/>
    <w:rsid w:val="00526FAC"/>
    <w:rsid w:val="0053654E"/>
    <w:rsid w:val="005443F9"/>
    <w:rsid w:val="005766D3"/>
    <w:rsid w:val="00632A7E"/>
    <w:rsid w:val="00632AB6"/>
    <w:rsid w:val="006F49C4"/>
    <w:rsid w:val="00714AFE"/>
    <w:rsid w:val="00730B33"/>
    <w:rsid w:val="00772B2A"/>
    <w:rsid w:val="007C672A"/>
    <w:rsid w:val="007D4368"/>
    <w:rsid w:val="007F0615"/>
    <w:rsid w:val="00822666"/>
    <w:rsid w:val="00823ECC"/>
    <w:rsid w:val="00866C97"/>
    <w:rsid w:val="008C5884"/>
    <w:rsid w:val="009017AE"/>
    <w:rsid w:val="0099647C"/>
    <w:rsid w:val="009C542D"/>
    <w:rsid w:val="009F2501"/>
    <w:rsid w:val="00A0296D"/>
    <w:rsid w:val="00A95183"/>
    <w:rsid w:val="00A951C0"/>
    <w:rsid w:val="00AB4AF7"/>
    <w:rsid w:val="00AD7C4F"/>
    <w:rsid w:val="00B33CF6"/>
    <w:rsid w:val="00B37727"/>
    <w:rsid w:val="00B445F5"/>
    <w:rsid w:val="00BD40CB"/>
    <w:rsid w:val="00C253FC"/>
    <w:rsid w:val="00C2758B"/>
    <w:rsid w:val="00C362A2"/>
    <w:rsid w:val="00C90121"/>
    <w:rsid w:val="00CA344F"/>
    <w:rsid w:val="00CF2F8F"/>
    <w:rsid w:val="00D1676E"/>
    <w:rsid w:val="00DC0246"/>
    <w:rsid w:val="00E2471F"/>
    <w:rsid w:val="00E61F5A"/>
    <w:rsid w:val="00E6518A"/>
    <w:rsid w:val="00EA13E2"/>
    <w:rsid w:val="00F540AB"/>
    <w:rsid w:val="00F820E5"/>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F9ED0-470A-4D5E-8866-B25368BC1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15412</Words>
  <Characters>87854</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103060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Reva Winkler</dc:creator>
  <cp:lastModifiedBy>Sutton, LaMont</cp:lastModifiedBy>
  <cp:revision>2</cp:revision>
  <cp:lastPrinted>2014-08-21T19:31:00Z</cp:lastPrinted>
  <dcterms:created xsi:type="dcterms:W3CDTF">2016-01-29T15:17:00Z</dcterms:created>
  <dcterms:modified xsi:type="dcterms:W3CDTF">2016-01-29T15:17:00Z</dcterms:modified>
</cp:coreProperties>
</file>