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7B41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04E53A71" w14:textId="77777777" w:rsidR="00496AF8" w:rsidRPr="00496AF8" w:rsidRDefault="00496AF8" w:rsidP="002E2177">
      <w:pPr>
        <w:ind w:left="0" w:firstLine="0"/>
        <w:rPr>
          <w:noProof/>
        </w:rPr>
      </w:pPr>
    </w:p>
    <w:p w14:paraId="68FFB13A" w14:textId="4A79EEB2"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3376D" w:rsidRPr="0053376D">
            <w:rPr>
              <w:rStyle w:val="Style1"/>
              <w:color w:val="auto"/>
            </w:rPr>
            <w:t xml:space="preserve">Hybrid </w:t>
          </w:r>
          <w:r w:rsidR="00956B74" w:rsidRPr="00F05D84">
            <w:t xml:space="preserve">Hospital-Wide Readmission </w:t>
          </w:r>
          <w:r w:rsidR="0053376D">
            <w:t>Measure with Claims and Electronic Health Record Data</w:t>
          </w:r>
        </w:sdtContent>
      </w:sdt>
    </w:p>
    <w:p w14:paraId="343EF668" w14:textId="77777777"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14:paraId="6E7FC2AE" w14:textId="77777777" w:rsidR="00114848" w:rsidRDefault="00114848" w:rsidP="002E2177">
      <w:pPr>
        <w:ind w:left="0" w:firstLine="0"/>
        <w:rPr>
          <w:b/>
          <w:noProof/>
        </w:rPr>
      </w:pPr>
    </w:p>
    <w:p w14:paraId="365C7151" w14:textId="514E322D"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6-01-29T00:00:00Z">
            <w:dateFormat w:val="M/d/yyyy"/>
            <w:lid w:val="en-US"/>
            <w:storeMappedDataAs w:val="dateTime"/>
            <w:calendar w:val="gregorian"/>
          </w:date>
        </w:sdtPr>
        <w:sdtEndPr>
          <w:rPr>
            <w:rStyle w:val="DefaultParagraphFont"/>
            <w:noProof/>
            <w:color w:val="auto"/>
            <w:u w:val="none"/>
          </w:rPr>
        </w:sdtEndPr>
        <w:sdtContent>
          <w:r w:rsidR="0053376D">
            <w:rPr>
              <w:rStyle w:val="Style2"/>
            </w:rPr>
            <w:t>1/29/2016</w:t>
          </w:r>
        </w:sdtContent>
      </w:sdt>
    </w:p>
    <w:p w14:paraId="1373FDAE" w14:textId="77777777"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14:paraId="538D8802" w14:textId="77777777" w:rsidTr="00176E60">
        <w:trPr>
          <w:jc w:val="center"/>
        </w:trPr>
        <w:tc>
          <w:tcPr>
            <w:tcW w:w="9576" w:type="dxa"/>
          </w:tcPr>
          <w:p w14:paraId="63D7BA1A" w14:textId="77777777"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14:paraId="660B52A2" w14:textId="77777777"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14:paraId="5B6DECDD" w14:textId="77777777"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14:paraId="2324B639" w14:textId="77777777"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14:paraId="526F7DAD" w14:textId="77777777"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14:paraId="1A352EF1" w14:textId="77777777"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14:paraId="055685E8" w14:textId="77777777"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14:paraId="635BCB27" w14:textId="77777777"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8" w:history="1">
              <w:r w:rsidRPr="00145149">
                <w:rPr>
                  <w:rStyle w:val="Hyperlink"/>
                </w:rPr>
                <w:t>Submitting Standards webpage</w:t>
              </w:r>
            </w:hyperlink>
            <w:r>
              <w:t>.</w:t>
            </w:r>
          </w:p>
        </w:tc>
      </w:tr>
    </w:tbl>
    <w:p w14:paraId="77A7A3B1" w14:textId="77777777" w:rsidR="00176E60"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14:paraId="0F37DE3C" w14:textId="77777777" w:rsidTr="00176E60">
        <w:trPr>
          <w:jc w:val="center"/>
        </w:trPr>
        <w:tc>
          <w:tcPr>
            <w:tcW w:w="9576" w:type="dxa"/>
          </w:tcPr>
          <w:p w14:paraId="753FBDE0" w14:textId="77777777"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14:paraId="29642EE4" w14:textId="77777777" w:rsidR="008B652E" w:rsidRDefault="008B652E" w:rsidP="00176E60">
            <w:pPr>
              <w:rPr>
                <w:b/>
                <w:bCs/>
              </w:rPr>
            </w:pPr>
          </w:p>
          <w:p w14:paraId="0367A5B1" w14:textId="77777777"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14:paraId="3A4C2801" w14:textId="77777777" w:rsidR="00176E60" w:rsidRPr="00765156" w:rsidRDefault="00176E60" w:rsidP="00176E60">
            <w:r w:rsidRPr="00765156">
              <w:t xml:space="preserve">The measure focus is a health outcome or is evidence-based, demonstrated as follows: </w:t>
            </w:r>
          </w:p>
          <w:p w14:paraId="16A78AC1" w14:textId="77777777"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9574BD">
              <w:fldChar w:fldCharType="begin"/>
            </w:r>
            <w:r w:rsidR="009574BD">
              <w:instrText xml:space="preserve"> HYPERLINK \l "Note3" </w:instrText>
            </w:r>
            <w:r w:rsidR="009574BD">
              <w:fldChar w:fldCharType="separate"/>
            </w:r>
            <w:r w:rsidRPr="00765156">
              <w:rPr>
                <w:rStyle w:val="Hyperlink"/>
                <w:b/>
                <w:vertAlign w:val="superscript"/>
              </w:rPr>
              <w:t>3</w:t>
            </w:r>
            <w:r w:rsidR="009574BD">
              <w:rPr>
                <w:rStyle w:val="Hyperlink"/>
                <w:b/>
                <w:vertAlign w:val="superscript"/>
              </w:rPr>
              <w:fldChar w:fldCharType="end"/>
            </w:r>
            <w:r w:rsidRPr="00765156">
              <w:t xml:space="preserve"> a rationale supports the relationship of the health outcome to processes or structures of care.</w:t>
            </w:r>
          </w:p>
          <w:p w14:paraId="3482C02B" w14:textId="77777777"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9574BD">
              <w:fldChar w:fldCharType="begin"/>
            </w:r>
            <w:r w:rsidR="009574BD">
              <w:instrText xml:space="preserve"> HYPERLINK \l "Note4" </w:instrText>
            </w:r>
            <w:r w:rsidR="009574BD">
              <w:fldChar w:fldCharType="separate"/>
            </w:r>
            <w:r w:rsidRPr="00765156">
              <w:rPr>
                <w:rStyle w:val="Hyperlink"/>
                <w:b/>
                <w:vertAlign w:val="superscript"/>
              </w:rPr>
              <w:t>4</w:t>
            </w:r>
            <w:r w:rsidR="009574BD">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14:paraId="1712F1FD"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14:paraId="4CDA2B82"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9574BD">
              <w:fldChar w:fldCharType="begin"/>
            </w:r>
            <w:r w:rsidR="009574BD">
              <w:instrText xml:space="preserve"> HYPERLINK \l "Note6" </w:instrText>
            </w:r>
            <w:r w:rsidR="009574BD">
              <w:fldChar w:fldCharType="separate"/>
            </w:r>
            <w:r w:rsidRPr="00765156">
              <w:rPr>
                <w:rStyle w:val="Hyperlink"/>
                <w:b/>
                <w:vertAlign w:val="superscript"/>
              </w:rPr>
              <w:t>6</w:t>
            </w:r>
            <w:r w:rsidR="009574BD">
              <w:rPr>
                <w:rStyle w:val="Hyperlink"/>
                <w:b/>
                <w:vertAlign w:val="superscript"/>
              </w:rPr>
              <w:fldChar w:fldCharType="end"/>
            </w:r>
            <w:r w:rsidRPr="00765156">
              <w:t xml:space="preserve"> evidence for the quality component as noted above.</w:t>
            </w:r>
          </w:p>
          <w:p w14:paraId="68C407B2" w14:textId="77777777" w:rsidR="00176E60" w:rsidRPr="00765156" w:rsidRDefault="00176E60" w:rsidP="00176E60">
            <w:pPr>
              <w:autoSpaceDE w:val="0"/>
              <w:autoSpaceDN w:val="0"/>
              <w:adjustRightInd w:val="0"/>
              <w:rPr>
                <w:b/>
                <w:bCs/>
                <w:iCs/>
              </w:rPr>
            </w:pPr>
            <w:r w:rsidRPr="00765156">
              <w:rPr>
                <w:b/>
                <w:bCs/>
                <w:iCs/>
              </w:rPr>
              <w:t>Notes</w:t>
            </w:r>
          </w:p>
          <w:p w14:paraId="43681FF7" w14:textId="77777777"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0C9F1A94" w14:textId="77777777"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14:paraId="4ECB5D0E" w14:textId="77777777"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9"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0"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1"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14:paraId="6ABDD240" w14:textId="77777777" w:rsidR="00176E60" w:rsidRDefault="00176E60" w:rsidP="00176E60">
            <w:pPr>
              <w:ind w:left="90" w:hanging="90"/>
            </w:pPr>
            <w:bookmarkStart w:id="5" w:name="Note6"/>
            <w:bookmarkEnd w:id="5"/>
            <w:r w:rsidRPr="00765156">
              <w:rPr>
                <w:rFonts w:cs="BookAntiqua"/>
                <w:b/>
              </w:rPr>
              <w:lastRenderedPageBreak/>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2" w:history="1">
              <w:r>
                <w:rPr>
                  <w:rStyle w:val="Hyperlink"/>
                </w:rPr>
                <w:t xml:space="preserve">Measurement </w:t>
              </w:r>
              <w:r w:rsidRPr="00765156">
                <w:rPr>
                  <w:rStyle w:val="Hyperlink"/>
                </w:rPr>
                <w:t>Framework: Evaluating Efficiency Across Episodes of Care</w:t>
              </w:r>
            </w:hyperlink>
            <w:r w:rsidRPr="00765156">
              <w:t xml:space="preserve">; </w:t>
            </w:r>
            <w:hyperlink r:id="rId13" w:history="1">
              <w:r w:rsidRPr="00765156">
                <w:rPr>
                  <w:rStyle w:val="Hyperlink"/>
                </w:rPr>
                <w:t>AQA Principles of Efficiency Measures</w:t>
              </w:r>
            </w:hyperlink>
            <w:r w:rsidRPr="00765156">
              <w:t>).</w:t>
            </w:r>
          </w:p>
        </w:tc>
      </w:tr>
    </w:tbl>
    <w:p w14:paraId="6D55565F" w14:textId="77777777"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14:paraId="7DDF6BA6" w14:textId="77777777"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14:paraId="7F31CA4B" w14:textId="77777777" w:rsidR="00496AF8" w:rsidRPr="00E51798" w:rsidRDefault="009574BD" w:rsidP="005857F8">
      <w:pPr>
        <w:ind w:left="720" w:hanging="432"/>
        <w:rPr>
          <w:bCs/>
        </w:rPr>
      </w:pPr>
      <w:sdt>
        <w:sdtPr>
          <w:rPr>
            <w:bCs/>
            <w:color w:val="0000FF"/>
          </w:rPr>
          <w:id w:val="1077707841"/>
          <w14:checkbox>
            <w14:checked w14:val="1"/>
            <w14:checkedState w14:val="2612" w14:font="Meiryo"/>
            <w14:uncheckedState w14:val="2610" w14:font="Meiryo"/>
          </w14:checkbox>
        </w:sdtPr>
        <w:sdtEndPr/>
        <w:sdtContent>
          <w:r w:rsidR="00A96BCB">
            <w:rPr>
              <w:rFonts w:ascii="Meiryo" w:eastAsia="Meiryo" w:hAnsi="Meiryo" w:cs="Meiryo"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dtPr>
        <w:sdtEndPr>
          <w:rPr>
            <w:rStyle w:val="DefaultParagraphFont"/>
            <w:rFonts w:cstheme="minorBidi"/>
            <w:color w:val="auto"/>
            <w:u w:val="none"/>
          </w:rPr>
        </w:sdtEndPr>
        <w:sdtContent>
          <w:r w:rsidR="00C82E36">
            <w:rPr>
              <w:rStyle w:val="Style2"/>
              <w:rFonts w:cstheme="minorHAnsi"/>
            </w:rPr>
            <w:t xml:space="preserve">30-day </w:t>
          </w:r>
          <w:r w:rsidR="00956B74">
            <w:rPr>
              <w:rStyle w:val="Style2"/>
              <w:rFonts w:cstheme="minorHAnsi"/>
            </w:rPr>
            <w:t xml:space="preserve">all-cause </w:t>
          </w:r>
          <w:r w:rsidR="00C82E36">
            <w:rPr>
              <w:rStyle w:val="Style2"/>
              <w:rFonts w:cstheme="minorHAnsi"/>
            </w:rPr>
            <w:t>readmission</w:t>
          </w:r>
        </w:sdtContent>
      </w:sdt>
    </w:p>
    <w:p w14:paraId="342A9D5A" w14:textId="77777777"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14:paraId="61E35425" w14:textId="77777777" w:rsidR="00496AF8" w:rsidRPr="00E51798" w:rsidRDefault="009574BD" w:rsidP="005857F8">
      <w:pPr>
        <w:ind w:left="720" w:hanging="432"/>
        <w:rPr>
          <w:bCs/>
        </w:rPr>
      </w:pPr>
      <w:sdt>
        <w:sdtPr>
          <w:rPr>
            <w:bCs/>
            <w:color w:val="0000FF"/>
          </w:rPr>
          <w:id w:val="1309518776"/>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14:paraId="691FF019" w14:textId="77777777" w:rsidR="00496AF8" w:rsidRPr="00E51798" w:rsidRDefault="009574BD" w:rsidP="00015986">
      <w:pPr>
        <w:ind w:left="432" w:hanging="432"/>
        <w:rPr>
          <w:bCs/>
        </w:rPr>
      </w:pPr>
      <w:sdt>
        <w:sdtPr>
          <w:rPr>
            <w:bCs/>
            <w:color w:val="0000FF"/>
          </w:rPr>
          <w:id w:val="-1535727686"/>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14:paraId="094AD510" w14:textId="77777777" w:rsidR="00496AF8" w:rsidRPr="00E51798" w:rsidRDefault="009574BD" w:rsidP="00015986">
      <w:pPr>
        <w:ind w:left="432" w:hanging="432"/>
        <w:rPr>
          <w:bCs/>
        </w:rPr>
      </w:pPr>
      <w:sdt>
        <w:sdtPr>
          <w:rPr>
            <w:bCs/>
            <w:color w:val="0000FF"/>
          </w:rPr>
          <w:id w:val="1676770628"/>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14:paraId="16DC8275" w14:textId="77777777" w:rsidR="00496AF8" w:rsidRPr="00E51798" w:rsidRDefault="009574BD" w:rsidP="00015986">
      <w:pPr>
        <w:ind w:left="432" w:hanging="432"/>
        <w:rPr>
          <w:bCs/>
        </w:rPr>
      </w:pPr>
      <w:sdt>
        <w:sdtPr>
          <w:rPr>
            <w:bCs/>
            <w:color w:val="0000FF"/>
          </w:rPr>
          <w:id w:val="1719405626"/>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14:paraId="24858C76" w14:textId="77777777" w:rsidR="00496AF8" w:rsidRDefault="00496AF8" w:rsidP="002E2177">
      <w:pPr>
        <w:ind w:left="0" w:firstLine="0"/>
        <w:rPr>
          <w:bCs/>
        </w:rPr>
      </w:pPr>
    </w:p>
    <w:p w14:paraId="326A490F" w14:textId="77777777" w:rsidR="00850C35" w:rsidRDefault="00850C35" w:rsidP="002E2177">
      <w:pPr>
        <w:ind w:left="0" w:firstLine="0"/>
        <w:rPr>
          <w:b/>
          <w:bCs/>
        </w:rPr>
      </w:pPr>
    </w:p>
    <w:p w14:paraId="32819526" w14:textId="77777777"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14:paraId="30439E55" w14:textId="77777777" w:rsidR="002B06BD" w:rsidRDefault="002B06BD" w:rsidP="002B06BD">
      <w:pPr>
        <w:ind w:left="432" w:hanging="432"/>
        <w:rPr>
          <w:b/>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14:paraId="2D1E0051" w14:textId="77777777" w:rsidR="00A96BCB" w:rsidRDefault="00A96BCB" w:rsidP="002B06BD">
      <w:pPr>
        <w:ind w:left="432" w:hanging="432"/>
        <w:rPr>
          <w:iCs/>
        </w:rPr>
      </w:pPr>
    </w:p>
    <w:p w14:paraId="2509A0C3" w14:textId="5DD5EEE9" w:rsidR="0053376D" w:rsidRDefault="0053376D" w:rsidP="00C82E36">
      <w:pPr>
        <w:pStyle w:val="ListParagraph"/>
        <w:pBdr>
          <w:top w:val="single" w:sz="4" w:space="1" w:color="auto"/>
          <w:left w:val="single" w:sz="4" w:space="4" w:color="auto"/>
          <w:bottom w:val="single" w:sz="4" w:space="1" w:color="auto"/>
          <w:right w:val="single" w:sz="4" w:space="4" w:color="auto"/>
        </w:pBdr>
        <w:ind w:left="0" w:firstLine="0"/>
      </w:pPr>
      <w:r w:rsidRPr="0053376D">
        <w:object w:dxaOrig="9315" w:dyaOrig="4080" w14:anchorId="07D6FD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04pt" o:ole="">
            <v:imagedata r:id="rId14" o:title=""/>
          </v:shape>
          <o:OLEObject Type="Embed" ProgID="Visio.Drawing.11" ShapeID="_x0000_i1025" DrawAspect="Content" ObjectID="_1515567943" r:id="rId15"/>
        </w:object>
      </w:r>
    </w:p>
    <w:p w14:paraId="386FAC18" w14:textId="73E35AB9" w:rsidR="00DB747F" w:rsidRDefault="0053376D" w:rsidP="00C82E36">
      <w:pPr>
        <w:pStyle w:val="ListParagraph"/>
        <w:pBdr>
          <w:top w:val="single" w:sz="4" w:space="1" w:color="auto"/>
          <w:left w:val="single" w:sz="4" w:space="4" w:color="auto"/>
          <w:bottom w:val="single" w:sz="4" w:space="1" w:color="auto"/>
          <w:right w:val="single" w:sz="4" w:space="4" w:color="auto"/>
        </w:pBdr>
        <w:ind w:left="0" w:firstLine="0"/>
      </w:pPr>
      <w:r w:rsidRPr="0053376D">
        <w:t>The goal of this measure is to improve patient outcomes by providing patients, physicians, and hospitals with information about hospital-level, risk-standardized readmission rates of unplanned, all-cause readmission after admission for any eligible condition within 30 days of hospital discharge.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measurement is to risk-adjust for patients’ conditions at the time of hospital admission and then evaluate patient outcomes. This readmission measure was developed to identify institutions, whose performance is better or worse than would be expected based on their patient case-mix, and therefore promote hospital quality improvement and better inform consumers about care quality.</w:t>
      </w:r>
      <w:r w:rsidR="00E514EC" w:rsidRPr="00D216CB" w:rsidDel="00E514EC">
        <w:t xml:space="preserve"> </w:t>
      </w:r>
    </w:p>
    <w:p w14:paraId="263900C0" w14:textId="77777777" w:rsidR="00496AF8" w:rsidRDefault="00B058A6" w:rsidP="00D20161">
      <w:pPr>
        <w:ind w:left="0" w:firstLine="0"/>
        <w:rPr>
          <w:iCs/>
        </w:rPr>
      </w:pPr>
      <w:r w:rsidRPr="001B38BF">
        <w:rPr>
          <w:b/>
          <w:color w:val="0000FF"/>
        </w:rPr>
        <w:lastRenderedPageBreak/>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14:paraId="73DE8DE7" w14:textId="77777777" w:rsidR="00D14F0B" w:rsidRPr="00E51798" w:rsidRDefault="00D14F0B" w:rsidP="002E2177">
      <w:pPr>
        <w:ind w:left="0" w:firstLine="0"/>
        <w:rPr>
          <w:iCs/>
        </w:rPr>
      </w:pPr>
    </w:p>
    <w:p w14:paraId="3BF6D40C" w14:textId="77777777" w:rsidR="00496AF8"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14:paraId="0731B764" w14:textId="77777777" w:rsidR="00A96BCB" w:rsidRPr="00DA7FA2" w:rsidRDefault="00A96BCB" w:rsidP="002E2177">
      <w:pPr>
        <w:ind w:left="0" w:firstLine="0"/>
        <w:rPr>
          <w:i/>
          <w:iCs/>
        </w:rPr>
      </w:pPr>
    </w:p>
    <w:p w14:paraId="379D8A49" w14:textId="3CBA5C14" w:rsidR="00E514EC" w:rsidRPr="0007705D" w:rsidRDefault="0053376D" w:rsidP="00E514EC">
      <w:pPr>
        <w:pBdr>
          <w:top w:val="single" w:sz="4" w:space="1" w:color="auto"/>
          <w:left w:val="single" w:sz="4" w:space="4" w:color="auto"/>
          <w:bottom w:val="single" w:sz="4" w:space="1" w:color="auto"/>
          <w:right w:val="single" w:sz="4" w:space="4" w:color="auto"/>
        </w:pBdr>
        <w:ind w:left="0" w:firstLine="0"/>
        <w:rPr>
          <w:iCs/>
          <w:vertAlign w:val="superscript"/>
        </w:rPr>
      </w:pPr>
      <w:r w:rsidRPr="0053376D">
        <w:t>The diagram above indicates some of the many care processes that can influence readmission risk. In general, randomized controlled trials have shown that improvement in the following areas can directly reduce readmission rates: quality of care during the initial admission; improvement in communication with patients, their caregivers, and their clinicians; patient education; pre</w:t>
      </w:r>
      <w:r w:rsidR="00957589">
        <w:t>-</w:t>
      </w:r>
      <w:r w:rsidRPr="0053376D">
        <w:t xml:space="preserve">discharge assessment; and coordination of care after discharge. Evidence that hospitals have been able to reduce readmission rates through these quality-of-care initiatives illustrates the degree to which hospital practices can affect readmission rates. Successful randomized trials have reduced 30-day readmission rates by 20-40% [1-11]. Since 2008, 14 Medicare Quality Improvement Organizations have been funded to focus on care transitions, applying lessons learned from clinical trials. Several have been notably successful in reducing readmissions. The strongest evidence supporting the efficacy of improved discharge processes and enhanced care at transitions is a randomized controlled trial by the Project RED (Re-Engineered Discharge) intervention, in which a nurse was assigned to each patient as a discharge advocate, responsible for patient education, follow-up, medication reconciliation, and preparing individualized discharge instructions sent to the patient’s primary care provider and there was a follow-up phone call from a pharmacist within </w:t>
      </w:r>
      <w:r w:rsidR="00957589">
        <w:t>four</w:t>
      </w:r>
      <w:r w:rsidR="00957589" w:rsidRPr="0053376D">
        <w:t xml:space="preserve"> </w:t>
      </w:r>
      <w:r w:rsidRPr="0053376D">
        <w:t>days of discharge</w:t>
      </w:r>
      <w:r w:rsidR="00957589">
        <w:t>, which</w:t>
      </w:r>
      <w:r w:rsidRPr="0053376D">
        <w:t xml:space="preserve"> demonstrated a 30% reduction in 30-day readmissions [1]. Hospital processes that reflect the quality of inpatient and outpatient care such as discharge planning, medication reconciliation, and coordination of outpatient care have been shown to reduce readmission rates [12]. Although readmission rates are also influenced by hospital system characteristics, such as the bed capacity of the local health care system, these hospital characteristics should not influence quality of care [13]. Therefore, this measure does not risk adjust for such hospital characteristics.</w:t>
      </w:r>
    </w:p>
    <w:p w14:paraId="4861CAB9" w14:textId="77777777" w:rsidR="0053376D" w:rsidRDefault="0053376D" w:rsidP="00E514EC">
      <w:pPr>
        <w:pBdr>
          <w:top w:val="single" w:sz="4" w:space="1" w:color="auto"/>
          <w:left w:val="single" w:sz="4" w:space="4" w:color="auto"/>
          <w:bottom w:val="single" w:sz="4" w:space="1" w:color="auto"/>
          <w:right w:val="single" w:sz="4" w:space="4" w:color="auto"/>
        </w:pBdr>
        <w:ind w:left="0" w:firstLine="0"/>
        <w:rPr>
          <w:iCs/>
        </w:rPr>
      </w:pPr>
    </w:p>
    <w:p w14:paraId="7717F86B"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Studies have estimated the rate of preventable readmissions to be as low as 12% and as high as 76% [14, 15]. Given that studies have shown readmissions to be related to quality of care, and that interventions have been able to reduce 30-day readmission rates, it is reasonable to consider an all-condition readmission rate as a quality measure.</w:t>
      </w:r>
    </w:p>
    <w:p w14:paraId="6DA207E5"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p>
    <w:p w14:paraId="7C15D319" w14:textId="546B4002"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The hospital-wide risk-standardized readmission rate (RSRR) measure is thus intended to inform quality-of-care improvement efforts, as individual process-based performance measures cannot encompass all the complex and critical aspects of care within a hospital that contribute to patient outcomes. As a result, many stakeholders, including patient organizations, are interested in outcome measures that allow patients and providers to assess relative outcomes performance for hospitals</w:t>
      </w:r>
      <w:r w:rsidR="00126B02">
        <w:rPr>
          <w:iCs/>
        </w:rPr>
        <w:t>.</w:t>
      </w:r>
      <w:r w:rsidRPr="0053376D">
        <w:rPr>
          <w:iCs/>
        </w:rPr>
        <w:t xml:space="preserve"> </w:t>
      </w:r>
    </w:p>
    <w:p w14:paraId="6C507079"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p>
    <w:p w14:paraId="64F7BEAD"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References:</w:t>
      </w:r>
    </w:p>
    <w:p w14:paraId="0F5AE245"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1. Jack BW, </w:t>
      </w:r>
      <w:proofErr w:type="spellStart"/>
      <w:r w:rsidRPr="0053376D">
        <w:rPr>
          <w:iCs/>
        </w:rPr>
        <w:t>Chetty</w:t>
      </w:r>
      <w:proofErr w:type="spellEnd"/>
      <w:r w:rsidRPr="0053376D">
        <w:rPr>
          <w:iCs/>
        </w:rPr>
        <w:t xml:space="preserve"> VK, Anthony D, Greenwald JL, Sanchez GM, Johnson AE, et al. A reengineered hospital discharge program to decrease </w:t>
      </w:r>
      <w:proofErr w:type="spellStart"/>
      <w:r w:rsidRPr="0053376D">
        <w:rPr>
          <w:iCs/>
        </w:rPr>
        <w:t>rehospitalization</w:t>
      </w:r>
      <w:proofErr w:type="spellEnd"/>
      <w:r w:rsidRPr="0053376D">
        <w:rPr>
          <w:iCs/>
        </w:rPr>
        <w:t>: a randomized trial. Ann Intern Med 2009</w:t>
      </w:r>
      <w:proofErr w:type="gramStart"/>
      <w:r w:rsidRPr="0053376D">
        <w:rPr>
          <w:iCs/>
        </w:rPr>
        <w:t>;150</w:t>
      </w:r>
      <w:proofErr w:type="gramEnd"/>
      <w:r w:rsidRPr="0053376D">
        <w:rPr>
          <w:iCs/>
        </w:rPr>
        <w:t>(3):178-87.</w:t>
      </w:r>
    </w:p>
    <w:p w14:paraId="2CA7285D"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2. Coleman EA, Smith JD, Frank JC, Min SJ, Parry C, Kramer AM. Preparing patients and caregivers to participate in care delivered across settings: the Care Transitions Intervention. J Am </w:t>
      </w:r>
      <w:proofErr w:type="spellStart"/>
      <w:r w:rsidRPr="0053376D">
        <w:rPr>
          <w:iCs/>
        </w:rPr>
        <w:t>Geriatr</w:t>
      </w:r>
      <w:proofErr w:type="spellEnd"/>
      <w:r w:rsidRPr="0053376D">
        <w:rPr>
          <w:iCs/>
        </w:rPr>
        <w:t xml:space="preserve"> </w:t>
      </w:r>
      <w:proofErr w:type="spellStart"/>
      <w:r w:rsidRPr="0053376D">
        <w:rPr>
          <w:iCs/>
        </w:rPr>
        <w:t>Soc</w:t>
      </w:r>
      <w:proofErr w:type="spellEnd"/>
      <w:r w:rsidRPr="0053376D">
        <w:rPr>
          <w:iCs/>
        </w:rPr>
        <w:t xml:space="preserve"> 2004</w:t>
      </w:r>
      <w:proofErr w:type="gramStart"/>
      <w:r w:rsidRPr="0053376D">
        <w:rPr>
          <w:iCs/>
        </w:rPr>
        <w:t>;52</w:t>
      </w:r>
      <w:proofErr w:type="gramEnd"/>
      <w:r w:rsidRPr="0053376D">
        <w:rPr>
          <w:iCs/>
        </w:rPr>
        <w:t>(11):1817-25.</w:t>
      </w:r>
    </w:p>
    <w:p w14:paraId="6AAAF964" w14:textId="23C45393" w:rsid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3. Courtney M, Edwards H, Chang A, Parker A, Finlayson K, Hamilton K. Fewer emergency readmissions and better quality of life for older adults at risk of hospital readmission: a randomized controlled trial to </w:t>
      </w:r>
      <w:r w:rsidRPr="0053376D">
        <w:rPr>
          <w:iCs/>
        </w:rPr>
        <w:lastRenderedPageBreak/>
        <w:t xml:space="preserve">determine the effectiveness of a 24-week exercise and telephone follow-up program. J Am </w:t>
      </w:r>
      <w:proofErr w:type="spellStart"/>
      <w:r w:rsidRPr="0053376D">
        <w:rPr>
          <w:iCs/>
        </w:rPr>
        <w:t>Geriatr</w:t>
      </w:r>
      <w:proofErr w:type="spellEnd"/>
      <w:r w:rsidRPr="0053376D">
        <w:rPr>
          <w:iCs/>
        </w:rPr>
        <w:t xml:space="preserve"> </w:t>
      </w:r>
      <w:proofErr w:type="spellStart"/>
      <w:r w:rsidRPr="0053376D">
        <w:rPr>
          <w:iCs/>
        </w:rPr>
        <w:t>Soc</w:t>
      </w:r>
      <w:proofErr w:type="spellEnd"/>
      <w:r w:rsidRPr="0053376D">
        <w:rPr>
          <w:iCs/>
        </w:rPr>
        <w:t xml:space="preserve"> 2009</w:t>
      </w:r>
      <w:proofErr w:type="gramStart"/>
      <w:r w:rsidRPr="0053376D">
        <w:rPr>
          <w:iCs/>
        </w:rPr>
        <w:t>;57</w:t>
      </w:r>
      <w:proofErr w:type="gramEnd"/>
      <w:r w:rsidRPr="0053376D">
        <w:rPr>
          <w:iCs/>
        </w:rPr>
        <w:t>(3):395-402.</w:t>
      </w:r>
    </w:p>
    <w:p w14:paraId="1BAB5FDB"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4. </w:t>
      </w:r>
      <w:proofErr w:type="spellStart"/>
      <w:r w:rsidRPr="0053376D">
        <w:rPr>
          <w:iCs/>
        </w:rPr>
        <w:t>Garasen</w:t>
      </w:r>
      <w:proofErr w:type="spellEnd"/>
      <w:r w:rsidRPr="0053376D">
        <w:rPr>
          <w:iCs/>
        </w:rPr>
        <w:t xml:space="preserve"> H, </w:t>
      </w:r>
      <w:proofErr w:type="spellStart"/>
      <w:r w:rsidRPr="0053376D">
        <w:rPr>
          <w:iCs/>
        </w:rPr>
        <w:t>Windspoll</w:t>
      </w:r>
      <w:proofErr w:type="spellEnd"/>
      <w:r w:rsidRPr="0053376D">
        <w:rPr>
          <w:iCs/>
        </w:rPr>
        <w:t xml:space="preserve"> R, </w:t>
      </w:r>
      <w:proofErr w:type="spellStart"/>
      <w:r w:rsidRPr="0053376D">
        <w:rPr>
          <w:iCs/>
        </w:rPr>
        <w:t>Johnsen</w:t>
      </w:r>
      <w:proofErr w:type="spellEnd"/>
      <w:r w:rsidRPr="0053376D">
        <w:rPr>
          <w:iCs/>
        </w:rPr>
        <w:t xml:space="preserve"> R. Intermediate care at a community hospital as an alternative to prolonged general hospital care for elderly patients: a </w:t>
      </w:r>
      <w:proofErr w:type="spellStart"/>
      <w:r w:rsidRPr="0053376D">
        <w:rPr>
          <w:iCs/>
        </w:rPr>
        <w:t>randomised</w:t>
      </w:r>
      <w:proofErr w:type="spellEnd"/>
      <w:r w:rsidRPr="0053376D">
        <w:rPr>
          <w:iCs/>
        </w:rPr>
        <w:t xml:space="preserve"> controlled trial. BMC Public Health 2007</w:t>
      </w:r>
      <w:proofErr w:type="gramStart"/>
      <w:r w:rsidRPr="0053376D">
        <w:rPr>
          <w:iCs/>
        </w:rPr>
        <w:t>;7:68</w:t>
      </w:r>
      <w:proofErr w:type="gramEnd"/>
      <w:r w:rsidRPr="0053376D">
        <w:rPr>
          <w:iCs/>
        </w:rPr>
        <w:t>.</w:t>
      </w:r>
    </w:p>
    <w:p w14:paraId="188912E7"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5. Koehler BE, Richter KM, Youngblood L, Cohen BA, </w:t>
      </w:r>
      <w:proofErr w:type="spellStart"/>
      <w:r w:rsidRPr="0053376D">
        <w:rPr>
          <w:iCs/>
        </w:rPr>
        <w:t>Prengler</w:t>
      </w:r>
      <w:proofErr w:type="spellEnd"/>
      <w:r w:rsidRPr="0053376D">
        <w:rPr>
          <w:iCs/>
        </w:rPr>
        <w:t xml:space="preserve"> ID, Cheng D, et al. Reduction of 30-day </w:t>
      </w:r>
      <w:proofErr w:type="spellStart"/>
      <w:r w:rsidRPr="0053376D">
        <w:rPr>
          <w:iCs/>
        </w:rPr>
        <w:t>postdischarge</w:t>
      </w:r>
      <w:proofErr w:type="spellEnd"/>
      <w:r w:rsidRPr="0053376D">
        <w:rPr>
          <w:iCs/>
        </w:rPr>
        <w:t xml:space="preserve"> hospital readmission or emergency department (ED) visit rates in high-risk elderly medical patients through delivery of a targeted care bundle. J </w:t>
      </w:r>
      <w:proofErr w:type="spellStart"/>
      <w:r w:rsidRPr="0053376D">
        <w:rPr>
          <w:iCs/>
        </w:rPr>
        <w:t>Hosp</w:t>
      </w:r>
      <w:proofErr w:type="spellEnd"/>
      <w:r w:rsidRPr="0053376D">
        <w:rPr>
          <w:iCs/>
        </w:rPr>
        <w:t xml:space="preserve"> Med 2009</w:t>
      </w:r>
      <w:proofErr w:type="gramStart"/>
      <w:r w:rsidRPr="0053376D">
        <w:rPr>
          <w:iCs/>
        </w:rPr>
        <w:t>;4</w:t>
      </w:r>
      <w:proofErr w:type="gramEnd"/>
      <w:r w:rsidRPr="0053376D">
        <w:rPr>
          <w:iCs/>
        </w:rPr>
        <w:t>(4):211-218.</w:t>
      </w:r>
    </w:p>
    <w:p w14:paraId="5DA6E030"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6. </w:t>
      </w:r>
      <w:proofErr w:type="spellStart"/>
      <w:r w:rsidRPr="0053376D">
        <w:rPr>
          <w:iCs/>
        </w:rPr>
        <w:t>Mistiaen</w:t>
      </w:r>
      <w:proofErr w:type="spellEnd"/>
      <w:r w:rsidRPr="0053376D">
        <w:rPr>
          <w:iCs/>
        </w:rPr>
        <w:t xml:space="preserve"> P, </w:t>
      </w:r>
      <w:proofErr w:type="spellStart"/>
      <w:r w:rsidRPr="0053376D">
        <w:rPr>
          <w:iCs/>
        </w:rPr>
        <w:t>Francke</w:t>
      </w:r>
      <w:proofErr w:type="spellEnd"/>
      <w:r w:rsidRPr="0053376D">
        <w:rPr>
          <w:iCs/>
        </w:rPr>
        <w:t xml:space="preserve"> AL, </w:t>
      </w:r>
      <w:proofErr w:type="spellStart"/>
      <w:r w:rsidRPr="0053376D">
        <w:rPr>
          <w:iCs/>
        </w:rPr>
        <w:t>Poot</w:t>
      </w:r>
      <w:proofErr w:type="spellEnd"/>
      <w:r w:rsidRPr="0053376D">
        <w:rPr>
          <w:iCs/>
        </w:rPr>
        <w:t xml:space="preserve"> E. Interventions aimed at reducing problems in adult patients discharged from hospital to home: a systematic </w:t>
      </w:r>
      <w:proofErr w:type="spellStart"/>
      <w:r w:rsidRPr="0053376D">
        <w:rPr>
          <w:iCs/>
        </w:rPr>
        <w:t>metareview</w:t>
      </w:r>
      <w:proofErr w:type="spellEnd"/>
      <w:r w:rsidRPr="0053376D">
        <w:rPr>
          <w:iCs/>
        </w:rPr>
        <w:t xml:space="preserve">. BMC Health </w:t>
      </w:r>
      <w:proofErr w:type="spellStart"/>
      <w:r w:rsidRPr="0053376D">
        <w:rPr>
          <w:iCs/>
        </w:rPr>
        <w:t>Serv</w:t>
      </w:r>
      <w:proofErr w:type="spellEnd"/>
      <w:r w:rsidRPr="0053376D">
        <w:rPr>
          <w:iCs/>
        </w:rPr>
        <w:t xml:space="preserve"> Res 2007</w:t>
      </w:r>
      <w:proofErr w:type="gramStart"/>
      <w:r w:rsidRPr="0053376D">
        <w:rPr>
          <w:iCs/>
        </w:rPr>
        <w:t>;7:47</w:t>
      </w:r>
      <w:proofErr w:type="gramEnd"/>
      <w:r w:rsidRPr="0053376D">
        <w:rPr>
          <w:iCs/>
        </w:rPr>
        <w:t>.</w:t>
      </w:r>
    </w:p>
    <w:p w14:paraId="65F37B16"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7. Naylor M, </w:t>
      </w:r>
      <w:proofErr w:type="spellStart"/>
      <w:r w:rsidRPr="0053376D">
        <w:rPr>
          <w:iCs/>
        </w:rPr>
        <w:t>Brooten</w:t>
      </w:r>
      <w:proofErr w:type="spellEnd"/>
      <w:r w:rsidRPr="0053376D">
        <w:rPr>
          <w:iCs/>
        </w:rPr>
        <w:t xml:space="preserve"> D, Jones R, </w:t>
      </w:r>
      <w:proofErr w:type="spellStart"/>
      <w:r w:rsidRPr="0053376D">
        <w:rPr>
          <w:iCs/>
        </w:rPr>
        <w:t>Lavizzo-Mourey</w:t>
      </w:r>
      <w:proofErr w:type="spellEnd"/>
      <w:r w:rsidRPr="0053376D">
        <w:rPr>
          <w:iCs/>
        </w:rPr>
        <w:t xml:space="preserve"> R, </w:t>
      </w:r>
      <w:proofErr w:type="spellStart"/>
      <w:r w:rsidRPr="0053376D">
        <w:rPr>
          <w:iCs/>
        </w:rPr>
        <w:t>Mezey</w:t>
      </w:r>
      <w:proofErr w:type="spellEnd"/>
      <w:r w:rsidRPr="0053376D">
        <w:rPr>
          <w:iCs/>
        </w:rPr>
        <w:t xml:space="preserve"> M, </w:t>
      </w:r>
      <w:proofErr w:type="spellStart"/>
      <w:r w:rsidRPr="0053376D">
        <w:rPr>
          <w:iCs/>
        </w:rPr>
        <w:t>Pauly</w:t>
      </w:r>
      <w:proofErr w:type="spellEnd"/>
      <w:r w:rsidRPr="0053376D">
        <w:rPr>
          <w:iCs/>
        </w:rPr>
        <w:t xml:space="preserve"> M. Comprehensive discharge planning for the hospitalized elderly. A randomized clinical trial. Ann Intern Med 1994</w:t>
      </w:r>
      <w:proofErr w:type="gramStart"/>
      <w:r w:rsidRPr="0053376D">
        <w:rPr>
          <w:iCs/>
        </w:rPr>
        <w:t>;120</w:t>
      </w:r>
      <w:proofErr w:type="gramEnd"/>
      <w:r w:rsidRPr="0053376D">
        <w:rPr>
          <w:iCs/>
        </w:rPr>
        <w:t>(12):999-1006.</w:t>
      </w:r>
    </w:p>
    <w:p w14:paraId="48C5D92D"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8. Naylor MD, </w:t>
      </w:r>
      <w:proofErr w:type="spellStart"/>
      <w:r w:rsidRPr="0053376D">
        <w:rPr>
          <w:iCs/>
        </w:rPr>
        <w:t>Brooten</w:t>
      </w:r>
      <w:proofErr w:type="spellEnd"/>
      <w:r w:rsidRPr="0053376D">
        <w:rPr>
          <w:iCs/>
        </w:rPr>
        <w:t xml:space="preserve"> D, Campbell R, Jacobsen BS, </w:t>
      </w:r>
      <w:proofErr w:type="spellStart"/>
      <w:r w:rsidRPr="0053376D">
        <w:rPr>
          <w:iCs/>
        </w:rPr>
        <w:t>Mezey</w:t>
      </w:r>
      <w:proofErr w:type="spellEnd"/>
      <w:r w:rsidRPr="0053376D">
        <w:rPr>
          <w:iCs/>
        </w:rPr>
        <w:t xml:space="preserve"> MD, </w:t>
      </w:r>
      <w:proofErr w:type="spellStart"/>
      <w:r w:rsidRPr="0053376D">
        <w:rPr>
          <w:iCs/>
        </w:rPr>
        <w:t>Pauly</w:t>
      </w:r>
      <w:proofErr w:type="spellEnd"/>
      <w:r w:rsidRPr="0053376D">
        <w:rPr>
          <w:iCs/>
        </w:rPr>
        <w:t xml:space="preserve"> MV, et al. Comprehensive discharge planning and home follow-up of hospitalized elders: a randomized clinical trial. </w:t>
      </w:r>
      <w:proofErr w:type="spellStart"/>
      <w:r w:rsidRPr="0053376D">
        <w:rPr>
          <w:iCs/>
        </w:rPr>
        <w:t>Jama</w:t>
      </w:r>
      <w:proofErr w:type="spellEnd"/>
      <w:r w:rsidRPr="0053376D">
        <w:rPr>
          <w:iCs/>
        </w:rPr>
        <w:t xml:space="preserve"> 1999</w:t>
      </w:r>
      <w:proofErr w:type="gramStart"/>
      <w:r w:rsidRPr="0053376D">
        <w:rPr>
          <w:iCs/>
        </w:rPr>
        <w:t>;281</w:t>
      </w:r>
      <w:proofErr w:type="gramEnd"/>
      <w:r w:rsidRPr="0053376D">
        <w:rPr>
          <w:iCs/>
        </w:rPr>
        <w:t>(7):613-20.</w:t>
      </w:r>
    </w:p>
    <w:p w14:paraId="6929798C"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9. van </w:t>
      </w:r>
      <w:proofErr w:type="spellStart"/>
      <w:r w:rsidRPr="0053376D">
        <w:rPr>
          <w:iCs/>
        </w:rPr>
        <w:t>Walraven</w:t>
      </w:r>
      <w:proofErr w:type="spellEnd"/>
      <w:r w:rsidRPr="0053376D">
        <w:rPr>
          <w:iCs/>
        </w:rPr>
        <w:t xml:space="preserve"> C, Seth R, Austin PC, </w:t>
      </w:r>
      <w:proofErr w:type="spellStart"/>
      <w:r w:rsidRPr="0053376D">
        <w:rPr>
          <w:iCs/>
        </w:rPr>
        <w:t>Laupacis</w:t>
      </w:r>
      <w:proofErr w:type="spellEnd"/>
      <w:r w:rsidRPr="0053376D">
        <w:rPr>
          <w:iCs/>
        </w:rPr>
        <w:t xml:space="preserve"> A. Effect of discharge summary availability during post-discharge visits on hospital readmission. J Gen Intern Med 2002</w:t>
      </w:r>
      <w:proofErr w:type="gramStart"/>
      <w:r w:rsidRPr="0053376D">
        <w:rPr>
          <w:iCs/>
        </w:rPr>
        <w:t>;17</w:t>
      </w:r>
      <w:proofErr w:type="gramEnd"/>
      <w:r w:rsidRPr="0053376D">
        <w:rPr>
          <w:iCs/>
        </w:rPr>
        <w:t>(3):186-92.</w:t>
      </w:r>
    </w:p>
    <w:p w14:paraId="7728E6C4"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10. Weiss M, </w:t>
      </w:r>
      <w:proofErr w:type="spellStart"/>
      <w:r w:rsidRPr="0053376D">
        <w:rPr>
          <w:iCs/>
        </w:rPr>
        <w:t>Yakusheva</w:t>
      </w:r>
      <w:proofErr w:type="spellEnd"/>
      <w:r w:rsidRPr="0053376D">
        <w:rPr>
          <w:iCs/>
        </w:rPr>
        <w:t xml:space="preserve"> O, </w:t>
      </w:r>
      <w:proofErr w:type="spellStart"/>
      <w:r w:rsidRPr="0053376D">
        <w:rPr>
          <w:iCs/>
        </w:rPr>
        <w:t>Bobay</w:t>
      </w:r>
      <w:proofErr w:type="spellEnd"/>
      <w:r w:rsidRPr="0053376D">
        <w:rPr>
          <w:iCs/>
        </w:rPr>
        <w:t xml:space="preserve"> K. Nurse and patient perceptions of discharge readiness in relation to </w:t>
      </w:r>
      <w:proofErr w:type="spellStart"/>
      <w:r w:rsidRPr="0053376D">
        <w:rPr>
          <w:iCs/>
        </w:rPr>
        <w:t>postdischarge</w:t>
      </w:r>
      <w:proofErr w:type="spellEnd"/>
      <w:r w:rsidRPr="0053376D">
        <w:rPr>
          <w:iCs/>
        </w:rPr>
        <w:t xml:space="preserve"> utilization. Med Care 2010</w:t>
      </w:r>
      <w:proofErr w:type="gramStart"/>
      <w:r w:rsidRPr="0053376D">
        <w:rPr>
          <w:iCs/>
        </w:rPr>
        <w:t>;48</w:t>
      </w:r>
      <w:proofErr w:type="gramEnd"/>
      <w:r w:rsidRPr="0053376D">
        <w:rPr>
          <w:iCs/>
        </w:rPr>
        <w:t>(5):482-6.</w:t>
      </w:r>
    </w:p>
    <w:p w14:paraId="7729F785"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11. Krumholz HM, </w:t>
      </w:r>
      <w:proofErr w:type="spellStart"/>
      <w:r w:rsidRPr="0053376D">
        <w:rPr>
          <w:iCs/>
        </w:rPr>
        <w:t>Amatruda</w:t>
      </w:r>
      <w:proofErr w:type="spellEnd"/>
      <w:r w:rsidRPr="0053376D">
        <w:rPr>
          <w:iCs/>
        </w:rPr>
        <w:t xml:space="preserve"> J, Smith GL, et al. Randomized trial of an education and support intervention to prevent readmission of patients with heart failure. J Am </w:t>
      </w:r>
      <w:proofErr w:type="spellStart"/>
      <w:r w:rsidRPr="0053376D">
        <w:rPr>
          <w:iCs/>
        </w:rPr>
        <w:t>Coll</w:t>
      </w:r>
      <w:proofErr w:type="spellEnd"/>
      <w:r w:rsidRPr="0053376D">
        <w:rPr>
          <w:iCs/>
        </w:rPr>
        <w:t xml:space="preserve"> </w:t>
      </w:r>
      <w:proofErr w:type="spellStart"/>
      <w:r w:rsidRPr="0053376D">
        <w:rPr>
          <w:iCs/>
        </w:rPr>
        <w:t>Cardiol</w:t>
      </w:r>
      <w:proofErr w:type="spellEnd"/>
      <w:r w:rsidRPr="0053376D">
        <w:rPr>
          <w:iCs/>
        </w:rPr>
        <w:t>. Jan 2 2002</w:t>
      </w:r>
      <w:proofErr w:type="gramStart"/>
      <w:r w:rsidRPr="0053376D">
        <w:rPr>
          <w:iCs/>
        </w:rPr>
        <w:t>;39</w:t>
      </w:r>
      <w:proofErr w:type="gramEnd"/>
      <w:r w:rsidRPr="0053376D">
        <w:rPr>
          <w:iCs/>
        </w:rPr>
        <w:t>(1):83-89.</w:t>
      </w:r>
    </w:p>
    <w:p w14:paraId="20098F25"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12. Nelson EA, </w:t>
      </w:r>
      <w:proofErr w:type="spellStart"/>
      <w:r w:rsidRPr="0053376D">
        <w:rPr>
          <w:iCs/>
        </w:rPr>
        <w:t>Maruish</w:t>
      </w:r>
      <w:proofErr w:type="spellEnd"/>
      <w:r w:rsidRPr="0053376D">
        <w:rPr>
          <w:iCs/>
        </w:rPr>
        <w:t xml:space="preserve"> ME, </w:t>
      </w:r>
      <w:proofErr w:type="spellStart"/>
      <w:r w:rsidRPr="0053376D">
        <w:rPr>
          <w:iCs/>
        </w:rPr>
        <w:t>Axler</w:t>
      </w:r>
      <w:proofErr w:type="spellEnd"/>
      <w:r w:rsidRPr="0053376D">
        <w:rPr>
          <w:iCs/>
        </w:rPr>
        <w:t xml:space="preserve"> JL. Effects of Discharge Planning and Compliance </w:t>
      </w:r>
      <w:proofErr w:type="gramStart"/>
      <w:r w:rsidRPr="0053376D">
        <w:rPr>
          <w:iCs/>
        </w:rPr>
        <w:t>With</w:t>
      </w:r>
      <w:proofErr w:type="gramEnd"/>
      <w:r w:rsidRPr="0053376D">
        <w:rPr>
          <w:iCs/>
        </w:rPr>
        <w:t xml:space="preserve"> Outpatient Appointments on Readmission Rates. </w:t>
      </w:r>
      <w:proofErr w:type="spellStart"/>
      <w:r w:rsidRPr="0053376D">
        <w:rPr>
          <w:iCs/>
        </w:rPr>
        <w:t>Psychiatr</w:t>
      </w:r>
      <w:proofErr w:type="spellEnd"/>
      <w:r w:rsidRPr="0053376D">
        <w:rPr>
          <w:iCs/>
        </w:rPr>
        <w:t xml:space="preserve"> Serv. July 1 2000</w:t>
      </w:r>
      <w:proofErr w:type="gramStart"/>
      <w:r w:rsidRPr="0053376D">
        <w:rPr>
          <w:iCs/>
        </w:rPr>
        <w:t>;51</w:t>
      </w:r>
      <w:proofErr w:type="gramEnd"/>
      <w:r w:rsidRPr="0053376D">
        <w:rPr>
          <w:iCs/>
        </w:rPr>
        <w:t>(7):885-889.</w:t>
      </w:r>
    </w:p>
    <w:p w14:paraId="29C55296"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13. Fisher ES, </w:t>
      </w:r>
      <w:proofErr w:type="spellStart"/>
      <w:r w:rsidRPr="0053376D">
        <w:rPr>
          <w:iCs/>
        </w:rPr>
        <w:t>Wennberg</w:t>
      </w:r>
      <w:proofErr w:type="spellEnd"/>
      <w:r w:rsidRPr="0053376D">
        <w:rPr>
          <w:iCs/>
        </w:rPr>
        <w:t xml:space="preserve"> JE, </w:t>
      </w:r>
      <w:proofErr w:type="spellStart"/>
      <w:r w:rsidRPr="0053376D">
        <w:rPr>
          <w:iCs/>
        </w:rPr>
        <w:t>Stukel</w:t>
      </w:r>
      <w:proofErr w:type="spellEnd"/>
      <w:r w:rsidRPr="0053376D">
        <w:rPr>
          <w:iCs/>
        </w:rPr>
        <w:t xml:space="preserve"> TA, Sharp SM. Hospital Readmission Rates for Cohorts of Medicare Beneficiaries in Boston and New Haven. New England Journal of Medicine. 1994</w:t>
      </w:r>
      <w:proofErr w:type="gramStart"/>
      <w:r w:rsidRPr="0053376D">
        <w:rPr>
          <w:iCs/>
        </w:rPr>
        <w:t>;331</w:t>
      </w:r>
      <w:proofErr w:type="gramEnd"/>
      <w:r w:rsidRPr="0053376D">
        <w:rPr>
          <w:iCs/>
        </w:rPr>
        <w:t>(15):989-995.</w:t>
      </w:r>
    </w:p>
    <w:p w14:paraId="11FE1DA9" w14:textId="77777777" w:rsidR="0053376D" w:rsidRPr="0053376D"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 xml:space="preserve">14. </w:t>
      </w:r>
      <w:proofErr w:type="spellStart"/>
      <w:r w:rsidRPr="0053376D">
        <w:rPr>
          <w:iCs/>
        </w:rPr>
        <w:t>Benbassat</w:t>
      </w:r>
      <w:proofErr w:type="spellEnd"/>
      <w:r w:rsidRPr="0053376D">
        <w:rPr>
          <w:iCs/>
        </w:rPr>
        <w:t xml:space="preserve"> J, </w:t>
      </w:r>
      <w:proofErr w:type="spellStart"/>
      <w:r w:rsidRPr="0053376D">
        <w:rPr>
          <w:iCs/>
        </w:rPr>
        <w:t>Taragin</w:t>
      </w:r>
      <w:proofErr w:type="spellEnd"/>
      <w:r w:rsidRPr="0053376D">
        <w:rPr>
          <w:iCs/>
        </w:rPr>
        <w:t xml:space="preserve"> M. Hospital readmissions as a measure of quality of health care: advantages and limitations. Archives of Internal Medicine 2000</w:t>
      </w:r>
      <w:proofErr w:type="gramStart"/>
      <w:r w:rsidRPr="0053376D">
        <w:rPr>
          <w:iCs/>
        </w:rPr>
        <w:t>;160</w:t>
      </w:r>
      <w:proofErr w:type="gramEnd"/>
      <w:r w:rsidRPr="0053376D">
        <w:rPr>
          <w:iCs/>
        </w:rPr>
        <w:t>(8):1074-81.</w:t>
      </w:r>
    </w:p>
    <w:p w14:paraId="3E5A8963" w14:textId="4B14FB69" w:rsidR="00E514EC" w:rsidRPr="00E514EC" w:rsidRDefault="0053376D" w:rsidP="0053376D">
      <w:pPr>
        <w:pBdr>
          <w:top w:val="single" w:sz="4" w:space="1" w:color="auto"/>
          <w:left w:val="single" w:sz="4" w:space="4" w:color="auto"/>
          <w:bottom w:val="single" w:sz="4" w:space="1" w:color="auto"/>
          <w:right w:val="single" w:sz="4" w:space="4" w:color="auto"/>
        </w:pBdr>
        <w:ind w:left="0" w:firstLine="0"/>
        <w:rPr>
          <w:iCs/>
        </w:rPr>
      </w:pPr>
      <w:r w:rsidRPr="0053376D">
        <w:rPr>
          <w:iCs/>
        </w:rPr>
        <w:t>15. Medicare Payment Advisory Commission (U.S.). Report to the Congress promoting greater efficiency in Medicare. Washington, DC: Medicare Payment Advisory Commission, 2007</w:t>
      </w:r>
      <w:r>
        <w:rPr>
          <w:iCs/>
        </w:rPr>
        <w:t>.</w:t>
      </w:r>
    </w:p>
    <w:p w14:paraId="3255807E" w14:textId="77777777" w:rsidR="002B06BD" w:rsidRDefault="002B06BD" w:rsidP="002E2177">
      <w:pPr>
        <w:ind w:left="0" w:firstLine="0"/>
        <w:rPr>
          <w:b/>
          <w:iCs/>
          <w:caps/>
        </w:rPr>
      </w:pPr>
    </w:p>
    <w:p w14:paraId="152F4056" w14:textId="77777777" w:rsidR="005069B8" w:rsidRPr="005069B8" w:rsidRDefault="005069B8" w:rsidP="002E2177">
      <w:pPr>
        <w:ind w:left="0" w:firstLine="0"/>
        <w:rPr>
          <w:i/>
          <w:iCs/>
        </w:rPr>
      </w:pPr>
      <w:r w:rsidRPr="007E67CD">
        <w:rPr>
          <w:i/>
          <w:iCs/>
          <w:u w:val="single"/>
        </w:rPr>
        <w:t>Note</w:t>
      </w:r>
      <w:r w:rsidRPr="007E67CD">
        <w:rPr>
          <w:i/>
          <w:iCs/>
        </w:rPr>
        <w:t xml:space="preserve">:  For health outcome performance measures, no further information is required; however, you may provide evidence for any of the structures, processes, interventions, or service identified above. </w:t>
      </w:r>
    </w:p>
    <w:p w14:paraId="50C3DF8F" w14:textId="77777777" w:rsidR="005069B8" w:rsidRDefault="005069B8" w:rsidP="002E2177">
      <w:pPr>
        <w:ind w:left="0" w:firstLine="0"/>
        <w:rPr>
          <w:b/>
          <w:iCs/>
          <w:caps/>
        </w:rPr>
      </w:pPr>
    </w:p>
    <w:p w14:paraId="05645342" w14:textId="77777777"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14:paraId="74DACA70" w14:textId="77777777" w:rsidR="00496AF8" w:rsidRDefault="002B06BD" w:rsidP="002E2177">
      <w:pPr>
        <w:ind w:left="0" w:firstLine="0"/>
        <w:rPr>
          <w:i/>
          <w:iCs/>
        </w:rPr>
      </w:pPr>
      <w:bookmarkStart w:id="6" w:name="Section1a3"/>
      <w:bookmarkEnd w:id="6"/>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14:paraId="7C80681F" w14:textId="77777777" w:rsidR="0053376D" w:rsidRDefault="0053376D" w:rsidP="0053376D">
      <w:pPr>
        <w:pBdr>
          <w:top w:val="single" w:sz="4" w:space="1" w:color="auto"/>
          <w:left w:val="single" w:sz="4" w:space="4" w:color="auto"/>
          <w:bottom w:val="single" w:sz="4" w:space="1" w:color="auto"/>
          <w:right w:val="single" w:sz="4" w:space="4" w:color="auto"/>
        </w:pBdr>
        <w:spacing w:after="240"/>
        <w:ind w:left="0" w:firstLine="0"/>
        <w:rPr>
          <w:iCs/>
        </w:rPr>
      </w:pPr>
      <w:r>
        <w:rPr>
          <w:iCs/>
        </w:rPr>
        <w:t>N/A. This measure is not an intermediate outcome, process, or structure performance measure.</w:t>
      </w:r>
    </w:p>
    <w:p w14:paraId="7C91740C" w14:textId="77777777"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14:paraId="731DE638" w14:textId="77777777" w:rsidR="00FD4D82" w:rsidRDefault="009574BD" w:rsidP="002E2177">
      <w:pPr>
        <w:ind w:left="0" w:firstLine="0"/>
      </w:pPr>
      <w:sdt>
        <w:sdtPr>
          <w:rPr>
            <w:bCs/>
            <w:color w:val="0000FF"/>
          </w:rPr>
          <w:id w:val="-468508862"/>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14:paraId="5D15E7E8" w14:textId="77777777" w:rsidR="00FD4D82" w:rsidRDefault="009574BD" w:rsidP="002E2177">
      <w:pPr>
        <w:ind w:left="0" w:firstLine="0"/>
        <w:rPr>
          <w:b/>
          <w:i/>
        </w:rPr>
      </w:pPr>
      <w:sdt>
        <w:sdtPr>
          <w:rPr>
            <w:bCs/>
            <w:color w:val="0000FF"/>
          </w:rPr>
          <w:id w:val="-411317169"/>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14:paraId="2C6E88F9" w14:textId="77777777" w:rsidR="007573F0" w:rsidRDefault="009574BD" w:rsidP="002E2177">
      <w:pPr>
        <w:ind w:left="0" w:firstLine="0"/>
      </w:pPr>
      <w:sdt>
        <w:sdtPr>
          <w:rPr>
            <w:bCs/>
            <w:color w:val="0000FF"/>
          </w:rPr>
          <w:id w:val="1199589694"/>
          <w14:checkbox>
            <w14:checked w14:val="0"/>
            <w14:checkedState w14:val="2612" w14:font="Meiryo"/>
            <w14:uncheckedState w14:val="2610" w14:font="Meiryo"/>
          </w14:checkbox>
        </w:sdtPr>
        <w:sdtEndPr/>
        <w:sdtContent>
          <w:r w:rsidR="00BA42AC">
            <w:rPr>
              <w:rFonts w:ascii="Meiryo" w:eastAsia="Meiryo" w:hAnsi="Meiryo" w:cs="Meiryo"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14:paraId="27897C32" w14:textId="77777777" w:rsidR="00FD4D82" w:rsidRDefault="009574BD" w:rsidP="002E2177">
      <w:pPr>
        <w:ind w:left="0" w:firstLine="0"/>
      </w:pPr>
      <w:sdt>
        <w:sdtPr>
          <w:rPr>
            <w:bCs/>
            <w:color w:val="0000FF"/>
          </w:rPr>
          <w:id w:val="302275832"/>
          <w14:checkbox>
            <w14:checked w14:val="0"/>
            <w14:checkedState w14:val="2612" w14:font="Meiryo"/>
            <w14:uncheckedState w14:val="2610" w14:font="Meiryo"/>
          </w14:checkbox>
        </w:sdtPr>
        <w:sdtEndPr/>
        <w:sdtContent>
          <w:r w:rsidR="005069B8">
            <w:rPr>
              <w:rFonts w:ascii="Meiryo" w:eastAsia="Meiryo" w:hAnsi="Meiryo" w:cs="Meiryo" w:hint="eastAsia"/>
              <w:bCs/>
              <w:color w:val="0000FF"/>
            </w:rPr>
            <w:t>☐</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14:paraId="606E456E" w14:textId="77777777" w:rsidR="00FD4D82" w:rsidRDefault="00FD4D82" w:rsidP="002E2177">
      <w:pPr>
        <w:ind w:left="0" w:firstLine="0"/>
      </w:pPr>
    </w:p>
    <w:p w14:paraId="016A80CE" w14:textId="77777777"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14:paraId="6DDC0B44" w14:textId="77777777" w:rsidR="00201FF9" w:rsidRDefault="00201FF9" w:rsidP="002E2177">
      <w:pPr>
        <w:ind w:left="0" w:firstLine="0"/>
        <w:rPr>
          <w:b/>
          <w:color w:val="0070C0"/>
        </w:rPr>
      </w:pPr>
    </w:p>
    <w:p w14:paraId="2DA924E5" w14:textId="77777777" w:rsidR="009B5BEA" w:rsidRPr="00FD4D82" w:rsidRDefault="00FD4D82" w:rsidP="002E2177">
      <w:pPr>
        <w:ind w:left="0" w:firstLine="0"/>
        <w:rPr>
          <w:b/>
        </w:rPr>
      </w:pPr>
      <w:bookmarkStart w:id="7" w:name="Section1a4"/>
      <w:bookmarkEnd w:id="7"/>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14:paraId="4CF92781" w14:textId="77777777"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14:paraId="0D6D5031" w14:textId="77777777" w:rsidR="005069B8" w:rsidRDefault="005069B8" w:rsidP="002E2177">
      <w:pPr>
        <w:ind w:left="0" w:firstLine="0"/>
        <w:rPr>
          <w:rFonts w:ascii="Arial" w:hAnsi="Arial" w:cs="Arial"/>
          <w:sz w:val="20"/>
          <w:szCs w:val="20"/>
        </w:rPr>
      </w:pPr>
    </w:p>
    <w:p w14:paraId="35AA107D" w14:textId="77777777" w:rsidR="006F4B7F" w:rsidRDefault="006F4B7F" w:rsidP="002E2177">
      <w:pPr>
        <w:ind w:left="0" w:firstLine="0"/>
        <w:rPr>
          <w:color w:val="0000FF"/>
        </w:rPr>
      </w:pPr>
    </w:p>
    <w:p w14:paraId="58475716" w14:textId="77777777"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14:paraId="43E4D25D" w14:textId="77777777" w:rsidR="00496AF8" w:rsidRPr="000D649E" w:rsidRDefault="00496AF8" w:rsidP="002E2177">
      <w:pPr>
        <w:ind w:left="0" w:firstLine="0"/>
      </w:pPr>
    </w:p>
    <w:p w14:paraId="3C671ECA" w14:textId="77777777" w:rsidR="00496AF8" w:rsidRPr="00DA7FA2" w:rsidRDefault="00496AF8" w:rsidP="002E2177">
      <w:pPr>
        <w:ind w:left="0" w:firstLine="0"/>
      </w:pPr>
    </w:p>
    <w:p w14:paraId="5B14FF87" w14:textId="77777777"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14:paraId="4F9BB735" w14:textId="77777777" w:rsidR="008A45F3" w:rsidRDefault="008A45F3" w:rsidP="00265702">
      <w:pPr>
        <w:ind w:left="0" w:firstLine="0"/>
      </w:pPr>
    </w:p>
    <w:p w14:paraId="23D04BF0" w14:textId="77777777" w:rsidR="008A45F3" w:rsidRDefault="008A45F3" w:rsidP="00265702">
      <w:pPr>
        <w:ind w:left="0" w:firstLine="0"/>
      </w:pPr>
    </w:p>
    <w:p w14:paraId="08FE0E4F" w14:textId="77777777" w:rsidR="00265702" w:rsidRPr="007573F0" w:rsidRDefault="00965FF6" w:rsidP="0026570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14:paraId="15779131" w14:textId="77777777" w:rsidR="00A12762" w:rsidRDefault="00A12762" w:rsidP="00265702">
      <w:pPr>
        <w:ind w:left="0" w:firstLine="0"/>
        <w:rPr>
          <w:b/>
        </w:rPr>
      </w:pPr>
    </w:p>
    <w:p w14:paraId="2709C9E3" w14:textId="77777777" w:rsidR="00850C35" w:rsidRDefault="00850C35" w:rsidP="00265702">
      <w:pPr>
        <w:ind w:left="0" w:firstLine="0"/>
        <w:rPr>
          <w:b/>
        </w:rPr>
      </w:pPr>
    </w:p>
    <w:p w14:paraId="3D92CF13" w14:textId="77777777"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14:paraId="441EDBED" w14:textId="77777777" w:rsidR="00736AEC" w:rsidRDefault="00736AEC" w:rsidP="002E2177">
      <w:pPr>
        <w:ind w:left="432" w:hanging="432"/>
        <w:rPr>
          <w:color w:val="0000FF"/>
        </w:rPr>
      </w:pPr>
    </w:p>
    <w:p w14:paraId="6EE7ECA2" w14:textId="77777777"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14:paraId="526E0560" w14:textId="77777777" w:rsidR="00FC32D3" w:rsidRDefault="009574BD" w:rsidP="00FC32D3">
      <w:pPr>
        <w:ind w:left="720" w:hanging="432"/>
        <w:rPr>
          <w:b/>
        </w:rPr>
      </w:pPr>
      <w:sdt>
        <w:sdtPr>
          <w:rPr>
            <w:bCs/>
            <w:color w:val="0000FF"/>
          </w:rPr>
          <w:id w:val="-1346319738"/>
          <w14:checkbox>
            <w14:checked w14:val="0"/>
            <w14:checkedState w14:val="2612" w14:font="Meiryo"/>
            <w14:uncheckedState w14:val="2610" w14:font="Meiryo"/>
          </w14:checkbox>
        </w:sdtPr>
        <w:sdtEndPr/>
        <w:sdtContent>
          <w:r w:rsidR="00FC32D3">
            <w:rPr>
              <w:rFonts w:ascii="MS Gothic" w:eastAsia="MS Gothic" w:hAnsi="MS Gothic" w:hint="eastAsia"/>
              <w:bCs/>
              <w:color w:val="0000FF"/>
            </w:rPr>
            <w:t>☐</w:t>
          </w:r>
        </w:sdtContent>
      </w:sdt>
      <w:r w:rsidR="00FC32D3">
        <w:rPr>
          <w:b/>
        </w:rPr>
        <w:t xml:space="preserve"> </w:t>
      </w:r>
      <w:r w:rsidR="00FC32D3" w:rsidRPr="00736AEC">
        <w:t>Yes</w:t>
      </w:r>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14:paraId="61D11DE6" w14:textId="77777777" w:rsidR="00736AEC" w:rsidRDefault="009574BD" w:rsidP="0098657F">
      <w:pPr>
        <w:ind w:left="1008" w:hanging="720"/>
      </w:pPr>
      <w:sdt>
        <w:sdtPr>
          <w:rPr>
            <w:bCs/>
            <w:color w:val="0000FF"/>
          </w:rPr>
          <w:id w:val="777454248"/>
          <w14:checkbox>
            <w14:checked w14:val="0"/>
            <w14:checkedState w14:val="2612" w14:font="Meiryo"/>
            <w14:uncheckedState w14:val="2610" w14:font="Meiryo"/>
          </w14:checkbox>
        </w:sdtPr>
        <w:sdtEndPr/>
        <w:sdtContent>
          <w:r w:rsidR="00FC32D3">
            <w:rPr>
              <w:rFonts w:ascii="MS Gothic" w:eastAsia="MS Gothic" w:hAnsi="MS Gothic" w:hint="eastAsia"/>
              <w:bCs/>
              <w:color w:val="0000FF"/>
            </w:rPr>
            <w:t>☐</w:t>
          </w:r>
        </w:sdtContent>
      </w:sdt>
      <w:r w:rsidR="00736AEC">
        <w:rPr>
          <w:b/>
        </w:rPr>
        <w:t xml:space="preserve"> </w:t>
      </w:r>
      <w:proofErr w:type="gramStart"/>
      <w:r w:rsidR="00736AEC" w:rsidRPr="00736AEC">
        <w:t>No</w:t>
      </w:r>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14:paraId="2E74DB38" w14:textId="77777777" w:rsidR="00736AEC" w:rsidRDefault="00736AEC" w:rsidP="00736AEC">
      <w:pPr>
        <w:rPr>
          <w:b/>
        </w:rPr>
      </w:pPr>
    </w:p>
    <w:p w14:paraId="540AC4F1" w14:textId="77777777" w:rsidR="00EE5AF6" w:rsidRDefault="00EE5AF6" w:rsidP="00307FA5">
      <w:pPr>
        <w:ind w:left="0" w:firstLine="0"/>
        <w:rPr>
          <w:color w:val="0000FF"/>
        </w:rPr>
      </w:pPr>
    </w:p>
    <w:p w14:paraId="3C3223F9" w14:textId="77777777"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14:paraId="6A9AD9CD" w14:textId="77777777"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14:paraId="51A27F37" w14:textId="77777777" w:rsidR="00307FA5" w:rsidRPr="005069B8" w:rsidRDefault="00D216CB" w:rsidP="00307FA5">
      <w:pPr>
        <w:ind w:left="0" w:firstLine="0"/>
        <w:rPr>
          <w:rFonts w:cs="Arial"/>
          <w:szCs w:val="20"/>
        </w:rPr>
      </w:pPr>
      <w:r w:rsidRPr="005069B8">
        <w:rPr>
          <w:rFonts w:cs="Arial"/>
          <w:szCs w:val="20"/>
        </w:rPr>
        <w:t>N/A This measure does not correspond with a United States Preventive Services Task Force Recommendation</w:t>
      </w:r>
    </w:p>
    <w:p w14:paraId="61F7307A" w14:textId="77777777" w:rsidR="00307FA5" w:rsidRPr="00D53405" w:rsidRDefault="00307FA5" w:rsidP="00307FA5">
      <w:pPr>
        <w:ind w:left="0" w:firstLine="0"/>
      </w:pPr>
    </w:p>
    <w:p w14:paraId="630BADCE" w14:textId="77777777"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14:paraId="5217B0D8" w14:textId="77777777" w:rsidR="00307FA5" w:rsidRPr="000D649E" w:rsidRDefault="00307FA5" w:rsidP="00307FA5">
      <w:pPr>
        <w:ind w:left="0" w:firstLine="0"/>
      </w:pPr>
    </w:p>
    <w:p w14:paraId="71E835B8" w14:textId="77777777" w:rsidR="00307FA5" w:rsidRPr="00DA7FA2" w:rsidRDefault="00307FA5" w:rsidP="00307FA5">
      <w:pPr>
        <w:ind w:left="0" w:firstLine="0"/>
      </w:pPr>
    </w:p>
    <w:p w14:paraId="7461B938" w14:textId="77777777"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14:paraId="640B9067" w14:textId="77777777" w:rsidR="008A45F3" w:rsidRDefault="008A45F3" w:rsidP="00307FA5">
      <w:pPr>
        <w:ind w:left="0" w:firstLine="0"/>
      </w:pPr>
    </w:p>
    <w:p w14:paraId="2AAFB163" w14:textId="77777777" w:rsidR="00307FA5" w:rsidRPr="00095EC9" w:rsidRDefault="008A45F3" w:rsidP="00307FA5">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14:paraId="3134E102" w14:textId="77777777" w:rsidR="00307FA5" w:rsidRDefault="00307FA5" w:rsidP="00307FA5">
      <w:pPr>
        <w:ind w:left="0" w:firstLine="0"/>
        <w:rPr>
          <w:b/>
          <w:color w:val="0000FF"/>
        </w:rPr>
      </w:pPr>
    </w:p>
    <w:p w14:paraId="54A8CC7D" w14:textId="77777777"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14:paraId="6AB9AB2D" w14:textId="77777777" w:rsidR="00736AEC" w:rsidRPr="00736AEC" w:rsidRDefault="00736AEC" w:rsidP="002E2177">
      <w:pPr>
        <w:ind w:left="432" w:hanging="432"/>
        <w:rPr>
          <w:b/>
        </w:rPr>
      </w:pPr>
    </w:p>
    <w:p w14:paraId="6FE8E065" w14:textId="77777777"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14:paraId="53F576FB" w14:textId="77777777" w:rsidR="00EE5AF6" w:rsidRDefault="00EE5AF6" w:rsidP="002E2177">
      <w:pPr>
        <w:ind w:left="432" w:hanging="432"/>
        <w:rPr>
          <w:b/>
          <w:color w:val="0000FF"/>
        </w:rPr>
      </w:pPr>
    </w:p>
    <w:p w14:paraId="0AE2516E" w14:textId="77777777" w:rsidR="00EE5AF6" w:rsidRPr="00DF278A" w:rsidRDefault="00EE5AF6" w:rsidP="002E2177">
      <w:pPr>
        <w:ind w:left="432" w:hanging="432"/>
      </w:pPr>
      <w:bookmarkStart w:id="9" w:name="Section1a6"/>
      <w:bookmarkEnd w:id="9"/>
      <w:r>
        <w:rPr>
          <w:b/>
          <w:color w:val="0000FF"/>
        </w:rPr>
        <w:lastRenderedPageBreak/>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14:paraId="275A9F10" w14:textId="77777777"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14:paraId="5A94E1D5" w14:textId="77777777" w:rsidR="005069B8" w:rsidRDefault="005069B8" w:rsidP="00EA79C9">
      <w:pPr>
        <w:ind w:left="0" w:firstLine="0"/>
      </w:pPr>
    </w:p>
    <w:p w14:paraId="1CA88AFD" w14:textId="77777777" w:rsidR="005069B8" w:rsidRDefault="005069B8" w:rsidP="00EA79C9">
      <w:pPr>
        <w:ind w:left="0" w:firstLine="0"/>
      </w:pPr>
      <w:r>
        <w:t>N/A</w:t>
      </w:r>
    </w:p>
    <w:p w14:paraId="08E8C0E3" w14:textId="77777777" w:rsidR="00EE5AF6" w:rsidRPr="00D53405" w:rsidRDefault="00EE5AF6" w:rsidP="00EE5AF6">
      <w:pPr>
        <w:ind w:left="0" w:firstLine="0"/>
        <w:rPr>
          <w:rFonts w:ascii="Arial" w:hAnsi="Arial" w:cs="Arial"/>
          <w:sz w:val="20"/>
          <w:szCs w:val="20"/>
        </w:rPr>
      </w:pPr>
    </w:p>
    <w:p w14:paraId="643C880C" w14:textId="77777777" w:rsidR="00EE5AF6" w:rsidRDefault="00EE5AF6" w:rsidP="00EE5AF6">
      <w:pPr>
        <w:ind w:left="0" w:firstLine="0"/>
        <w:rPr>
          <w:b/>
        </w:rPr>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14:paraId="013C2E6C" w14:textId="77777777" w:rsidR="005069B8" w:rsidRDefault="005069B8" w:rsidP="00EE5AF6">
      <w:pPr>
        <w:ind w:left="0" w:firstLine="0"/>
        <w:rPr>
          <w:b/>
        </w:rPr>
      </w:pPr>
    </w:p>
    <w:p w14:paraId="7CCD9496" w14:textId="77777777" w:rsidR="005069B8" w:rsidRDefault="005069B8" w:rsidP="00EE5AF6">
      <w:pPr>
        <w:ind w:left="0" w:firstLine="0"/>
      </w:pPr>
      <w:r>
        <w:rPr>
          <w:b/>
        </w:rPr>
        <w:t>N/A</w:t>
      </w:r>
    </w:p>
    <w:p w14:paraId="75CA36E6" w14:textId="77777777" w:rsidR="005D0FDB" w:rsidRDefault="005D0FDB" w:rsidP="00EE5AF6">
      <w:pPr>
        <w:ind w:left="0" w:firstLine="0"/>
      </w:pPr>
    </w:p>
    <w:p w14:paraId="69A91D66" w14:textId="77777777" w:rsidR="00C84623" w:rsidRDefault="00C84623" w:rsidP="00EE5AF6">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14:paraId="17D9B809" w14:textId="77777777" w:rsidR="00C84623" w:rsidRDefault="00C84623" w:rsidP="00EE5AF6">
      <w:pPr>
        <w:ind w:left="0" w:firstLine="0"/>
        <w:rPr>
          <w:b/>
          <w:color w:val="0000FF"/>
        </w:rPr>
      </w:pPr>
    </w:p>
    <w:p w14:paraId="1675ECEA" w14:textId="77777777"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14:paraId="450E96F6" w14:textId="77777777"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14:paraId="08D97AA2" w14:textId="77777777" w:rsidR="00D216CB" w:rsidRPr="00DA7FA2" w:rsidRDefault="00D216CB" w:rsidP="00D216CB">
      <w:pPr>
        <w:ind w:left="0" w:firstLine="0"/>
      </w:pPr>
    </w:p>
    <w:p w14:paraId="06644FDA" w14:textId="1B133A3C" w:rsidR="004C616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14:paraId="5157FF8A" w14:textId="77777777"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14:paraId="05CA4F62" w14:textId="77777777" w:rsidR="008C0663" w:rsidRPr="009B5BEA" w:rsidRDefault="008C0663" w:rsidP="008C0663">
      <w:pPr>
        <w:ind w:left="0" w:firstLine="0"/>
        <w:rPr>
          <w:noProof/>
        </w:rPr>
      </w:pPr>
    </w:p>
    <w:p w14:paraId="3D5422E4" w14:textId="3FB2A70C" w:rsidR="00496AF8" w:rsidRPr="00E51798" w:rsidRDefault="00496AF8" w:rsidP="002E2177">
      <w:pPr>
        <w:ind w:left="432" w:hanging="432"/>
      </w:pPr>
      <w:bookmarkStart w:id="10" w:name="Section1a7"/>
      <w:bookmarkEnd w:id="10"/>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006053AA">
            <w:rPr>
              <w:rStyle w:val="Style2"/>
            </w:rPr>
            <w:t xml:space="preserve">     </w:t>
          </w:r>
        </w:sdtContent>
      </w:sdt>
    </w:p>
    <w:p w14:paraId="5FCB58D2" w14:textId="77777777" w:rsidR="00496AF8" w:rsidRPr="00A91C0B" w:rsidRDefault="00496AF8" w:rsidP="002E2177">
      <w:pPr>
        <w:ind w:left="0" w:firstLine="0"/>
        <w:rPr>
          <w:noProof/>
        </w:rPr>
      </w:pPr>
    </w:p>
    <w:p w14:paraId="171B61E2" w14:textId="77777777" w:rsidR="0039020B" w:rsidRDefault="0039020B" w:rsidP="002E2177">
      <w:pPr>
        <w:ind w:left="0" w:firstLine="0"/>
        <w:rPr>
          <w:b/>
          <w:noProof/>
        </w:rPr>
      </w:pPr>
    </w:p>
    <w:p w14:paraId="1086DCAB" w14:textId="77777777"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14:paraId="20CC3D20" w14:textId="77777777"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14:paraId="1A39CA9D" w14:textId="77777777" w:rsidR="008C0663" w:rsidRPr="000D649E" w:rsidRDefault="008C0663" w:rsidP="002E2177">
      <w:pPr>
        <w:ind w:left="0" w:firstLine="0"/>
      </w:pPr>
    </w:p>
    <w:p w14:paraId="361EAAE6" w14:textId="77777777"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14:paraId="6C41C916" w14:textId="77777777" w:rsidR="00D14F0B" w:rsidRPr="00A91C0B" w:rsidRDefault="00D14F0B" w:rsidP="002E2177">
      <w:pPr>
        <w:ind w:left="0" w:firstLine="0"/>
      </w:pPr>
    </w:p>
    <w:p w14:paraId="32CC517F" w14:textId="77777777"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14:paraId="635F3C64" w14:textId="77777777"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14:paraId="33478C48" w14:textId="77777777" w:rsidR="009B5BEA" w:rsidRPr="004F0883" w:rsidRDefault="009B5BEA" w:rsidP="002E2177">
      <w:pPr>
        <w:ind w:left="0" w:firstLine="0"/>
      </w:pPr>
    </w:p>
    <w:p w14:paraId="5ADD6432" w14:textId="77777777"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14:paraId="7A59BB49" w14:textId="7564AD6C" w:rsidR="00496AF8" w:rsidRDefault="00496AF8" w:rsidP="002E2177">
      <w:pPr>
        <w:ind w:left="0" w:firstLine="0"/>
      </w:pPr>
    </w:p>
    <w:p w14:paraId="5F72D9A7" w14:textId="77777777" w:rsidR="00496AF8" w:rsidRPr="00A91C0B" w:rsidRDefault="00496AF8" w:rsidP="002E2177">
      <w:pPr>
        <w:ind w:left="0" w:firstLine="0"/>
      </w:pPr>
    </w:p>
    <w:p w14:paraId="5414B881" w14:textId="77777777"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14:paraId="39F708BA" w14:textId="77777777"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14:paraId="5E74DF40" w14:textId="77777777" w:rsidR="0094689F" w:rsidRDefault="0094689F" w:rsidP="002E2177">
      <w:pPr>
        <w:ind w:left="0" w:firstLine="0"/>
        <w:rPr>
          <w:b/>
          <w:color w:val="0070C0"/>
        </w:rPr>
      </w:pPr>
    </w:p>
    <w:p w14:paraId="44A57297" w14:textId="77777777" w:rsidR="00837121" w:rsidRPr="00837121" w:rsidRDefault="00837121" w:rsidP="002E2177">
      <w:pPr>
        <w:ind w:left="0" w:firstLine="0"/>
        <w:rPr>
          <w:b/>
        </w:rPr>
      </w:pPr>
      <w:bookmarkStart w:id="11" w:name="Section1a8"/>
      <w:bookmarkEnd w:id="11"/>
      <w:r w:rsidRPr="0015535B">
        <w:rPr>
          <w:b/>
          <w:color w:val="0000FF"/>
        </w:rPr>
        <w:t xml:space="preserve">1a.8 </w:t>
      </w:r>
      <w:r w:rsidRPr="00837121">
        <w:rPr>
          <w:b/>
        </w:rPr>
        <w:t>OTHER SOURCE OF EVIDENCE</w:t>
      </w:r>
    </w:p>
    <w:p w14:paraId="1A29EA9E" w14:textId="77777777"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14:paraId="551A681E" w14:textId="77777777" w:rsidR="00837121" w:rsidRDefault="00837121" w:rsidP="002E2177">
      <w:pPr>
        <w:ind w:left="0" w:firstLine="0"/>
      </w:pPr>
    </w:p>
    <w:p w14:paraId="711933FE" w14:textId="77777777" w:rsidR="00837121" w:rsidRDefault="00837121" w:rsidP="002E2177">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14:paraId="6EEC8318" w14:textId="77777777"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14:paraId="026E183F" w14:textId="77777777" w:rsidR="008C0663" w:rsidRPr="008C0663" w:rsidRDefault="008C0663" w:rsidP="002E2177">
      <w:pPr>
        <w:ind w:left="0" w:firstLine="0"/>
      </w:pPr>
    </w:p>
    <w:sectPr w:rsidR="008C0663" w:rsidRPr="008C066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C50EE" w14:textId="77777777" w:rsidR="009574BD" w:rsidRDefault="009574BD" w:rsidP="007E37A5">
      <w:r>
        <w:separator/>
      </w:r>
    </w:p>
  </w:endnote>
  <w:endnote w:type="continuationSeparator" w:id="0">
    <w:p w14:paraId="688A05C7" w14:textId="77777777" w:rsidR="009574BD" w:rsidRDefault="009574BD"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26D3D" w14:textId="446CC01F" w:rsidR="00440687" w:rsidRDefault="005069B8">
    <w:pPr>
      <w:pStyle w:val="Footer"/>
    </w:pPr>
    <w:r>
      <w:t>8/19/14</w:t>
    </w:r>
    <w:r w:rsidR="00440687" w:rsidRPr="00395263">
      <w:ptab w:relativeTo="margin" w:alignment="center" w:leader="none"/>
    </w:r>
    <w:r w:rsidR="00440687" w:rsidRPr="00395263">
      <w:ptab w:relativeTo="margin" w:alignment="right" w:leader="none"/>
    </w:r>
    <w:r w:rsidR="00440687" w:rsidRPr="00395263">
      <w:fldChar w:fldCharType="begin"/>
    </w:r>
    <w:r w:rsidR="00440687" w:rsidRPr="00395263">
      <w:instrText xml:space="preserve"> PAGE   \* MERGEFORMAT </w:instrText>
    </w:r>
    <w:r w:rsidR="00440687" w:rsidRPr="00395263">
      <w:fldChar w:fldCharType="separate"/>
    </w:r>
    <w:r w:rsidR="00735FB3">
      <w:rPr>
        <w:noProof/>
      </w:rPr>
      <w:t>7</w:t>
    </w:r>
    <w:r w:rsidR="00440687" w:rsidRPr="00395263">
      <w:rPr>
        <w:noProof/>
      </w:rPr>
      <w:fldChar w:fldCharType="end"/>
    </w:r>
  </w:p>
  <w:p w14:paraId="5C2599D8" w14:textId="77777777" w:rsidR="00031C91" w:rsidRDefault="00031C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116D8" w14:textId="77777777" w:rsidR="009574BD" w:rsidRDefault="009574BD" w:rsidP="007E37A5">
      <w:r>
        <w:separator/>
      </w:r>
    </w:p>
  </w:footnote>
  <w:footnote w:type="continuationSeparator" w:id="0">
    <w:p w14:paraId="4CD1BD94" w14:textId="77777777" w:rsidR="009574BD" w:rsidRDefault="009574BD"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tyle3"/>
      </w:rPr>
      <w:id w:val="-491560845"/>
      <w:showingPlcHdr/>
    </w:sdtPr>
    <w:sdtEndPr>
      <w:rPr>
        <w:rStyle w:val="DefaultParagraphFont"/>
        <w:color w:val="auto"/>
      </w:rPr>
    </w:sdtEndPr>
    <w:sdtContent>
      <w:p w14:paraId="46046E18" w14:textId="53FDF9D0" w:rsidR="00440687" w:rsidRDefault="006053AA" w:rsidP="007E37A5">
        <w:pPr>
          <w:pStyle w:val="Header"/>
          <w:ind w:left="0" w:firstLine="0"/>
          <w:jc w:val="center"/>
        </w:pPr>
        <w:r>
          <w:rPr>
            <w:rStyle w:val="Style3"/>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0E36"/>
    <w:rsid w:val="00015986"/>
    <w:rsid w:val="000160E6"/>
    <w:rsid w:val="00024526"/>
    <w:rsid w:val="00030F43"/>
    <w:rsid w:val="00031C91"/>
    <w:rsid w:val="00061CF3"/>
    <w:rsid w:val="00063601"/>
    <w:rsid w:val="00073079"/>
    <w:rsid w:val="000756C8"/>
    <w:rsid w:val="0007593F"/>
    <w:rsid w:val="00095EC9"/>
    <w:rsid w:val="00096A37"/>
    <w:rsid w:val="000A0810"/>
    <w:rsid w:val="000B627F"/>
    <w:rsid w:val="000D649E"/>
    <w:rsid w:val="000D6D06"/>
    <w:rsid w:val="00114848"/>
    <w:rsid w:val="00120934"/>
    <w:rsid w:val="00126B02"/>
    <w:rsid w:val="00132070"/>
    <w:rsid w:val="00141875"/>
    <w:rsid w:val="0014347E"/>
    <w:rsid w:val="001551F6"/>
    <w:rsid w:val="0015535B"/>
    <w:rsid w:val="00162036"/>
    <w:rsid w:val="00162FC2"/>
    <w:rsid w:val="001632DD"/>
    <w:rsid w:val="00176E60"/>
    <w:rsid w:val="00193E54"/>
    <w:rsid w:val="00194D9A"/>
    <w:rsid w:val="001A196B"/>
    <w:rsid w:val="001A6D05"/>
    <w:rsid w:val="001B38BF"/>
    <w:rsid w:val="001B772D"/>
    <w:rsid w:val="001D5B5D"/>
    <w:rsid w:val="00201FF9"/>
    <w:rsid w:val="00205857"/>
    <w:rsid w:val="00235ADC"/>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2B1D"/>
    <w:rsid w:val="00307FA5"/>
    <w:rsid w:val="00324D64"/>
    <w:rsid w:val="00352B52"/>
    <w:rsid w:val="00363ECC"/>
    <w:rsid w:val="0039020B"/>
    <w:rsid w:val="00395263"/>
    <w:rsid w:val="003956E0"/>
    <w:rsid w:val="0039609A"/>
    <w:rsid w:val="00397500"/>
    <w:rsid w:val="003B65CE"/>
    <w:rsid w:val="003E039E"/>
    <w:rsid w:val="00422917"/>
    <w:rsid w:val="00440687"/>
    <w:rsid w:val="0044131D"/>
    <w:rsid w:val="00441ADA"/>
    <w:rsid w:val="00457E46"/>
    <w:rsid w:val="00496AF8"/>
    <w:rsid w:val="004A575D"/>
    <w:rsid w:val="004B49EB"/>
    <w:rsid w:val="004B65C6"/>
    <w:rsid w:val="004C6169"/>
    <w:rsid w:val="004D1DC7"/>
    <w:rsid w:val="00500B0C"/>
    <w:rsid w:val="005069B8"/>
    <w:rsid w:val="0053376D"/>
    <w:rsid w:val="00537150"/>
    <w:rsid w:val="00540984"/>
    <w:rsid w:val="00543851"/>
    <w:rsid w:val="0055559D"/>
    <w:rsid w:val="005569AE"/>
    <w:rsid w:val="005857F8"/>
    <w:rsid w:val="005B0D18"/>
    <w:rsid w:val="005B12C3"/>
    <w:rsid w:val="005B409D"/>
    <w:rsid w:val="005D0FDB"/>
    <w:rsid w:val="005D6D59"/>
    <w:rsid w:val="006053AA"/>
    <w:rsid w:val="00617390"/>
    <w:rsid w:val="00623420"/>
    <w:rsid w:val="00634768"/>
    <w:rsid w:val="0063596F"/>
    <w:rsid w:val="006709EB"/>
    <w:rsid w:val="00672824"/>
    <w:rsid w:val="0068184A"/>
    <w:rsid w:val="006C7F30"/>
    <w:rsid w:val="006F4B7F"/>
    <w:rsid w:val="006F760B"/>
    <w:rsid w:val="00701CC3"/>
    <w:rsid w:val="00724801"/>
    <w:rsid w:val="00734949"/>
    <w:rsid w:val="00735FB3"/>
    <w:rsid w:val="00736AEC"/>
    <w:rsid w:val="00736E0F"/>
    <w:rsid w:val="007434FA"/>
    <w:rsid w:val="00753357"/>
    <w:rsid w:val="007573F0"/>
    <w:rsid w:val="00765156"/>
    <w:rsid w:val="00767669"/>
    <w:rsid w:val="00767B8A"/>
    <w:rsid w:val="00773485"/>
    <w:rsid w:val="00776E8F"/>
    <w:rsid w:val="00776F6D"/>
    <w:rsid w:val="007C0297"/>
    <w:rsid w:val="007C1887"/>
    <w:rsid w:val="007D5DC6"/>
    <w:rsid w:val="007E37A5"/>
    <w:rsid w:val="007F49D8"/>
    <w:rsid w:val="00805940"/>
    <w:rsid w:val="00837121"/>
    <w:rsid w:val="008471E5"/>
    <w:rsid w:val="00850C35"/>
    <w:rsid w:val="00863E43"/>
    <w:rsid w:val="008647C3"/>
    <w:rsid w:val="00870987"/>
    <w:rsid w:val="0087564A"/>
    <w:rsid w:val="00881160"/>
    <w:rsid w:val="0088371C"/>
    <w:rsid w:val="008A45F3"/>
    <w:rsid w:val="008A7E22"/>
    <w:rsid w:val="008B51D9"/>
    <w:rsid w:val="008B652E"/>
    <w:rsid w:val="008C0663"/>
    <w:rsid w:val="008F1DC6"/>
    <w:rsid w:val="00905C5B"/>
    <w:rsid w:val="00923295"/>
    <w:rsid w:val="00925752"/>
    <w:rsid w:val="00935265"/>
    <w:rsid w:val="0094689F"/>
    <w:rsid w:val="009477D6"/>
    <w:rsid w:val="00953ED3"/>
    <w:rsid w:val="00956B74"/>
    <w:rsid w:val="009574BD"/>
    <w:rsid w:val="00957589"/>
    <w:rsid w:val="00965FF6"/>
    <w:rsid w:val="009846D6"/>
    <w:rsid w:val="0098657F"/>
    <w:rsid w:val="009A3236"/>
    <w:rsid w:val="009A4BF6"/>
    <w:rsid w:val="009B5A93"/>
    <w:rsid w:val="009B5BEA"/>
    <w:rsid w:val="009E37BD"/>
    <w:rsid w:val="009E6B86"/>
    <w:rsid w:val="00A02939"/>
    <w:rsid w:val="00A12762"/>
    <w:rsid w:val="00A13867"/>
    <w:rsid w:val="00A421D4"/>
    <w:rsid w:val="00A44FF0"/>
    <w:rsid w:val="00A50E55"/>
    <w:rsid w:val="00A91A47"/>
    <w:rsid w:val="00A95D2B"/>
    <w:rsid w:val="00A96BCB"/>
    <w:rsid w:val="00AA5587"/>
    <w:rsid w:val="00AD79C8"/>
    <w:rsid w:val="00AE6CE0"/>
    <w:rsid w:val="00B058A6"/>
    <w:rsid w:val="00B117D0"/>
    <w:rsid w:val="00B13998"/>
    <w:rsid w:val="00B439DD"/>
    <w:rsid w:val="00B4799D"/>
    <w:rsid w:val="00B52E0F"/>
    <w:rsid w:val="00B74629"/>
    <w:rsid w:val="00B91F58"/>
    <w:rsid w:val="00BA42AC"/>
    <w:rsid w:val="00BA579E"/>
    <w:rsid w:val="00BE2295"/>
    <w:rsid w:val="00BE6373"/>
    <w:rsid w:val="00BF533A"/>
    <w:rsid w:val="00C46677"/>
    <w:rsid w:val="00C5180E"/>
    <w:rsid w:val="00C54E40"/>
    <w:rsid w:val="00C55F56"/>
    <w:rsid w:val="00C57BA4"/>
    <w:rsid w:val="00C82E36"/>
    <w:rsid w:val="00C84623"/>
    <w:rsid w:val="00CB06C9"/>
    <w:rsid w:val="00CB271C"/>
    <w:rsid w:val="00CE19EB"/>
    <w:rsid w:val="00CE4F96"/>
    <w:rsid w:val="00CF0AB1"/>
    <w:rsid w:val="00CF4B9B"/>
    <w:rsid w:val="00CF55E6"/>
    <w:rsid w:val="00CF772F"/>
    <w:rsid w:val="00D048DB"/>
    <w:rsid w:val="00D14F0B"/>
    <w:rsid w:val="00D178CA"/>
    <w:rsid w:val="00D20161"/>
    <w:rsid w:val="00D216CB"/>
    <w:rsid w:val="00D3311C"/>
    <w:rsid w:val="00D53405"/>
    <w:rsid w:val="00D5457B"/>
    <w:rsid w:val="00D72995"/>
    <w:rsid w:val="00DA7FA2"/>
    <w:rsid w:val="00DB747F"/>
    <w:rsid w:val="00DC2D8D"/>
    <w:rsid w:val="00DD0C9D"/>
    <w:rsid w:val="00DE50D8"/>
    <w:rsid w:val="00DF278A"/>
    <w:rsid w:val="00E1664B"/>
    <w:rsid w:val="00E30D12"/>
    <w:rsid w:val="00E35241"/>
    <w:rsid w:val="00E41417"/>
    <w:rsid w:val="00E514EC"/>
    <w:rsid w:val="00E57BE2"/>
    <w:rsid w:val="00E62A95"/>
    <w:rsid w:val="00E746A2"/>
    <w:rsid w:val="00E90D06"/>
    <w:rsid w:val="00E97E59"/>
    <w:rsid w:val="00EA79C9"/>
    <w:rsid w:val="00EB66AC"/>
    <w:rsid w:val="00EE1F87"/>
    <w:rsid w:val="00EE3931"/>
    <w:rsid w:val="00EE5AF6"/>
    <w:rsid w:val="00EF2CEF"/>
    <w:rsid w:val="00F05532"/>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2334A"/>
  <w15:docId w15:val="{34300A90-3EE6-4A16-BA8B-782B847F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69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oleObject" Target="embeddings/Microsoft_Visio_2003-2010_Drawing1.vsd"/><Relationship Id="rId10" Type="http://schemas.openxmlformats.org/officeDocument/2006/relationships/hyperlink" Target="http://www.uspreventiveservicestaskforce.org/methods.htm"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23BC5"/>
    <w:rsid w:val="000C070E"/>
    <w:rsid w:val="00160241"/>
    <w:rsid w:val="003A1E4B"/>
    <w:rsid w:val="00455EB5"/>
    <w:rsid w:val="00461C1C"/>
    <w:rsid w:val="004E2027"/>
    <w:rsid w:val="00686755"/>
    <w:rsid w:val="008F6A9B"/>
    <w:rsid w:val="00C03643"/>
    <w:rsid w:val="00C2797F"/>
    <w:rsid w:val="00C80225"/>
    <w:rsid w:val="00D228C9"/>
    <w:rsid w:val="00DB5324"/>
    <w:rsid w:val="00E9401C"/>
    <w:rsid w:val="00E97654"/>
    <w:rsid w:val="00EA555A"/>
    <w:rsid w:val="00F5274B"/>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F2A0A-043F-440B-AFD0-9DE256BBF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2692</Words>
  <Characters>15348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Sutton, LaMont</cp:lastModifiedBy>
  <cp:revision>7</cp:revision>
  <dcterms:created xsi:type="dcterms:W3CDTF">2016-01-26T21:12:00Z</dcterms:created>
  <dcterms:modified xsi:type="dcterms:W3CDTF">2016-01-29T15:19:00Z</dcterms:modified>
</cp:coreProperties>
</file>