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rsidR="00797624" w:rsidRDefault="00797624" w:rsidP="00105D8B">
      <w:pPr>
        <w:contextualSpacing/>
        <w:rPr>
          <w:rFonts w:cstheme="minorHAnsi"/>
          <w:b/>
          <w:noProof/>
        </w:rPr>
      </w:pPr>
    </w:p>
    <w:p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553F2E">
            <w:rPr>
              <w:rStyle w:val="Style1"/>
            </w:rPr>
            <w:t>0327</w:t>
          </w:r>
        </w:sdtContent>
      </w:sdt>
    </w:p>
    <w:p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553F2E" w:rsidRPr="00553F2E">
            <w:rPr>
              <w:rFonts w:cstheme="minorHAnsi"/>
              <w:color w:val="0000FF"/>
              <w:lang w:val="en"/>
            </w:rPr>
            <w:t>Risk-Adjusted Average Length of Inpatient Hospital Stay</w:t>
          </w:r>
        </w:sdtContent>
      </w:sdt>
    </w:p>
    <w:p w:rsidR="005C73CA" w:rsidRDefault="00105D8B" w:rsidP="009E1846">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date w:fullDate="2014-02-21T00:00:00Z">
            <w:dateFormat w:val="M/d/yyyy"/>
            <w:lid w:val="en-US"/>
            <w:storeMappedDataAs w:val="dateTime"/>
            <w:calendar w:val="gregorian"/>
          </w:date>
        </w:sdtPr>
        <w:sdtEndPr>
          <w:rPr>
            <w:rStyle w:val="DefaultParagraphFont"/>
            <w:noProof/>
            <w:color w:val="auto"/>
            <w:u w:val="none"/>
          </w:rPr>
        </w:sdtEndPr>
        <w:sdtContent>
          <w:r w:rsidR="00553F2E">
            <w:rPr>
              <w:rStyle w:val="Style2"/>
              <w:rFonts w:cstheme="minorHAnsi"/>
            </w:rPr>
            <w:t>2/21/2014</w:t>
          </w:r>
        </w:sdtContent>
      </w:sdt>
    </w:p>
    <w:p w:rsidR="00CD364B" w:rsidRPr="009E1846" w:rsidRDefault="009E1846" w:rsidP="009E1846">
      <w:pPr>
        <w:spacing w:after="0"/>
        <w:rPr>
          <w:rFonts w:cstheme="minorHAnsi"/>
          <w:b/>
        </w:rPr>
      </w:pPr>
      <w:r>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rsidTr="000B3880">
        <w:trPr>
          <w:jc w:val="center"/>
        </w:trPr>
        <w:tc>
          <w:tcPr>
            <w:tcW w:w="2547" w:type="pct"/>
          </w:tcPr>
          <w:p w:rsidR="00CD364B" w:rsidRPr="00B82A57" w:rsidRDefault="00790DA4" w:rsidP="00CD364B">
            <w:pPr>
              <w:autoSpaceDE w:val="0"/>
              <w:autoSpaceDN w:val="0"/>
              <w:adjustRightInd w:val="0"/>
              <w:rPr>
                <w:rFonts w:cstheme="minorHAnsi"/>
                <w:bCs/>
              </w:rPr>
            </w:pPr>
            <w:sdt>
              <w:sdtPr>
                <w:rPr>
                  <w:rFonts w:cstheme="minorHAnsi"/>
                  <w:bCs/>
                  <w:color w:val="0000FF"/>
                </w:rPr>
                <w:id w:val="-14062170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rsidR="00CD364B" w:rsidRPr="00B82A57" w:rsidRDefault="00790DA4" w:rsidP="00CD364B">
            <w:pPr>
              <w:autoSpaceDE w:val="0"/>
              <w:autoSpaceDN w:val="0"/>
              <w:adjustRightInd w:val="0"/>
              <w:rPr>
                <w:rFonts w:cstheme="minorHAnsi"/>
                <w:bCs/>
              </w:rPr>
            </w:pPr>
            <w:sdt>
              <w:sdtPr>
                <w:rPr>
                  <w:rFonts w:cstheme="minorHAnsi"/>
                  <w:bCs/>
                  <w:color w:val="0000FF"/>
                </w:rPr>
                <w:id w:val="40960739"/>
                <w14:checkbox>
                  <w14:checked w14:val="1"/>
                  <w14:checkedState w14:val="2612" w14:font="MS Gothic"/>
                  <w14:uncheckedState w14:val="2610" w14:font="MS Gothic"/>
                </w14:checkbox>
              </w:sdtPr>
              <w:sdtEndPr/>
              <w:sdtContent>
                <w:r w:rsidR="00554C85">
                  <w:rPr>
                    <w:rFonts w:ascii="MS Gothic" w:eastAsia="MS Gothic" w:hAnsi="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rsidTr="000B3880">
        <w:trPr>
          <w:jc w:val="center"/>
        </w:trPr>
        <w:tc>
          <w:tcPr>
            <w:tcW w:w="2547" w:type="pct"/>
          </w:tcPr>
          <w:p w:rsidR="00CD364B" w:rsidRPr="00B82A57" w:rsidRDefault="00790DA4" w:rsidP="00CD364B">
            <w:pPr>
              <w:autoSpaceDE w:val="0"/>
              <w:autoSpaceDN w:val="0"/>
              <w:adjustRightInd w:val="0"/>
              <w:rPr>
                <w:rFonts w:cstheme="minorHAnsi"/>
                <w:bCs/>
              </w:rPr>
            </w:pPr>
            <w:sdt>
              <w:sdtPr>
                <w:rPr>
                  <w:rFonts w:cstheme="minorHAnsi"/>
                  <w:bCs/>
                  <w:color w:val="0000FF"/>
                </w:rPr>
                <w:id w:val="-16295536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rsidR="00CD364B" w:rsidRPr="00B82A57" w:rsidRDefault="00790DA4"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rsidTr="000B3880">
        <w:trPr>
          <w:jc w:val="center"/>
        </w:trPr>
        <w:tc>
          <w:tcPr>
            <w:tcW w:w="2547" w:type="pct"/>
          </w:tcPr>
          <w:p w:rsidR="00CD364B" w:rsidRPr="00B82A57" w:rsidRDefault="00790DA4" w:rsidP="00CD364B">
            <w:pPr>
              <w:autoSpaceDE w:val="0"/>
              <w:autoSpaceDN w:val="0"/>
              <w:adjustRightInd w:val="0"/>
              <w:rPr>
                <w:rFonts w:cstheme="minorHAnsi"/>
                <w:bCs/>
              </w:rPr>
            </w:pPr>
            <w:sdt>
              <w:sdtPr>
                <w:rPr>
                  <w:rFonts w:cstheme="minorHAnsi"/>
                  <w:bCs/>
                  <w:color w:val="0000FF"/>
                </w:rPr>
                <w:id w:val="1581719781"/>
                <w14:checkbox>
                  <w14:checked w14:val="0"/>
                  <w14:checkedState w14:val="2612" w14:font="MS Gothic"/>
                  <w14:uncheckedState w14:val="2610" w14:font="MS Gothic"/>
                </w14:checkbox>
              </w:sdtPr>
              <w:sdtEndPr/>
              <w:sdtContent>
                <w:r w:rsidR="00554C85">
                  <w:rPr>
                    <w:rFonts w:ascii="MS Gothic" w:eastAsia="MS Gothic" w:hAnsi="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rsidR="00CD364B" w:rsidRPr="00B82A57" w:rsidRDefault="00790DA4"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rsidTr="00145149">
        <w:trPr>
          <w:jc w:val="center"/>
        </w:trPr>
        <w:tc>
          <w:tcPr>
            <w:tcW w:w="9576" w:type="dxa"/>
          </w:tcPr>
          <w:p w:rsidR="00B53E8B" w:rsidRPr="00B53E8B" w:rsidRDefault="00B53E8B" w:rsidP="00B53E8B">
            <w:pPr>
              <w:rPr>
                <w:rFonts w:cstheme="minorHAnsi"/>
                <w:b/>
                <w:noProof/>
              </w:rPr>
            </w:pPr>
            <w:r w:rsidRPr="00B53E8B">
              <w:rPr>
                <w:rFonts w:cstheme="minorHAnsi"/>
                <w:b/>
                <w:noProof/>
              </w:rPr>
              <w:t>Instructions</w:t>
            </w:r>
          </w:p>
          <w:p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9" w:history="1">
              <w:r w:rsidR="00145149" w:rsidRPr="00145149">
                <w:rPr>
                  <w:rStyle w:val="Hyperlink"/>
                </w:rPr>
                <w:t>Submitting Standards webpage</w:t>
              </w:r>
            </w:hyperlink>
            <w:r w:rsidR="00145149">
              <w:t>.</w:t>
            </w:r>
          </w:p>
        </w:tc>
      </w:tr>
    </w:tbl>
    <w:p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A831B4" w:rsidTr="00145149">
        <w:trPr>
          <w:jc w:val="center"/>
        </w:trPr>
        <w:tc>
          <w:tcPr>
            <w:tcW w:w="9576" w:type="dxa"/>
          </w:tcPr>
          <w:p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rsidR="00B53E8B" w:rsidRPr="00A831B4" w:rsidRDefault="00B53E8B" w:rsidP="00702C73">
            <w:pPr>
              <w:rPr>
                <w:rFonts w:cstheme="minorHAnsi"/>
                <w:b/>
                <w:bCs/>
                <w:sz w:val="20"/>
                <w:szCs w:val="20"/>
              </w:rPr>
            </w:pPr>
          </w:p>
          <w:p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rsidR="00145149" w:rsidRPr="000F034A" w:rsidRDefault="00145149" w:rsidP="00145149">
            <w:pPr>
              <w:autoSpaceDE w:val="0"/>
              <w:autoSpaceDN w:val="0"/>
              <w:adjustRightInd w:val="0"/>
              <w:rPr>
                <w:rFonts w:cstheme="minorHAnsi"/>
                <w:b/>
                <w:iCs/>
              </w:rPr>
            </w:pPr>
          </w:p>
          <w:p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rsidR="00145149" w:rsidRPr="000F034A" w:rsidRDefault="00145149" w:rsidP="00145149">
            <w:pPr>
              <w:rPr>
                <w:rFonts w:cstheme="minorHAnsi"/>
              </w:rPr>
            </w:pPr>
            <w:bookmarkStart w:id="0" w:name="_Toc256067249"/>
          </w:p>
          <w:p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rsidR="00145149" w:rsidRPr="000F034A" w:rsidRDefault="00145149" w:rsidP="00145149">
            <w:pPr>
              <w:rPr>
                <w:rFonts w:cstheme="minorHAnsi"/>
                <w:b/>
              </w:rPr>
            </w:pPr>
            <w:r w:rsidRPr="000F034A">
              <w:rPr>
                <w:rFonts w:cstheme="minorHAnsi"/>
                <w:b/>
              </w:rPr>
              <w:t xml:space="preserve">AND </w:t>
            </w:r>
          </w:p>
          <w:p w:rsidR="00145149" w:rsidRPr="000F034A" w:rsidRDefault="00145149" w:rsidP="00145149">
            <w:pPr>
              <w:rPr>
                <w:rFonts w:cstheme="minorHAnsi"/>
              </w:rPr>
            </w:pPr>
            <w:r w:rsidRPr="000F034A">
              <w:rPr>
                <w:rFonts w:cstheme="minorHAnsi"/>
              </w:rPr>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rsidR="00145149" w:rsidRPr="000F034A" w:rsidRDefault="00145149" w:rsidP="00145149">
            <w:pPr>
              <w:rPr>
                <w:rFonts w:cstheme="minorHAnsi"/>
                <w:b/>
                <w:bCs/>
              </w:rPr>
            </w:pPr>
          </w:p>
          <w:p w:rsidR="00145149" w:rsidRPr="000F034A" w:rsidRDefault="00145149" w:rsidP="00145149">
            <w:pPr>
              <w:rPr>
                <w:rFonts w:cstheme="minorHAnsi"/>
              </w:rPr>
            </w:pPr>
            <w:bookmarkStart w:id="1" w:name="_Toc256067250"/>
            <w:r w:rsidRPr="000F034A">
              <w:rPr>
                <w:rFonts w:cstheme="minorHAnsi"/>
                <w:b/>
                <w:bCs/>
              </w:rPr>
              <w:lastRenderedPageBreak/>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rsidR="00145149" w:rsidRPr="000F034A" w:rsidRDefault="00145149" w:rsidP="00145149">
            <w:pPr>
              <w:rPr>
                <w:rFonts w:cstheme="minorHAnsi"/>
                <w:b/>
              </w:rPr>
            </w:pPr>
            <w:r w:rsidRPr="000F034A">
              <w:rPr>
                <w:rFonts w:cstheme="minorHAnsi"/>
                <w:b/>
              </w:rPr>
              <w:t>OR</w:t>
            </w:r>
          </w:p>
          <w:p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rsidR="00145149" w:rsidRPr="000F034A" w:rsidRDefault="00145149" w:rsidP="00145149">
            <w:pPr>
              <w:rPr>
                <w:rFonts w:cstheme="minorHAnsi"/>
                <w:b/>
                <w:bCs/>
              </w:rPr>
            </w:pPr>
          </w:p>
          <w:bookmarkEnd w:id="1"/>
          <w:p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rsidR="00145149" w:rsidRPr="000F034A" w:rsidRDefault="00145149" w:rsidP="00145149">
            <w:pPr>
              <w:rPr>
                <w:rFonts w:cstheme="minorHAnsi"/>
              </w:rPr>
            </w:pPr>
            <w:r w:rsidRPr="000F034A">
              <w:rPr>
                <w:rFonts w:cstheme="minorHAnsi"/>
                <w:b/>
              </w:rPr>
              <w:t>OR</w:t>
            </w:r>
          </w:p>
          <w:p w:rsidR="00145149" w:rsidRPr="000F034A" w:rsidRDefault="00145149" w:rsidP="00145149">
            <w:pPr>
              <w:rPr>
                <w:rFonts w:cstheme="minorHAnsi"/>
              </w:rPr>
            </w:pPr>
            <w:r w:rsidRPr="000F034A">
              <w:rPr>
                <w:rFonts w:cstheme="minorHAnsi"/>
              </w:rPr>
              <w:t xml:space="preserve">there is evidence of overall less-than-optimal performance. </w:t>
            </w:r>
          </w:p>
          <w:p w:rsidR="00145149" w:rsidRPr="000F034A" w:rsidRDefault="00145149" w:rsidP="00145149">
            <w:pPr>
              <w:rPr>
                <w:rFonts w:cstheme="minorHAnsi"/>
                <w:b/>
                <w:bCs/>
              </w:rPr>
            </w:pPr>
          </w:p>
          <w:p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rsidR="00E30584" w:rsidRPr="000F034A" w:rsidRDefault="00E30584" w:rsidP="00145149">
            <w:pPr>
              <w:rPr>
                <w:rFonts w:cstheme="minorHAnsi"/>
              </w:rPr>
            </w:pPr>
          </w:p>
          <w:p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r w:rsidRPr="000F034A">
              <w:rPr>
                <w:rFonts w:ascii="Calibri" w:eastAsia="Calibri" w:hAnsi="Calibri" w:cs="Calibri"/>
                <w:b/>
              </w:rPr>
              <w:t>eMeasures,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analyses identify the extent and distribution of missing data (or nonresponse) and demonstrate that performance results are not biased due to systematic missing data (or differences between responders and nonresponders) and how the specified handling of missing data minimizes bias.</w:t>
            </w:r>
          </w:p>
          <w:bookmarkEnd w:id="0"/>
          <w:p w:rsidR="00145149" w:rsidRPr="00A831B4" w:rsidRDefault="00145149" w:rsidP="00145149">
            <w:pPr>
              <w:rPr>
                <w:rFonts w:cstheme="minorHAnsi"/>
                <w:b/>
                <w:bCs/>
                <w:sz w:val="20"/>
                <w:szCs w:val="20"/>
              </w:rPr>
            </w:pPr>
          </w:p>
          <w:p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rsidR="00145149" w:rsidRPr="00A831B4" w:rsidRDefault="00145149" w:rsidP="00145149">
            <w:pPr>
              <w:pStyle w:val="FootnoteText"/>
              <w:rPr>
                <w:rFonts w:asciiTheme="minorHAnsi" w:hAnsiTheme="minorHAnsi" w:cstheme="minorHAnsi"/>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p>
          <w:p w:rsidR="00145149" w:rsidRPr="00A831B4" w:rsidRDefault="00145149" w:rsidP="00145149">
            <w:pPr>
              <w:rPr>
                <w:rFonts w:cstheme="minorHAnsi"/>
                <w:b/>
                <w:bCs/>
                <w:sz w:val="20"/>
                <w:szCs w:val="20"/>
              </w:rPr>
            </w:pPr>
            <w:bookmarkStart w:id="9" w:name="Note15"/>
            <w:bookmarkEnd w:id="9"/>
            <w:r w:rsidRPr="00A831B4">
              <w:rPr>
                <w:rFonts w:cstheme="minorHAnsi"/>
                <w:b/>
                <w:sz w:val="20"/>
                <w:szCs w:val="20"/>
              </w:rPr>
              <w:t>15.</w:t>
            </w:r>
            <w:r w:rsidRPr="00A831B4">
              <w:rPr>
                <w:rFonts w:cstheme="minorHAnsi"/>
                <w:sz w:val="20"/>
                <w:szCs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rsidR="00145149" w:rsidRPr="00A831B4" w:rsidRDefault="00145149" w:rsidP="00145149">
            <w:pPr>
              <w:rPr>
                <w:rFonts w:cstheme="minorHAnsi"/>
                <w:noProof/>
                <w:sz w:val="20"/>
                <w:szCs w:val="20"/>
              </w:rPr>
            </w:pPr>
            <w:bookmarkStart w:id="10" w:name="Note16"/>
            <w:bookmarkEnd w:id="10"/>
            <w:r w:rsidRPr="00A831B4">
              <w:rPr>
                <w:rFonts w:cstheme="minorHAnsi"/>
                <w:b/>
                <w:sz w:val="20"/>
                <w:szCs w:val="20"/>
              </w:rPr>
              <w:t>16.</w:t>
            </w:r>
            <w:r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rsidR="00BC0D25" w:rsidRDefault="00BC0D25" w:rsidP="00702C73">
      <w:pPr>
        <w:spacing w:after="0" w:line="240" w:lineRule="auto"/>
        <w:rPr>
          <w:rFonts w:cstheme="minorHAnsi"/>
          <w:noProof/>
        </w:rPr>
      </w:pPr>
    </w:p>
    <w:p w:rsidR="00702C73" w:rsidRPr="00702C73" w:rsidRDefault="00702C73" w:rsidP="00702C73">
      <w:pPr>
        <w:spacing w:after="0" w:line="240" w:lineRule="auto"/>
        <w:rPr>
          <w:rFonts w:cstheme="minorHAnsi"/>
          <w:noProof/>
        </w:rPr>
      </w:pPr>
    </w:p>
    <w:p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rsidR="000574AB" w:rsidRPr="00A25024" w:rsidRDefault="000574AB" w:rsidP="008A403A">
      <w:pPr>
        <w:spacing w:after="0" w:line="240" w:lineRule="auto"/>
        <w:rPr>
          <w:rFonts w:cstheme="minorHAnsi"/>
          <w:noProof/>
        </w:rPr>
      </w:pPr>
    </w:p>
    <w:p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rsidTr="0014773C">
        <w:trPr>
          <w:jc w:val="center"/>
        </w:trPr>
        <w:tc>
          <w:tcPr>
            <w:tcW w:w="5208" w:type="dxa"/>
            <w:shd w:val="clear" w:color="auto" w:fill="D9D9D9" w:themeFill="background1" w:themeFillShade="D9"/>
          </w:tcPr>
          <w:p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rsidTr="0014773C">
        <w:trPr>
          <w:jc w:val="center"/>
        </w:trPr>
        <w:tc>
          <w:tcPr>
            <w:tcW w:w="5208" w:type="dxa"/>
          </w:tcPr>
          <w:p w:rsidR="00A01494" w:rsidRPr="00A01494" w:rsidRDefault="00790DA4"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rsidR="00A01494" w:rsidRPr="00A01494" w:rsidRDefault="00790DA4"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rsidTr="0014773C">
        <w:trPr>
          <w:jc w:val="center"/>
        </w:trPr>
        <w:tc>
          <w:tcPr>
            <w:tcW w:w="5208" w:type="dxa"/>
          </w:tcPr>
          <w:p w:rsidR="00A01494" w:rsidRPr="00A01494" w:rsidRDefault="00790DA4" w:rsidP="00DB3627">
            <w:pPr>
              <w:autoSpaceDE w:val="0"/>
              <w:autoSpaceDN w:val="0"/>
              <w:adjustRightInd w:val="0"/>
              <w:rPr>
                <w:rFonts w:cstheme="minorHAnsi"/>
                <w:bCs/>
              </w:rPr>
            </w:pPr>
            <w:sdt>
              <w:sdtPr>
                <w:rPr>
                  <w:rFonts w:cstheme="minorHAnsi"/>
                  <w:bCs/>
                  <w:color w:val="0000FF"/>
                </w:rPr>
                <w:id w:val="560149406"/>
                <w14:checkbox>
                  <w14:checked w14:val="1"/>
                  <w14:checkedState w14:val="2612" w14:font="MS Gothic"/>
                  <w14:uncheckedState w14:val="2610" w14:font="MS Gothic"/>
                </w14:checkbox>
              </w:sdtPr>
              <w:sdtEndPr/>
              <w:sdtContent>
                <w:r w:rsidR="00553F2E">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rsidR="00A01494" w:rsidRPr="00A01494" w:rsidRDefault="00790DA4" w:rsidP="00DB3627">
            <w:pPr>
              <w:autoSpaceDE w:val="0"/>
              <w:autoSpaceDN w:val="0"/>
              <w:adjustRightInd w:val="0"/>
              <w:rPr>
                <w:rFonts w:cstheme="minorHAnsi"/>
                <w:bCs/>
              </w:rPr>
            </w:pPr>
            <w:sdt>
              <w:sdtPr>
                <w:rPr>
                  <w:rFonts w:cstheme="minorHAnsi"/>
                  <w:bCs/>
                  <w:color w:val="0000FF"/>
                </w:rPr>
                <w:id w:val="-387195507"/>
                <w14:checkbox>
                  <w14:checked w14:val="1"/>
                  <w14:checkedState w14:val="2612" w14:font="MS Gothic"/>
                  <w14:uncheckedState w14:val="2610" w14:font="MS Gothic"/>
                </w14:checkbox>
              </w:sdtPr>
              <w:sdtEndPr/>
              <w:sdtContent>
                <w:r w:rsidR="00553F2E">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rsidTr="0014773C">
        <w:trPr>
          <w:jc w:val="center"/>
        </w:trPr>
        <w:tc>
          <w:tcPr>
            <w:tcW w:w="5208" w:type="dxa"/>
          </w:tcPr>
          <w:p w:rsidR="00A01494" w:rsidRPr="00A01494" w:rsidRDefault="00790DA4" w:rsidP="00DB3627">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rsidR="00A01494" w:rsidRPr="00A01494" w:rsidRDefault="00790DA4" w:rsidP="00DB3627">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rsidTr="0014773C">
        <w:trPr>
          <w:jc w:val="center"/>
        </w:trPr>
        <w:tc>
          <w:tcPr>
            <w:tcW w:w="5208" w:type="dxa"/>
          </w:tcPr>
          <w:p w:rsidR="00A01494" w:rsidRPr="00A01494" w:rsidRDefault="00790DA4"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rsidR="00A01494" w:rsidRPr="00A01494" w:rsidRDefault="00790DA4"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rsidTr="0014773C">
        <w:trPr>
          <w:jc w:val="center"/>
        </w:trPr>
        <w:tc>
          <w:tcPr>
            <w:tcW w:w="5208" w:type="dxa"/>
          </w:tcPr>
          <w:p w:rsidR="00A01494" w:rsidRPr="00A01494" w:rsidRDefault="00790DA4"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rsidR="00A01494" w:rsidRPr="00A01494" w:rsidRDefault="00790DA4"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rsidTr="0014773C">
        <w:trPr>
          <w:jc w:val="center"/>
        </w:trPr>
        <w:tc>
          <w:tcPr>
            <w:tcW w:w="5208" w:type="dxa"/>
          </w:tcPr>
          <w:p w:rsidR="00A01494" w:rsidRPr="00A01494" w:rsidRDefault="00790DA4" w:rsidP="00554C85">
            <w:pPr>
              <w:autoSpaceDE w:val="0"/>
              <w:autoSpaceDN w:val="0"/>
              <w:adjustRightInd w:val="0"/>
              <w:rPr>
                <w:rFonts w:cstheme="minorHAnsi"/>
                <w:bCs/>
              </w:rPr>
            </w:pPr>
            <w:sdt>
              <w:sdtPr>
                <w:rPr>
                  <w:rFonts w:cstheme="minorHAnsi"/>
                  <w:bCs/>
                  <w:color w:val="0000FF"/>
                </w:rPr>
                <w:id w:val="1316375390"/>
                <w14:checkbox>
                  <w14:checked w14:val="1"/>
                  <w14:checkedState w14:val="2612" w14:font="MS Gothic"/>
                  <w14:uncheckedState w14:val="2610" w14:font="MS Gothic"/>
                </w14:checkbox>
              </w:sdtPr>
              <w:sdtEndPr/>
              <w:sdtContent>
                <w:r w:rsidR="00554C85">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text/>
              </w:sdtPr>
              <w:sdtEndPr>
                <w:rPr>
                  <w:rStyle w:val="DefaultParagraphFont"/>
                  <w:rFonts w:cstheme="minorHAnsi"/>
                  <w:bCs/>
                  <w:color w:val="auto"/>
                </w:rPr>
              </w:sdtEndPr>
              <w:sdtContent>
                <w:r w:rsidR="00554C85">
                  <w:rPr>
                    <w:rStyle w:val="Style1"/>
                  </w:rPr>
                  <w:t>inpatient discharge summaries</w:t>
                </w:r>
              </w:sdtContent>
            </w:sdt>
          </w:p>
        </w:tc>
        <w:tc>
          <w:tcPr>
            <w:tcW w:w="4847" w:type="dxa"/>
          </w:tcPr>
          <w:p w:rsidR="00A01494" w:rsidRPr="00A01494" w:rsidRDefault="00790DA4" w:rsidP="00554C85">
            <w:pPr>
              <w:autoSpaceDE w:val="0"/>
              <w:autoSpaceDN w:val="0"/>
              <w:adjustRightInd w:val="0"/>
              <w:rPr>
                <w:rFonts w:cstheme="minorHAnsi"/>
                <w:bCs/>
              </w:rPr>
            </w:pPr>
            <w:sdt>
              <w:sdtPr>
                <w:rPr>
                  <w:rFonts w:cstheme="minorHAnsi"/>
                  <w:bCs/>
                  <w:color w:val="0000FF"/>
                </w:rPr>
                <w:id w:val="1689098749"/>
                <w14:checkbox>
                  <w14:checked w14:val="1"/>
                  <w14:checkedState w14:val="2612" w14:font="MS Gothic"/>
                  <w14:uncheckedState w14:val="2610" w14:font="MS Gothic"/>
                </w14:checkbox>
              </w:sdtPr>
              <w:sdtEndPr/>
              <w:sdtContent>
                <w:r w:rsidR="00554C85">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text/>
              </w:sdtPr>
              <w:sdtEndPr>
                <w:rPr>
                  <w:rStyle w:val="DefaultParagraphFont"/>
                  <w:rFonts w:cstheme="minorHAnsi"/>
                  <w:bCs/>
                  <w:color w:val="auto"/>
                </w:rPr>
              </w:sdtEndPr>
              <w:sdtContent>
                <w:r w:rsidR="00554C85">
                  <w:rPr>
                    <w:rStyle w:val="Style1"/>
                  </w:rPr>
                  <w:t>inpatient discharge summaries</w:t>
                </w:r>
              </w:sdtContent>
            </w:sdt>
          </w:p>
        </w:tc>
      </w:tr>
    </w:tbl>
    <w:p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rsidR="00021170" w:rsidRPr="00A01494" w:rsidRDefault="002B5016" w:rsidP="00DB3627">
      <w:pPr>
        <w:autoSpaceDE w:val="0"/>
        <w:autoSpaceDN w:val="0"/>
        <w:adjustRightInd w:val="0"/>
        <w:spacing w:after="0" w:line="240" w:lineRule="auto"/>
        <w:rPr>
          <w:rFonts w:cstheme="minorHAnsi"/>
          <w:b/>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rsidR="00C355B9" w:rsidRDefault="00C355B9" w:rsidP="00DB3627">
      <w:pPr>
        <w:autoSpaceDE w:val="0"/>
        <w:autoSpaceDN w:val="0"/>
        <w:adjustRightInd w:val="0"/>
        <w:spacing w:after="0" w:line="240" w:lineRule="auto"/>
        <w:rPr>
          <w:rFonts w:cstheme="minorHAnsi"/>
          <w:bCs/>
        </w:rPr>
      </w:pPr>
    </w:p>
    <w:p w:rsidR="00553F2E" w:rsidRPr="003E74B6" w:rsidRDefault="00553F2E" w:rsidP="00DB3627">
      <w:pPr>
        <w:autoSpaceDE w:val="0"/>
        <w:autoSpaceDN w:val="0"/>
        <w:adjustRightInd w:val="0"/>
        <w:spacing w:after="0" w:line="240" w:lineRule="auto"/>
        <w:rPr>
          <w:rFonts w:cstheme="minorHAnsi"/>
          <w:bCs/>
          <w:color w:val="0070C0"/>
        </w:rPr>
      </w:pPr>
      <w:r w:rsidRPr="003E74B6">
        <w:rPr>
          <w:rFonts w:cstheme="minorHAnsi"/>
          <w:bCs/>
          <w:color w:val="0070C0"/>
        </w:rPr>
        <w:t xml:space="preserve">MedPAR </w:t>
      </w:r>
      <w:r w:rsidR="003E74B6" w:rsidRPr="003E74B6">
        <w:rPr>
          <w:rFonts w:cstheme="minorHAnsi"/>
          <w:bCs/>
          <w:color w:val="0070C0"/>
        </w:rPr>
        <w:t xml:space="preserve">Part A claims </w:t>
      </w:r>
      <w:r w:rsidRPr="003E74B6">
        <w:rPr>
          <w:rFonts w:cstheme="minorHAnsi"/>
          <w:bCs/>
          <w:color w:val="0070C0"/>
        </w:rPr>
        <w:t>data</w:t>
      </w:r>
      <w:r w:rsidR="005A434F">
        <w:rPr>
          <w:rFonts w:cstheme="minorHAnsi"/>
          <w:bCs/>
          <w:color w:val="0070C0"/>
        </w:rPr>
        <w:t xml:space="preserve"> (15 million discharges from about 3800 IPPS hospitals over per year)</w:t>
      </w:r>
      <w:r w:rsidRPr="003E74B6">
        <w:rPr>
          <w:rFonts w:cstheme="minorHAnsi"/>
          <w:bCs/>
          <w:color w:val="0070C0"/>
        </w:rPr>
        <w:t>, HCUP NIS</w:t>
      </w:r>
      <w:r w:rsidR="005A434F">
        <w:rPr>
          <w:rFonts w:cstheme="minorHAnsi"/>
          <w:bCs/>
          <w:color w:val="0070C0"/>
        </w:rPr>
        <w:t xml:space="preserve"> (17 million discharges from 2100 hospitals per year)</w:t>
      </w:r>
      <w:r w:rsidRPr="003E74B6">
        <w:rPr>
          <w:rFonts w:cstheme="minorHAnsi"/>
          <w:bCs/>
          <w:color w:val="0070C0"/>
        </w:rPr>
        <w:t>, Premier data base</w:t>
      </w:r>
      <w:r w:rsidR="005A434F">
        <w:rPr>
          <w:rFonts w:cstheme="minorHAnsi"/>
          <w:bCs/>
          <w:color w:val="0070C0"/>
        </w:rPr>
        <w:t xml:space="preserve"> (9 million discharges from 760 hospitals across 48 states per year)</w:t>
      </w:r>
    </w:p>
    <w:p w:rsidR="009E1846" w:rsidRDefault="009E1846" w:rsidP="00DB3627">
      <w:pPr>
        <w:autoSpaceDE w:val="0"/>
        <w:autoSpaceDN w:val="0"/>
        <w:adjustRightInd w:val="0"/>
        <w:spacing w:after="0" w:line="240" w:lineRule="auto"/>
        <w:rPr>
          <w:rFonts w:cstheme="minorHAnsi"/>
          <w:b/>
        </w:rPr>
      </w:pPr>
    </w:p>
    <w:p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text/>
        </w:sdtPr>
        <w:sdtEndPr>
          <w:rPr>
            <w:rStyle w:val="DefaultParagraphFont"/>
            <w:rFonts w:cstheme="minorHAnsi"/>
            <w:color w:val="auto"/>
          </w:rPr>
        </w:sdtEndPr>
        <w:sdtContent>
          <w:r w:rsidR="00553F2E">
            <w:rPr>
              <w:rStyle w:val="Style1"/>
            </w:rPr>
            <w:t>1997-2013</w:t>
          </w:r>
        </w:sdtContent>
      </w:sdt>
    </w:p>
    <w:p w:rsidR="000574AB" w:rsidRDefault="000574AB" w:rsidP="00DB3627">
      <w:pPr>
        <w:autoSpaceDE w:val="0"/>
        <w:autoSpaceDN w:val="0"/>
        <w:adjustRightInd w:val="0"/>
        <w:spacing w:after="0" w:line="240" w:lineRule="auto"/>
        <w:rPr>
          <w:rFonts w:cstheme="minorHAnsi"/>
          <w:bCs/>
        </w:rPr>
      </w:pPr>
    </w:p>
    <w:p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rsidTr="000414E8">
        <w:trPr>
          <w:jc w:val="center"/>
        </w:trPr>
        <w:tc>
          <w:tcPr>
            <w:tcW w:w="5027" w:type="dxa"/>
            <w:shd w:val="clear" w:color="auto" w:fill="D9D9D9" w:themeFill="background1" w:themeFillShade="D9"/>
          </w:tcPr>
          <w:p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rsidTr="000414E8">
        <w:trPr>
          <w:jc w:val="center"/>
        </w:trPr>
        <w:tc>
          <w:tcPr>
            <w:tcW w:w="5027" w:type="dxa"/>
          </w:tcPr>
          <w:p w:rsidR="000414E8" w:rsidRPr="00A01494" w:rsidRDefault="00790DA4"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554C85">
                  <w:rPr>
                    <w:rFonts w:ascii="MS Gothic" w:eastAsia="MS Gothic" w:hAnsi="MS Gothic" w:cstheme="minorHAnsi" w:hint="eastAsia"/>
                    <w:bCs/>
                    <w:color w:val="0000FF"/>
                  </w:rPr>
                  <w:t>☐</w:t>
                </w:r>
              </w:sdtContent>
            </w:sdt>
            <w:r w:rsidR="000414E8">
              <w:rPr>
                <w:rFonts w:cstheme="minorHAnsi"/>
                <w:bCs/>
              </w:rPr>
              <w:t xml:space="preserve"> individual clinician</w:t>
            </w:r>
          </w:p>
        </w:tc>
        <w:tc>
          <w:tcPr>
            <w:tcW w:w="5028" w:type="dxa"/>
          </w:tcPr>
          <w:p w:rsidR="000414E8" w:rsidRPr="00A01494" w:rsidRDefault="00790DA4"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rsidTr="000414E8">
        <w:trPr>
          <w:jc w:val="center"/>
        </w:trPr>
        <w:tc>
          <w:tcPr>
            <w:tcW w:w="5027" w:type="dxa"/>
          </w:tcPr>
          <w:p w:rsidR="000414E8" w:rsidRPr="00A01494" w:rsidRDefault="00790DA4"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rsidR="000414E8" w:rsidRPr="00A01494" w:rsidRDefault="00790DA4"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rsidTr="000414E8">
        <w:trPr>
          <w:jc w:val="center"/>
        </w:trPr>
        <w:tc>
          <w:tcPr>
            <w:tcW w:w="5027" w:type="dxa"/>
          </w:tcPr>
          <w:p w:rsidR="000414E8" w:rsidRPr="00A01494" w:rsidRDefault="00790DA4"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EndPr/>
              <w:sdtContent>
                <w:r w:rsidR="00553F2E">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rsidR="000414E8" w:rsidRPr="00A01494" w:rsidRDefault="00790DA4"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EndPr/>
              <w:sdtContent>
                <w:r w:rsidR="00DB2E6A">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rsidTr="000414E8">
        <w:trPr>
          <w:jc w:val="center"/>
        </w:trPr>
        <w:tc>
          <w:tcPr>
            <w:tcW w:w="5027" w:type="dxa"/>
          </w:tcPr>
          <w:p w:rsidR="000414E8" w:rsidRPr="00A01494" w:rsidRDefault="00790DA4"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rsidR="000414E8" w:rsidRPr="00A01494" w:rsidRDefault="00790DA4"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rsidTr="000414E8">
        <w:trPr>
          <w:jc w:val="center"/>
        </w:trPr>
        <w:tc>
          <w:tcPr>
            <w:tcW w:w="5027" w:type="dxa"/>
          </w:tcPr>
          <w:p w:rsidR="000414E8" w:rsidRPr="00A01494" w:rsidRDefault="00790DA4"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rsidR="000414E8" w:rsidRPr="00A01494" w:rsidRDefault="00790DA4"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rsidR="000414E8" w:rsidRPr="00A25024" w:rsidRDefault="000414E8" w:rsidP="00DB3627">
      <w:pPr>
        <w:autoSpaceDE w:val="0"/>
        <w:autoSpaceDN w:val="0"/>
        <w:adjustRightInd w:val="0"/>
        <w:spacing w:after="0" w:line="240" w:lineRule="auto"/>
        <w:rPr>
          <w:rFonts w:cstheme="minorHAnsi"/>
          <w:bCs/>
        </w:rPr>
      </w:pPr>
    </w:p>
    <w:p w:rsidR="008A1E71"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w:t>
      </w:r>
    </w:p>
    <w:p w:rsidR="002E78A0" w:rsidRDefault="004348CC" w:rsidP="00DB3627">
      <w:pPr>
        <w:autoSpaceDE w:val="0"/>
        <w:autoSpaceDN w:val="0"/>
        <w:adjustRightInd w:val="0"/>
        <w:spacing w:after="0" w:line="240" w:lineRule="auto"/>
        <w:rPr>
          <w:rFonts w:cstheme="minorHAnsi"/>
          <w:b/>
          <w:bCs/>
          <w:i/>
        </w:rPr>
      </w:pPr>
      <w:r w:rsidRPr="00A25024">
        <w:rPr>
          <w:rFonts w:cstheme="minorHAnsi"/>
          <w:bCs/>
        </w:rPr>
        <w:t xml:space="preserve"> </w:t>
      </w:r>
      <w:r w:rsidRPr="00A25024">
        <w:rPr>
          <w:rFonts w:cstheme="minorHAnsi"/>
          <w:bCs/>
        </w:rPr>
        <w:br/>
      </w:r>
      <w:r w:rsidR="00554C85">
        <w:rPr>
          <w:rFonts w:cstheme="minorHAnsi"/>
          <w:b/>
          <w:bCs/>
          <w:i/>
        </w:rPr>
        <w:t xml:space="preserve">Measure entities include </w:t>
      </w:r>
      <w:proofErr w:type="gramStart"/>
      <w:r w:rsidR="00554C85">
        <w:rPr>
          <w:rFonts w:cstheme="minorHAnsi"/>
          <w:b/>
          <w:bCs/>
          <w:i/>
        </w:rPr>
        <w:t xml:space="preserve">about </w:t>
      </w:r>
      <w:r w:rsidR="00557459">
        <w:rPr>
          <w:rFonts w:cstheme="minorHAnsi"/>
          <w:b/>
          <w:bCs/>
          <w:i/>
        </w:rPr>
        <w:t xml:space="preserve"> 570</w:t>
      </w:r>
      <w:proofErr w:type="gramEnd"/>
      <w:r w:rsidR="00554C85">
        <w:rPr>
          <w:rFonts w:cstheme="minorHAnsi"/>
          <w:b/>
          <w:bCs/>
          <w:i/>
        </w:rPr>
        <w:t xml:space="preserve"> acute-care hospitals located in 48 states of the USA.  </w:t>
      </w:r>
      <w:r w:rsidR="008A1E71" w:rsidRPr="00E94471">
        <w:rPr>
          <w:rFonts w:cstheme="minorHAnsi"/>
          <w:b/>
          <w:bCs/>
          <w:i/>
        </w:rPr>
        <w:t xml:space="preserve">See </w:t>
      </w:r>
      <w:r w:rsidR="00655D4B">
        <w:rPr>
          <w:rFonts w:cstheme="minorHAnsi"/>
          <w:b/>
          <w:bCs/>
          <w:i/>
        </w:rPr>
        <w:t>data summary table below:</w:t>
      </w:r>
    </w:p>
    <w:p w:rsidR="00655D4B" w:rsidRDefault="00655D4B" w:rsidP="00DB3627">
      <w:pPr>
        <w:autoSpaceDE w:val="0"/>
        <w:autoSpaceDN w:val="0"/>
        <w:adjustRightInd w:val="0"/>
        <w:spacing w:after="0" w:line="240" w:lineRule="auto"/>
        <w:rPr>
          <w:rFonts w:cstheme="minorHAnsi"/>
          <w:b/>
          <w:bCs/>
          <w:i/>
        </w:rPr>
      </w:pPr>
    </w:p>
    <w:tbl>
      <w:tblPr>
        <w:tblW w:w="7302" w:type="dxa"/>
        <w:tblInd w:w="96" w:type="dxa"/>
        <w:tblLook w:val="04A0" w:firstRow="1" w:lastRow="0" w:firstColumn="1" w:lastColumn="0" w:noHBand="0" w:noVBand="1"/>
      </w:tblPr>
      <w:tblGrid>
        <w:gridCol w:w="2300"/>
        <w:gridCol w:w="1460"/>
        <w:gridCol w:w="960"/>
        <w:gridCol w:w="960"/>
        <w:gridCol w:w="1622"/>
      </w:tblGrid>
      <w:tr w:rsidR="00655D4B" w:rsidRPr="00116868" w:rsidTr="00D57C10">
        <w:trPr>
          <w:trHeight w:val="276"/>
        </w:trPr>
        <w:tc>
          <w:tcPr>
            <w:tcW w:w="2300" w:type="dxa"/>
            <w:tcBorders>
              <w:top w:val="single" w:sz="4" w:space="0" w:color="auto"/>
              <w:left w:val="single" w:sz="4" w:space="0" w:color="auto"/>
              <w:bottom w:val="nil"/>
              <w:right w:val="nil"/>
            </w:tcBorders>
            <w:shd w:val="clear" w:color="auto" w:fill="auto"/>
            <w:noWrap/>
            <w:vAlign w:val="bottom"/>
            <w:hideMark/>
          </w:tcPr>
          <w:p w:rsidR="00655D4B" w:rsidRPr="00116868" w:rsidRDefault="00655D4B" w:rsidP="00D57C10">
            <w:pPr>
              <w:spacing w:after="0"/>
              <w:rPr>
                <w:rFonts w:ascii="Calibri" w:eastAsia="Times New Roman" w:hAnsi="Calibri" w:cs="Calibri"/>
                <w:b/>
                <w:bCs/>
                <w:sz w:val="20"/>
                <w:szCs w:val="20"/>
              </w:rPr>
            </w:pPr>
            <w:r w:rsidRPr="00116868">
              <w:rPr>
                <w:rFonts w:ascii="Calibri" w:eastAsia="Times New Roman" w:hAnsi="Calibri" w:cs="Calibri"/>
                <w:b/>
                <w:bCs/>
                <w:sz w:val="20"/>
                <w:szCs w:val="20"/>
              </w:rPr>
              <w:lastRenderedPageBreak/>
              <w:t>Hospital Characteristics</w:t>
            </w:r>
          </w:p>
        </w:tc>
        <w:tc>
          <w:tcPr>
            <w:tcW w:w="1460" w:type="dxa"/>
            <w:tcBorders>
              <w:top w:val="single" w:sz="4" w:space="0" w:color="auto"/>
              <w:left w:val="nil"/>
              <w:bottom w:val="nil"/>
              <w:right w:val="nil"/>
            </w:tcBorders>
            <w:shd w:val="clear" w:color="auto" w:fill="auto"/>
            <w:noWrap/>
            <w:vAlign w:val="bottom"/>
            <w:hideMark/>
          </w:tcPr>
          <w:p w:rsidR="00655D4B" w:rsidRPr="00116868" w:rsidRDefault="00655D4B" w:rsidP="00D57C10">
            <w:pPr>
              <w:spacing w:after="0"/>
              <w:jc w:val="center"/>
              <w:rPr>
                <w:rFonts w:ascii="Calibri" w:eastAsia="Times New Roman" w:hAnsi="Calibri" w:cs="Calibri"/>
                <w:b/>
                <w:bCs/>
                <w:sz w:val="20"/>
                <w:szCs w:val="20"/>
              </w:rPr>
            </w:pPr>
            <w:r w:rsidRPr="00116868">
              <w:rPr>
                <w:rFonts w:ascii="Calibri" w:eastAsia="Times New Roman" w:hAnsi="Calibri" w:cs="Calibri"/>
                <w:b/>
                <w:bCs/>
                <w:sz w:val="20"/>
                <w:szCs w:val="20"/>
              </w:rPr>
              <w:t>Description</w:t>
            </w:r>
          </w:p>
        </w:tc>
        <w:tc>
          <w:tcPr>
            <w:tcW w:w="960" w:type="dxa"/>
            <w:tcBorders>
              <w:top w:val="single" w:sz="4" w:space="0" w:color="auto"/>
              <w:left w:val="single" w:sz="4" w:space="0" w:color="auto"/>
              <w:bottom w:val="nil"/>
              <w:right w:val="nil"/>
            </w:tcBorders>
            <w:shd w:val="clear" w:color="auto" w:fill="auto"/>
            <w:noWrap/>
            <w:vAlign w:val="bottom"/>
            <w:hideMark/>
          </w:tcPr>
          <w:p w:rsidR="00655D4B" w:rsidRPr="00116868" w:rsidRDefault="00655D4B" w:rsidP="00D57C10">
            <w:pPr>
              <w:spacing w:after="0"/>
              <w:jc w:val="center"/>
              <w:rPr>
                <w:rFonts w:ascii="Calibri" w:eastAsia="Times New Roman" w:hAnsi="Calibri" w:cs="Calibri"/>
                <w:b/>
                <w:bCs/>
                <w:sz w:val="20"/>
                <w:szCs w:val="20"/>
              </w:rPr>
            </w:pPr>
            <w:r w:rsidRPr="00116868">
              <w:rPr>
                <w:rFonts w:ascii="Calibri" w:eastAsia="Times New Roman" w:hAnsi="Calibri" w:cs="Calibri"/>
                <w:b/>
                <w:bCs/>
                <w:sz w:val="20"/>
                <w:szCs w:val="20"/>
              </w:rPr>
              <w:t>Count</w:t>
            </w:r>
          </w:p>
        </w:tc>
        <w:tc>
          <w:tcPr>
            <w:tcW w:w="960" w:type="dxa"/>
            <w:tcBorders>
              <w:top w:val="single" w:sz="4" w:space="0" w:color="auto"/>
              <w:left w:val="nil"/>
              <w:bottom w:val="nil"/>
              <w:right w:val="single" w:sz="4" w:space="0" w:color="auto"/>
            </w:tcBorders>
            <w:shd w:val="clear" w:color="auto" w:fill="auto"/>
            <w:noWrap/>
            <w:vAlign w:val="bottom"/>
            <w:hideMark/>
          </w:tcPr>
          <w:p w:rsidR="00655D4B" w:rsidRPr="00116868" w:rsidRDefault="00655D4B" w:rsidP="00D57C10">
            <w:pPr>
              <w:spacing w:after="0"/>
              <w:jc w:val="center"/>
              <w:rPr>
                <w:rFonts w:ascii="Calibri" w:eastAsia="Times New Roman" w:hAnsi="Calibri" w:cs="Calibri"/>
                <w:b/>
                <w:bCs/>
                <w:sz w:val="20"/>
                <w:szCs w:val="20"/>
              </w:rPr>
            </w:pPr>
            <w:r w:rsidRPr="00116868">
              <w:rPr>
                <w:rFonts w:ascii="Calibri" w:eastAsia="Times New Roman" w:hAnsi="Calibri" w:cs="Calibri"/>
                <w:b/>
                <w:bCs/>
                <w:sz w:val="20"/>
                <w:szCs w:val="20"/>
              </w:rPr>
              <w:t>Percent</w:t>
            </w:r>
          </w:p>
        </w:tc>
        <w:tc>
          <w:tcPr>
            <w:tcW w:w="1622" w:type="dxa"/>
            <w:tcBorders>
              <w:top w:val="single" w:sz="4" w:space="0" w:color="auto"/>
              <w:left w:val="nil"/>
              <w:bottom w:val="nil"/>
              <w:right w:val="single" w:sz="4" w:space="0" w:color="auto"/>
            </w:tcBorders>
          </w:tcPr>
          <w:p w:rsidR="00655D4B" w:rsidRPr="00116868" w:rsidRDefault="00655D4B" w:rsidP="00D57C10">
            <w:pPr>
              <w:spacing w:after="0"/>
              <w:jc w:val="center"/>
              <w:rPr>
                <w:rFonts w:ascii="Calibri" w:eastAsia="Times New Roman" w:hAnsi="Calibri" w:cs="Calibri"/>
                <w:b/>
                <w:bCs/>
                <w:sz w:val="20"/>
                <w:szCs w:val="20"/>
              </w:rPr>
            </w:pPr>
            <w:r>
              <w:rPr>
                <w:rFonts w:ascii="Calibri" w:eastAsia="Times New Roman" w:hAnsi="Calibri" w:cs="Calibri"/>
                <w:b/>
                <w:bCs/>
                <w:sz w:val="20"/>
                <w:szCs w:val="20"/>
              </w:rPr>
              <w:t>National Percent</w:t>
            </w:r>
          </w:p>
        </w:tc>
      </w:tr>
      <w:tr w:rsidR="00655D4B" w:rsidRPr="00116868" w:rsidTr="00D57C10">
        <w:trPr>
          <w:trHeight w:val="276"/>
        </w:trPr>
        <w:tc>
          <w:tcPr>
            <w:tcW w:w="2300" w:type="dxa"/>
            <w:vMerge w:val="restart"/>
            <w:tcBorders>
              <w:top w:val="single" w:sz="4" w:space="0" w:color="auto"/>
              <w:left w:val="single" w:sz="4" w:space="0" w:color="auto"/>
              <w:bottom w:val="single" w:sz="4" w:space="0" w:color="000000"/>
              <w:right w:val="nil"/>
            </w:tcBorders>
            <w:shd w:val="clear" w:color="auto" w:fill="auto"/>
            <w:noWrap/>
            <w:vAlign w:val="center"/>
            <w:hideMark/>
          </w:tcPr>
          <w:p w:rsidR="00655D4B" w:rsidRPr="00116868" w:rsidRDefault="00655D4B" w:rsidP="00D57C10">
            <w:pPr>
              <w:spacing w:after="0"/>
              <w:jc w:val="center"/>
              <w:rPr>
                <w:rFonts w:ascii="Calibri" w:eastAsia="Times New Roman" w:hAnsi="Calibri" w:cs="Calibri"/>
                <w:b/>
                <w:bCs/>
                <w:sz w:val="20"/>
                <w:szCs w:val="20"/>
              </w:rPr>
            </w:pPr>
            <w:r w:rsidRPr="00116868">
              <w:rPr>
                <w:rFonts w:ascii="Calibri" w:eastAsia="Times New Roman" w:hAnsi="Calibri" w:cs="Calibri"/>
                <w:b/>
                <w:bCs/>
                <w:sz w:val="20"/>
                <w:szCs w:val="20"/>
              </w:rPr>
              <w:t>Bed Size</w:t>
            </w:r>
          </w:p>
        </w:tc>
        <w:tc>
          <w:tcPr>
            <w:tcW w:w="1460" w:type="dxa"/>
            <w:tcBorders>
              <w:top w:val="single" w:sz="4" w:space="0" w:color="auto"/>
              <w:left w:val="nil"/>
              <w:bottom w:val="nil"/>
              <w:right w:val="nil"/>
            </w:tcBorders>
            <w:shd w:val="clear" w:color="auto" w:fill="auto"/>
            <w:noWrap/>
            <w:vAlign w:val="bottom"/>
            <w:hideMark/>
          </w:tcPr>
          <w:p w:rsidR="00655D4B" w:rsidRPr="00116868" w:rsidRDefault="00655D4B" w:rsidP="00D57C10">
            <w:pPr>
              <w:spacing w:after="0"/>
              <w:jc w:val="center"/>
              <w:rPr>
                <w:rFonts w:ascii="Calibri" w:eastAsia="Times New Roman" w:hAnsi="Calibri" w:cs="Calibri"/>
                <w:sz w:val="20"/>
                <w:szCs w:val="20"/>
              </w:rPr>
            </w:pPr>
            <w:r w:rsidRPr="00116868">
              <w:rPr>
                <w:rFonts w:ascii="Calibri" w:eastAsia="Times New Roman" w:hAnsi="Calibri" w:cs="Calibri"/>
                <w:sz w:val="20"/>
                <w:szCs w:val="20"/>
              </w:rPr>
              <w:t>&lt;100</w:t>
            </w:r>
          </w:p>
        </w:tc>
        <w:tc>
          <w:tcPr>
            <w:tcW w:w="960" w:type="dxa"/>
            <w:tcBorders>
              <w:top w:val="single" w:sz="4" w:space="0" w:color="auto"/>
              <w:left w:val="single" w:sz="4" w:space="0" w:color="auto"/>
              <w:bottom w:val="nil"/>
              <w:right w:val="nil"/>
            </w:tcBorders>
            <w:shd w:val="clear" w:color="auto" w:fill="auto"/>
            <w:noWrap/>
            <w:vAlign w:val="bottom"/>
            <w:hideMark/>
          </w:tcPr>
          <w:p w:rsidR="00655D4B" w:rsidRPr="00116868" w:rsidRDefault="00655D4B" w:rsidP="00D57C10">
            <w:pPr>
              <w:spacing w:after="0"/>
              <w:jc w:val="center"/>
              <w:rPr>
                <w:rFonts w:ascii="Calibri" w:eastAsia="Times New Roman" w:hAnsi="Calibri" w:cs="Calibri"/>
                <w:sz w:val="20"/>
                <w:szCs w:val="20"/>
              </w:rPr>
            </w:pPr>
            <w:r w:rsidRPr="00116868">
              <w:rPr>
                <w:rFonts w:ascii="Calibri" w:eastAsia="Times New Roman" w:hAnsi="Calibri" w:cs="Calibri"/>
                <w:sz w:val="20"/>
                <w:szCs w:val="20"/>
              </w:rPr>
              <w:t>91</w:t>
            </w:r>
          </w:p>
        </w:tc>
        <w:tc>
          <w:tcPr>
            <w:tcW w:w="960" w:type="dxa"/>
            <w:tcBorders>
              <w:top w:val="single" w:sz="4" w:space="0" w:color="auto"/>
              <w:left w:val="nil"/>
              <w:bottom w:val="nil"/>
              <w:right w:val="single" w:sz="4" w:space="0" w:color="auto"/>
            </w:tcBorders>
            <w:shd w:val="clear" w:color="auto" w:fill="auto"/>
            <w:noWrap/>
            <w:vAlign w:val="bottom"/>
            <w:hideMark/>
          </w:tcPr>
          <w:p w:rsidR="00655D4B" w:rsidRPr="00116868" w:rsidRDefault="00655D4B" w:rsidP="00D57C10">
            <w:pPr>
              <w:spacing w:after="0"/>
              <w:jc w:val="center"/>
              <w:rPr>
                <w:rFonts w:ascii="Calibri" w:eastAsia="Times New Roman" w:hAnsi="Calibri" w:cs="Calibri"/>
                <w:sz w:val="20"/>
                <w:szCs w:val="20"/>
              </w:rPr>
            </w:pPr>
            <w:r w:rsidRPr="00116868">
              <w:rPr>
                <w:rFonts w:ascii="Calibri" w:eastAsia="Times New Roman" w:hAnsi="Calibri" w:cs="Calibri"/>
                <w:sz w:val="20"/>
                <w:szCs w:val="20"/>
              </w:rPr>
              <w:t>16%</w:t>
            </w:r>
          </w:p>
        </w:tc>
        <w:tc>
          <w:tcPr>
            <w:tcW w:w="1622" w:type="dxa"/>
            <w:tcBorders>
              <w:top w:val="single" w:sz="4" w:space="0" w:color="auto"/>
              <w:left w:val="nil"/>
              <w:bottom w:val="nil"/>
              <w:right w:val="single" w:sz="4" w:space="0" w:color="auto"/>
            </w:tcBorders>
          </w:tcPr>
          <w:p w:rsidR="00655D4B" w:rsidRPr="00116868" w:rsidRDefault="00655D4B" w:rsidP="00D57C10">
            <w:pPr>
              <w:spacing w:after="0"/>
              <w:jc w:val="center"/>
              <w:rPr>
                <w:rFonts w:ascii="Calibri" w:eastAsia="Times New Roman" w:hAnsi="Calibri" w:cs="Calibri"/>
                <w:sz w:val="20"/>
                <w:szCs w:val="20"/>
              </w:rPr>
            </w:pPr>
            <w:r>
              <w:rPr>
                <w:rFonts w:ascii="Calibri" w:eastAsia="Times New Roman" w:hAnsi="Calibri" w:cs="Calibri"/>
                <w:sz w:val="20"/>
                <w:szCs w:val="20"/>
              </w:rPr>
              <w:t>38%</w:t>
            </w:r>
          </w:p>
        </w:tc>
      </w:tr>
      <w:tr w:rsidR="00655D4B" w:rsidRPr="00116868" w:rsidTr="00D57C10">
        <w:trPr>
          <w:trHeight w:val="276"/>
        </w:trPr>
        <w:tc>
          <w:tcPr>
            <w:tcW w:w="2300" w:type="dxa"/>
            <w:vMerge/>
            <w:tcBorders>
              <w:top w:val="single" w:sz="4" w:space="0" w:color="auto"/>
              <w:left w:val="single" w:sz="4" w:space="0" w:color="auto"/>
              <w:bottom w:val="single" w:sz="4" w:space="0" w:color="000000"/>
              <w:right w:val="nil"/>
            </w:tcBorders>
            <w:vAlign w:val="center"/>
            <w:hideMark/>
          </w:tcPr>
          <w:p w:rsidR="00655D4B" w:rsidRPr="00116868" w:rsidRDefault="00655D4B" w:rsidP="00D57C10">
            <w:pPr>
              <w:spacing w:after="0"/>
              <w:rPr>
                <w:rFonts w:ascii="Calibri" w:eastAsia="Times New Roman" w:hAnsi="Calibri" w:cs="Calibri"/>
                <w:b/>
                <w:bCs/>
                <w:sz w:val="20"/>
                <w:szCs w:val="20"/>
              </w:rPr>
            </w:pPr>
          </w:p>
        </w:tc>
        <w:tc>
          <w:tcPr>
            <w:tcW w:w="1460" w:type="dxa"/>
            <w:tcBorders>
              <w:top w:val="nil"/>
              <w:left w:val="nil"/>
              <w:bottom w:val="nil"/>
              <w:right w:val="nil"/>
            </w:tcBorders>
            <w:shd w:val="clear" w:color="auto" w:fill="auto"/>
            <w:noWrap/>
            <w:vAlign w:val="bottom"/>
            <w:hideMark/>
          </w:tcPr>
          <w:p w:rsidR="00655D4B" w:rsidRPr="00116868" w:rsidRDefault="00655D4B" w:rsidP="00D57C10">
            <w:pPr>
              <w:spacing w:after="0"/>
              <w:jc w:val="center"/>
              <w:rPr>
                <w:rFonts w:ascii="Calibri" w:eastAsia="Times New Roman" w:hAnsi="Calibri" w:cs="Calibri"/>
                <w:sz w:val="20"/>
                <w:szCs w:val="20"/>
              </w:rPr>
            </w:pPr>
            <w:r w:rsidRPr="00116868">
              <w:rPr>
                <w:rFonts w:ascii="Calibri" w:eastAsia="Times New Roman" w:hAnsi="Calibri" w:cs="Calibri"/>
                <w:sz w:val="20"/>
                <w:szCs w:val="20"/>
              </w:rPr>
              <w:t>100 - 199</w:t>
            </w:r>
          </w:p>
        </w:tc>
        <w:tc>
          <w:tcPr>
            <w:tcW w:w="960" w:type="dxa"/>
            <w:tcBorders>
              <w:top w:val="nil"/>
              <w:left w:val="single" w:sz="4" w:space="0" w:color="auto"/>
              <w:bottom w:val="nil"/>
              <w:right w:val="nil"/>
            </w:tcBorders>
            <w:shd w:val="clear" w:color="auto" w:fill="auto"/>
            <w:noWrap/>
            <w:vAlign w:val="bottom"/>
            <w:hideMark/>
          </w:tcPr>
          <w:p w:rsidR="00655D4B" w:rsidRPr="00116868" w:rsidRDefault="00655D4B" w:rsidP="00D57C10">
            <w:pPr>
              <w:spacing w:after="0"/>
              <w:jc w:val="center"/>
              <w:rPr>
                <w:rFonts w:ascii="Calibri" w:eastAsia="Times New Roman" w:hAnsi="Calibri" w:cs="Calibri"/>
                <w:sz w:val="20"/>
                <w:szCs w:val="20"/>
              </w:rPr>
            </w:pPr>
            <w:r w:rsidRPr="00116868">
              <w:rPr>
                <w:rFonts w:ascii="Calibri" w:eastAsia="Times New Roman" w:hAnsi="Calibri" w:cs="Calibri"/>
                <w:sz w:val="20"/>
                <w:szCs w:val="20"/>
              </w:rPr>
              <w:t>121</w:t>
            </w:r>
          </w:p>
        </w:tc>
        <w:tc>
          <w:tcPr>
            <w:tcW w:w="960" w:type="dxa"/>
            <w:tcBorders>
              <w:top w:val="nil"/>
              <w:left w:val="nil"/>
              <w:bottom w:val="nil"/>
              <w:right w:val="single" w:sz="4" w:space="0" w:color="auto"/>
            </w:tcBorders>
            <w:shd w:val="clear" w:color="auto" w:fill="auto"/>
            <w:noWrap/>
            <w:vAlign w:val="bottom"/>
            <w:hideMark/>
          </w:tcPr>
          <w:p w:rsidR="00655D4B" w:rsidRPr="00116868" w:rsidRDefault="00655D4B" w:rsidP="00D57C10">
            <w:pPr>
              <w:spacing w:after="0"/>
              <w:jc w:val="center"/>
              <w:rPr>
                <w:rFonts w:ascii="Calibri" w:eastAsia="Times New Roman" w:hAnsi="Calibri" w:cs="Calibri"/>
                <w:sz w:val="20"/>
                <w:szCs w:val="20"/>
              </w:rPr>
            </w:pPr>
            <w:r w:rsidRPr="00116868">
              <w:rPr>
                <w:rFonts w:ascii="Calibri" w:eastAsia="Times New Roman" w:hAnsi="Calibri" w:cs="Calibri"/>
                <w:sz w:val="20"/>
                <w:szCs w:val="20"/>
              </w:rPr>
              <w:t>22%</w:t>
            </w:r>
          </w:p>
        </w:tc>
        <w:tc>
          <w:tcPr>
            <w:tcW w:w="1622" w:type="dxa"/>
            <w:tcBorders>
              <w:top w:val="nil"/>
              <w:left w:val="nil"/>
              <w:bottom w:val="nil"/>
              <w:right w:val="single" w:sz="4" w:space="0" w:color="auto"/>
            </w:tcBorders>
          </w:tcPr>
          <w:p w:rsidR="00655D4B" w:rsidRPr="00116868" w:rsidRDefault="00655D4B" w:rsidP="00D57C10">
            <w:pPr>
              <w:spacing w:after="0"/>
              <w:jc w:val="center"/>
              <w:rPr>
                <w:rFonts w:ascii="Calibri" w:eastAsia="Times New Roman" w:hAnsi="Calibri" w:cs="Calibri"/>
                <w:sz w:val="20"/>
                <w:szCs w:val="20"/>
              </w:rPr>
            </w:pPr>
            <w:r>
              <w:rPr>
                <w:rFonts w:ascii="Calibri" w:eastAsia="Times New Roman" w:hAnsi="Calibri" w:cs="Calibri"/>
                <w:sz w:val="20"/>
                <w:szCs w:val="20"/>
              </w:rPr>
              <w:t>29%</w:t>
            </w:r>
          </w:p>
        </w:tc>
      </w:tr>
      <w:tr w:rsidR="00655D4B" w:rsidRPr="00116868" w:rsidTr="00D57C10">
        <w:trPr>
          <w:trHeight w:val="276"/>
        </w:trPr>
        <w:tc>
          <w:tcPr>
            <w:tcW w:w="2300" w:type="dxa"/>
            <w:vMerge/>
            <w:tcBorders>
              <w:top w:val="single" w:sz="4" w:space="0" w:color="auto"/>
              <w:left w:val="single" w:sz="4" w:space="0" w:color="auto"/>
              <w:bottom w:val="single" w:sz="4" w:space="0" w:color="000000"/>
              <w:right w:val="nil"/>
            </w:tcBorders>
            <w:vAlign w:val="center"/>
            <w:hideMark/>
          </w:tcPr>
          <w:p w:rsidR="00655D4B" w:rsidRPr="00116868" w:rsidRDefault="00655D4B" w:rsidP="00D57C10">
            <w:pPr>
              <w:spacing w:after="0"/>
              <w:rPr>
                <w:rFonts w:ascii="Calibri" w:eastAsia="Times New Roman" w:hAnsi="Calibri" w:cs="Calibri"/>
                <w:b/>
                <w:bCs/>
                <w:sz w:val="20"/>
                <w:szCs w:val="20"/>
              </w:rPr>
            </w:pPr>
          </w:p>
        </w:tc>
        <w:tc>
          <w:tcPr>
            <w:tcW w:w="1460" w:type="dxa"/>
            <w:tcBorders>
              <w:top w:val="nil"/>
              <w:left w:val="nil"/>
              <w:bottom w:val="nil"/>
              <w:right w:val="nil"/>
            </w:tcBorders>
            <w:shd w:val="clear" w:color="auto" w:fill="auto"/>
            <w:noWrap/>
            <w:vAlign w:val="bottom"/>
            <w:hideMark/>
          </w:tcPr>
          <w:p w:rsidR="00655D4B" w:rsidRPr="00116868" w:rsidRDefault="00655D4B" w:rsidP="00D57C10">
            <w:pPr>
              <w:spacing w:after="0"/>
              <w:jc w:val="center"/>
              <w:rPr>
                <w:rFonts w:ascii="Calibri" w:eastAsia="Times New Roman" w:hAnsi="Calibri" w:cs="Calibri"/>
                <w:sz w:val="20"/>
                <w:szCs w:val="20"/>
              </w:rPr>
            </w:pPr>
            <w:r w:rsidRPr="00116868">
              <w:rPr>
                <w:rFonts w:ascii="Calibri" w:eastAsia="Times New Roman" w:hAnsi="Calibri" w:cs="Calibri"/>
                <w:sz w:val="20"/>
                <w:szCs w:val="20"/>
              </w:rPr>
              <w:t>200 - 299</w:t>
            </w:r>
          </w:p>
        </w:tc>
        <w:tc>
          <w:tcPr>
            <w:tcW w:w="960" w:type="dxa"/>
            <w:tcBorders>
              <w:top w:val="nil"/>
              <w:left w:val="single" w:sz="4" w:space="0" w:color="auto"/>
              <w:bottom w:val="nil"/>
              <w:right w:val="nil"/>
            </w:tcBorders>
            <w:shd w:val="clear" w:color="auto" w:fill="auto"/>
            <w:noWrap/>
            <w:vAlign w:val="bottom"/>
            <w:hideMark/>
          </w:tcPr>
          <w:p w:rsidR="00655D4B" w:rsidRPr="00116868" w:rsidRDefault="00655D4B" w:rsidP="00D57C10">
            <w:pPr>
              <w:spacing w:after="0"/>
              <w:jc w:val="center"/>
              <w:rPr>
                <w:rFonts w:ascii="Calibri" w:eastAsia="Times New Roman" w:hAnsi="Calibri" w:cs="Calibri"/>
                <w:sz w:val="20"/>
                <w:szCs w:val="20"/>
              </w:rPr>
            </w:pPr>
            <w:r w:rsidRPr="00116868">
              <w:rPr>
                <w:rFonts w:ascii="Calibri" w:eastAsia="Times New Roman" w:hAnsi="Calibri" w:cs="Calibri"/>
                <w:sz w:val="20"/>
                <w:szCs w:val="20"/>
              </w:rPr>
              <w:t>108</w:t>
            </w:r>
          </w:p>
        </w:tc>
        <w:tc>
          <w:tcPr>
            <w:tcW w:w="960" w:type="dxa"/>
            <w:tcBorders>
              <w:top w:val="nil"/>
              <w:left w:val="nil"/>
              <w:bottom w:val="nil"/>
              <w:right w:val="single" w:sz="4" w:space="0" w:color="auto"/>
            </w:tcBorders>
            <w:shd w:val="clear" w:color="auto" w:fill="auto"/>
            <w:noWrap/>
            <w:vAlign w:val="bottom"/>
            <w:hideMark/>
          </w:tcPr>
          <w:p w:rsidR="00655D4B" w:rsidRPr="00116868" w:rsidRDefault="00655D4B" w:rsidP="00D57C10">
            <w:pPr>
              <w:spacing w:after="0"/>
              <w:jc w:val="center"/>
              <w:rPr>
                <w:rFonts w:ascii="Calibri" w:eastAsia="Times New Roman" w:hAnsi="Calibri" w:cs="Calibri"/>
                <w:sz w:val="20"/>
                <w:szCs w:val="20"/>
              </w:rPr>
            </w:pPr>
            <w:r w:rsidRPr="00116868">
              <w:rPr>
                <w:rFonts w:ascii="Calibri" w:eastAsia="Times New Roman" w:hAnsi="Calibri" w:cs="Calibri"/>
                <w:sz w:val="20"/>
                <w:szCs w:val="20"/>
              </w:rPr>
              <w:t>19%</w:t>
            </w:r>
          </w:p>
        </w:tc>
        <w:tc>
          <w:tcPr>
            <w:tcW w:w="1622" w:type="dxa"/>
            <w:tcBorders>
              <w:top w:val="nil"/>
              <w:left w:val="nil"/>
              <w:bottom w:val="nil"/>
              <w:right w:val="single" w:sz="4" w:space="0" w:color="auto"/>
            </w:tcBorders>
          </w:tcPr>
          <w:p w:rsidR="00655D4B" w:rsidRPr="00116868" w:rsidRDefault="00655D4B" w:rsidP="00D57C10">
            <w:pPr>
              <w:spacing w:after="0"/>
              <w:jc w:val="center"/>
              <w:rPr>
                <w:rFonts w:ascii="Calibri" w:eastAsia="Times New Roman" w:hAnsi="Calibri" w:cs="Calibri"/>
                <w:sz w:val="20"/>
                <w:szCs w:val="20"/>
              </w:rPr>
            </w:pPr>
            <w:r>
              <w:rPr>
                <w:rFonts w:ascii="Calibri" w:eastAsia="Times New Roman" w:hAnsi="Calibri" w:cs="Calibri"/>
                <w:sz w:val="20"/>
                <w:szCs w:val="20"/>
              </w:rPr>
              <w:t>14%</w:t>
            </w:r>
          </w:p>
        </w:tc>
      </w:tr>
      <w:tr w:rsidR="00655D4B" w:rsidRPr="00116868" w:rsidTr="00D57C10">
        <w:trPr>
          <w:trHeight w:val="276"/>
        </w:trPr>
        <w:tc>
          <w:tcPr>
            <w:tcW w:w="2300" w:type="dxa"/>
            <w:vMerge/>
            <w:tcBorders>
              <w:top w:val="single" w:sz="4" w:space="0" w:color="auto"/>
              <w:left w:val="single" w:sz="4" w:space="0" w:color="auto"/>
              <w:bottom w:val="single" w:sz="4" w:space="0" w:color="000000"/>
              <w:right w:val="nil"/>
            </w:tcBorders>
            <w:vAlign w:val="center"/>
            <w:hideMark/>
          </w:tcPr>
          <w:p w:rsidR="00655D4B" w:rsidRPr="00116868" w:rsidRDefault="00655D4B" w:rsidP="00D57C10">
            <w:pPr>
              <w:spacing w:after="0"/>
              <w:rPr>
                <w:rFonts w:ascii="Calibri" w:eastAsia="Times New Roman" w:hAnsi="Calibri" w:cs="Calibri"/>
                <w:b/>
                <w:bCs/>
                <w:sz w:val="20"/>
                <w:szCs w:val="20"/>
              </w:rPr>
            </w:pPr>
          </w:p>
        </w:tc>
        <w:tc>
          <w:tcPr>
            <w:tcW w:w="1460" w:type="dxa"/>
            <w:tcBorders>
              <w:top w:val="nil"/>
              <w:left w:val="nil"/>
              <w:bottom w:val="nil"/>
              <w:right w:val="nil"/>
            </w:tcBorders>
            <w:shd w:val="clear" w:color="auto" w:fill="auto"/>
            <w:noWrap/>
            <w:vAlign w:val="bottom"/>
            <w:hideMark/>
          </w:tcPr>
          <w:p w:rsidR="00655D4B" w:rsidRPr="00116868" w:rsidRDefault="00655D4B" w:rsidP="00D57C10">
            <w:pPr>
              <w:spacing w:after="0"/>
              <w:jc w:val="center"/>
              <w:rPr>
                <w:rFonts w:ascii="Calibri" w:eastAsia="Times New Roman" w:hAnsi="Calibri" w:cs="Calibri"/>
                <w:sz w:val="20"/>
                <w:szCs w:val="20"/>
              </w:rPr>
            </w:pPr>
            <w:r w:rsidRPr="00116868">
              <w:rPr>
                <w:rFonts w:ascii="Calibri" w:eastAsia="Times New Roman" w:hAnsi="Calibri" w:cs="Calibri"/>
                <w:sz w:val="20"/>
                <w:szCs w:val="20"/>
              </w:rPr>
              <w:t>300 - 399</w:t>
            </w:r>
          </w:p>
        </w:tc>
        <w:tc>
          <w:tcPr>
            <w:tcW w:w="960" w:type="dxa"/>
            <w:tcBorders>
              <w:top w:val="nil"/>
              <w:left w:val="single" w:sz="4" w:space="0" w:color="auto"/>
              <w:bottom w:val="nil"/>
              <w:right w:val="nil"/>
            </w:tcBorders>
            <w:shd w:val="clear" w:color="auto" w:fill="auto"/>
            <w:noWrap/>
            <w:vAlign w:val="bottom"/>
            <w:hideMark/>
          </w:tcPr>
          <w:p w:rsidR="00655D4B" w:rsidRPr="00116868" w:rsidRDefault="00655D4B" w:rsidP="00D57C10">
            <w:pPr>
              <w:spacing w:after="0"/>
              <w:jc w:val="center"/>
              <w:rPr>
                <w:rFonts w:ascii="Calibri" w:eastAsia="Times New Roman" w:hAnsi="Calibri" w:cs="Calibri"/>
                <w:sz w:val="20"/>
                <w:szCs w:val="20"/>
              </w:rPr>
            </w:pPr>
            <w:r w:rsidRPr="00116868">
              <w:rPr>
                <w:rFonts w:ascii="Calibri" w:eastAsia="Times New Roman" w:hAnsi="Calibri" w:cs="Calibri"/>
                <w:sz w:val="20"/>
                <w:szCs w:val="20"/>
              </w:rPr>
              <w:t>94</w:t>
            </w:r>
          </w:p>
        </w:tc>
        <w:tc>
          <w:tcPr>
            <w:tcW w:w="960" w:type="dxa"/>
            <w:tcBorders>
              <w:top w:val="nil"/>
              <w:left w:val="nil"/>
              <w:bottom w:val="nil"/>
              <w:right w:val="single" w:sz="4" w:space="0" w:color="auto"/>
            </w:tcBorders>
            <w:shd w:val="clear" w:color="auto" w:fill="auto"/>
            <w:noWrap/>
            <w:vAlign w:val="bottom"/>
            <w:hideMark/>
          </w:tcPr>
          <w:p w:rsidR="00655D4B" w:rsidRPr="00116868" w:rsidRDefault="00655D4B" w:rsidP="00D57C10">
            <w:pPr>
              <w:spacing w:after="0"/>
              <w:jc w:val="center"/>
              <w:rPr>
                <w:rFonts w:ascii="Calibri" w:eastAsia="Times New Roman" w:hAnsi="Calibri" w:cs="Calibri"/>
                <w:sz w:val="20"/>
                <w:szCs w:val="20"/>
              </w:rPr>
            </w:pPr>
            <w:r w:rsidRPr="00116868">
              <w:rPr>
                <w:rFonts w:ascii="Calibri" w:eastAsia="Times New Roman" w:hAnsi="Calibri" w:cs="Calibri"/>
                <w:sz w:val="20"/>
                <w:szCs w:val="20"/>
              </w:rPr>
              <w:t>17%</w:t>
            </w:r>
          </w:p>
        </w:tc>
        <w:tc>
          <w:tcPr>
            <w:tcW w:w="1622" w:type="dxa"/>
            <w:tcBorders>
              <w:top w:val="nil"/>
              <w:left w:val="nil"/>
              <w:bottom w:val="nil"/>
              <w:right w:val="single" w:sz="4" w:space="0" w:color="auto"/>
            </w:tcBorders>
          </w:tcPr>
          <w:p w:rsidR="00655D4B" w:rsidRPr="00116868" w:rsidRDefault="00655D4B" w:rsidP="00D57C10">
            <w:pPr>
              <w:spacing w:after="0"/>
              <w:jc w:val="center"/>
              <w:rPr>
                <w:rFonts w:ascii="Calibri" w:eastAsia="Times New Roman" w:hAnsi="Calibri" w:cs="Calibri"/>
                <w:sz w:val="20"/>
                <w:szCs w:val="20"/>
              </w:rPr>
            </w:pPr>
            <w:r>
              <w:rPr>
                <w:rFonts w:ascii="Calibri" w:eastAsia="Times New Roman" w:hAnsi="Calibri" w:cs="Calibri"/>
                <w:sz w:val="20"/>
                <w:szCs w:val="20"/>
              </w:rPr>
              <w:t>8%</w:t>
            </w:r>
          </w:p>
        </w:tc>
      </w:tr>
      <w:tr w:rsidR="00655D4B" w:rsidRPr="00116868" w:rsidTr="00D57C10">
        <w:trPr>
          <w:trHeight w:val="276"/>
        </w:trPr>
        <w:tc>
          <w:tcPr>
            <w:tcW w:w="2300" w:type="dxa"/>
            <w:vMerge/>
            <w:tcBorders>
              <w:top w:val="single" w:sz="4" w:space="0" w:color="auto"/>
              <w:left w:val="single" w:sz="4" w:space="0" w:color="auto"/>
              <w:bottom w:val="single" w:sz="4" w:space="0" w:color="000000"/>
              <w:right w:val="nil"/>
            </w:tcBorders>
            <w:vAlign w:val="center"/>
            <w:hideMark/>
          </w:tcPr>
          <w:p w:rsidR="00655D4B" w:rsidRPr="00116868" w:rsidRDefault="00655D4B" w:rsidP="00D57C10">
            <w:pPr>
              <w:spacing w:after="0"/>
              <w:rPr>
                <w:rFonts w:ascii="Calibri" w:eastAsia="Times New Roman" w:hAnsi="Calibri" w:cs="Calibri"/>
                <w:b/>
                <w:bCs/>
                <w:sz w:val="20"/>
                <w:szCs w:val="20"/>
              </w:rPr>
            </w:pPr>
          </w:p>
        </w:tc>
        <w:tc>
          <w:tcPr>
            <w:tcW w:w="1460" w:type="dxa"/>
            <w:tcBorders>
              <w:top w:val="nil"/>
              <w:left w:val="nil"/>
              <w:bottom w:val="single" w:sz="4" w:space="0" w:color="auto"/>
              <w:right w:val="nil"/>
            </w:tcBorders>
            <w:shd w:val="clear" w:color="auto" w:fill="auto"/>
            <w:noWrap/>
            <w:vAlign w:val="bottom"/>
            <w:hideMark/>
          </w:tcPr>
          <w:p w:rsidR="00655D4B" w:rsidRPr="00116868" w:rsidRDefault="00655D4B" w:rsidP="00D57C10">
            <w:pPr>
              <w:spacing w:after="0"/>
              <w:jc w:val="center"/>
              <w:rPr>
                <w:rFonts w:ascii="Calibri" w:eastAsia="Times New Roman" w:hAnsi="Calibri" w:cs="Calibri"/>
                <w:sz w:val="20"/>
                <w:szCs w:val="20"/>
              </w:rPr>
            </w:pPr>
            <w:r w:rsidRPr="00116868">
              <w:rPr>
                <w:rFonts w:ascii="Calibri" w:eastAsia="Times New Roman" w:hAnsi="Calibri" w:cs="Calibri"/>
                <w:sz w:val="20"/>
                <w:szCs w:val="20"/>
              </w:rPr>
              <w:t xml:space="preserve">400 + </w:t>
            </w:r>
          </w:p>
        </w:tc>
        <w:tc>
          <w:tcPr>
            <w:tcW w:w="960" w:type="dxa"/>
            <w:tcBorders>
              <w:top w:val="nil"/>
              <w:left w:val="single" w:sz="4" w:space="0" w:color="auto"/>
              <w:bottom w:val="single" w:sz="4" w:space="0" w:color="auto"/>
              <w:right w:val="nil"/>
            </w:tcBorders>
            <w:shd w:val="clear" w:color="auto" w:fill="auto"/>
            <w:noWrap/>
            <w:vAlign w:val="bottom"/>
            <w:hideMark/>
          </w:tcPr>
          <w:p w:rsidR="00655D4B" w:rsidRPr="00116868" w:rsidRDefault="00655D4B" w:rsidP="00D57C10">
            <w:pPr>
              <w:spacing w:after="0"/>
              <w:jc w:val="center"/>
              <w:rPr>
                <w:rFonts w:ascii="Calibri" w:eastAsia="Times New Roman" w:hAnsi="Calibri" w:cs="Calibri"/>
                <w:sz w:val="20"/>
                <w:szCs w:val="20"/>
              </w:rPr>
            </w:pPr>
            <w:r w:rsidRPr="00116868">
              <w:rPr>
                <w:rFonts w:ascii="Calibri" w:eastAsia="Times New Roman" w:hAnsi="Calibri" w:cs="Calibri"/>
                <w:sz w:val="20"/>
                <w:szCs w:val="20"/>
              </w:rPr>
              <w:t>155</w:t>
            </w:r>
          </w:p>
        </w:tc>
        <w:tc>
          <w:tcPr>
            <w:tcW w:w="960" w:type="dxa"/>
            <w:tcBorders>
              <w:top w:val="nil"/>
              <w:left w:val="nil"/>
              <w:bottom w:val="single" w:sz="4" w:space="0" w:color="auto"/>
              <w:right w:val="single" w:sz="4" w:space="0" w:color="auto"/>
            </w:tcBorders>
            <w:shd w:val="clear" w:color="auto" w:fill="auto"/>
            <w:noWrap/>
            <w:vAlign w:val="bottom"/>
            <w:hideMark/>
          </w:tcPr>
          <w:p w:rsidR="00655D4B" w:rsidRPr="00116868" w:rsidRDefault="00655D4B" w:rsidP="00D57C10">
            <w:pPr>
              <w:spacing w:after="0"/>
              <w:jc w:val="center"/>
              <w:rPr>
                <w:rFonts w:ascii="Calibri" w:eastAsia="Times New Roman" w:hAnsi="Calibri" w:cs="Calibri"/>
                <w:sz w:val="20"/>
                <w:szCs w:val="20"/>
              </w:rPr>
            </w:pPr>
            <w:r w:rsidRPr="00116868">
              <w:rPr>
                <w:rFonts w:ascii="Calibri" w:eastAsia="Times New Roman" w:hAnsi="Calibri" w:cs="Calibri"/>
                <w:sz w:val="20"/>
                <w:szCs w:val="20"/>
              </w:rPr>
              <w:t>28%</w:t>
            </w:r>
          </w:p>
        </w:tc>
        <w:tc>
          <w:tcPr>
            <w:tcW w:w="1622" w:type="dxa"/>
            <w:tcBorders>
              <w:top w:val="nil"/>
              <w:left w:val="nil"/>
              <w:bottom w:val="single" w:sz="4" w:space="0" w:color="auto"/>
              <w:right w:val="single" w:sz="4" w:space="0" w:color="auto"/>
            </w:tcBorders>
          </w:tcPr>
          <w:p w:rsidR="00655D4B" w:rsidRPr="00116868" w:rsidRDefault="00655D4B" w:rsidP="00D57C10">
            <w:pPr>
              <w:spacing w:after="0"/>
              <w:jc w:val="center"/>
              <w:rPr>
                <w:rFonts w:ascii="Calibri" w:eastAsia="Times New Roman" w:hAnsi="Calibri" w:cs="Calibri"/>
                <w:sz w:val="20"/>
                <w:szCs w:val="20"/>
              </w:rPr>
            </w:pPr>
            <w:r>
              <w:rPr>
                <w:rFonts w:ascii="Calibri" w:eastAsia="Times New Roman" w:hAnsi="Calibri" w:cs="Calibri"/>
                <w:sz w:val="20"/>
                <w:szCs w:val="20"/>
              </w:rPr>
              <w:t>11%</w:t>
            </w:r>
          </w:p>
        </w:tc>
      </w:tr>
      <w:tr w:rsidR="00655D4B" w:rsidRPr="00116868" w:rsidTr="00D57C10">
        <w:trPr>
          <w:trHeight w:val="276"/>
        </w:trPr>
        <w:tc>
          <w:tcPr>
            <w:tcW w:w="2300" w:type="dxa"/>
            <w:vMerge w:val="restart"/>
            <w:tcBorders>
              <w:top w:val="nil"/>
              <w:left w:val="single" w:sz="4" w:space="0" w:color="auto"/>
              <w:bottom w:val="single" w:sz="4" w:space="0" w:color="000000"/>
              <w:right w:val="nil"/>
            </w:tcBorders>
            <w:shd w:val="clear" w:color="auto" w:fill="auto"/>
            <w:noWrap/>
            <w:vAlign w:val="center"/>
            <w:hideMark/>
          </w:tcPr>
          <w:p w:rsidR="00655D4B" w:rsidRPr="00116868" w:rsidRDefault="00655D4B" w:rsidP="00D57C10">
            <w:pPr>
              <w:spacing w:after="0"/>
              <w:jc w:val="center"/>
              <w:rPr>
                <w:rFonts w:ascii="Calibri" w:eastAsia="Times New Roman" w:hAnsi="Calibri" w:cs="Calibri"/>
                <w:b/>
                <w:bCs/>
                <w:sz w:val="20"/>
                <w:szCs w:val="20"/>
              </w:rPr>
            </w:pPr>
            <w:r w:rsidRPr="00116868">
              <w:rPr>
                <w:rFonts w:ascii="Calibri" w:eastAsia="Times New Roman" w:hAnsi="Calibri" w:cs="Calibri"/>
                <w:b/>
                <w:bCs/>
                <w:sz w:val="20"/>
                <w:szCs w:val="20"/>
              </w:rPr>
              <w:t>Urban/Rural</w:t>
            </w:r>
          </w:p>
        </w:tc>
        <w:tc>
          <w:tcPr>
            <w:tcW w:w="1460" w:type="dxa"/>
            <w:tcBorders>
              <w:top w:val="nil"/>
              <w:left w:val="nil"/>
              <w:bottom w:val="nil"/>
              <w:right w:val="nil"/>
            </w:tcBorders>
            <w:shd w:val="clear" w:color="auto" w:fill="auto"/>
            <w:noWrap/>
            <w:vAlign w:val="bottom"/>
            <w:hideMark/>
          </w:tcPr>
          <w:p w:rsidR="00655D4B" w:rsidRPr="00116868" w:rsidRDefault="00655D4B" w:rsidP="00D57C10">
            <w:pPr>
              <w:spacing w:after="0"/>
              <w:jc w:val="center"/>
              <w:rPr>
                <w:rFonts w:ascii="Calibri" w:eastAsia="Times New Roman" w:hAnsi="Calibri" w:cs="Calibri"/>
                <w:sz w:val="20"/>
                <w:szCs w:val="20"/>
              </w:rPr>
            </w:pPr>
            <w:r w:rsidRPr="00116868">
              <w:rPr>
                <w:rFonts w:ascii="Calibri" w:eastAsia="Times New Roman" w:hAnsi="Calibri" w:cs="Calibri"/>
                <w:sz w:val="20"/>
                <w:szCs w:val="20"/>
              </w:rPr>
              <w:t>Rural</w:t>
            </w:r>
          </w:p>
        </w:tc>
        <w:tc>
          <w:tcPr>
            <w:tcW w:w="960" w:type="dxa"/>
            <w:tcBorders>
              <w:top w:val="nil"/>
              <w:left w:val="single" w:sz="4" w:space="0" w:color="auto"/>
              <w:bottom w:val="nil"/>
              <w:right w:val="nil"/>
            </w:tcBorders>
            <w:shd w:val="clear" w:color="auto" w:fill="auto"/>
            <w:noWrap/>
            <w:vAlign w:val="bottom"/>
            <w:hideMark/>
          </w:tcPr>
          <w:p w:rsidR="00655D4B" w:rsidRPr="00116868" w:rsidRDefault="00655D4B" w:rsidP="00D57C10">
            <w:pPr>
              <w:spacing w:after="0"/>
              <w:jc w:val="center"/>
              <w:rPr>
                <w:rFonts w:ascii="Calibri" w:eastAsia="Times New Roman" w:hAnsi="Calibri" w:cs="Calibri"/>
                <w:sz w:val="20"/>
                <w:szCs w:val="20"/>
              </w:rPr>
            </w:pPr>
            <w:r w:rsidRPr="00116868">
              <w:rPr>
                <w:rFonts w:ascii="Calibri" w:eastAsia="Times New Roman" w:hAnsi="Calibri" w:cs="Calibri"/>
                <w:sz w:val="20"/>
                <w:szCs w:val="20"/>
              </w:rPr>
              <w:t>131</w:t>
            </w:r>
          </w:p>
        </w:tc>
        <w:tc>
          <w:tcPr>
            <w:tcW w:w="960" w:type="dxa"/>
            <w:tcBorders>
              <w:top w:val="nil"/>
              <w:left w:val="nil"/>
              <w:bottom w:val="nil"/>
              <w:right w:val="single" w:sz="4" w:space="0" w:color="auto"/>
            </w:tcBorders>
            <w:shd w:val="clear" w:color="auto" w:fill="auto"/>
            <w:noWrap/>
            <w:vAlign w:val="bottom"/>
            <w:hideMark/>
          </w:tcPr>
          <w:p w:rsidR="00655D4B" w:rsidRPr="00116868" w:rsidRDefault="00655D4B" w:rsidP="00D57C10">
            <w:pPr>
              <w:spacing w:after="0"/>
              <w:jc w:val="center"/>
              <w:rPr>
                <w:rFonts w:ascii="Calibri" w:eastAsia="Times New Roman" w:hAnsi="Calibri" w:cs="Calibri"/>
                <w:sz w:val="20"/>
                <w:szCs w:val="20"/>
              </w:rPr>
            </w:pPr>
            <w:r w:rsidRPr="00116868">
              <w:rPr>
                <w:rFonts w:ascii="Calibri" w:eastAsia="Times New Roman" w:hAnsi="Calibri" w:cs="Calibri"/>
                <w:sz w:val="20"/>
                <w:szCs w:val="20"/>
              </w:rPr>
              <w:t>23%</w:t>
            </w:r>
          </w:p>
        </w:tc>
        <w:tc>
          <w:tcPr>
            <w:tcW w:w="1622" w:type="dxa"/>
            <w:tcBorders>
              <w:top w:val="nil"/>
              <w:left w:val="nil"/>
              <w:bottom w:val="nil"/>
              <w:right w:val="single" w:sz="4" w:space="0" w:color="auto"/>
            </w:tcBorders>
          </w:tcPr>
          <w:p w:rsidR="00655D4B" w:rsidRPr="00116868" w:rsidRDefault="00655D4B" w:rsidP="00D57C10">
            <w:pPr>
              <w:spacing w:after="0"/>
              <w:jc w:val="center"/>
              <w:rPr>
                <w:rFonts w:ascii="Calibri" w:eastAsia="Times New Roman" w:hAnsi="Calibri" w:cs="Calibri"/>
                <w:sz w:val="20"/>
                <w:szCs w:val="20"/>
              </w:rPr>
            </w:pPr>
            <w:r>
              <w:rPr>
                <w:rFonts w:ascii="Calibri" w:eastAsia="Times New Roman" w:hAnsi="Calibri" w:cs="Calibri"/>
                <w:sz w:val="20"/>
                <w:szCs w:val="20"/>
              </w:rPr>
              <w:t>27%</w:t>
            </w:r>
          </w:p>
        </w:tc>
      </w:tr>
      <w:tr w:rsidR="00655D4B" w:rsidRPr="00116868" w:rsidTr="00D57C10">
        <w:trPr>
          <w:trHeight w:val="276"/>
        </w:trPr>
        <w:tc>
          <w:tcPr>
            <w:tcW w:w="2300" w:type="dxa"/>
            <w:vMerge/>
            <w:tcBorders>
              <w:top w:val="nil"/>
              <w:left w:val="single" w:sz="4" w:space="0" w:color="auto"/>
              <w:bottom w:val="single" w:sz="4" w:space="0" w:color="000000"/>
              <w:right w:val="nil"/>
            </w:tcBorders>
            <w:vAlign w:val="center"/>
            <w:hideMark/>
          </w:tcPr>
          <w:p w:rsidR="00655D4B" w:rsidRPr="00116868" w:rsidRDefault="00655D4B" w:rsidP="00D57C10">
            <w:pPr>
              <w:spacing w:after="0"/>
              <w:rPr>
                <w:rFonts w:ascii="Calibri" w:eastAsia="Times New Roman" w:hAnsi="Calibri" w:cs="Calibri"/>
                <w:b/>
                <w:bCs/>
                <w:sz w:val="20"/>
                <w:szCs w:val="20"/>
              </w:rPr>
            </w:pPr>
          </w:p>
        </w:tc>
        <w:tc>
          <w:tcPr>
            <w:tcW w:w="1460" w:type="dxa"/>
            <w:tcBorders>
              <w:top w:val="nil"/>
              <w:left w:val="nil"/>
              <w:bottom w:val="single" w:sz="4" w:space="0" w:color="auto"/>
              <w:right w:val="nil"/>
            </w:tcBorders>
            <w:shd w:val="clear" w:color="auto" w:fill="auto"/>
            <w:noWrap/>
            <w:vAlign w:val="bottom"/>
            <w:hideMark/>
          </w:tcPr>
          <w:p w:rsidR="00655D4B" w:rsidRPr="00116868" w:rsidRDefault="00655D4B" w:rsidP="00D57C10">
            <w:pPr>
              <w:spacing w:after="0"/>
              <w:jc w:val="center"/>
              <w:rPr>
                <w:rFonts w:ascii="Calibri" w:eastAsia="Times New Roman" w:hAnsi="Calibri" w:cs="Calibri"/>
                <w:sz w:val="20"/>
                <w:szCs w:val="20"/>
              </w:rPr>
            </w:pPr>
            <w:r w:rsidRPr="00116868">
              <w:rPr>
                <w:rFonts w:ascii="Calibri" w:eastAsia="Times New Roman" w:hAnsi="Calibri" w:cs="Calibri"/>
                <w:sz w:val="20"/>
                <w:szCs w:val="20"/>
              </w:rPr>
              <w:t>Urban</w:t>
            </w:r>
          </w:p>
        </w:tc>
        <w:tc>
          <w:tcPr>
            <w:tcW w:w="960" w:type="dxa"/>
            <w:tcBorders>
              <w:top w:val="nil"/>
              <w:left w:val="single" w:sz="4" w:space="0" w:color="auto"/>
              <w:bottom w:val="single" w:sz="4" w:space="0" w:color="auto"/>
              <w:right w:val="nil"/>
            </w:tcBorders>
            <w:shd w:val="clear" w:color="auto" w:fill="auto"/>
            <w:noWrap/>
            <w:vAlign w:val="bottom"/>
            <w:hideMark/>
          </w:tcPr>
          <w:p w:rsidR="00655D4B" w:rsidRPr="00116868" w:rsidRDefault="00655D4B" w:rsidP="00D57C10">
            <w:pPr>
              <w:spacing w:after="0"/>
              <w:jc w:val="center"/>
              <w:rPr>
                <w:rFonts w:ascii="Calibri" w:eastAsia="Times New Roman" w:hAnsi="Calibri" w:cs="Calibri"/>
                <w:sz w:val="20"/>
                <w:szCs w:val="20"/>
              </w:rPr>
            </w:pPr>
            <w:r w:rsidRPr="00116868">
              <w:rPr>
                <w:rFonts w:ascii="Calibri" w:eastAsia="Times New Roman" w:hAnsi="Calibri" w:cs="Calibri"/>
                <w:sz w:val="20"/>
                <w:szCs w:val="20"/>
              </w:rPr>
              <w:t>438</w:t>
            </w:r>
          </w:p>
        </w:tc>
        <w:tc>
          <w:tcPr>
            <w:tcW w:w="960" w:type="dxa"/>
            <w:tcBorders>
              <w:top w:val="nil"/>
              <w:left w:val="nil"/>
              <w:bottom w:val="single" w:sz="4" w:space="0" w:color="auto"/>
              <w:right w:val="single" w:sz="4" w:space="0" w:color="auto"/>
            </w:tcBorders>
            <w:shd w:val="clear" w:color="auto" w:fill="auto"/>
            <w:noWrap/>
            <w:vAlign w:val="bottom"/>
            <w:hideMark/>
          </w:tcPr>
          <w:p w:rsidR="00655D4B" w:rsidRPr="00116868" w:rsidRDefault="00655D4B" w:rsidP="00D57C10">
            <w:pPr>
              <w:spacing w:after="0"/>
              <w:jc w:val="center"/>
              <w:rPr>
                <w:rFonts w:ascii="Calibri" w:eastAsia="Times New Roman" w:hAnsi="Calibri" w:cs="Calibri"/>
                <w:sz w:val="20"/>
                <w:szCs w:val="20"/>
              </w:rPr>
            </w:pPr>
            <w:r w:rsidRPr="00116868">
              <w:rPr>
                <w:rFonts w:ascii="Calibri" w:eastAsia="Times New Roman" w:hAnsi="Calibri" w:cs="Calibri"/>
                <w:sz w:val="20"/>
                <w:szCs w:val="20"/>
              </w:rPr>
              <w:t>78%</w:t>
            </w:r>
          </w:p>
        </w:tc>
        <w:tc>
          <w:tcPr>
            <w:tcW w:w="1622" w:type="dxa"/>
            <w:tcBorders>
              <w:top w:val="nil"/>
              <w:left w:val="nil"/>
              <w:bottom w:val="single" w:sz="4" w:space="0" w:color="auto"/>
              <w:right w:val="single" w:sz="4" w:space="0" w:color="auto"/>
            </w:tcBorders>
          </w:tcPr>
          <w:p w:rsidR="00655D4B" w:rsidRPr="00116868" w:rsidRDefault="00655D4B" w:rsidP="00D57C10">
            <w:pPr>
              <w:spacing w:after="0"/>
              <w:jc w:val="center"/>
              <w:rPr>
                <w:rFonts w:ascii="Calibri" w:eastAsia="Times New Roman" w:hAnsi="Calibri" w:cs="Calibri"/>
                <w:sz w:val="20"/>
                <w:szCs w:val="20"/>
              </w:rPr>
            </w:pPr>
            <w:r>
              <w:rPr>
                <w:rFonts w:ascii="Calibri" w:eastAsia="Times New Roman" w:hAnsi="Calibri" w:cs="Calibri"/>
                <w:sz w:val="20"/>
                <w:szCs w:val="20"/>
              </w:rPr>
              <w:t>73%</w:t>
            </w:r>
          </w:p>
        </w:tc>
      </w:tr>
      <w:tr w:rsidR="00655D4B" w:rsidRPr="00116868" w:rsidTr="00D57C10">
        <w:trPr>
          <w:trHeight w:val="276"/>
        </w:trPr>
        <w:tc>
          <w:tcPr>
            <w:tcW w:w="2300" w:type="dxa"/>
            <w:vMerge w:val="restart"/>
            <w:tcBorders>
              <w:top w:val="nil"/>
              <w:left w:val="single" w:sz="4" w:space="0" w:color="auto"/>
              <w:bottom w:val="single" w:sz="4" w:space="0" w:color="000000"/>
              <w:right w:val="nil"/>
            </w:tcBorders>
            <w:shd w:val="clear" w:color="auto" w:fill="auto"/>
            <w:noWrap/>
            <w:vAlign w:val="center"/>
            <w:hideMark/>
          </w:tcPr>
          <w:p w:rsidR="00655D4B" w:rsidRPr="00116868" w:rsidRDefault="00655D4B" w:rsidP="00D57C10">
            <w:pPr>
              <w:spacing w:after="0"/>
              <w:jc w:val="center"/>
              <w:rPr>
                <w:rFonts w:ascii="Calibri" w:eastAsia="Times New Roman" w:hAnsi="Calibri" w:cs="Calibri"/>
                <w:b/>
                <w:bCs/>
                <w:sz w:val="20"/>
                <w:szCs w:val="20"/>
              </w:rPr>
            </w:pPr>
            <w:r w:rsidRPr="00116868">
              <w:rPr>
                <w:rFonts w:ascii="Calibri" w:eastAsia="Times New Roman" w:hAnsi="Calibri" w:cs="Calibri"/>
                <w:b/>
                <w:bCs/>
                <w:sz w:val="20"/>
                <w:szCs w:val="20"/>
              </w:rPr>
              <w:t>Geographic Location</w:t>
            </w:r>
          </w:p>
        </w:tc>
        <w:tc>
          <w:tcPr>
            <w:tcW w:w="1460" w:type="dxa"/>
            <w:tcBorders>
              <w:top w:val="nil"/>
              <w:left w:val="nil"/>
              <w:bottom w:val="nil"/>
              <w:right w:val="nil"/>
            </w:tcBorders>
            <w:shd w:val="clear" w:color="auto" w:fill="auto"/>
            <w:noWrap/>
            <w:vAlign w:val="bottom"/>
            <w:hideMark/>
          </w:tcPr>
          <w:p w:rsidR="00655D4B" w:rsidRPr="00116868" w:rsidRDefault="00655D4B" w:rsidP="00D57C10">
            <w:pPr>
              <w:spacing w:after="0"/>
              <w:jc w:val="center"/>
              <w:rPr>
                <w:rFonts w:ascii="Calibri" w:eastAsia="Times New Roman" w:hAnsi="Calibri" w:cs="Calibri"/>
                <w:sz w:val="20"/>
                <w:szCs w:val="20"/>
              </w:rPr>
            </w:pPr>
            <w:r w:rsidRPr="00116868">
              <w:rPr>
                <w:rFonts w:ascii="Calibri" w:eastAsia="Times New Roman" w:hAnsi="Calibri" w:cs="Calibri"/>
                <w:sz w:val="20"/>
                <w:szCs w:val="20"/>
              </w:rPr>
              <w:t>Midwest</w:t>
            </w:r>
          </w:p>
        </w:tc>
        <w:tc>
          <w:tcPr>
            <w:tcW w:w="960" w:type="dxa"/>
            <w:tcBorders>
              <w:top w:val="nil"/>
              <w:left w:val="single" w:sz="4" w:space="0" w:color="auto"/>
              <w:bottom w:val="nil"/>
              <w:right w:val="nil"/>
            </w:tcBorders>
            <w:shd w:val="clear" w:color="auto" w:fill="auto"/>
            <w:noWrap/>
            <w:vAlign w:val="bottom"/>
            <w:hideMark/>
          </w:tcPr>
          <w:p w:rsidR="00655D4B" w:rsidRPr="00116868" w:rsidRDefault="00655D4B" w:rsidP="00D57C10">
            <w:pPr>
              <w:spacing w:after="0"/>
              <w:jc w:val="center"/>
              <w:rPr>
                <w:rFonts w:ascii="Calibri" w:eastAsia="Times New Roman" w:hAnsi="Calibri" w:cs="Calibri"/>
                <w:sz w:val="20"/>
                <w:szCs w:val="20"/>
              </w:rPr>
            </w:pPr>
            <w:r w:rsidRPr="00116868">
              <w:rPr>
                <w:rFonts w:ascii="Calibri" w:eastAsia="Times New Roman" w:hAnsi="Calibri" w:cs="Calibri"/>
                <w:sz w:val="20"/>
                <w:szCs w:val="20"/>
              </w:rPr>
              <w:t>121</w:t>
            </w:r>
          </w:p>
        </w:tc>
        <w:tc>
          <w:tcPr>
            <w:tcW w:w="960" w:type="dxa"/>
            <w:tcBorders>
              <w:top w:val="nil"/>
              <w:left w:val="nil"/>
              <w:bottom w:val="nil"/>
              <w:right w:val="single" w:sz="4" w:space="0" w:color="auto"/>
            </w:tcBorders>
            <w:shd w:val="clear" w:color="auto" w:fill="auto"/>
            <w:noWrap/>
            <w:vAlign w:val="bottom"/>
            <w:hideMark/>
          </w:tcPr>
          <w:p w:rsidR="00655D4B" w:rsidRPr="00116868" w:rsidRDefault="00655D4B" w:rsidP="00D57C10">
            <w:pPr>
              <w:spacing w:after="0"/>
              <w:jc w:val="center"/>
              <w:rPr>
                <w:rFonts w:ascii="Calibri" w:eastAsia="Times New Roman" w:hAnsi="Calibri" w:cs="Calibri"/>
                <w:sz w:val="20"/>
                <w:szCs w:val="20"/>
              </w:rPr>
            </w:pPr>
            <w:r w:rsidRPr="00116868">
              <w:rPr>
                <w:rFonts w:ascii="Calibri" w:eastAsia="Times New Roman" w:hAnsi="Calibri" w:cs="Calibri"/>
                <w:sz w:val="20"/>
                <w:szCs w:val="20"/>
              </w:rPr>
              <w:t>22%</w:t>
            </w:r>
          </w:p>
        </w:tc>
        <w:tc>
          <w:tcPr>
            <w:tcW w:w="1622" w:type="dxa"/>
            <w:tcBorders>
              <w:top w:val="nil"/>
              <w:left w:val="nil"/>
              <w:bottom w:val="nil"/>
              <w:right w:val="single" w:sz="4" w:space="0" w:color="auto"/>
            </w:tcBorders>
          </w:tcPr>
          <w:p w:rsidR="00655D4B" w:rsidRPr="00116868" w:rsidRDefault="00655D4B" w:rsidP="00D57C10">
            <w:pPr>
              <w:spacing w:after="0"/>
              <w:jc w:val="center"/>
              <w:rPr>
                <w:rFonts w:ascii="Calibri" w:eastAsia="Times New Roman" w:hAnsi="Calibri" w:cs="Calibri"/>
                <w:sz w:val="20"/>
                <w:szCs w:val="20"/>
              </w:rPr>
            </w:pPr>
            <w:r>
              <w:rPr>
                <w:rFonts w:ascii="Calibri" w:eastAsia="Times New Roman" w:hAnsi="Calibri" w:cs="Calibri"/>
                <w:sz w:val="20"/>
                <w:szCs w:val="20"/>
              </w:rPr>
              <w:t>23%</w:t>
            </w:r>
          </w:p>
        </w:tc>
      </w:tr>
      <w:tr w:rsidR="00655D4B" w:rsidRPr="00116868" w:rsidTr="00D57C10">
        <w:trPr>
          <w:trHeight w:val="276"/>
        </w:trPr>
        <w:tc>
          <w:tcPr>
            <w:tcW w:w="2300" w:type="dxa"/>
            <w:vMerge/>
            <w:tcBorders>
              <w:top w:val="nil"/>
              <w:left w:val="single" w:sz="4" w:space="0" w:color="auto"/>
              <w:bottom w:val="single" w:sz="4" w:space="0" w:color="000000"/>
              <w:right w:val="nil"/>
            </w:tcBorders>
            <w:vAlign w:val="center"/>
            <w:hideMark/>
          </w:tcPr>
          <w:p w:rsidR="00655D4B" w:rsidRPr="00116868" w:rsidRDefault="00655D4B" w:rsidP="00D57C10">
            <w:pPr>
              <w:spacing w:after="0"/>
              <w:rPr>
                <w:rFonts w:ascii="Calibri" w:eastAsia="Times New Roman" w:hAnsi="Calibri" w:cs="Calibri"/>
                <w:b/>
                <w:bCs/>
                <w:sz w:val="20"/>
                <w:szCs w:val="20"/>
              </w:rPr>
            </w:pPr>
          </w:p>
        </w:tc>
        <w:tc>
          <w:tcPr>
            <w:tcW w:w="1460" w:type="dxa"/>
            <w:tcBorders>
              <w:top w:val="nil"/>
              <w:left w:val="nil"/>
              <w:bottom w:val="nil"/>
              <w:right w:val="nil"/>
            </w:tcBorders>
            <w:shd w:val="clear" w:color="auto" w:fill="auto"/>
            <w:noWrap/>
            <w:vAlign w:val="bottom"/>
            <w:hideMark/>
          </w:tcPr>
          <w:p w:rsidR="00655D4B" w:rsidRPr="00116868" w:rsidRDefault="00655D4B" w:rsidP="00D57C10">
            <w:pPr>
              <w:spacing w:after="0"/>
              <w:jc w:val="center"/>
              <w:rPr>
                <w:rFonts w:ascii="Calibri" w:eastAsia="Times New Roman" w:hAnsi="Calibri" w:cs="Calibri"/>
                <w:sz w:val="20"/>
                <w:szCs w:val="20"/>
              </w:rPr>
            </w:pPr>
            <w:r w:rsidRPr="00116868">
              <w:rPr>
                <w:rFonts w:ascii="Calibri" w:eastAsia="Times New Roman" w:hAnsi="Calibri" w:cs="Calibri"/>
                <w:sz w:val="20"/>
                <w:szCs w:val="20"/>
              </w:rPr>
              <w:t>Northeast</w:t>
            </w:r>
          </w:p>
        </w:tc>
        <w:tc>
          <w:tcPr>
            <w:tcW w:w="960" w:type="dxa"/>
            <w:tcBorders>
              <w:top w:val="nil"/>
              <w:left w:val="single" w:sz="4" w:space="0" w:color="auto"/>
              <w:bottom w:val="nil"/>
              <w:right w:val="nil"/>
            </w:tcBorders>
            <w:shd w:val="clear" w:color="auto" w:fill="auto"/>
            <w:noWrap/>
            <w:vAlign w:val="bottom"/>
            <w:hideMark/>
          </w:tcPr>
          <w:p w:rsidR="00655D4B" w:rsidRPr="00116868" w:rsidRDefault="00655D4B" w:rsidP="00D57C10">
            <w:pPr>
              <w:spacing w:after="0"/>
              <w:jc w:val="center"/>
              <w:rPr>
                <w:rFonts w:ascii="Calibri" w:eastAsia="Times New Roman" w:hAnsi="Calibri" w:cs="Calibri"/>
                <w:sz w:val="20"/>
                <w:szCs w:val="20"/>
              </w:rPr>
            </w:pPr>
            <w:r w:rsidRPr="00116868">
              <w:rPr>
                <w:rFonts w:ascii="Calibri" w:eastAsia="Times New Roman" w:hAnsi="Calibri" w:cs="Calibri"/>
                <w:sz w:val="20"/>
                <w:szCs w:val="20"/>
              </w:rPr>
              <w:t>77</w:t>
            </w:r>
          </w:p>
        </w:tc>
        <w:tc>
          <w:tcPr>
            <w:tcW w:w="960" w:type="dxa"/>
            <w:tcBorders>
              <w:top w:val="nil"/>
              <w:left w:val="nil"/>
              <w:bottom w:val="nil"/>
              <w:right w:val="single" w:sz="4" w:space="0" w:color="auto"/>
            </w:tcBorders>
            <w:shd w:val="clear" w:color="auto" w:fill="auto"/>
            <w:noWrap/>
            <w:vAlign w:val="bottom"/>
            <w:hideMark/>
          </w:tcPr>
          <w:p w:rsidR="00655D4B" w:rsidRPr="00116868" w:rsidRDefault="00655D4B" w:rsidP="00D57C10">
            <w:pPr>
              <w:spacing w:after="0"/>
              <w:jc w:val="center"/>
              <w:rPr>
                <w:rFonts w:ascii="Calibri" w:eastAsia="Times New Roman" w:hAnsi="Calibri" w:cs="Calibri"/>
                <w:sz w:val="20"/>
                <w:szCs w:val="20"/>
              </w:rPr>
            </w:pPr>
            <w:r w:rsidRPr="00116868">
              <w:rPr>
                <w:rFonts w:ascii="Calibri" w:eastAsia="Times New Roman" w:hAnsi="Calibri" w:cs="Calibri"/>
                <w:sz w:val="20"/>
                <w:szCs w:val="20"/>
              </w:rPr>
              <w:t>14%</w:t>
            </w:r>
          </w:p>
        </w:tc>
        <w:tc>
          <w:tcPr>
            <w:tcW w:w="1622" w:type="dxa"/>
            <w:tcBorders>
              <w:top w:val="nil"/>
              <w:left w:val="nil"/>
              <w:bottom w:val="nil"/>
              <w:right w:val="single" w:sz="4" w:space="0" w:color="auto"/>
            </w:tcBorders>
          </w:tcPr>
          <w:p w:rsidR="00655D4B" w:rsidRPr="00116868" w:rsidRDefault="00655D4B" w:rsidP="00D57C10">
            <w:pPr>
              <w:spacing w:after="0"/>
              <w:jc w:val="center"/>
              <w:rPr>
                <w:rFonts w:ascii="Calibri" w:eastAsia="Times New Roman" w:hAnsi="Calibri" w:cs="Calibri"/>
                <w:sz w:val="20"/>
                <w:szCs w:val="20"/>
              </w:rPr>
            </w:pPr>
            <w:r>
              <w:rPr>
                <w:rFonts w:ascii="Calibri" w:eastAsia="Times New Roman" w:hAnsi="Calibri" w:cs="Calibri"/>
                <w:sz w:val="20"/>
                <w:szCs w:val="20"/>
              </w:rPr>
              <w:t>15%</w:t>
            </w:r>
          </w:p>
        </w:tc>
      </w:tr>
      <w:tr w:rsidR="00655D4B" w:rsidRPr="00116868" w:rsidTr="00D57C10">
        <w:trPr>
          <w:trHeight w:val="276"/>
        </w:trPr>
        <w:tc>
          <w:tcPr>
            <w:tcW w:w="2300" w:type="dxa"/>
            <w:vMerge/>
            <w:tcBorders>
              <w:top w:val="nil"/>
              <w:left w:val="single" w:sz="4" w:space="0" w:color="auto"/>
              <w:bottom w:val="single" w:sz="4" w:space="0" w:color="000000"/>
              <w:right w:val="nil"/>
            </w:tcBorders>
            <w:vAlign w:val="center"/>
            <w:hideMark/>
          </w:tcPr>
          <w:p w:rsidR="00655D4B" w:rsidRPr="00116868" w:rsidRDefault="00655D4B" w:rsidP="00D57C10">
            <w:pPr>
              <w:spacing w:after="0"/>
              <w:rPr>
                <w:rFonts w:ascii="Calibri" w:eastAsia="Times New Roman" w:hAnsi="Calibri" w:cs="Calibri"/>
                <w:b/>
                <w:bCs/>
                <w:sz w:val="20"/>
                <w:szCs w:val="20"/>
              </w:rPr>
            </w:pPr>
          </w:p>
        </w:tc>
        <w:tc>
          <w:tcPr>
            <w:tcW w:w="1460" w:type="dxa"/>
            <w:tcBorders>
              <w:top w:val="nil"/>
              <w:left w:val="nil"/>
              <w:bottom w:val="nil"/>
              <w:right w:val="nil"/>
            </w:tcBorders>
            <w:shd w:val="clear" w:color="auto" w:fill="auto"/>
            <w:noWrap/>
            <w:vAlign w:val="bottom"/>
            <w:hideMark/>
          </w:tcPr>
          <w:p w:rsidR="00655D4B" w:rsidRPr="00116868" w:rsidRDefault="00655D4B" w:rsidP="00D57C10">
            <w:pPr>
              <w:spacing w:after="0"/>
              <w:jc w:val="center"/>
              <w:rPr>
                <w:rFonts w:ascii="Calibri" w:eastAsia="Times New Roman" w:hAnsi="Calibri" w:cs="Calibri"/>
                <w:sz w:val="20"/>
                <w:szCs w:val="20"/>
              </w:rPr>
            </w:pPr>
            <w:r w:rsidRPr="00116868">
              <w:rPr>
                <w:rFonts w:ascii="Calibri" w:eastAsia="Times New Roman" w:hAnsi="Calibri" w:cs="Calibri"/>
                <w:sz w:val="20"/>
                <w:szCs w:val="20"/>
              </w:rPr>
              <w:t>South</w:t>
            </w:r>
          </w:p>
        </w:tc>
        <w:tc>
          <w:tcPr>
            <w:tcW w:w="960" w:type="dxa"/>
            <w:tcBorders>
              <w:top w:val="nil"/>
              <w:left w:val="single" w:sz="4" w:space="0" w:color="auto"/>
              <w:bottom w:val="nil"/>
              <w:right w:val="nil"/>
            </w:tcBorders>
            <w:shd w:val="clear" w:color="auto" w:fill="auto"/>
            <w:noWrap/>
            <w:vAlign w:val="bottom"/>
            <w:hideMark/>
          </w:tcPr>
          <w:p w:rsidR="00655D4B" w:rsidRPr="00116868" w:rsidRDefault="00655D4B" w:rsidP="00D57C10">
            <w:pPr>
              <w:spacing w:after="0"/>
              <w:jc w:val="center"/>
              <w:rPr>
                <w:rFonts w:ascii="Calibri" w:eastAsia="Times New Roman" w:hAnsi="Calibri" w:cs="Calibri"/>
                <w:sz w:val="20"/>
                <w:szCs w:val="20"/>
              </w:rPr>
            </w:pPr>
            <w:r w:rsidRPr="00116868">
              <w:rPr>
                <w:rFonts w:ascii="Calibri" w:eastAsia="Times New Roman" w:hAnsi="Calibri" w:cs="Calibri"/>
                <w:sz w:val="20"/>
                <w:szCs w:val="20"/>
              </w:rPr>
              <w:t>266</w:t>
            </w:r>
          </w:p>
        </w:tc>
        <w:tc>
          <w:tcPr>
            <w:tcW w:w="960" w:type="dxa"/>
            <w:tcBorders>
              <w:top w:val="nil"/>
              <w:left w:val="nil"/>
              <w:bottom w:val="nil"/>
              <w:right w:val="single" w:sz="4" w:space="0" w:color="auto"/>
            </w:tcBorders>
            <w:shd w:val="clear" w:color="auto" w:fill="auto"/>
            <w:noWrap/>
            <w:vAlign w:val="bottom"/>
            <w:hideMark/>
          </w:tcPr>
          <w:p w:rsidR="00655D4B" w:rsidRPr="00116868" w:rsidRDefault="00655D4B" w:rsidP="00D57C10">
            <w:pPr>
              <w:spacing w:after="0"/>
              <w:jc w:val="center"/>
              <w:rPr>
                <w:rFonts w:ascii="Calibri" w:eastAsia="Times New Roman" w:hAnsi="Calibri" w:cs="Calibri"/>
                <w:sz w:val="20"/>
                <w:szCs w:val="20"/>
              </w:rPr>
            </w:pPr>
            <w:r w:rsidRPr="00116868">
              <w:rPr>
                <w:rFonts w:ascii="Calibri" w:eastAsia="Times New Roman" w:hAnsi="Calibri" w:cs="Calibri"/>
                <w:sz w:val="20"/>
                <w:szCs w:val="20"/>
              </w:rPr>
              <w:t>4</w:t>
            </w:r>
            <w:r>
              <w:rPr>
                <w:rFonts w:ascii="Calibri" w:eastAsia="Times New Roman" w:hAnsi="Calibri" w:cs="Calibri"/>
                <w:sz w:val="20"/>
                <w:szCs w:val="20"/>
              </w:rPr>
              <w:t>6</w:t>
            </w:r>
            <w:r w:rsidRPr="00116868">
              <w:rPr>
                <w:rFonts w:ascii="Calibri" w:eastAsia="Times New Roman" w:hAnsi="Calibri" w:cs="Calibri"/>
                <w:sz w:val="20"/>
                <w:szCs w:val="20"/>
              </w:rPr>
              <w:t>%</w:t>
            </w:r>
          </w:p>
        </w:tc>
        <w:tc>
          <w:tcPr>
            <w:tcW w:w="1622" w:type="dxa"/>
            <w:tcBorders>
              <w:top w:val="nil"/>
              <w:left w:val="nil"/>
              <w:bottom w:val="nil"/>
              <w:right w:val="single" w:sz="4" w:space="0" w:color="auto"/>
            </w:tcBorders>
          </w:tcPr>
          <w:p w:rsidR="00655D4B" w:rsidRPr="00116868" w:rsidRDefault="00655D4B" w:rsidP="00D57C10">
            <w:pPr>
              <w:spacing w:after="0"/>
              <w:jc w:val="center"/>
              <w:rPr>
                <w:rFonts w:ascii="Calibri" w:eastAsia="Times New Roman" w:hAnsi="Calibri" w:cs="Calibri"/>
                <w:sz w:val="20"/>
                <w:szCs w:val="20"/>
              </w:rPr>
            </w:pPr>
            <w:r>
              <w:rPr>
                <w:rFonts w:ascii="Calibri" w:eastAsia="Times New Roman" w:hAnsi="Calibri" w:cs="Calibri"/>
                <w:sz w:val="20"/>
                <w:szCs w:val="20"/>
              </w:rPr>
              <w:t>43%</w:t>
            </w:r>
          </w:p>
        </w:tc>
      </w:tr>
      <w:tr w:rsidR="00655D4B" w:rsidRPr="00116868" w:rsidTr="00D57C10">
        <w:trPr>
          <w:trHeight w:val="276"/>
        </w:trPr>
        <w:tc>
          <w:tcPr>
            <w:tcW w:w="2300" w:type="dxa"/>
            <w:vMerge/>
            <w:tcBorders>
              <w:top w:val="nil"/>
              <w:left w:val="single" w:sz="4" w:space="0" w:color="auto"/>
              <w:bottom w:val="single" w:sz="4" w:space="0" w:color="000000"/>
              <w:right w:val="nil"/>
            </w:tcBorders>
            <w:vAlign w:val="center"/>
            <w:hideMark/>
          </w:tcPr>
          <w:p w:rsidR="00655D4B" w:rsidRPr="00116868" w:rsidRDefault="00655D4B" w:rsidP="00D57C10">
            <w:pPr>
              <w:spacing w:after="0"/>
              <w:rPr>
                <w:rFonts w:ascii="Calibri" w:eastAsia="Times New Roman" w:hAnsi="Calibri" w:cs="Calibri"/>
                <w:b/>
                <w:bCs/>
                <w:sz w:val="20"/>
                <w:szCs w:val="20"/>
              </w:rPr>
            </w:pPr>
          </w:p>
        </w:tc>
        <w:tc>
          <w:tcPr>
            <w:tcW w:w="1460" w:type="dxa"/>
            <w:tcBorders>
              <w:top w:val="nil"/>
              <w:left w:val="nil"/>
              <w:bottom w:val="single" w:sz="4" w:space="0" w:color="auto"/>
              <w:right w:val="nil"/>
            </w:tcBorders>
            <w:shd w:val="clear" w:color="auto" w:fill="auto"/>
            <w:noWrap/>
            <w:vAlign w:val="bottom"/>
            <w:hideMark/>
          </w:tcPr>
          <w:p w:rsidR="00655D4B" w:rsidRPr="00116868" w:rsidRDefault="00655D4B" w:rsidP="00D57C10">
            <w:pPr>
              <w:spacing w:after="0"/>
              <w:jc w:val="center"/>
              <w:rPr>
                <w:rFonts w:ascii="Calibri" w:eastAsia="Times New Roman" w:hAnsi="Calibri" w:cs="Calibri"/>
                <w:sz w:val="20"/>
                <w:szCs w:val="20"/>
              </w:rPr>
            </w:pPr>
            <w:r w:rsidRPr="00116868">
              <w:rPr>
                <w:rFonts w:ascii="Calibri" w:eastAsia="Times New Roman" w:hAnsi="Calibri" w:cs="Calibri"/>
                <w:sz w:val="20"/>
                <w:szCs w:val="20"/>
              </w:rPr>
              <w:t>West</w:t>
            </w:r>
          </w:p>
        </w:tc>
        <w:tc>
          <w:tcPr>
            <w:tcW w:w="960" w:type="dxa"/>
            <w:tcBorders>
              <w:top w:val="nil"/>
              <w:left w:val="single" w:sz="4" w:space="0" w:color="auto"/>
              <w:bottom w:val="single" w:sz="4" w:space="0" w:color="auto"/>
              <w:right w:val="nil"/>
            </w:tcBorders>
            <w:shd w:val="clear" w:color="auto" w:fill="auto"/>
            <w:noWrap/>
            <w:vAlign w:val="bottom"/>
            <w:hideMark/>
          </w:tcPr>
          <w:p w:rsidR="00655D4B" w:rsidRPr="00116868" w:rsidRDefault="00655D4B" w:rsidP="00D57C10">
            <w:pPr>
              <w:spacing w:after="0"/>
              <w:jc w:val="center"/>
              <w:rPr>
                <w:rFonts w:ascii="Calibri" w:eastAsia="Times New Roman" w:hAnsi="Calibri" w:cs="Calibri"/>
                <w:sz w:val="20"/>
                <w:szCs w:val="20"/>
              </w:rPr>
            </w:pPr>
            <w:r w:rsidRPr="00116868">
              <w:rPr>
                <w:rFonts w:ascii="Calibri" w:eastAsia="Times New Roman" w:hAnsi="Calibri" w:cs="Calibri"/>
                <w:sz w:val="20"/>
                <w:szCs w:val="20"/>
              </w:rPr>
              <w:t>105</w:t>
            </w:r>
          </w:p>
        </w:tc>
        <w:tc>
          <w:tcPr>
            <w:tcW w:w="960" w:type="dxa"/>
            <w:tcBorders>
              <w:top w:val="nil"/>
              <w:left w:val="nil"/>
              <w:bottom w:val="single" w:sz="4" w:space="0" w:color="auto"/>
              <w:right w:val="single" w:sz="4" w:space="0" w:color="auto"/>
            </w:tcBorders>
            <w:shd w:val="clear" w:color="auto" w:fill="auto"/>
            <w:noWrap/>
            <w:vAlign w:val="bottom"/>
            <w:hideMark/>
          </w:tcPr>
          <w:p w:rsidR="00655D4B" w:rsidRPr="00116868" w:rsidRDefault="00655D4B" w:rsidP="00D57C10">
            <w:pPr>
              <w:spacing w:after="0"/>
              <w:jc w:val="center"/>
              <w:rPr>
                <w:rFonts w:ascii="Calibri" w:eastAsia="Times New Roman" w:hAnsi="Calibri" w:cs="Calibri"/>
                <w:sz w:val="20"/>
                <w:szCs w:val="20"/>
              </w:rPr>
            </w:pPr>
            <w:r w:rsidRPr="00116868">
              <w:rPr>
                <w:rFonts w:ascii="Calibri" w:eastAsia="Times New Roman" w:hAnsi="Calibri" w:cs="Calibri"/>
                <w:sz w:val="20"/>
                <w:szCs w:val="20"/>
              </w:rPr>
              <w:t>19%</w:t>
            </w:r>
          </w:p>
        </w:tc>
        <w:tc>
          <w:tcPr>
            <w:tcW w:w="1622" w:type="dxa"/>
            <w:tcBorders>
              <w:top w:val="nil"/>
              <w:left w:val="nil"/>
              <w:bottom w:val="single" w:sz="4" w:space="0" w:color="auto"/>
              <w:right w:val="single" w:sz="4" w:space="0" w:color="auto"/>
            </w:tcBorders>
          </w:tcPr>
          <w:p w:rsidR="00655D4B" w:rsidRPr="00116868" w:rsidRDefault="00655D4B" w:rsidP="00D57C10">
            <w:pPr>
              <w:spacing w:after="0"/>
              <w:jc w:val="center"/>
              <w:rPr>
                <w:rFonts w:ascii="Calibri" w:eastAsia="Times New Roman" w:hAnsi="Calibri" w:cs="Calibri"/>
                <w:sz w:val="20"/>
                <w:szCs w:val="20"/>
              </w:rPr>
            </w:pPr>
            <w:r>
              <w:rPr>
                <w:rFonts w:ascii="Calibri" w:eastAsia="Times New Roman" w:hAnsi="Calibri" w:cs="Calibri"/>
                <w:sz w:val="20"/>
                <w:szCs w:val="20"/>
              </w:rPr>
              <w:t>19%</w:t>
            </w:r>
          </w:p>
        </w:tc>
      </w:tr>
      <w:tr w:rsidR="00655D4B" w:rsidRPr="00116868" w:rsidTr="00D57C10">
        <w:trPr>
          <w:trHeight w:val="276"/>
        </w:trPr>
        <w:tc>
          <w:tcPr>
            <w:tcW w:w="2300" w:type="dxa"/>
            <w:vMerge w:val="restart"/>
            <w:tcBorders>
              <w:top w:val="nil"/>
              <w:left w:val="single" w:sz="4" w:space="0" w:color="auto"/>
              <w:bottom w:val="single" w:sz="4" w:space="0" w:color="000000"/>
              <w:right w:val="nil"/>
            </w:tcBorders>
            <w:shd w:val="clear" w:color="auto" w:fill="auto"/>
            <w:noWrap/>
            <w:vAlign w:val="center"/>
            <w:hideMark/>
          </w:tcPr>
          <w:p w:rsidR="00655D4B" w:rsidRPr="00116868" w:rsidRDefault="00655D4B" w:rsidP="00D57C10">
            <w:pPr>
              <w:spacing w:after="0"/>
              <w:jc w:val="center"/>
              <w:rPr>
                <w:rFonts w:ascii="Calibri" w:eastAsia="Times New Roman" w:hAnsi="Calibri" w:cs="Calibri"/>
                <w:b/>
                <w:bCs/>
                <w:sz w:val="20"/>
                <w:szCs w:val="20"/>
              </w:rPr>
            </w:pPr>
            <w:r w:rsidRPr="00116868">
              <w:rPr>
                <w:rFonts w:ascii="Calibri" w:eastAsia="Times New Roman" w:hAnsi="Calibri" w:cs="Calibri"/>
                <w:b/>
                <w:bCs/>
                <w:sz w:val="20"/>
                <w:szCs w:val="20"/>
              </w:rPr>
              <w:t>Teaching Status</w:t>
            </w:r>
          </w:p>
        </w:tc>
        <w:tc>
          <w:tcPr>
            <w:tcW w:w="1460" w:type="dxa"/>
            <w:tcBorders>
              <w:top w:val="nil"/>
              <w:left w:val="nil"/>
              <w:bottom w:val="nil"/>
              <w:right w:val="nil"/>
            </w:tcBorders>
            <w:shd w:val="clear" w:color="auto" w:fill="auto"/>
            <w:noWrap/>
            <w:vAlign w:val="bottom"/>
            <w:hideMark/>
          </w:tcPr>
          <w:p w:rsidR="00655D4B" w:rsidRPr="00116868" w:rsidRDefault="00655D4B" w:rsidP="00D57C10">
            <w:pPr>
              <w:spacing w:after="0"/>
              <w:jc w:val="center"/>
              <w:rPr>
                <w:rFonts w:ascii="Calibri" w:eastAsia="Times New Roman" w:hAnsi="Calibri" w:cs="Calibri"/>
                <w:sz w:val="20"/>
                <w:szCs w:val="20"/>
              </w:rPr>
            </w:pPr>
            <w:r w:rsidRPr="00116868">
              <w:rPr>
                <w:rFonts w:ascii="Calibri" w:eastAsia="Times New Roman" w:hAnsi="Calibri" w:cs="Calibri"/>
                <w:sz w:val="20"/>
                <w:szCs w:val="20"/>
              </w:rPr>
              <w:t>Yes</w:t>
            </w:r>
          </w:p>
        </w:tc>
        <w:tc>
          <w:tcPr>
            <w:tcW w:w="960" w:type="dxa"/>
            <w:tcBorders>
              <w:top w:val="nil"/>
              <w:left w:val="single" w:sz="4" w:space="0" w:color="auto"/>
              <w:bottom w:val="nil"/>
              <w:right w:val="nil"/>
            </w:tcBorders>
            <w:shd w:val="clear" w:color="auto" w:fill="auto"/>
            <w:noWrap/>
            <w:vAlign w:val="bottom"/>
            <w:hideMark/>
          </w:tcPr>
          <w:p w:rsidR="00655D4B" w:rsidRPr="00116868" w:rsidRDefault="00655D4B" w:rsidP="00D57C10">
            <w:pPr>
              <w:spacing w:after="0"/>
              <w:jc w:val="center"/>
              <w:rPr>
                <w:rFonts w:ascii="Calibri" w:eastAsia="Times New Roman" w:hAnsi="Calibri" w:cs="Calibri"/>
                <w:sz w:val="20"/>
                <w:szCs w:val="20"/>
              </w:rPr>
            </w:pPr>
            <w:r w:rsidRPr="00116868">
              <w:rPr>
                <w:rFonts w:ascii="Calibri" w:eastAsia="Times New Roman" w:hAnsi="Calibri" w:cs="Calibri"/>
                <w:sz w:val="20"/>
                <w:szCs w:val="20"/>
              </w:rPr>
              <w:t>86</w:t>
            </w:r>
          </w:p>
        </w:tc>
        <w:tc>
          <w:tcPr>
            <w:tcW w:w="960" w:type="dxa"/>
            <w:tcBorders>
              <w:top w:val="nil"/>
              <w:left w:val="nil"/>
              <w:bottom w:val="nil"/>
              <w:right w:val="single" w:sz="4" w:space="0" w:color="auto"/>
            </w:tcBorders>
            <w:shd w:val="clear" w:color="auto" w:fill="auto"/>
            <w:noWrap/>
            <w:vAlign w:val="bottom"/>
            <w:hideMark/>
          </w:tcPr>
          <w:p w:rsidR="00655D4B" w:rsidRPr="00116868" w:rsidRDefault="00655D4B" w:rsidP="00D57C10">
            <w:pPr>
              <w:spacing w:after="0"/>
              <w:jc w:val="center"/>
              <w:rPr>
                <w:rFonts w:ascii="Calibri" w:eastAsia="Times New Roman" w:hAnsi="Calibri" w:cs="Calibri"/>
                <w:sz w:val="20"/>
                <w:szCs w:val="20"/>
              </w:rPr>
            </w:pPr>
            <w:r w:rsidRPr="00116868">
              <w:rPr>
                <w:rFonts w:ascii="Calibri" w:eastAsia="Times New Roman" w:hAnsi="Calibri" w:cs="Calibri"/>
                <w:sz w:val="20"/>
                <w:szCs w:val="20"/>
              </w:rPr>
              <w:t>15%</w:t>
            </w:r>
          </w:p>
        </w:tc>
        <w:tc>
          <w:tcPr>
            <w:tcW w:w="1622" w:type="dxa"/>
            <w:tcBorders>
              <w:top w:val="nil"/>
              <w:left w:val="nil"/>
              <w:bottom w:val="nil"/>
              <w:right w:val="single" w:sz="4" w:space="0" w:color="auto"/>
            </w:tcBorders>
          </w:tcPr>
          <w:p w:rsidR="00655D4B" w:rsidRPr="00116868" w:rsidRDefault="00655D4B" w:rsidP="00D57C10">
            <w:pPr>
              <w:spacing w:after="0"/>
              <w:jc w:val="center"/>
              <w:rPr>
                <w:rFonts w:ascii="Calibri" w:eastAsia="Times New Roman" w:hAnsi="Calibri" w:cs="Calibri"/>
                <w:sz w:val="20"/>
                <w:szCs w:val="20"/>
              </w:rPr>
            </w:pPr>
            <w:r>
              <w:rPr>
                <w:rFonts w:ascii="Calibri" w:eastAsia="Times New Roman" w:hAnsi="Calibri" w:cs="Calibri"/>
                <w:sz w:val="20"/>
                <w:szCs w:val="20"/>
              </w:rPr>
              <w:t>30%</w:t>
            </w:r>
          </w:p>
        </w:tc>
      </w:tr>
      <w:tr w:rsidR="00655D4B" w:rsidRPr="00116868" w:rsidTr="00D57C10">
        <w:trPr>
          <w:trHeight w:val="276"/>
        </w:trPr>
        <w:tc>
          <w:tcPr>
            <w:tcW w:w="2300" w:type="dxa"/>
            <w:vMerge/>
            <w:tcBorders>
              <w:top w:val="nil"/>
              <w:left w:val="single" w:sz="4" w:space="0" w:color="auto"/>
              <w:bottom w:val="single" w:sz="4" w:space="0" w:color="000000"/>
              <w:right w:val="nil"/>
            </w:tcBorders>
            <w:vAlign w:val="center"/>
            <w:hideMark/>
          </w:tcPr>
          <w:p w:rsidR="00655D4B" w:rsidRPr="00116868" w:rsidRDefault="00655D4B" w:rsidP="00D57C10">
            <w:pPr>
              <w:spacing w:after="0"/>
              <w:rPr>
                <w:rFonts w:ascii="Calibri" w:eastAsia="Times New Roman" w:hAnsi="Calibri" w:cs="Calibri"/>
                <w:b/>
                <w:bCs/>
                <w:sz w:val="20"/>
                <w:szCs w:val="20"/>
              </w:rPr>
            </w:pPr>
          </w:p>
        </w:tc>
        <w:tc>
          <w:tcPr>
            <w:tcW w:w="1460" w:type="dxa"/>
            <w:tcBorders>
              <w:top w:val="nil"/>
              <w:left w:val="nil"/>
              <w:bottom w:val="single" w:sz="4" w:space="0" w:color="auto"/>
              <w:right w:val="nil"/>
            </w:tcBorders>
            <w:shd w:val="clear" w:color="auto" w:fill="auto"/>
            <w:noWrap/>
            <w:vAlign w:val="bottom"/>
            <w:hideMark/>
          </w:tcPr>
          <w:p w:rsidR="00655D4B" w:rsidRPr="00116868" w:rsidRDefault="00655D4B" w:rsidP="00D57C10">
            <w:pPr>
              <w:spacing w:after="0"/>
              <w:jc w:val="center"/>
              <w:rPr>
                <w:rFonts w:ascii="Calibri" w:eastAsia="Times New Roman" w:hAnsi="Calibri" w:cs="Calibri"/>
                <w:sz w:val="20"/>
                <w:szCs w:val="20"/>
              </w:rPr>
            </w:pPr>
            <w:r w:rsidRPr="00116868">
              <w:rPr>
                <w:rFonts w:ascii="Calibri" w:eastAsia="Times New Roman" w:hAnsi="Calibri" w:cs="Calibri"/>
                <w:sz w:val="20"/>
                <w:szCs w:val="20"/>
              </w:rPr>
              <w:t>No</w:t>
            </w:r>
          </w:p>
        </w:tc>
        <w:tc>
          <w:tcPr>
            <w:tcW w:w="960" w:type="dxa"/>
            <w:tcBorders>
              <w:top w:val="nil"/>
              <w:left w:val="single" w:sz="4" w:space="0" w:color="auto"/>
              <w:bottom w:val="single" w:sz="4" w:space="0" w:color="auto"/>
              <w:right w:val="nil"/>
            </w:tcBorders>
            <w:shd w:val="clear" w:color="auto" w:fill="auto"/>
            <w:noWrap/>
            <w:vAlign w:val="bottom"/>
            <w:hideMark/>
          </w:tcPr>
          <w:p w:rsidR="00655D4B" w:rsidRPr="00116868" w:rsidRDefault="00655D4B" w:rsidP="00D57C10">
            <w:pPr>
              <w:spacing w:after="0"/>
              <w:jc w:val="center"/>
              <w:rPr>
                <w:rFonts w:ascii="Calibri" w:eastAsia="Times New Roman" w:hAnsi="Calibri" w:cs="Calibri"/>
                <w:sz w:val="20"/>
                <w:szCs w:val="20"/>
              </w:rPr>
            </w:pPr>
            <w:r w:rsidRPr="00116868">
              <w:rPr>
                <w:rFonts w:ascii="Calibri" w:eastAsia="Times New Roman" w:hAnsi="Calibri" w:cs="Calibri"/>
                <w:sz w:val="20"/>
                <w:szCs w:val="20"/>
              </w:rPr>
              <w:t>476</w:t>
            </w:r>
          </w:p>
        </w:tc>
        <w:tc>
          <w:tcPr>
            <w:tcW w:w="960" w:type="dxa"/>
            <w:tcBorders>
              <w:top w:val="nil"/>
              <w:left w:val="nil"/>
              <w:bottom w:val="single" w:sz="4" w:space="0" w:color="auto"/>
              <w:right w:val="single" w:sz="4" w:space="0" w:color="auto"/>
            </w:tcBorders>
            <w:shd w:val="clear" w:color="auto" w:fill="auto"/>
            <w:noWrap/>
            <w:vAlign w:val="bottom"/>
            <w:hideMark/>
          </w:tcPr>
          <w:p w:rsidR="00655D4B" w:rsidRPr="00116868" w:rsidRDefault="00655D4B" w:rsidP="00D57C10">
            <w:pPr>
              <w:spacing w:after="0"/>
              <w:jc w:val="center"/>
              <w:rPr>
                <w:rFonts w:ascii="Calibri" w:eastAsia="Times New Roman" w:hAnsi="Calibri" w:cs="Calibri"/>
                <w:sz w:val="20"/>
                <w:szCs w:val="20"/>
              </w:rPr>
            </w:pPr>
            <w:r w:rsidRPr="00116868">
              <w:rPr>
                <w:rFonts w:ascii="Calibri" w:eastAsia="Times New Roman" w:hAnsi="Calibri" w:cs="Calibri"/>
                <w:sz w:val="20"/>
                <w:szCs w:val="20"/>
              </w:rPr>
              <w:t>85%</w:t>
            </w:r>
          </w:p>
        </w:tc>
        <w:tc>
          <w:tcPr>
            <w:tcW w:w="1622" w:type="dxa"/>
            <w:tcBorders>
              <w:top w:val="nil"/>
              <w:left w:val="nil"/>
              <w:bottom w:val="single" w:sz="4" w:space="0" w:color="auto"/>
              <w:right w:val="single" w:sz="4" w:space="0" w:color="auto"/>
            </w:tcBorders>
          </w:tcPr>
          <w:p w:rsidR="00655D4B" w:rsidRPr="00116868" w:rsidRDefault="00655D4B" w:rsidP="00D57C10">
            <w:pPr>
              <w:spacing w:after="0"/>
              <w:jc w:val="center"/>
              <w:rPr>
                <w:rFonts w:ascii="Calibri" w:eastAsia="Times New Roman" w:hAnsi="Calibri" w:cs="Calibri"/>
                <w:sz w:val="20"/>
                <w:szCs w:val="20"/>
              </w:rPr>
            </w:pPr>
            <w:r>
              <w:rPr>
                <w:rFonts w:ascii="Calibri" w:eastAsia="Times New Roman" w:hAnsi="Calibri" w:cs="Calibri"/>
                <w:sz w:val="20"/>
                <w:szCs w:val="20"/>
              </w:rPr>
              <w:t>70%</w:t>
            </w:r>
          </w:p>
        </w:tc>
      </w:tr>
    </w:tbl>
    <w:p w:rsidR="00655D4B" w:rsidRPr="00E94471" w:rsidRDefault="00655D4B" w:rsidP="00DB3627">
      <w:pPr>
        <w:autoSpaceDE w:val="0"/>
        <w:autoSpaceDN w:val="0"/>
        <w:adjustRightInd w:val="0"/>
        <w:spacing w:after="0" w:line="240" w:lineRule="auto"/>
        <w:rPr>
          <w:rFonts w:cstheme="minorHAnsi"/>
          <w:b/>
          <w:bCs/>
        </w:rPr>
      </w:pPr>
      <w:r w:rsidRPr="00051758">
        <w:rPr>
          <w:rFonts w:ascii="Times New Roman" w:hAnsi="Times New Roman" w:cs="Times New Roman"/>
          <w:i/>
          <w:sz w:val="24"/>
          <w:szCs w:val="24"/>
        </w:rPr>
        <w:t>Note: Teaching status is defined as membership status of Council of Teaching Hospi</w:t>
      </w:r>
      <w:r>
        <w:rPr>
          <w:rFonts w:ascii="Times New Roman" w:hAnsi="Times New Roman" w:cs="Times New Roman"/>
          <w:i/>
          <w:sz w:val="24"/>
          <w:szCs w:val="24"/>
        </w:rPr>
        <w:t>tals and Health Systems (COTH). Formal tests yield significant differences for size and teaching status</w:t>
      </w:r>
    </w:p>
    <w:p w:rsidR="002B5016" w:rsidRPr="00A25024" w:rsidRDefault="002B5016" w:rsidP="00DB3627">
      <w:pPr>
        <w:autoSpaceDE w:val="0"/>
        <w:autoSpaceDN w:val="0"/>
        <w:adjustRightInd w:val="0"/>
        <w:spacing w:after="0" w:line="240" w:lineRule="auto"/>
        <w:rPr>
          <w:rFonts w:cstheme="minorHAnsi"/>
          <w:bCs/>
        </w:rPr>
      </w:pPr>
    </w:p>
    <w:p w:rsidR="008A1E71"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rsidR="00557459" w:rsidRDefault="00557459" w:rsidP="00DB3627">
      <w:pPr>
        <w:autoSpaceDE w:val="0"/>
        <w:autoSpaceDN w:val="0"/>
        <w:adjustRightInd w:val="0"/>
        <w:spacing w:after="0" w:line="240" w:lineRule="auto"/>
        <w:rPr>
          <w:rFonts w:cstheme="minorHAnsi"/>
          <w:bCs/>
        </w:rPr>
      </w:pPr>
    </w:p>
    <w:p w:rsidR="007422FD" w:rsidRPr="00557459" w:rsidRDefault="00557459" w:rsidP="00DB3627">
      <w:pPr>
        <w:autoSpaceDE w:val="0"/>
        <w:autoSpaceDN w:val="0"/>
        <w:adjustRightInd w:val="0"/>
        <w:spacing w:after="0" w:line="240" w:lineRule="auto"/>
        <w:rPr>
          <w:rFonts w:cstheme="minorHAnsi"/>
          <w:bCs/>
        </w:rPr>
      </w:pPr>
      <w:r w:rsidRPr="00557459">
        <w:rPr>
          <w:rFonts w:cstheme="minorHAnsi"/>
          <w:bCs/>
          <w:color w:val="0070C0"/>
        </w:rPr>
        <w:t>All patients as described in sections</w:t>
      </w:r>
      <w:r>
        <w:rPr>
          <w:rFonts w:cstheme="minorHAnsi"/>
          <w:bCs/>
          <w:color w:val="0070C0"/>
        </w:rPr>
        <w:t xml:space="preserve"> </w:t>
      </w:r>
      <w:r w:rsidR="008A1E71" w:rsidRPr="00557459">
        <w:rPr>
          <w:rFonts w:cstheme="minorHAnsi"/>
          <w:bCs/>
          <w:i/>
          <w:color w:val="0070C0"/>
        </w:rPr>
        <w:t>1b.2, 1b.4, and overview document</w:t>
      </w:r>
      <w:r w:rsidR="00554C85" w:rsidRPr="00557459">
        <w:rPr>
          <w:rFonts w:cstheme="minorHAnsi"/>
          <w:bCs/>
          <w:i/>
          <w:color w:val="0070C0"/>
        </w:rPr>
        <w:t xml:space="preserve"> posted at URL given</w:t>
      </w:r>
      <w:r w:rsidR="008A1E71" w:rsidRPr="00557459">
        <w:rPr>
          <w:rFonts w:cstheme="minorHAnsi"/>
          <w:bCs/>
          <w:i/>
          <w:color w:val="0070C0"/>
        </w:rPr>
        <w:t xml:space="preserve"> in S.1</w:t>
      </w:r>
      <w:r w:rsidR="007422FD" w:rsidRPr="00557459">
        <w:rPr>
          <w:rFonts w:cstheme="minorHAnsi"/>
          <w:bCs/>
        </w:rPr>
        <w:br/>
      </w:r>
    </w:p>
    <w:p w:rsidR="00E37E1B"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rsidR="00E37E1B" w:rsidRDefault="00554C85" w:rsidP="00E37E1B">
      <w:pPr>
        <w:autoSpaceDE w:val="0"/>
        <w:autoSpaceDN w:val="0"/>
        <w:adjustRightInd w:val="0"/>
        <w:spacing w:after="0" w:line="240" w:lineRule="auto"/>
        <w:rPr>
          <w:rFonts w:cstheme="minorHAnsi"/>
          <w:bCs/>
        </w:rPr>
      </w:pPr>
      <w:r w:rsidRPr="00A25C53">
        <w:rPr>
          <w:rFonts w:cstheme="minorHAnsi"/>
          <w:bCs/>
          <w:color w:val="0070C0"/>
        </w:rPr>
        <w:t>NA</w:t>
      </w:r>
    </w:p>
    <w:p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rsidR="008C54A9" w:rsidRPr="00A25024" w:rsidRDefault="00C918D0" w:rsidP="00DB3627">
      <w:pPr>
        <w:autoSpaceDE w:val="0"/>
        <w:autoSpaceDN w:val="0"/>
        <w:adjustRightInd w:val="0"/>
        <w:spacing w:after="0" w:line="240" w:lineRule="auto"/>
        <w:rPr>
          <w:rFonts w:cstheme="minorHAnsi"/>
          <w:b/>
          <w:bCs/>
        </w:rPr>
      </w:pPr>
      <w:r>
        <w:rPr>
          <w:rFonts w:cstheme="minorHAnsi"/>
          <w:b/>
          <w:bCs/>
        </w:rPr>
        <w:t>NA</w:t>
      </w:r>
    </w:p>
    <w:p w:rsidR="001969C5"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8A1E71">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proofErr w:type="gramStart"/>
      <w:r w:rsidR="001F7A20">
        <w:rPr>
          <w:rFonts w:cstheme="minorHAnsi"/>
          <w:bCs/>
        </w:rPr>
        <w:t>)</w:t>
      </w:r>
      <w:proofErr w:type="gramEnd"/>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8A1E71">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rsidR="00E94471" w:rsidRDefault="00E94471" w:rsidP="008C54A9">
      <w:pPr>
        <w:autoSpaceDE w:val="0"/>
        <w:autoSpaceDN w:val="0"/>
        <w:adjustRightInd w:val="0"/>
        <w:spacing w:after="0" w:line="240" w:lineRule="auto"/>
        <w:rPr>
          <w:rFonts w:cstheme="minorHAnsi"/>
          <w:bCs/>
        </w:rPr>
      </w:pPr>
    </w:p>
    <w:p w:rsidR="00E94471" w:rsidRPr="00127405" w:rsidRDefault="00E94471" w:rsidP="008C54A9">
      <w:pPr>
        <w:autoSpaceDE w:val="0"/>
        <w:autoSpaceDN w:val="0"/>
        <w:adjustRightInd w:val="0"/>
        <w:spacing w:after="0" w:line="240" w:lineRule="auto"/>
        <w:rPr>
          <w:rFonts w:cstheme="minorHAnsi"/>
          <w:b/>
          <w:bCs/>
          <w:i/>
        </w:rPr>
      </w:pPr>
      <w:r w:rsidRPr="00127405">
        <w:rPr>
          <w:rFonts w:cstheme="minorHAnsi"/>
          <w:b/>
          <w:bCs/>
          <w:i/>
        </w:rPr>
        <w:t xml:space="preserve">As described in the S.1 URL (overview document) and in </w:t>
      </w:r>
      <w:r w:rsidR="00127405" w:rsidRPr="00127405">
        <w:rPr>
          <w:rFonts w:cstheme="minorHAnsi"/>
          <w:b/>
          <w:bCs/>
          <w:i/>
        </w:rPr>
        <w:t xml:space="preserve">1b.2 and 1b.4, the measure was tested across 15 million MedPAR hospital discharges (3600 hospitals), 17 million HCUP NIS discharges (2100 </w:t>
      </w:r>
      <w:r w:rsidR="00127405" w:rsidRPr="00127405">
        <w:rPr>
          <w:rFonts w:cstheme="minorHAnsi"/>
          <w:b/>
          <w:bCs/>
          <w:i/>
        </w:rPr>
        <w:lastRenderedPageBreak/>
        <w:t xml:space="preserve">hospitals), and 9 million discharges from 700 Premier hospitals (in 48 states).  Error components were assessed as documented in 1b.2 and 1b.4. </w:t>
      </w:r>
    </w:p>
    <w:p w:rsidR="008C54A9" w:rsidRPr="00A25024" w:rsidRDefault="008C54A9" w:rsidP="008C54A9">
      <w:pPr>
        <w:autoSpaceDE w:val="0"/>
        <w:autoSpaceDN w:val="0"/>
        <w:adjustRightInd w:val="0"/>
        <w:spacing w:after="0" w:line="240" w:lineRule="auto"/>
        <w:rPr>
          <w:rFonts w:cstheme="minorHAnsi"/>
          <w:bCs/>
        </w:rPr>
      </w:pPr>
    </w:p>
    <w:p w:rsidR="00127405"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rsidR="00127405" w:rsidRDefault="00127405" w:rsidP="008C54A9">
      <w:pPr>
        <w:autoSpaceDE w:val="0"/>
        <w:autoSpaceDN w:val="0"/>
        <w:adjustRightInd w:val="0"/>
        <w:spacing w:after="0" w:line="240" w:lineRule="auto"/>
        <w:rPr>
          <w:rFonts w:cstheme="minorHAnsi"/>
          <w:bCs/>
        </w:rPr>
      </w:pPr>
    </w:p>
    <w:p w:rsidR="007422FD" w:rsidRPr="008B5BE9" w:rsidRDefault="008B5BE9" w:rsidP="008C54A9">
      <w:pPr>
        <w:autoSpaceDE w:val="0"/>
        <w:autoSpaceDN w:val="0"/>
        <w:adjustRightInd w:val="0"/>
        <w:spacing w:after="0" w:line="240" w:lineRule="auto"/>
        <w:rPr>
          <w:rFonts w:cstheme="minorHAnsi"/>
          <w:b/>
          <w:bCs/>
          <w:i/>
        </w:rPr>
      </w:pPr>
      <w:r w:rsidRPr="008B5BE9">
        <w:rPr>
          <w:rFonts w:cstheme="minorHAnsi"/>
          <w:b/>
          <w:bCs/>
          <w:i/>
        </w:rPr>
        <w:t>See results tabulated in sections 1b.2 and 1b.4.</w:t>
      </w:r>
      <w:r w:rsidR="0048008A" w:rsidRPr="008B5BE9">
        <w:rPr>
          <w:rFonts w:cstheme="minorHAnsi"/>
          <w:b/>
          <w:bCs/>
          <w:i/>
        </w:rPr>
        <w:br/>
      </w:r>
    </w:p>
    <w:p w:rsidR="008B5BE9" w:rsidRDefault="00092566" w:rsidP="00DB3627">
      <w:pPr>
        <w:autoSpaceDE w:val="0"/>
        <w:autoSpaceDN w:val="0"/>
        <w:adjustRightInd w:val="0"/>
        <w:spacing w:after="0" w:line="240" w:lineRule="auto"/>
        <w:rPr>
          <w:rFonts w:cstheme="minorHAnsi"/>
          <w:bCs/>
        </w:rPr>
      </w:pPr>
      <w:r>
        <w:rPr>
          <w:rFonts w:cstheme="minorHAnsi"/>
          <w:b/>
          <w:bCs/>
        </w:rPr>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p>
    <w:p w:rsidR="008B5BE9" w:rsidRDefault="008B5BE9" w:rsidP="00DB3627">
      <w:pPr>
        <w:autoSpaceDE w:val="0"/>
        <w:autoSpaceDN w:val="0"/>
        <w:adjustRightInd w:val="0"/>
        <w:spacing w:after="0" w:line="240" w:lineRule="auto"/>
        <w:rPr>
          <w:rFonts w:cstheme="minorHAnsi"/>
          <w:bCs/>
        </w:rPr>
      </w:pPr>
    </w:p>
    <w:p w:rsidR="007422FD" w:rsidRPr="00995133" w:rsidRDefault="00995133" w:rsidP="00DB3627">
      <w:pPr>
        <w:autoSpaceDE w:val="0"/>
        <w:autoSpaceDN w:val="0"/>
        <w:adjustRightInd w:val="0"/>
        <w:spacing w:after="0" w:line="240" w:lineRule="auto"/>
        <w:rPr>
          <w:rFonts w:cstheme="minorHAnsi"/>
          <w:bCs/>
        </w:rPr>
      </w:pPr>
      <w:proofErr w:type="gramStart"/>
      <w:r>
        <w:rPr>
          <w:rFonts w:cstheme="minorHAnsi"/>
          <w:bCs/>
          <w:color w:val="0070C0"/>
        </w:rPr>
        <w:t>R</w:t>
      </w:r>
      <w:r w:rsidR="008B5BE9" w:rsidRPr="00995133">
        <w:rPr>
          <w:rFonts w:cstheme="minorHAnsi"/>
          <w:bCs/>
          <w:color w:val="0070C0"/>
        </w:rPr>
        <w:t>eliab</w:t>
      </w:r>
      <w:r>
        <w:rPr>
          <w:rFonts w:cstheme="minorHAnsi"/>
          <w:bCs/>
          <w:color w:val="0070C0"/>
        </w:rPr>
        <w:t>i</w:t>
      </w:r>
      <w:r w:rsidR="008B5BE9" w:rsidRPr="00995133">
        <w:rPr>
          <w:rFonts w:cstheme="minorHAnsi"/>
          <w:bCs/>
          <w:color w:val="0070C0"/>
        </w:rPr>
        <w:t>l</w:t>
      </w:r>
      <w:r>
        <w:rPr>
          <w:rFonts w:cstheme="minorHAnsi"/>
          <w:bCs/>
          <w:color w:val="0070C0"/>
        </w:rPr>
        <w:t>ity</w:t>
      </w:r>
      <w:r w:rsidR="008B5BE9" w:rsidRPr="00995133">
        <w:rPr>
          <w:rFonts w:cstheme="minorHAnsi"/>
          <w:bCs/>
          <w:color w:val="0070C0"/>
        </w:rPr>
        <w:t xml:space="preserve"> </w:t>
      </w:r>
      <w:r>
        <w:rPr>
          <w:rFonts w:cstheme="minorHAnsi"/>
          <w:bCs/>
          <w:color w:val="0070C0"/>
        </w:rPr>
        <w:t xml:space="preserve">testing limited to </w:t>
      </w:r>
      <w:r w:rsidR="008B5BE9" w:rsidRPr="00995133">
        <w:rPr>
          <w:rFonts w:cstheme="minorHAnsi"/>
          <w:bCs/>
          <w:color w:val="0070C0"/>
        </w:rPr>
        <w:t>accuracy of the LOS day count at the patient level, wh</w:t>
      </w:r>
      <w:r w:rsidR="00E15D2D" w:rsidRPr="00995133">
        <w:rPr>
          <w:rFonts w:cstheme="minorHAnsi"/>
          <w:bCs/>
          <w:color w:val="0070C0"/>
        </w:rPr>
        <w:t>ere</w:t>
      </w:r>
      <w:r w:rsidR="008B5BE9" w:rsidRPr="00995133">
        <w:rPr>
          <w:rFonts w:cstheme="minorHAnsi"/>
          <w:bCs/>
          <w:color w:val="0070C0"/>
        </w:rPr>
        <w:t xml:space="preserve"> over 60% of the variation is due to observed patient factors from the model described in the attached overview document (S.1 URL).</w:t>
      </w:r>
      <w:proofErr w:type="gramEnd"/>
      <w:r w:rsidR="008B5BE9" w:rsidRPr="00995133">
        <w:rPr>
          <w:rFonts w:cstheme="minorHAnsi"/>
          <w:bCs/>
          <w:color w:val="0070C0"/>
        </w:rPr>
        <w:t xml:space="preserve">  That leaves as much as 40% of variation due to care patterns.</w:t>
      </w:r>
      <w:r>
        <w:rPr>
          <w:rFonts w:cstheme="minorHAnsi"/>
          <w:bCs/>
          <w:color w:val="0070C0"/>
        </w:rPr>
        <w:t xml:space="preserve">  As described in the measure submission form, risk-adjusted ALOS showed stable patterns at the hospital level and for selected patient subgroupings. </w:t>
      </w:r>
      <w:r w:rsidR="007422FD" w:rsidRPr="00995133">
        <w:rPr>
          <w:rFonts w:cstheme="minorHAnsi"/>
          <w:bCs/>
        </w:rPr>
        <w:br/>
      </w:r>
    </w:p>
    <w:p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rsidR="00696262" w:rsidRPr="00A25024" w:rsidRDefault="00790DA4"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rsidR="000574AB" w:rsidRPr="00A25024" w:rsidRDefault="00790DA4"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8B5BE9">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rsidR="00CF6E8F" w:rsidRDefault="00CF6E8F" w:rsidP="00CF6E8F">
      <w:pPr>
        <w:autoSpaceDE w:val="0"/>
        <w:autoSpaceDN w:val="0"/>
        <w:adjustRightInd w:val="0"/>
        <w:spacing w:after="0" w:line="240" w:lineRule="auto"/>
        <w:rPr>
          <w:rFonts w:cstheme="minorHAnsi"/>
        </w:rPr>
      </w:pPr>
    </w:p>
    <w:p w:rsidR="00CF6E8F" w:rsidRPr="00CF6E8F" w:rsidRDefault="00CF6E8F" w:rsidP="00CF6E8F">
      <w:pPr>
        <w:autoSpaceDE w:val="0"/>
        <w:autoSpaceDN w:val="0"/>
        <w:adjustRightInd w:val="0"/>
        <w:spacing w:after="0" w:line="240" w:lineRule="auto"/>
        <w:rPr>
          <w:rFonts w:cstheme="minorHAnsi"/>
          <w:color w:val="0070C0"/>
        </w:rPr>
      </w:pPr>
      <w:r w:rsidRPr="00CF6E8F">
        <w:rPr>
          <w:rFonts w:cstheme="minorHAnsi"/>
          <w:color w:val="0070C0"/>
        </w:rPr>
        <w:t>The risk-adjustment methodology has been audited through various statistical regression analysis tests.  The methodology has also been audited by Premier’s client hospitals and health systems through various studies that are listed in the reference section of the over</w:t>
      </w:r>
      <w:r w:rsidRPr="00CF6E8F">
        <w:rPr>
          <w:rFonts w:cstheme="minorHAnsi"/>
          <w:color w:val="0070C0"/>
        </w:rPr>
        <w:t>view document URL at S.1</w:t>
      </w:r>
      <w:r w:rsidRPr="00CF6E8F">
        <w:rPr>
          <w:rFonts w:cstheme="minorHAnsi"/>
          <w:color w:val="0070C0"/>
        </w:rPr>
        <w:t xml:space="preserve">. </w:t>
      </w:r>
    </w:p>
    <w:p w:rsidR="00CA06D8" w:rsidRPr="00A25024" w:rsidRDefault="00CA06D8" w:rsidP="00DB3627">
      <w:pPr>
        <w:autoSpaceDE w:val="0"/>
        <w:autoSpaceDN w:val="0"/>
        <w:adjustRightInd w:val="0"/>
        <w:spacing w:after="0" w:line="240" w:lineRule="auto"/>
        <w:rPr>
          <w:rFonts w:cstheme="minorHAnsi"/>
        </w:rPr>
      </w:pPr>
    </w:p>
    <w:p w:rsidR="00D50704" w:rsidRPr="00A25024" w:rsidRDefault="00D50704" w:rsidP="00DB3627">
      <w:pPr>
        <w:autoSpaceDE w:val="0"/>
        <w:autoSpaceDN w:val="0"/>
        <w:adjustRightInd w:val="0"/>
        <w:spacing w:after="0" w:line="240" w:lineRule="auto"/>
        <w:rPr>
          <w:rFonts w:cstheme="minorHAnsi"/>
          <w:bCs/>
        </w:rPr>
      </w:pPr>
    </w:p>
    <w:p w:rsidR="00833325"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p>
    <w:p w:rsidR="008B5BE9" w:rsidRPr="00CF6E8F" w:rsidRDefault="008B5BE9" w:rsidP="00DB3627">
      <w:pPr>
        <w:autoSpaceDE w:val="0"/>
        <w:autoSpaceDN w:val="0"/>
        <w:adjustRightInd w:val="0"/>
        <w:spacing w:after="0" w:line="240" w:lineRule="auto"/>
        <w:rPr>
          <w:rFonts w:cstheme="minorHAnsi"/>
          <w:bCs/>
          <w:color w:val="0070C0"/>
        </w:rPr>
      </w:pPr>
      <w:r w:rsidRPr="00CF6E8F">
        <w:rPr>
          <w:rFonts w:cstheme="minorHAnsi"/>
          <w:bCs/>
          <w:color w:val="0070C0"/>
        </w:rPr>
        <w:t>Using the data bases cited above, records were review</w:t>
      </w:r>
      <w:r w:rsidR="00E15D2D" w:rsidRPr="00CF6E8F">
        <w:rPr>
          <w:rFonts w:cstheme="minorHAnsi"/>
          <w:bCs/>
          <w:color w:val="0070C0"/>
        </w:rPr>
        <w:t>ed</w:t>
      </w:r>
      <w:r w:rsidRPr="00CF6E8F">
        <w:rPr>
          <w:rFonts w:cstheme="minorHAnsi"/>
          <w:bCs/>
          <w:color w:val="0070C0"/>
        </w:rPr>
        <w:t xml:space="preserve"> by patient type to test for variability and consistency across the patient population.</w:t>
      </w:r>
    </w:p>
    <w:p w:rsidR="00833325" w:rsidRPr="00A25024" w:rsidRDefault="00833325" w:rsidP="00DB3627">
      <w:pPr>
        <w:autoSpaceDE w:val="0"/>
        <w:autoSpaceDN w:val="0"/>
        <w:adjustRightInd w:val="0"/>
        <w:spacing w:after="0" w:line="240" w:lineRule="auto"/>
        <w:rPr>
          <w:rFonts w:cstheme="minorHAnsi"/>
          <w:bCs/>
        </w:rPr>
      </w:pPr>
    </w:p>
    <w:p w:rsidR="008B5BE9" w:rsidRDefault="00092566" w:rsidP="00092566">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p>
    <w:p w:rsidR="008B5BE9" w:rsidRDefault="008B5BE9" w:rsidP="00092566">
      <w:pPr>
        <w:autoSpaceDE w:val="0"/>
        <w:autoSpaceDN w:val="0"/>
        <w:adjustRightInd w:val="0"/>
        <w:spacing w:after="0" w:line="240" w:lineRule="auto"/>
        <w:rPr>
          <w:rFonts w:cstheme="minorHAnsi"/>
          <w:bCs/>
        </w:rPr>
      </w:pPr>
    </w:p>
    <w:p w:rsidR="008B5BE9" w:rsidRPr="00400DDD" w:rsidRDefault="00332921" w:rsidP="00092566">
      <w:pPr>
        <w:autoSpaceDE w:val="0"/>
        <w:autoSpaceDN w:val="0"/>
        <w:adjustRightInd w:val="0"/>
        <w:spacing w:after="0" w:line="240" w:lineRule="auto"/>
        <w:rPr>
          <w:rFonts w:cstheme="minorHAnsi"/>
          <w:bCs/>
          <w:color w:val="0070C0"/>
        </w:rPr>
      </w:pPr>
      <w:r w:rsidRPr="00400DDD">
        <w:rPr>
          <w:rFonts w:cstheme="minorHAnsi"/>
          <w:bCs/>
          <w:color w:val="0070C0"/>
        </w:rPr>
        <w:t>R</w:t>
      </w:r>
      <w:r w:rsidR="008B5BE9" w:rsidRPr="00400DDD">
        <w:rPr>
          <w:rFonts w:cstheme="minorHAnsi"/>
          <w:bCs/>
          <w:color w:val="0070C0"/>
        </w:rPr>
        <w:t xml:space="preserve">esults are compiled in sections 1b.2 and </w:t>
      </w:r>
      <w:r w:rsidRPr="00400DDD">
        <w:rPr>
          <w:rFonts w:cstheme="minorHAnsi"/>
          <w:bCs/>
          <w:color w:val="0070C0"/>
        </w:rPr>
        <w:t>1b.4 above, as indicated in 2a2.3 immediately above.</w:t>
      </w:r>
    </w:p>
    <w:p w:rsidR="007422FD" w:rsidRPr="00092566" w:rsidRDefault="00833325" w:rsidP="00092566">
      <w:pPr>
        <w:autoSpaceDE w:val="0"/>
        <w:autoSpaceDN w:val="0"/>
        <w:adjustRightInd w:val="0"/>
        <w:spacing w:after="0" w:line="240" w:lineRule="auto"/>
        <w:rPr>
          <w:rFonts w:cstheme="minorHAnsi"/>
          <w:bCs/>
        </w:rPr>
      </w:pPr>
      <w:r w:rsidRPr="00A25024">
        <w:rPr>
          <w:rFonts w:cstheme="minorHAnsi"/>
          <w:bCs/>
        </w:rPr>
        <w:br/>
      </w:r>
    </w:p>
    <w:p w:rsidR="00332921" w:rsidRDefault="00092566" w:rsidP="00332921">
      <w:pPr>
        <w:autoSpaceDE w:val="0"/>
        <w:autoSpaceDN w:val="0"/>
        <w:adjustRightInd w:val="0"/>
        <w:spacing w:after="0" w:line="240" w:lineRule="auto"/>
        <w:rPr>
          <w:rFonts w:cstheme="minorHAnsi"/>
          <w:b/>
          <w:bCs/>
          <w:i/>
        </w:rPr>
      </w:pPr>
      <w:r>
        <w:rPr>
          <w:rFonts w:cstheme="minorHAnsi"/>
          <w:b/>
          <w:bCs/>
        </w:rPr>
        <w:lastRenderedPageBreak/>
        <w:t>2b2.</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p>
    <w:p w:rsidR="00332921" w:rsidRPr="00332921" w:rsidRDefault="00400DDD" w:rsidP="00332921">
      <w:pPr>
        <w:autoSpaceDE w:val="0"/>
        <w:autoSpaceDN w:val="0"/>
        <w:adjustRightInd w:val="0"/>
        <w:spacing w:after="0" w:line="240" w:lineRule="auto"/>
        <w:rPr>
          <w:rFonts w:cstheme="minorHAnsi"/>
          <w:b/>
          <w:bCs/>
          <w:i/>
        </w:rPr>
      </w:pPr>
      <w:proofErr w:type="gramStart"/>
      <w:r>
        <w:rPr>
          <w:rFonts w:cstheme="minorHAnsi"/>
          <w:bCs/>
          <w:color w:val="0070C0"/>
        </w:rPr>
        <w:t>R</w:t>
      </w:r>
      <w:r w:rsidRPr="00995133">
        <w:rPr>
          <w:rFonts w:cstheme="minorHAnsi"/>
          <w:bCs/>
          <w:color w:val="0070C0"/>
        </w:rPr>
        <w:t>eliab</w:t>
      </w:r>
      <w:r>
        <w:rPr>
          <w:rFonts w:cstheme="minorHAnsi"/>
          <w:bCs/>
          <w:color w:val="0070C0"/>
        </w:rPr>
        <w:t>i</w:t>
      </w:r>
      <w:r w:rsidRPr="00995133">
        <w:rPr>
          <w:rFonts w:cstheme="minorHAnsi"/>
          <w:bCs/>
          <w:color w:val="0070C0"/>
        </w:rPr>
        <w:t>l</w:t>
      </w:r>
      <w:r>
        <w:rPr>
          <w:rFonts w:cstheme="minorHAnsi"/>
          <w:bCs/>
          <w:color w:val="0070C0"/>
        </w:rPr>
        <w:t>ity</w:t>
      </w:r>
      <w:r w:rsidRPr="00995133">
        <w:rPr>
          <w:rFonts w:cstheme="minorHAnsi"/>
          <w:bCs/>
          <w:color w:val="0070C0"/>
        </w:rPr>
        <w:t xml:space="preserve"> </w:t>
      </w:r>
      <w:r>
        <w:rPr>
          <w:rFonts w:cstheme="minorHAnsi"/>
          <w:bCs/>
          <w:color w:val="0070C0"/>
        </w:rPr>
        <w:t xml:space="preserve">testing limited to </w:t>
      </w:r>
      <w:r w:rsidRPr="00995133">
        <w:rPr>
          <w:rFonts w:cstheme="minorHAnsi"/>
          <w:bCs/>
          <w:color w:val="0070C0"/>
        </w:rPr>
        <w:t>accuracy of the LOS day count at the patient level, where over 60% of the variation is due to observed patient factors from the model described in the attached overview document (S.1 URL).</w:t>
      </w:r>
      <w:proofErr w:type="gramEnd"/>
      <w:r w:rsidRPr="00995133">
        <w:rPr>
          <w:rFonts w:cstheme="minorHAnsi"/>
          <w:bCs/>
          <w:color w:val="0070C0"/>
        </w:rPr>
        <w:t xml:space="preserve">  That leaves as much as 40% of variation due to care patterns.</w:t>
      </w:r>
      <w:r>
        <w:rPr>
          <w:rFonts w:cstheme="minorHAnsi"/>
          <w:bCs/>
          <w:color w:val="0070C0"/>
        </w:rPr>
        <w:t xml:space="preserve">  As described in the measure submission form, risk-adjusted ALOS showed stable patterns at the hospital level and for selected patient subgroupings. </w:t>
      </w:r>
    </w:p>
    <w:p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1"/>
            <w14:checkedState w14:val="2612" w14:font="MS Gothic"/>
            <w14:uncheckedState w14:val="2610" w14:font="MS Gothic"/>
          </w14:checkbox>
        </w:sdtPr>
        <w:sdtEndPr/>
        <w:sdtContent>
          <w:r w:rsidR="00332921">
            <w:rPr>
              <w:rFonts w:ascii="MS Gothic" w:eastAsia="MS Gothic" w:hAnsi="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rsidR="00001D73" w:rsidRDefault="00001D73" w:rsidP="00DB3627">
      <w:pPr>
        <w:autoSpaceDE w:val="0"/>
        <w:autoSpaceDN w:val="0"/>
        <w:adjustRightInd w:val="0"/>
        <w:spacing w:after="0" w:line="240" w:lineRule="auto"/>
        <w:rPr>
          <w:rFonts w:cstheme="minorHAnsi"/>
          <w:b/>
          <w:bCs/>
        </w:rPr>
      </w:pPr>
    </w:p>
    <w:p w:rsidR="00833325" w:rsidRPr="00A25024"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p>
    <w:p w:rsidR="00833325" w:rsidRPr="00A25024" w:rsidRDefault="00833325" w:rsidP="00DB3627">
      <w:pPr>
        <w:autoSpaceDE w:val="0"/>
        <w:autoSpaceDN w:val="0"/>
        <w:adjustRightInd w:val="0"/>
        <w:spacing w:after="0" w:line="240" w:lineRule="auto"/>
        <w:rPr>
          <w:rFonts w:cstheme="minorHAnsi"/>
          <w:bCs/>
        </w:rPr>
      </w:pPr>
    </w:p>
    <w:p w:rsidR="007422FD" w:rsidRDefault="00092566" w:rsidP="00092566">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rsidR="00092566" w:rsidRPr="00092566" w:rsidRDefault="00092566" w:rsidP="00092566">
      <w:pPr>
        <w:autoSpaceDE w:val="0"/>
        <w:autoSpaceDN w:val="0"/>
        <w:adjustRightInd w:val="0"/>
        <w:spacing w:after="0" w:line="240" w:lineRule="auto"/>
        <w:rPr>
          <w:rFonts w:cstheme="minorHAnsi"/>
          <w:bCs/>
        </w:rPr>
      </w:pPr>
    </w:p>
    <w:p w:rsidR="007422FD" w:rsidRPr="00A25024"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rsidR="00AC1D8E" w:rsidRPr="0086464B" w:rsidRDefault="00092566" w:rsidP="00AC1D8E">
      <w:pPr>
        <w:autoSpaceDE w:val="0"/>
        <w:autoSpaceDN w:val="0"/>
        <w:adjustRightInd w:val="0"/>
        <w:spacing w:after="0" w:line="240" w:lineRule="auto"/>
        <w:rPr>
          <w:rFonts w:cstheme="minorHAnsi"/>
          <w:b/>
          <w:bCs/>
          <w:i/>
        </w:rPr>
      </w:pPr>
      <w:bookmarkStart w:id="11" w:name="section2b4"/>
      <w:bookmarkEnd w:id="11"/>
      <w:r w:rsidRPr="00A25024">
        <w:rPr>
          <w:rFonts w:cstheme="minorHAnsi"/>
          <w:b/>
          <w:bCs/>
        </w:rPr>
        <w:t>2b4.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rsidR="008871A9" w:rsidRDefault="008871A9" w:rsidP="00092566">
      <w:pPr>
        <w:autoSpaceDE w:val="0"/>
        <w:autoSpaceDN w:val="0"/>
        <w:adjustRightInd w:val="0"/>
        <w:spacing w:after="0" w:line="240" w:lineRule="auto"/>
        <w:rPr>
          <w:rFonts w:cstheme="minorHAnsi"/>
          <w:b/>
          <w:bCs/>
        </w:rPr>
      </w:pPr>
    </w:p>
    <w:p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r w:rsidR="00743E46" w:rsidRPr="005232D6">
        <w:rPr>
          <w:rFonts w:cstheme="minorHAnsi"/>
          <w:b/>
          <w:bCs/>
        </w:rPr>
        <w:t>What method of controlling for differences in case mix is used?</w:t>
      </w:r>
    </w:p>
    <w:p w:rsidR="00033038" w:rsidRPr="005232D6" w:rsidRDefault="00790DA4"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0"/>
            <w14:checkedState w14:val="2612" w14:font="MS Gothic"/>
            <w14:uncheckedState w14:val="2610" w14:font="MS Gothic"/>
          </w14:checkbox>
        </w:sdtPr>
        <w:sdtEndPr/>
        <w:sdtContent>
          <w:r w:rsidR="000330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rsidR="00743E46" w:rsidRPr="005232D6" w:rsidRDefault="00790DA4"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1"/>
            <w14:checkedState w14:val="2612" w14:font="MS Gothic"/>
            <w14:uncheckedState w14:val="2610" w14:font="MS Gothic"/>
          </w14:checkbox>
        </w:sdtPr>
        <w:sdtEndPr/>
        <w:sdtContent>
          <w:r w:rsidR="005072FB">
            <w:rPr>
              <w:rFonts w:ascii="MS Gothic" w:eastAsia="MS Gothic" w:hAnsi="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text/>
        </w:sdtPr>
        <w:sdtEndPr>
          <w:rPr>
            <w:rStyle w:val="DefaultParagraphFont"/>
            <w:rFonts w:asciiTheme="minorHAnsi" w:hAnsiTheme="minorHAnsi" w:cstheme="minorHAnsi"/>
            <w:b w:val="0"/>
            <w:bCs/>
            <w:color w:val="auto"/>
          </w:rPr>
        </w:sdtEndPr>
        <w:sdtContent>
          <w:r w:rsidR="005072FB">
            <w:rPr>
              <w:rStyle w:val="Style4"/>
              <w:u w:val="none"/>
            </w:rPr>
            <w:t>16</w:t>
          </w:r>
        </w:sdtContent>
      </w:sdt>
      <w:r w:rsidR="00E562C0" w:rsidRPr="006F22A5">
        <w:rPr>
          <w:rStyle w:val="Style4"/>
          <w:u w:val="none"/>
        </w:rPr>
        <w:t xml:space="preserve"> </w:t>
      </w:r>
      <w:r w:rsidR="00743E46" w:rsidRPr="005232D6">
        <w:rPr>
          <w:rFonts w:cstheme="minorHAnsi"/>
          <w:b/>
          <w:bCs/>
        </w:rPr>
        <w:t>risk factors</w:t>
      </w:r>
    </w:p>
    <w:p w:rsidR="00743E46" w:rsidRPr="005232D6" w:rsidRDefault="00790DA4"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1"/>
            <w14:checkedState w14:val="2612" w14:font="MS Gothic"/>
            <w14:uncheckedState w14:val="2610" w14:font="MS Gothic"/>
          </w14:checkbox>
        </w:sdtPr>
        <w:sdtEndPr/>
        <w:sdtContent>
          <w:r w:rsidR="005072FB">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text/>
        </w:sdtPr>
        <w:sdtEndPr>
          <w:rPr>
            <w:rStyle w:val="DefaultParagraphFont"/>
            <w:rFonts w:asciiTheme="minorHAnsi" w:hAnsiTheme="minorHAnsi" w:cstheme="minorHAnsi"/>
            <w:b w:val="0"/>
            <w:bCs/>
            <w:color w:val="auto"/>
          </w:rPr>
        </w:sdtEndPr>
        <w:sdtContent>
          <w:r w:rsidR="005072FB">
            <w:rPr>
              <w:rStyle w:val="Style4"/>
              <w:u w:val="none"/>
            </w:rPr>
            <w:t>142</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rsidR="00743E46" w:rsidRPr="005232D6" w:rsidRDefault="00790DA4"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rsidR="00743E46" w:rsidRDefault="00743E46" w:rsidP="00092566">
      <w:pPr>
        <w:autoSpaceDE w:val="0"/>
        <w:autoSpaceDN w:val="0"/>
        <w:adjustRightInd w:val="0"/>
        <w:spacing w:after="0" w:line="240" w:lineRule="auto"/>
        <w:rPr>
          <w:rFonts w:cstheme="minorHAnsi"/>
          <w:b/>
          <w:bCs/>
        </w:rPr>
      </w:pPr>
    </w:p>
    <w:p w:rsidR="00092566" w:rsidRPr="00A25024" w:rsidRDefault="00743E46" w:rsidP="00092566">
      <w:pPr>
        <w:autoSpaceDE w:val="0"/>
        <w:autoSpaceDN w:val="0"/>
        <w:adjustRightInd w:val="0"/>
        <w:spacing w:after="0" w:line="240" w:lineRule="auto"/>
        <w:rPr>
          <w:rFonts w:cstheme="minorHAnsi"/>
          <w:bCs/>
        </w:rPr>
      </w:pPr>
      <w:r>
        <w:rPr>
          <w:rFonts w:cstheme="minorHAnsi"/>
          <w:b/>
          <w:bCs/>
        </w:rPr>
        <w:t xml:space="preserve">2b4.2. </w:t>
      </w:r>
      <w:r w:rsidR="008871A9">
        <w:rPr>
          <w:rFonts w:cstheme="minorHAnsi"/>
          <w:b/>
          <w:bCs/>
        </w:rPr>
        <w:t xml:space="preserve">If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p>
    <w:p w:rsidR="00092566" w:rsidRPr="00A25024" w:rsidRDefault="00092566" w:rsidP="00092566">
      <w:pPr>
        <w:pStyle w:val="ListParagraph"/>
        <w:autoSpaceDE w:val="0"/>
        <w:autoSpaceDN w:val="0"/>
        <w:adjustRightInd w:val="0"/>
        <w:spacing w:after="0" w:line="240" w:lineRule="auto"/>
        <w:ind w:left="360"/>
        <w:rPr>
          <w:rFonts w:cstheme="minorHAnsi"/>
          <w:bCs/>
        </w:rPr>
      </w:pPr>
    </w:p>
    <w:p w:rsidR="00AF53E6" w:rsidRDefault="00092566" w:rsidP="00001D73">
      <w:pPr>
        <w:autoSpaceDE w:val="0"/>
        <w:autoSpaceDN w:val="0"/>
        <w:adjustRightInd w:val="0"/>
        <w:spacing w:after="0" w:line="240" w:lineRule="auto"/>
        <w:rPr>
          <w:rFonts w:cstheme="minorHAnsi"/>
          <w:bCs/>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r w:rsidRPr="00A25024">
        <w:rPr>
          <w:rFonts w:cstheme="minorHAnsi"/>
          <w:bCs/>
        </w:rPr>
        <w:t>)</w:t>
      </w:r>
      <w:r w:rsidRPr="00A25024">
        <w:rPr>
          <w:rFonts w:cstheme="minorHAnsi"/>
          <w:bCs/>
        </w:rPr>
        <w:br/>
      </w:r>
    </w:p>
    <w:p w:rsidR="00092566" w:rsidRPr="00400DDD" w:rsidRDefault="00AF53E6" w:rsidP="00001D73">
      <w:pPr>
        <w:autoSpaceDE w:val="0"/>
        <w:autoSpaceDN w:val="0"/>
        <w:adjustRightInd w:val="0"/>
        <w:spacing w:after="0" w:line="240" w:lineRule="auto"/>
        <w:rPr>
          <w:rFonts w:cstheme="minorHAnsi"/>
          <w:bCs/>
          <w:color w:val="0070C0"/>
        </w:rPr>
      </w:pPr>
      <w:r w:rsidRPr="00400DDD">
        <w:rPr>
          <w:rFonts w:cstheme="minorHAnsi"/>
          <w:bCs/>
          <w:color w:val="0070C0"/>
        </w:rPr>
        <w:lastRenderedPageBreak/>
        <w:t>Candidate variables from the literature were chosen</w:t>
      </w:r>
      <w:r w:rsidR="00701204" w:rsidRPr="00400DDD">
        <w:rPr>
          <w:rFonts w:cstheme="minorHAnsi"/>
          <w:bCs/>
          <w:color w:val="0070C0"/>
        </w:rPr>
        <w:t xml:space="preserve"> for testing and then selected for the risk </w:t>
      </w:r>
      <w:proofErr w:type="gramStart"/>
      <w:r w:rsidR="00701204" w:rsidRPr="00400DDD">
        <w:rPr>
          <w:rFonts w:cstheme="minorHAnsi"/>
          <w:bCs/>
          <w:color w:val="0070C0"/>
        </w:rPr>
        <w:t xml:space="preserve">model </w:t>
      </w:r>
      <w:r w:rsidRPr="00400DDD">
        <w:rPr>
          <w:rFonts w:cstheme="minorHAnsi"/>
          <w:bCs/>
          <w:color w:val="0070C0"/>
        </w:rPr>
        <w:t xml:space="preserve"> via</w:t>
      </w:r>
      <w:proofErr w:type="gramEnd"/>
      <w:r w:rsidRPr="00400DDD">
        <w:rPr>
          <w:rFonts w:cstheme="minorHAnsi"/>
          <w:bCs/>
          <w:color w:val="0070C0"/>
        </w:rPr>
        <w:t xml:space="preserve"> step-wise regression with </w:t>
      </w:r>
      <w:r w:rsidR="00701204" w:rsidRPr="00400DDD">
        <w:rPr>
          <w:rFonts w:cstheme="minorHAnsi"/>
          <w:bCs/>
          <w:color w:val="0070C0"/>
        </w:rPr>
        <w:t xml:space="preserve">cut-off </w:t>
      </w:r>
      <w:r w:rsidRPr="00400DDD">
        <w:rPr>
          <w:rFonts w:cstheme="minorHAnsi"/>
          <w:bCs/>
          <w:color w:val="0070C0"/>
        </w:rPr>
        <w:t>p&lt;0.10</w:t>
      </w:r>
      <w:r w:rsidR="00701204" w:rsidRPr="00400DDD">
        <w:rPr>
          <w:rFonts w:cstheme="minorHAnsi"/>
          <w:bCs/>
          <w:color w:val="0070C0"/>
        </w:rPr>
        <w:t xml:space="preserve"> and other information criteria</w:t>
      </w:r>
      <w:r w:rsidRPr="00400DDD">
        <w:rPr>
          <w:rFonts w:cstheme="minorHAnsi"/>
          <w:bCs/>
          <w:color w:val="0070C0"/>
        </w:rPr>
        <w:t>.</w:t>
      </w:r>
    </w:p>
    <w:p w:rsidR="00001D73" w:rsidRPr="00400DDD" w:rsidRDefault="00001D73" w:rsidP="00001D73">
      <w:pPr>
        <w:autoSpaceDE w:val="0"/>
        <w:autoSpaceDN w:val="0"/>
        <w:adjustRightInd w:val="0"/>
        <w:spacing w:after="0" w:line="240" w:lineRule="auto"/>
        <w:rPr>
          <w:rFonts w:cstheme="minorHAnsi"/>
          <w:bCs/>
          <w:color w:val="0070C0"/>
        </w:rPr>
      </w:pPr>
    </w:p>
    <w:p w:rsidR="00092566" w:rsidRDefault="00092566" w:rsidP="00001D73">
      <w:pPr>
        <w:autoSpaceDE w:val="0"/>
        <w:autoSpaceDN w:val="0"/>
        <w:adjustRightInd w:val="0"/>
        <w:spacing w:after="0" w:line="240" w:lineRule="auto"/>
        <w:rPr>
          <w:rFonts w:cstheme="minorHAnsi"/>
          <w:b/>
          <w:bCs/>
        </w:rPr>
      </w:pPr>
      <w:r>
        <w:rPr>
          <w:rFonts w:cstheme="minorHAnsi"/>
          <w:b/>
          <w:bCs/>
        </w:rPr>
        <w:t xml:space="preserve">2b4.4. </w:t>
      </w:r>
      <w:proofErr w:type="gramStart"/>
      <w:r w:rsidRPr="00A25024">
        <w:rPr>
          <w:rFonts w:cstheme="minorHAnsi"/>
          <w:b/>
          <w:bCs/>
        </w:rPr>
        <w:t>What</w:t>
      </w:r>
      <w:proofErr w:type="gramEnd"/>
      <w:r w:rsidRPr="00A25024">
        <w:rPr>
          <w:rFonts w:cstheme="minorHAnsi"/>
          <w:b/>
          <w:bCs/>
        </w:rPr>
        <w:t xml:space="preserve"> were the statistical results of the analyses used to select risk factors?</w:t>
      </w:r>
      <w:r w:rsidR="00001D73">
        <w:rPr>
          <w:rFonts w:cstheme="minorHAnsi"/>
          <w:b/>
          <w:bCs/>
        </w:rPr>
        <w:br/>
      </w:r>
    </w:p>
    <w:p w:rsidR="00AF53E6" w:rsidRPr="00400DDD" w:rsidRDefault="00AF53E6" w:rsidP="00001D73">
      <w:pPr>
        <w:autoSpaceDE w:val="0"/>
        <w:autoSpaceDN w:val="0"/>
        <w:adjustRightInd w:val="0"/>
        <w:spacing w:after="0" w:line="240" w:lineRule="auto"/>
        <w:rPr>
          <w:rFonts w:cstheme="minorHAnsi"/>
          <w:bCs/>
          <w:color w:val="0070C0"/>
        </w:rPr>
      </w:pPr>
      <w:r w:rsidRPr="00400DDD">
        <w:rPr>
          <w:rFonts w:cstheme="minorHAnsi"/>
          <w:bCs/>
          <w:color w:val="0070C0"/>
        </w:rPr>
        <w:t xml:space="preserve">See overview document posted on S.1 URL and details </w:t>
      </w:r>
      <w:r w:rsidR="00701204" w:rsidRPr="00400DDD">
        <w:rPr>
          <w:rFonts w:cstheme="minorHAnsi"/>
          <w:bCs/>
          <w:color w:val="0070C0"/>
        </w:rPr>
        <w:t xml:space="preserve">in Excel file </w:t>
      </w:r>
      <w:r w:rsidRPr="00400DDD">
        <w:rPr>
          <w:rFonts w:cstheme="minorHAnsi"/>
          <w:bCs/>
          <w:color w:val="0070C0"/>
        </w:rPr>
        <w:t>attached under S.2b</w:t>
      </w:r>
    </w:p>
    <w:p w:rsidR="00001D73" w:rsidRPr="00001D73" w:rsidRDefault="00001D73" w:rsidP="00001D73">
      <w:pPr>
        <w:autoSpaceDE w:val="0"/>
        <w:autoSpaceDN w:val="0"/>
        <w:adjustRightInd w:val="0"/>
        <w:spacing w:after="0" w:line="240" w:lineRule="auto"/>
        <w:rPr>
          <w:rFonts w:cstheme="minorHAnsi"/>
          <w:b/>
          <w:bCs/>
        </w:rPr>
      </w:pPr>
    </w:p>
    <w:p w:rsidR="00AF53E6" w:rsidRDefault="00E1508F" w:rsidP="00AF53E6">
      <w:pPr>
        <w:autoSpaceDE w:val="0"/>
        <w:autoSpaceDN w:val="0"/>
        <w:adjustRightInd w:val="0"/>
        <w:spacing w:after="0" w:line="240" w:lineRule="auto"/>
        <w:rPr>
          <w:rFonts w:cstheme="minorHAnsi"/>
          <w:b/>
          <w:bCs/>
          <w:i/>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rsidR="00AF53E6" w:rsidRPr="00400DDD" w:rsidRDefault="00AF53E6" w:rsidP="00AF53E6">
      <w:pPr>
        <w:autoSpaceDE w:val="0"/>
        <w:autoSpaceDN w:val="0"/>
        <w:adjustRightInd w:val="0"/>
        <w:spacing w:after="0" w:line="240" w:lineRule="auto"/>
        <w:rPr>
          <w:rFonts w:cstheme="minorHAnsi"/>
          <w:bCs/>
          <w:color w:val="0070C0"/>
        </w:rPr>
      </w:pPr>
      <w:r w:rsidRPr="00400DDD">
        <w:rPr>
          <w:rFonts w:cstheme="minorHAnsi"/>
          <w:bCs/>
          <w:color w:val="0070C0"/>
        </w:rPr>
        <w:t>See overview document posted on S.1 URL and details attached under S.2b</w:t>
      </w:r>
      <w:r w:rsidR="00701204" w:rsidRPr="00400DDD">
        <w:rPr>
          <w:rFonts w:cstheme="minorHAnsi"/>
          <w:bCs/>
          <w:color w:val="0070C0"/>
        </w:rPr>
        <w:t>.</w:t>
      </w:r>
    </w:p>
    <w:p w:rsidR="00AF53E6" w:rsidRPr="00AF53E6" w:rsidRDefault="00AF53E6" w:rsidP="00AF53E6">
      <w:pPr>
        <w:autoSpaceDE w:val="0"/>
        <w:autoSpaceDN w:val="0"/>
        <w:adjustRightInd w:val="0"/>
        <w:spacing w:after="0" w:line="240" w:lineRule="auto"/>
        <w:rPr>
          <w:rFonts w:cstheme="minorHAnsi"/>
          <w:b/>
          <w:bCs/>
          <w:i/>
        </w:rPr>
      </w:pPr>
    </w:p>
    <w:p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743E46" w:rsidRPr="00BE592D">
          <w:rPr>
            <w:rStyle w:val="Hyperlink"/>
            <w:rFonts w:cstheme="minorHAnsi"/>
            <w:b/>
            <w:bCs/>
            <w:i/>
            <w:highlight w:val="green"/>
          </w:rPr>
          <w:t>2b4.9</w:t>
        </w:r>
      </w:hyperlink>
    </w:p>
    <w:p w:rsidR="00743E46" w:rsidRDefault="00743E46" w:rsidP="00092566">
      <w:pPr>
        <w:autoSpaceDE w:val="0"/>
        <w:autoSpaceDN w:val="0"/>
        <w:adjustRightInd w:val="0"/>
        <w:spacing w:after="0" w:line="240" w:lineRule="auto"/>
        <w:rPr>
          <w:rFonts w:cstheme="minorHAnsi"/>
          <w:b/>
          <w:bCs/>
        </w:rPr>
      </w:pPr>
    </w:p>
    <w:p w:rsidR="00001D73" w:rsidRPr="00001D73" w:rsidRDefault="00743E46" w:rsidP="00092566">
      <w:pPr>
        <w:autoSpaceDE w:val="0"/>
        <w:autoSpaceDN w:val="0"/>
        <w:adjustRightInd w:val="0"/>
        <w:spacing w:after="0" w:line="240" w:lineRule="auto"/>
        <w:rPr>
          <w:rFonts w:cstheme="minorHAnsi"/>
          <w:b/>
          <w:bCs/>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p>
    <w:p w:rsidR="00001D73" w:rsidRDefault="00743E46" w:rsidP="00092566">
      <w:pPr>
        <w:autoSpaceDE w:val="0"/>
        <w:autoSpaceDN w:val="0"/>
        <w:adjustRightInd w:val="0"/>
        <w:spacing w:after="0" w:line="240" w:lineRule="auto"/>
        <w:rPr>
          <w:rFonts w:cstheme="minorHAnsi"/>
          <w:b/>
          <w:bCs/>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Hosmer-Lemeshow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p>
    <w:p w:rsidR="00743E46" w:rsidRDefault="00743E46" w:rsidP="00092566">
      <w:pPr>
        <w:autoSpaceDE w:val="0"/>
        <w:autoSpaceDN w:val="0"/>
        <w:adjustRightInd w:val="0"/>
        <w:spacing w:after="0" w:line="240" w:lineRule="auto"/>
        <w:rPr>
          <w:rFonts w:cstheme="minorHAnsi"/>
          <w:b/>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r w:rsidR="00092566" w:rsidRPr="00A25024">
        <w:rPr>
          <w:rFonts w:cstheme="minorHAnsi"/>
          <w:bCs/>
        </w:rPr>
        <w:br/>
      </w:r>
      <w:r w:rsidR="00092566" w:rsidRPr="00A25024">
        <w:rPr>
          <w:rFonts w:cstheme="minorHAnsi"/>
        </w:rPr>
        <w:br/>
      </w:r>
    </w:p>
    <w:p w:rsidR="00092566" w:rsidRPr="00A25024" w:rsidRDefault="00743E46" w:rsidP="00092566">
      <w:pPr>
        <w:autoSpaceDE w:val="0"/>
        <w:autoSpaceDN w:val="0"/>
        <w:adjustRightInd w:val="0"/>
        <w:spacing w:after="0" w:line="240" w:lineRule="auto"/>
        <w:rPr>
          <w:rFonts w:cstheme="minorHAnsi"/>
          <w:bCs/>
        </w:rPr>
      </w:pPr>
      <w:bookmarkStart w:id="12" w:name="question2b49"/>
      <w:bookmarkEnd w:id="12"/>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rsidR="00CE1F08" w:rsidRDefault="00CE1F08" w:rsidP="00DF0BF1">
      <w:pPr>
        <w:rPr>
          <w:rFonts w:cstheme="minorHAnsi"/>
          <w:b/>
          <w:bCs/>
          <w:i/>
        </w:rPr>
      </w:pPr>
    </w:p>
    <w:p w:rsidR="00DF0BF1" w:rsidRPr="00CE1F08" w:rsidRDefault="00CE1F08" w:rsidP="00DF0BF1">
      <w:pPr>
        <w:rPr>
          <w:rFonts w:cstheme="minorHAnsi"/>
          <w:b/>
          <w:bCs/>
          <w:i/>
          <w:color w:val="0070C0"/>
        </w:rPr>
      </w:pPr>
      <w:r w:rsidRPr="00CE1F08">
        <w:rPr>
          <w:rFonts w:cstheme="minorHAnsi"/>
          <w:bCs/>
          <w:color w:val="0070C0"/>
        </w:rPr>
        <w:t>See appended table with results from 142 strata</w:t>
      </w:r>
      <w:r w:rsidR="00DF0BF1" w:rsidRPr="00CE1F08">
        <w:rPr>
          <w:rFonts w:cstheme="minorHAnsi"/>
          <w:b/>
          <w:bCs/>
          <w:i/>
          <w:color w:val="0070C0"/>
        </w:rPr>
        <w:t>.</w:t>
      </w:r>
    </w:p>
    <w:p w:rsidR="00AF53E6" w:rsidRDefault="00743E46" w:rsidP="00AF53E6">
      <w:pPr>
        <w:autoSpaceDE w:val="0"/>
        <w:autoSpaceDN w:val="0"/>
        <w:adjustRightInd w:val="0"/>
        <w:spacing w:after="0" w:line="240" w:lineRule="auto"/>
        <w:rPr>
          <w:rFonts w:cstheme="minorHAnsi"/>
          <w:b/>
          <w:bCs/>
          <w:i/>
        </w:rPr>
      </w:pPr>
      <w:r>
        <w:rPr>
          <w:rFonts w:cstheme="minorHAnsi"/>
          <w:b/>
          <w:bCs/>
        </w:rPr>
        <w:t>2b4.10</w:t>
      </w:r>
      <w:r w:rsidR="00001D73">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norms for the test </w:t>
      </w:r>
      <w:proofErr w:type="gramStart"/>
      <w:r w:rsidR="00092566" w:rsidRPr="00A25024">
        <w:rPr>
          <w:rFonts w:cstheme="minorHAnsi"/>
          <w:bCs/>
          <w:i/>
        </w:rPr>
        <w:t>conducted</w:t>
      </w:r>
      <w:proofErr w:type="gramEnd"/>
      <w:r w:rsidR="00092566" w:rsidRPr="00A25024">
        <w:rPr>
          <w:rFonts w:cstheme="minorHAnsi"/>
          <w:bCs/>
        </w:rPr>
        <w:t>)</w:t>
      </w:r>
      <w:r w:rsidR="00092566" w:rsidRPr="00A25024">
        <w:rPr>
          <w:rFonts w:cstheme="minorHAnsi"/>
          <w:bCs/>
        </w:rPr>
        <w:br/>
      </w:r>
    </w:p>
    <w:p w:rsidR="00DF0BF1" w:rsidRPr="00DF0BF1" w:rsidRDefault="00DF0BF1" w:rsidP="00DF0BF1">
      <w:pPr>
        <w:autoSpaceDE w:val="0"/>
        <w:autoSpaceDN w:val="0"/>
        <w:adjustRightInd w:val="0"/>
        <w:spacing w:after="0" w:line="240" w:lineRule="auto"/>
        <w:rPr>
          <w:rFonts w:cstheme="minorHAnsi"/>
          <w:b/>
          <w:bCs/>
          <w:i/>
        </w:rPr>
      </w:pPr>
      <w:proofErr w:type="gramStart"/>
      <w:r w:rsidRPr="00CE1F08">
        <w:rPr>
          <w:rFonts w:cstheme="minorHAnsi"/>
          <w:bCs/>
          <w:color w:val="0070C0"/>
        </w:rPr>
        <w:t>Highly reliable as to accuracy of the LOS day count at the patient level, where over 60% of the variation is due to observed patient factors from the model described in the attached overview document (S.1 URL).</w:t>
      </w:r>
      <w:proofErr w:type="gramEnd"/>
      <w:r w:rsidRPr="00CE1F08">
        <w:rPr>
          <w:rFonts w:cstheme="minorHAnsi"/>
          <w:bCs/>
          <w:color w:val="0070C0"/>
        </w:rPr>
        <w:t xml:space="preserve">  That leaves as much as 40% of variation </w:t>
      </w:r>
      <w:r w:rsidR="00701204" w:rsidRPr="00CE1F08">
        <w:rPr>
          <w:rFonts w:cstheme="minorHAnsi"/>
          <w:bCs/>
          <w:color w:val="0070C0"/>
        </w:rPr>
        <w:t>that can be traced</w:t>
      </w:r>
      <w:r w:rsidRPr="00CE1F08">
        <w:rPr>
          <w:rFonts w:cstheme="minorHAnsi"/>
          <w:bCs/>
          <w:color w:val="0070C0"/>
        </w:rPr>
        <w:t xml:space="preserve"> to care patterns</w:t>
      </w:r>
      <w:r w:rsidRPr="00DF0BF1">
        <w:rPr>
          <w:rFonts w:cstheme="minorHAnsi"/>
          <w:b/>
          <w:bCs/>
          <w:i/>
        </w:rPr>
        <w:t>.</w:t>
      </w:r>
      <w:r w:rsidRPr="00DF0BF1">
        <w:rPr>
          <w:rFonts w:cstheme="minorHAnsi"/>
          <w:b/>
          <w:bCs/>
          <w:i/>
        </w:rPr>
        <w:br/>
      </w:r>
    </w:p>
    <w:p w:rsidR="00092566" w:rsidRPr="00A25024" w:rsidRDefault="00092566" w:rsidP="00092566">
      <w:pPr>
        <w:spacing w:after="0" w:line="240" w:lineRule="auto"/>
        <w:rPr>
          <w:rFonts w:cstheme="minorHAnsi"/>
        </w:rPr>
      </w:pPr>
    </w:p>
    <w:p w:rsidR="00021170" w:rsidRPr="009B1A15" w:rsidRDefault="009B1A15" w:rsidP="009B1A15">
      <w:pPr>
        <w:spacing w:after="0" w:line="240" w:lineRule="auto"/>
        <w:rPr>
          <w:rFonts w:cstheme="minorHAnsi"/>
        </w:rPr>
      </w:pPr>
      <w:r w:rsidRPr="009B1A15">
        <w:rPr>
          <w:rFonts w:cstheme="minorHAnsi"/>
          <w:b/>
          <w:highlight w:val="green"/>
        </w:rPr>
        <w:t>2b4.11.</w:t>
      </w:r>
      <w:r>
        <w:rPr>
          <w:rFonts w:cstheme="minorHAnsi"/>
          <w:highlight w:val="green"/>
        </w:rPr>
        <w:t xml:space="preserve"> </w:t>
      </w:r>
      <w:r w:rsidR="00092566" w:rsidRPr="009B1A15">
        <w:rPr>
          <w:rFonts w:cstheme="minorHAnsi"/>
          <w:b/>
          <w:highlight w:val="green"/>
        </w:rPr>
        <w:t>Optional</w:t>
      </w:r>
      <w:r w:rsidRPr="009B1A15">
        <w:rPr>
          <w:rFonts w:cstheme="minorHAnsi"/>
          <w:b/>
          <w:highlight w:val="green"/>
        </w:rPr>
        <w:t xml:space="preserve"> Additional </w:t>
      </w:r>
      <w:r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p>
    <w:p w:rsidR="00701204" w:rsidRDefault="00701204" w:rsidP="00701204">
      <w:pPr>
        <w:autoSpaceDE w:val="0"/>
        <w:autoSpaceDN w:val="0"/>
        <w:adjustRightInd w:val="0"/>
        <w:spacing w:after="0" w:line="240" w:lineRule="auto"/>
        <w:rPr>
          <w:rFonts w:cstheme="minorHAnsi"/>
          <w:b/>
          <w:bCs/>
          <w:i/>
        </w:rPr>
      </w:pPr>
    </w:p>
    <w:p w:rsidR="00DF0BF1" w:rsidRPr="00701204" w:rsidRDefault="00DF0BF1" w:rsidP="00701204">
      <w:pPr>
        <w:autoSpaceDE w:val="0"/>
        <w:autoSpaceDN w:val="0"/>
        <w:adjustRightInd w:val="0"/>
        <w:spacing w:after="0" w:line="240" w:lineRule="auto"/>
        <w:rPr>
          <w:rFonts w:cstheme="minorHAnsi"/>
          <w:b/>
          <w:bCs/>
          <w:i/>
        </w:rPr>
      </w:pPr>
      <w:r w:rsidRPr="00CE1F08">
        <w:rPr>
          <w:rFonts w:cstheme="minorHAnsi"/>
          <w:bCs/>
          <w:color w:val="0070C0"/>
        </w:rPr>
        <w:t>See overview document posted on S.1 URL and details in Excel file attached under S.2b</w:t>
      </w:r>
      <w:r w:rsidRPr="00701204">
        <w:rPr>
          <w:rFonts w:cstheme="minorHAnsi"/>
          <w:b/>
          <w:bCs/>
          <w:i/>
        </w:rPr>
        <w:t>.</w:t>
      </w:r>
    </w:p>
    <w:p w:rsidR="003755CB" w:rsidRDefault="003755CB" w:rsidP="00D61410">
      <w:pPr>
        <w:autoSpaceDE w:val="0"/>
        <w:autoSpaceDN w:val="0"/>
        <w:adjustRightInd w:val="0"/>
        <w:spacing w:after="0" w:line="240" w:lineRule="auto"/>
        <w:rPr>
          <w:rFonts w:cstheme="minorHAnsi"/>
          <w:b/>
          <w:bCs/>
        </w:rPr>
      </w:pPr>
    </w:p>
    <w:p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rsidR="00D61410" w:rsidRPr="00A25024" w:rsidRDefault="00D61410" w:rsidP="00D61410">
      <w:pPr>
        <w:autoSpaceDE w:val="0"/>
        <w:autoSpaceDN w:val="0"/>
        <w:adjustRightInd w:val="0"/>
        <w:spacing w:after="0" w:line="240" w:lineRule="auto"/>
        <w:rPr>
          <w:rFonts w:cstheme="minorHAnsi"/>
          <w:b/>
          <w:bCs/>
        </w:rPr>
      </w:pPr>
      <w:bookmarkStart w:id="13" w:name="section2b5"/>
      <w:bookmarkEnd w:id="13"/>
      <w:r w:rsidRPr="00A25024">
        <w:rPr>
          <w:rFonts w:cstheme="minorHAnsi"/>
          <w:b/>
          <w:bCs/>
        </w:rPr>
        <w:t>2b5. IDENTIFICATION OF STATISTICALLY SIGNIFICANT &amp; MEANINGFUL DIFFERENCES IN PERFORMANCE</w:t>
      </w:r>
    </w:p>
    <w:p w:rsidR="00D61410" w:rsidRDefault="00D61410" w:rsidP="00D61410">
      <w:pPr>
        <w:autoSpaceDE w:val="0"/>
        <w:autoSpaceDN w:val="0"/>
        <w:adjustRightInd w:val="0"/>
        <w:spacing w:after="0" w:line="240" w:lineRule="auto"/>
        <w:rPr>
          <w:rFonts w:cstheme="minorHAnsi"/>
          <w:bCs/>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rPr>
        <w:lastRenderedPageBreak/>
        <w:t>(</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r w:rsidRPr="00A25024">
        <w:rPr>
          <w:rFonts w:cstheme="minorHAnsi"/>
          <w:bCs/>
        </w:rPr>
        <w:br/>
        <w:t xml:space="preserve"> </w:t>
      </w:r>
    </w:p>
    <w:p w:rsidR="00DF0BF1" w:rsidRPr="00CE1F08" w:rsidRDefault="00DF0BF1" w:rsidP="00D61410">
      <w:pPr>
        <w:autoSpaceDE w:val="0"/>
        <w:autoSpaceDN w:val="0"/>
        <w:adjustRightInd w:val="0"/>
        <w:spacing w:after="0" w:line="240" w:lineRule="auto"/>
        <w:rPr>
          <w:rFonts w:cstheme="minorHAnsi"/>
          <w:bCs/>
          <w:color w:val="0070C0"/>
        </w:rPr>
      </w:pPr>
      <w:proofErr w:type="gramStart"/>
      <w:r w:rsidRPr="00CE1F08">
        <w:rPr>
          <w:rFonts w:cstheme="minorHAnsi"/>
          <w:bCs/>
          <w:color w:val="0070C0"/>
        </w:rPr>
        <w:t>Statistically significant risk-adjusted LOS relative to the calibration benchmark using sufficient statistics from the regression model</w:t>
      </w:r>
      <w:r w:rsidR="00CE1F08">
        <w:rPr>
          <w:rFonts w:cstheme="minorHAnsi"/>
          <w:bCs/>
          <w:color w:val="0070C0"/>
        </w:rPr>
        <w:t xml:space="preserve"> across 142 strata</w:t>
      </w:r>
      <w:r w:rsidRPr="00CE1F08">
        <w:rPr>
          <w:rFonts w:cstheme="minorHAnsi"/>
          <w:bCs/>
          <w:color w:val="0070C0"/>
        </w:rPr>
        <w:t>.</w:t>
      </w:r>
      <w:proofErr w:type="gramEnd"/>
    </w:p>
    <w:p w:rsidR="00D61410" w:rsidRPr="00A25024" w:rsidRDefault="00D61410" w:rsidP="00D61410">
      <w:pPr>
        <w:autoSpaceDE w:val="0"/>
        <w:autoSpaceDN w:val="0"/>
        <w:adjustRightInd w:val="0"/>
        <w:spacing w:after="0" w:line="240" w:lineRule="auto"/>
        <w:rPr>
          <w:rFonts w:cstheme="minorHAnsi"/>
          <w:bCs/>
        </w:rPr>
      </w:pPr>
    </w:p>
    <w:p w:rsidR="00D61410" w:rsidRDefault="00D61410" w:rsidP="00D61410">
      <w:pPr>
        <w:autoSpaceDE w:val="0"/>
        <w:autoSpaceDN w:val="0"/>
        <w:adjustRightInd w:val="0"/>
        <w:spacing w:after="0" w:line="240" w:lineRule="auto"/>
        <w:rPr>
          <w:rFonts w:cstheme="minorHAnsi"/>
          <w:bCs/>
        </w:rPr>
      </w:pPr>
      <w:r>
        <w:rPr>
          <w:rFonts w:cstheme="minorHAnsi"/>
          <w:b/>
          <w:bCs/>
        </w:rPr>
        <w:t xml:space="preserve">2b5.2. </w:t>
      </w:r>
      <w:r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r w:rsidRPr="00A25024">
        <w:rPr>
          <w:rFonts w:cstheme="minorHAnsi"/>
          <w:bCs/>
        </w:rPr>
        <w:br/>
      </w:r>
    </w:p>
    <w:p w:rsidR="00DF0BF1" w:rsidRDefault="00DF0BF1" w:rsidP="00D61410">
      <w:pPr>
        <w:autoSpaceDE w:val="0"/>
        <w:autoSpaceDN w:val="0"/>
        <w:adjustRightInd w:val="0"/>
        <w:spacing w:after="0" w:line="240" w:lineRule="auto"/>
        <w:rPr>
          <w:rFonts w:cstheme="minorHAnsi"/>
          <w:bCs/>
        </w:rPr>
      </w:pPr>
      <w:r>
        <w:rPr>
          <w:rFonts w:cstheme="minorHAnsi"/>
          <w:bCs/>
        </w:rPr>
        <w:t xml:space="preserve">We have applied this method to hundreds and thousands of entities (as cited above), where risk-adjusted </w:t>
      </w:r>
      <w:r w:rsidR="00CE1F08">
        <w:rPr>
          <w:rFonts w:cstheme="minorHAnsi"/>
          <w:bCs/>
        </w:rPr>
        <w:t>A</w:t>
      </w:r>
      <w:r>
        <w:rPr>
          <w:rFonts w:cstheme="minorHAnsi"/>
          <w:bCs/>
        </w:rPr>
        <w:t xml:space="preserve">LOS follows the expected </w:t>
      </w:r>
      <w:r w:rsidR="00683967">
        <w:rPr>
          <w:rFonts w:cstheme="minorHAnsi"/>
          <w:bCs/>
        </w:rPr>
        <w:t>Gaussian distribution.</w:t>
      </w:r>
      <w:r>
        <w:rPr>
          <w:rFonts w:cstheme="minorHAnsi"/>
          <w:bCs/>
        </w:rPr>
        <w:t xml:space="preserve"> </w:t>
      </w:r>
    </w:p>
    <w:p w:rsidR="00D61410" w:rsidRPr="00927027" w:rsidRDefault="00D61410" w:rsidP="00D61410">
      <w:pPr>
        <w:autoSpaceDE w:val="0"/>
        <w:autoSpaceDN w:val="0"/>
        <w:adjustRightInd w:val="0"/>
        <w:spacing w:after="0" w:line="240" w:lineRule="auto"/>
        <w:rPr>
          <w:rFonts w:cstheme="minorHAnsi"/>
          <w:bCs/>
        </w:rPr>
      </w:pPr>
    </w:p>
    <w:p w:rsidR="00D61410" w:rsidRDefault="00D61410" w:rsidP="00D61410">
      <w:pPr>
        <w:autoSpaceDE w:val="0"/>
        <w:autoSpaceDN w:val="0"/>
        <w:adjustRightInd w:val="0"/>
        <w:spacing w:after="0" w:line="240" w:lineRule="auto"/>
        <w:rPr>
          <w:rFonts w:cstheme="minorHAnsi"/>
          <w:bCs/>
        </w:rPr>
      </w:pPr>
      <w:r>
        <w:rPr>
          <w:rFonts w:cstheme="minorHAnsi"/>
          <w:b/>
          <w:bCs/>
        </w:rPr>
        <w:t xml:space="preserve">2b5.3. </w:t>
      </w:r>
      <w:r w:rsidRPr="00A25024">
        <w:rPr>
          <w:rFonts w:cstheme="minorHAnsi"/>
          <w:b/>
          <w:bCs/>
        </w:rPr>
        <w:t>What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p>
    <w:p w:rsidR="00683967" w:rsidRPr="00CE1F08" w:rsidRDefault="00683967" w:rsidP="00D61410">
      <w:pPr>
        <w:autoSpaceDE w:val="0"/>
        <w:autoSpaceDN w:val="0"/>
        <w:adjustRightInd w:val="0"/>
        <w:spacing w:after="0" w:line="240" w:lineRule="auto"/>
        <w:rPr>
          <w:rFonts w:cstheme="minorHAnsi"/>
          <w:bCs/>
          <w:color w:val="0070C0"/>
        </w:rPr>
      </w:pPr>
      <w:r w:rsidRPr="00CE1F08">
        <w:rPr>
          <w:rFonts w:cstheme="minorHAnsi"/>
          <w:bCs/>
          <w:color w:val="0070C0"/>
        </w:rPr>
        <w:t xml:space="preserve">Hundreds of entities, especially in the </w:t>
      </w:r>
      <w:r w:rsidR="00CE1F08">
        <w:rPr>
          <w:rFonts w:cstheme="minorHAnsi"/>
          <w:bCs/>
          <w:color w:val="0070C0"/>
        </w:rPr>
        <w:t>6</w:t>
      </w:r>
      <w:r w:rsidRPr="00CE1F08">
        <w:rPr>
          <w:rFonts w:cstheme="minorHAnsi"/>
          <w:bCs/>
          <w:color w:val="0070C0"/>
        </w:rPr>
        <w:t>00-hospital Premier alliance, have been able to identify significant deviations from expected LOS that were useful in guiding performance improvements.</w:t>
      </w:r>
    </w:p>
    <w:p w:rsidR="0086464B" w:rsidRDefault="0086464B" w:rsidP="0086464B">
      <w:pPr>
        <w:spacing w:after="0" w:line="240" w:lineRule="auto"/>
        <w:rPr>
          <w:rFonts w:cstheme="minorHAnsi"/>
          <w:b/>
          <w:bCs/>
        </w:rPr>
      </w:pPr>
      <w:r>
        <w:rPr>
          <w:rFonts w:cstheme="minorHAnsi"/>
          <w:b/>
          <w:bCs/>
        </w:rPr>
        <w:t>_______________________________________</w:t>
      </w:r>
    </w:p>
    <w:p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rsidR="00567D12" w:rsidRPr="00A25024" w:rsidRDefault="00567D12" w:rsidP="00DB3627">
      <w:pPr>
        <w:autoSpaceDE w:val="0"/>
        <w:autoSpaceDN w:val="0"/>
        <w:adjustRightInd w:val="0"/>
        <w:spacing w:after="0" w:line="240" w:lineRule="auto"/>
        <w:rPr>
          <w:rFonts w:cstheme="minorHAnsi"/>
          <w:b/>
          <w:bCs/>
        </w:rPr>
      </w:pPr>
    </w:p>
    <w:p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eMeasures</w:t>
      </w:r>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rsidR="000F06B5" w:rsidRPr="00A25024" w:rsidRDefault="000F06B5" w:rsidP="00DB3627">
      <w:pPr>
        <w:autoSpaceDE w:val="0"/>
        <w:autoSpaceDN w:val="0"/>
        <w:adjustRightInd w:val="0"/>
        <w:spacing w:after="0" w:line="240" w:lineRule="auto"/>
        <w:rPr>
          <w:rFonts w:cstheme="minorHAnsi"/>
          <w:bCs/>
        </w:rPr>
      </w:pPr>
    </w:p>
    <w:p w:rsidR="000F06B5" w:rsidRPr="00A25024" w:rsidRDefault="00E1508F" w:rsidP="00DB3627">
      <w:pPr>
        <w:autoSpaceDE w:val="0"/>
        <w:autoSpaceDN w:val="0"/>
        <w:adjustRightInd w:val="0"/>
        <w:spacing w:after="0" w:line="240" w:lineRule="auto"/>
        <w:rPr>
          <w:rFonts w:cstheme="minorHAnsi"/>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p w:rsidR="000F06B5" w:rsidRPr="00A25024" w:rsidRDefault="000F06B5" w:rsidP="00DB3627">
      <w:pPr>
        <w:pStyle w:val="ListParagraph"/>
        <w:autoSpaceDE w:val="0"/>
        <w:autoSpaceDN w:val="0"/>
        <w:adjustRightInd w:val="0"/>
        <w:spacing w:after="0" w:line="240" w:lineRule="auto"/>
        <w:ind w:left="0"/>
        <w:rPr>
          <w:rFonts w:cstheme="minorHAnsi"/>
          <w:bCs/>
        </w:rPr>
      </w:pPr>
    </w:p>
    <w:p w:rsidR="00A35F8F" w:rsidRDefault="00E1508F" w:rsidP="00E1508F">
      <w:pPr>
        <w:autoSpaceDE w:val="0"/>
        <w:autoSpaceDN w:val="0"/>
        <w:adjustRightInd w:val="0"/>
        <w:spacing w:after="0" w:line="240" w:lineRule="auto"/>
        <w:rPr>
          <w:rFonts w:cstheme="minorHAnsi"/>
          <w:bCs/>
        </w:rPr>
      </w:pPr>
      <w:r>
        <w:rPr>
          <w:rFonts w:cstheme="minorHAnsi"/>
          <w:b/>
          <w:bCs/>
        </w:rPr>
        <w:t xml:space="preserve">2b6.2.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rsidR="00E1508F" w:rsidRPr="00E1508F" w:rsidRDefault="00E1508F" w:rsidP="00E1508F">
      <w:pPr>
        <w:autoSpaceDE w:val="0"/>
        <w:autoSpaceDN w:val="0"/>
        <w:adjustRightInd w:val="0"/>
        <w:spacing w:after="0" w:line="240" w:lineRule="auto"/>
        <w:rPr>
          <w:rFonts w:cstheme="minorHAnsi"/>
          <w:bCs/>
        </w:rPr>
      </w:pPr>
    </w:p>
    <w:p w:rsidR="0079180E" w:rsidRDefault="00E1508F" w:rsidP="00DB3627">
      <w:pPr>
        <w:autoSpaceDE w:val="0"/>
        <w:autoSpaceDN w:val="0"/>
        <w:adjustRightInd w:val="0"/>
        <w:spacing w:after="0" w:line="240" w:lineRule="auto"/>
        <w:rPr>
          <w:rFonts w:cstheme="minorHAnsi"/>
          <w:bCs/>
        </w:rPr>
      </w:pPr>
      <w:r>
        <w:rPr>
          <w:rFonts w:cstheme="minorHAnsi"/>
          <w:b/>
          <w:bCs/>
        </w:rPr>
        <w:t xml:space="preserve">2b6.3. </w:t>
      </w:r>
      <w:r w:rsidR="002B0C3A" w:rsidRPr="00A25024">
        <w:rPr>
          <w:rFonts w:cstheme="minorHAnsi"/>
          <w:b/>
          <w:bCs/>
        </w:rPr>
        <w:t xml:space="preserve">What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r w:rsidR="00A35F8F" w:rsidRPr="00DB3627">
        <w:rPr>
          <w:rFonts w:cstheme="minorHAnsi"/>
          <w:bCs/>
        </w:rPr>
        <w:br/>
      </w:r>
    </w:p>
    <w:p w:rsidR="008F7E67" w:rsidRDefault="008F7E67" w:rsidP="008F7E67">
      <w:pPr>
        <w:spacing w:after="0" w:line="240" w:lineRule="auto"/>
        <w:rPr>
          <w:rFonts w:cstheme="minorHAnsi"/>
          <w:b/>
          <w:bCs/>
        </w:rPr>
      </w:pPr>
      <w:r>
        <w:rPr>
          <w:rFonts w:cstheme="minorHAnsi"/>
          <w:b/>
          <w:bCs/>
        </w:rPr>
        <w:t>_______________________________________</w:t>
      </w:r>
    </w:p>
    <w:p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rsidR="00683967" w:rsidRDefault="00683967" w:rsidP="008F7E67">
      <w:pPr>
        <w:autoSpaceDE w:val="0"/>
        <w:autoSpaceDN w:val="0"/>
        <w:adjustRightInd w:val="0"/>
        <w:spacing w:after="0" w:line="240" w:lineRule="auto"/>
        <w:rPr>
          <w:rFonts w:cstheme="minorHAnsi"/>
          <w:b/>
          <w:bCs/>
        </w:rPr>
      </w:pPr>
    </w:p>
    <w:p w:rsidR="00683967" w:rsidRPr="00891C05" w:rsidRDefault="00683967" w:rsidP="008F7E67">
      <w:pPr>
        <w:autoSpaceDE w:val="0"/>
        <w:autoSpaceDN w:val="0"/>
        <w:adjustRightInd w:val="0"/>
        <w:spacing w:after="0" w:line="240" w:lineRule="auto"/>
        <w:rPr>
          <w:rFonts w:cstheme="minorHAnsi"/>
          <w:bCs/>
          <w:color w:val="0070C0"/>
        </w:rPr>
      </w:pPr>
      <w:r w:rsidRPr="00891C05">
        <w:rPr>
          <w:rFonts w:cstheme="minorHAnsi"/>
          <w:bCs/>
          <w:color w:val="0070C0"/>
        </w:rPr>
        <w:lastRenderedPageBreak/>
        <w:t>This is addressed in the overview document posted on the</w:t>
      </w:r>
      <w:r w:rsidR="00701204" w:rsidRPr="00891C05">
        <w:rPr>
          <w:rFonts w:cstheme="minorHAnsi"/>
          <w:bCs/>
          <w:color w:val="0070C0"/>
        </w:rPr>
        <w:t xml:space="preserve"> S.1</w:t>
      </w:r>
      <w:r w:rsidRPr="00891C05">
        <w:rPr>
          <w:rFonts w:cstheme="minorHAnsi"/>
          <w:bCs/>
          <w:color w:val="0070C0"/>
        </w:rPr>
        <w:t xml:space="preserve"> web site.</w:t>
      </w:r>
      <w:r w:rsidR="00701204" w:rsidRPr="00891C05">
        <w:rPr>
          <w:rFonts w:cstheme="minorHAnsi"/>
          <w:bCs/>
          <w:color w:val="0070C0"/>
        </w:rPr>
        <w:t xml:space="preserve"> Not all data elements are required other than LOS, PDx, </w:t>
      </w:r>
      <w:r w:rsidR="008D4B81" w:rsidRPr="00891C05">
        <w:rPr>
          <w:rFonts w:cstheme="minorHAnsi"/>
          <w:bCs/>
          <w:color w:val="0070C0"/>
        </w:rPr>
        <w:t>age, and birth weight (for neonates).</w:t>
      </w:r>
    </w:p>
    <w:p w:rsidR="00683967" w:rsidRPr="00683967" w:rsidRDefault="00683967" w:rsidP="008F7E67">
      <w:pPr>
        <w:autoSpaceDE w:val="0"/>
        <w:autoSpaceDN w:val="0"/>
        <w:adjustRightInd w:val="0"/>
        <w:spacing w:after="0" w:line="240" w:lineRule="auto"/>
        <w:rPr>
          <w:rFonts w:cstheme="minorHAnsi"/>
          <w:b/>
          <w:bCs/>
        </w:rPr>
      </w:pPr>
    </w:p>
    <w:p w:rsidR="00683967" w:rsidRDefault="008F7E67" w:rsidP="008F7E67">
      <w:pPr>
        <w:autoSpaceDE w:val="0"/>
        <w:autoSpaceDN w:val="0"/>
        <w:adjustRightInd w:val="0"/>
        <w:spacing w:after="0" w:line="240" w:lineRule="auto"/>
        <w:rPr>
          <w:rFonts w:cstheme="minorHAnsi"/>
          <w:bCs/>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r w:rsidRPr="00A25024">
        <w:rPr>
          <w:rFonts w:cstheme="minorHAnsi"/>
          <w:bCs/>
        </w:rPr>
        <w:br/>
      </w:r>
    </w:p>
    <w:p w:rsidR="008F7E67" w:rsidRPr="00891C05" w:rsidRDefault="00891C05" w:rsidP="008F7E67">
      <w:pPr>
        <w:autoSpaceDE w:val="0"/>
        <w:autoSpaceDN w:val="0"/>
        <w:adjustRightInd w:val="0"/>
        <w:spacing w:after="0" w:line="240" w:lineRule="auto"/>
        <w:rPr>
          <w:rFonts w:cstheme="minorHAnsi"/>
          <w:bCs/>
          <w:color w:val="0070C0"/>
        </w:rPr>
      </w:pPr>
      <w:r>
        <w:rPr>
          <w:rFonts w:cstheme="minorHAnsi"/>
          <w:bCs/>
          <w:color w:val="0070C0"/>
        </w:rPr>
        <w:t>Not applicable here because m</w:t>
      </w:r>
      <w:r w:rsidR="00683967" w:rsidRPr="00891C05">
        <w:rPr>
          <w:rFonts w:cstheme="minorHAnsi"/>
          <w:bCs/>
          <w:color w:val="0070C0"/>
        </w:rPr>
        <w:t>issing</w:t>
      </w:r>
      <w:r>
        <w:rPr>
          <w:rFonts w:cstheme="minorHAnsi"/>
          <w:bCs/>
          <w:color w:val="0070C0"/>
        </w:rPr>
        <w:t xml:space="preserve"> </w:t>
      </w:r>
      <w:proofErr w:type="gramStart"/>
      <w:r>
        <w:rPr>
          <w:rFonts w:cstheme="minorHAnsi"/>
          <w:bCs/>
          <w:color w:val="0070C0"/>
        </w:rPr>
        <w:t xml:space="preserve">or </w:t>
      </w:r>
      <w:r w:rsidR="00683967" w:rsidRPr="00891C05">
        <w:rPr>
          <w:rFonts w:cstheme="minorHAnsi"/>
          <w:bCs/>
          <w:color w:val="0070C0"/>
        </w:rPr>
        <w:t xml:space="preserve"> </w:t>
      </w:r>
      <w:r>
        <w:rPr>
          <w:rFonts w:cstheme="minorHAnsi"/>
          <w:bCs/>
          <w:color w:val="0070C0"/>
        </w:rPr>
        <w:t>in</w:t>
      </w:r>
      <w:r w:rsidR="00683967" w:rsidRPr="00891C05">
        <w:rPr>
          <w:rFonts w:cstheme="minorHAnsi"/>
          <w:bCs/>
          <w:color w:val="0070C0"/>
        </w:rPr>
        <w:t>complete</w:t>
      </w:r>
      <w:proofErr w:type="gramEnd"/>
      <w:r w:rsidR="00683967" w:rsidRPr="00891C05">
        <w:rPr>
          <w:rFonts w:cstheme="minorHAnsi"/>
          <w:bCs/>
          <w:color w:val="0070C0"/>
        </w:rPr>
        <w:t xml:space="preserve"> observation</w:t>
      </w:r>
      <w:r>
        <w:rPr>
          <w:rFonts w:cstheme="minorHAnsi"/>
          <w:bCs/>
          <w:color w:val="0070C0"/>
        </w:rPr>
        <w:t>s</w:t>
      </w:r>
      <w:r w:rsidR="00683967" w:rsidRPr="00891C05">
        <w:rPr>
          <w:rFonts w:cstheme="minorHAnsi"/>
          <w:bCs/>
          <w:color w:val="0070C0"/>
        </w:rPr>
        <w:t xml:space="preserve"> w</w:t>
      </w:r>
      <w:r>
        <w:rPr>
          <w:rFonts w:cstheme="minorHAnsi"/>
          <w:bCs/>
          <w:color w:val="0070C0"/>
        </w:rPr>
        <w:t>ere</w:t>
      </w:r>
      <w:r w:rsidR="00683967" w:rsidRPr="00891C05">
        <w:rPr>
          <w:rFonts w:cstheme="minorHAnsi"/>
          <w:bCs/>
          <w:color w:val="0070C0"/>
        </w:rPr>
        <w:t xml:space="preserve"> extremely rare (&lt;0.1%); so they could be omitted with no observable effect.</w:t>
      </w:r>
      <w:r w:rsidR="003534F2" w:rsidRPr="00891C05">
        <w:rPr>
          <w:rFonts w:cstheme="minorHAnsi"/>
          <w:bCs/>
          <w:color w:val="0070C0"/>
        </w:rPr>
        <w:t xml:space="preserve">  See overview document posted under S.1 for handling incomplete observations. </w:t>
      </w:r>
      <w:proofErr w:type="gramStart"/>
      <w:r w:rsidR="003534F2" w:rsidRPr="00891C05">
        <w:rPr>
          <w:rFonts w:cstheme="minorHAnsi"/>
          <w:bCs/>
          <w:color w:val="0070C0"/>
        </w:rPr>
        <w:t xml:space="preserve">Also detailed under the </w:t>
      </w:r>
      <w:r w:rsidR="008D4B81" w:rsidRPr="00891C05">
        <w:rPr>
          <w:rFonts w:cstheme="minorHAnsi"/>
          <w:bCs/>
          <w:color w:val="0070C0"/>
        </w:rPr>
        <w:t xml:space="preserve">Excel </w:t>
      </w:r>
      <w:r w:rsidR="003534F2" w:rsidRPr="00891C05">
        <w:rPr>
          <w:rFonts w:cstheme="minorHAnsi"/>
          <w:bCs/>
          <w:color w:val="0070C0"/>
        </w:rPr>
        <w:t>attachment in S.2b.</w:t>
      </w:r>
      <w:proofErr w:type="gramEnd"/>
      <w:r w:rsidR="003534F2" w:rsidRPr="00891C05">
        <w:rPr>
          <w:rFonts w:cstheme="minorHAnsi"/>
          <w:bCs/>
          <w:color w:val="0070C0"/>
        </w:rPr>
        <w:t xml:space="preserve">  </w:t>
      </w:r>
    </w:p>
    <w:p w:rsidR="008F7E67" w:rsidRPr="00A25024" w:rsidRDefault="008F7E67" w:rsidP="008F7E67">
      <w:pPr>
        <w:pStyle w:val="ListParagraph"/>
        <w:autoSpaceDE w:val="0"/>
        <w:autoSpaceDN w:val="0"/>
        <w:adjustRightInd w:val="0"/>
        <w:spacing w:after="0" w:line="240" w:lineRule="auto"/>
        <w:ind w:left="0"/>
        <w:rPr>
          <w:rFonts w:cstheme="minorHAnsi"/>
          <w:bCs/>
        </w:rPr>
      </w:pPr>
    </w:p>
    <w:p w:rsidR="008F7E67" w:rsidRDefault="008F7E67" w:rsidP="008F7E67">
      <w:pPr>
        <w:autoSpaceDE w:val="0"/>
        <w:autoSpaceDN w:val="0"/>
        <w:adjustRightInd w:val="0"/>
        <w:spacing w:after="0" w:line="240" w:lineRule="auto"/>
        <w:rPr>
          <w:rFonts w:cstheme="minorHAnsi"/>
          <w:bCs/>
        </w:rPr>
      </w:pPr>
      <w:r>
        <w:rPr>
          <w:rFonts w:cstheme="minorHAnsi"/>
          <w:b/>
          <w:bCs/>
        </w:rPr>
        <w:t xml:space="preserve">2b7.2.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Pr="00A25024">
        <w:rPr>
          <w:rFonts w:cstheme="minorHAnsi"/>
          <w:bCs/>
        </w:rPr>
        <w:t>)</w:t>
      </w:r>
      <w:r w:rsidRPr="00A25024">
        <w:rPr>
          <w:rFonts w:cstheme="minorHAnsi"/>
          <w:bCs/>
        </w:rPr>
        <w:br/>
      </w:r>
    </w:p>
    <w:p w:rsidR="00683967" w:rsidRPr="00A73AC2" w:rsidRDefault="00A73AC2" w:rsidP="008F7E67">
      <w:pPr>
        <w:autoSpaceDE w:val="0"/>
        <w:autoSpaceDN w:val="0"/>
        <w:adjustRightInd w:val="0"/>
        <w:spacing w:after="0" w:line="240" w:lineRule="auto"/>
        <w:rPr>
          <w:rFonts w:cstheme="minorHAnsi"/>
          <w:bCs/>
          <w:color w:val="0070C0"/>
        </w:rPr>
      </w:pPr>
      <w:r>
        <w:rPr>
          <w:rFonts w:cstheme="minorHAnsi"/>
          <w:bCs/>
          <w:color w:val="0070C0"/>
        </w:rPr>
        <w:t xml:space="preserve">Not relevant to this measure as stated </w:t>
      </w:r>
      <w:r w:rsidR="00683967" w:rsidRPr="00A73AC2">
        <w:rPr>
          <w:rFonts w:cstheme="minorHAnsi"/>
          <w:bCs/>
          <w:color w:val="0070C0"/>
        </w:rPr>
        <w:t>above under 2b7.1.</w:t>
      </w:r>
    </w:p>
    <w:p w:rsidR="008F7E67" w:rsidRPr="00E1508F" w:rsidRDefault="008F7E67" w:rsidP="008F7E67">
      <w:pPr>
        <w:autoSpaceDE w:val="0"/>
        <w:autoSpaceDN w:val="0"/>
        <w:adjustRightInd w:val="0"/>
        <w:spacing w:after="0" w:line="240" w:lineRule="auto"/>
        <w:rPr>
          <w:rFonts w:cstheme="minorHAnsi"/>
          <w:bCs/>
        </w:rPr>
      </w:pPr>
    </w:p>
    <w:p w:rsidR="008B604D" w:rsidRDefault="008F7E67">
      <w:pPr>
        <w:autoSpaceDE w:val="0"/>
        <w:autoSpaceDN w:val="0"/>
        <w:adjustRightInd w:val="0"/>
        <w:spacing w:after="0" w:line="240" w:lineRule="auto"/>
        <w:rPr>
          <w:rFonts w:cstheme="minorHAnsi"/>
          <w:bCs/>
        </w:rPr>
      </w:pPr>
      <w:r>
        <w:rPr>
          <w:rFonts w:cstheme="minorHAnsi"/>
          <w:b/>
          <w:bCs/>
        </w:rPr>
        <w:t xml:space="preserve">2b7.3. </w:t>
      </w:r>
      <w:r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Pr="00A25024">
        <w:rPr>
          <w:rFonts w:cstheme="minorHAnsi"/>
          <w:bCs/>
        </w:rPr>
        <w:t>)</w:t>
      </w:r>
    </w:p>
    <w:p w:rsidR="003534F2" w:rsidRDefault="003534F2">
      <w:pPr>
        <w:autoSpaceDE w:val="0"/>
        <w:autoSpaceDN w:val="0"/>
        <w:adjustRightInd w:val="0"/>
        <w:spacing w:after="0" w:line="240" w:lineRule="auto"/>
        <w:rPr>
          <w:rFonts w:cstheme="minorHAnsi"/>
          <w:bCs/>
        </w:rPr>
      </w:pPr>
    </w:p>
    <w:p w:rsidR="003534F2" w:rsidRPr="00B00143" w:rsidRDefault="003534F2">
      <w:pPr>
        <w:autoSpaceDE w:val="0"/>
        <w:autoSpaceDN w:val="0"/>
        <w:adjustRightInd w:val="0"/>
        <w:spacing w:after="0" w:line="240" w:lineRule="auto"/>
        <w:rPr>
          <w:rFonts w:cstheme="minorHAnsi"/>
          <w:bCs/>
          <w:color w:val="0070C0"/>
        </w:rPr>
      </w:pPr>
      <w:r w:rsidRPr="003534F2">
        <w:rPr>
          <w:rFonts w:cstheme="minorHAnsi"/>
          <w:b/>
          <w:bCs/>
          <w:i/>
        </w:rPr>
        <w:t xml:space="preserve"> </w:t>
      </w:r>
      <w:r w:rsidR="00B00143">
        <w:rPr>
          <w:rFonts w:cstheme="minorHAnsi"/>
          <w:bCs/>
          <w:color w:val="0070C0"/>
        </w:rPr>
        <w:t xml:space="preserve">Not relevant to this measure as stated </w:t>
      </w:r>
      <w:r w:rsidR="00B00143" w:rsidRPr="00A73AC2">
        <w:rPr>
          <w:rFonts w:cstheme="minorHAnsi"/>
          <w:bCs/>
          <w:color w:val="0070C0"/>
        </w:rPr>
        <w:t>above under 2b7.1.</w:t>
      </w:r>
      <w:bookmarkStart w:id="14" w:name="_GoBack"/>
      <w:bookmarkEnd w:id="14"/>
      <w:r>
        <w:rPr>
          <w:rFonts w:cstheme="minorHAnsi"/>
          <w:b/>
          <w:bCs/>
          <w:i/>
        </w:rPr>
        <w:t xml:space="preserve"> </w:t>
      </w:r>
    </w:p>
    <w:p w:rsidR="00BA053B" w:rsidRPr="005560E7" w:rsidRDefault="00BA053B">
      <w:pPr>
        <w:autoSpaceDE w:val="0"/>
        <w:autoSpaceDN w:val="0"/>
        <w:adjustRightInd w:val="0"/>
        <w:spacing w:after="0" w:line="240" w:lineRule="auto"/>
        <w:rPr>
          <w:rFonts w:cstheme="minorHAnsi"/>
          <w:bCs/>
        </w:rPr>
      </w:pPr>
    </w:p>
    <w:sectPr w:rsidR="00BA053B" w:rsidRPr="005560E7" w:rsidSect="008505D1">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DA4" w:rsidRDefault="00790DA4" w:rsidP="005C73CA">
      <w:pPr>
        <w:spacing w:after="0" w:line="240" w:lineRule="auto"/>
      </w:pPr>
      <w:r>
        <w:separator/>
      </w:r>
    </w:p>
  </w:endnote>
  <w:endnote w:type="continuationSeparator" w:id="0">
    <w:p w:rsidR="00790DA4" w:rsidRDefault="00790DA4"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89F" w:rsidRDefault="0012454F">
    <w:pPr>
      <w:pStyle w:val="Footer"/>
    </w:pPr>
    <w:r>
      <w:t xml:space="preserve">Version 6.5 </w:t>
    </w:r>
    <w:r w:rsidR="003A7DE7">
      <w:t xml:space="preserve"> </w:t>
    </w:r>
    <w:r w:rsidR="008F7E67">
      <w:t>08/20/13</w:t>
    </w:r>
    <w:r w:rsidR="008F589F">
      <w:ptab w:relativeTo="margin" w:alignment="center" w:leader="none"/>
    </w:r>
    <w:r w:rsidR="008F589F">
      <w:ptab w:relativeTo="margin" w:alignment="right" w:leader="none"/>
    </w:r>
    <w:r w:rsidR="008F589F">
      <w:fldChar w:fldCharType="begin"/>
    </w:r>
    <w:r w:rsidR="008F589F">
      <w:instrText xml:space="preserve"> PAGE   \* MERGEFORMAT </w:instrText>
    </w:r>
    <w:r w:rsidR="008F589F">
      <w:fldChar w:fldCharType="separate"/>
    </w:r>
    <w:r w:rsidR="00B00143">
      <w:rPr>
        <w:noProof/>
      </w:rPr>
      <w:t>1</w:t>
    </w:r>
    <w:r w:rsidR="008F589F">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DA4" w:rsidRDefault="00790DA4" w:rsidP="005C73CA">
      <w:pPr>
        <w:spacing w:after="0" w:line="240" w:lineRule="auto"/>
      </w:pPr>
      <w:r>
        <w:separator/>
      </w:r>
    </w:p>
  </w:footnote>
  <w:footnote w:type="continuationSeparator" w:id="0">
    <w:p w:rsidR="00790DA4" w:rsidRDefault="00790DA4"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89F" w:rsidRPr="00105D8B" w:rsidRDefault="008F589F"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9"/>
  </w:num>
  <w:num w:numId="3">
    <w:abstractNumId w:val="2"/>
  </w:num>
  <w:num w:numId="4">
    <w:abstractNumId w:val="5"/>
  </w:num>
  <w:num w:numId="5">
    <w:abstractNumId w:val="1"/>
  </w:num>
  <w:num w:numId="6">
    <w:abstractNumId w:val="0"/>
  </w:num>
  <w:num w:numId="7">
    <w:abstractNumId w:val="3"/>
  </w:num>
  <w:num w:numId="8">
    <w:abstractNumId w:val="18"/>
  </w:num>
  <w:num w:numId="9">
    <w:abstractNumId w:val="8"/>
  </w:num>
  <w:num w:numId="10">
    <w:abstractNumId w:val="23"/>
  </w:num>
  <w:num w:numId="11">
    <w:abstractNumId w:val="10"/>
  </w:num>
  <w:num w:numId="12">
    <w:abstractNumId w:val="21"/>
  </w:num>
  <w:num w:numId="13">
    <w:abstractNumId w:val="16"/>
  </w:num>
  <w:num w:numId="14">
    <w:abstractNumId w:val="16"/>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5"/>
  </w:num>
  <w:num w:numId="16">
    <w:abstractNumId w:val="7"/>
  </w:num>
  <w:num w:numId="17">
    <w:abstractNumId w:val="22"/>
  </w:num>
  <w:num w:numId="18">
    <w:abstractNumId w:val="20"/>
  </w:num>
  <w:num w:numId="19">
    <w:abstractNumId w:val="19"/>
  </w:num>
  <w:num w:numId="20">
    <w:abstractNumId w:val="14"/>
  </w:num>
  <w:num w:numId="21">
    <w:abstractNumId w:val="17"/>
  </w:num>
  <w:num w:numId="22">
    <w:abstractNumId w:val="13"/>
  </w:num>
  <w:num w:numId="23">
    <w:abstractNumId w:val="6"/>
  </w:num>
  <w:num w:numId="24">
    <w:abstractNumId w:val="12"/>
  </w:num>
  <w:num w:numId="25">
    <w:abstractNumId w:val="11"/>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1094F"/>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775F8"/>
    <w:rsid w:val="00080CF7"/>
    <w:rsid w:val="000851B2"/>
    <w:rsid w:val="00092566"/>
    <w:rsid w:val="000968F8"/>
    <w:rsid w:val="00097012"/>
    <w:rsid w:val="000B032A"/>
    <w:rsid w:val="000B2DF7"/>
    <w:rsid w:val="000B3880"/>
    <w:rsid w:val="000D7948"/>
    <w:rsid w:val="000D7C84"/>
    <w:rsid w:val="000E4E13"/>
    <w:rsid w:val="000E78F6"/>
    <w:rsid w:val="000F034A"/>
    <w:rsid w:val="000F06B5"/>
    <w:rsid w:val="000F39E9"/>
    <w:rsid w:val="00104B45"/>
    <w:rsid w:val="00105D8B"/>
    <w:rsid w:val="0011342F"/>
    <w:rsid w:val="001202E9"/>
    <w:rsid w:val="0012454F"/>
    <w:rsid w:val="00125273"/>
    <w:rsid w:val="0012575E"/>
    <w:rsid w:val="00127405"/>
    <w:rsid w:val="00127C06"/>
    <w:rsid w:val="00145149"/>
    <w:rsid w:val="00145D4F"/>
    <w:rsid w:val="0014773C"/>
    <w:rsid w:val="0017696D"/>
    <w:rsid w:val="001848FC"/>
    <w:rsid w:val="001969C5"/>
    <w:rsid w:val="001A6CDD"/>
    <w:rsid w:val="001C12EE"/>
    <w:rsid w:val="001C7B02"/>
    <w:rsid w:val="001E4DD4"/>
    <w:rsid w:val="001E69DC"/>
    <w:rsid w:val="001F169D"/>
    <w:rsid w:val="001F1DA1"/>
    <w:rsid w:val="001F6F93"/>
    <w:rsid w:val="001F7A20"/>
    <w:rsid w:val="0021195A"/>
    <w:rsid w:val="00213383"/>
    <w:rsid w:val="00220250"/>
    <w:rsid w:val="0022691B"/>
    <w:rsid w:val="00232163"/>
    <w:rsid w:val="002376F8"/>
    <w:rsid w:val="002408E4"/>
    <w:rsid w:val="00241591"/>
    <w:rsid w:val="00250B4F"/>
    <w:rsid w:val="0025762F"/>
    <w:rsid w:val="0028114D"/>
    <w:rsid w:val="00287649"/>
    <w:rsid w:val="00287E84"/>
    <w:rsid w:val="0029286C"/>
    <w:rsid w:val="0029300E"/>
    <w:rsid w:val="002B0C3A"/>
    <w:rsid w:val="002B2116"/>
    <w:rsid w:val="002B2D9B"/>
    <w:rsid w:val="002B5016"/>
    <w:rsid w:val="002B742C"/>
    <w:rsid w:val="002B7F4D"/>
    <w:rsid w:val="002C285C"/>
    <w:rsid w:val="002C7BE4"/>
    <w:rsid w:val="002D417D"/>
    <w:rsid w:val="002D5E5D"/>
    <w:rsid w:val="002E78A0"/>
    <w:rsid w:val="002F2687"/>
    <w:rsid w:val="002F48E1"/>
    <w:rsid w:val="002F4F3B"/>
    <w:rsid w:val="003059EB"/>
    <w:rsid w:val="003116AC"/>
    <w:rsid w:val="00315567"/>
    <w:rsid w:val="00330144"/>
    <w:rsid w:val="00332921"/>
    <w:rsid w:val="00346245"/>
    <w:rsid w:val="003534F2"/>
    <w:rsid w:val="00356267"/>
    <w:rsid w:val="00356BAD"/>
    <w:rsid w:val="003605B4"/>
    <w:rsid w:val="003627AC"/>
    <w:rsid w:val="00366914"/>
    <w:rsid w:val="00372FE3"/>
    <w:rsid w:val="003755CB"/>
    <w:rsid w:val="00383F85"/>
    <w:rsid w:val="003A306C"/>
    <w:rsid w:val="003A7DE7"/>
    <w:rsid w:val="003B1006"/>
    <w:rsid w:val="003C5F11"/>
    <w:rsid w:val="003D6401"/>
    <w:rsid w:val="003E1863"/>
    <w:rsid w:val="003E74B6"/>
    <w:rsid w:val="00400DDD"/>
    <w:rsid w:val="0041606D"/>
    <w:rsid w:val="00416962"/>
    <w:rsid w:val="004348CC"/>
    <w:rsid w:val="004658FF"/>
    <w:rsid w:val="00474ED7"/>
    <w:rsid w:val="004756E1"/>
    <w:rsid w:val="0048008A"/>
    <w:rsid w:val="00483E94"/>
    <w:rsid w:val="00484120"/>
    <w:rsid w:val="004853A0"/>
    <w:rsid w:val="00496B5F"/>
    <w:rsid w:val="004A2E10"/>
    <w:rsid w:val="004B17FF"/>
    <w:rsid w:val="004B1BA0"/>
    <w:rsid w:val="004B6CEE"/>
    <w:rsid w:val="004C2443"/>
    <w:rsid w:val="004C498F"/>
    <w:rsid w:val="004C5D29"/>
    <w:rsid w:val="004C681A"/>
    <w:rsid w:val="004D4D8A"/>
    <w:rsid w:val="004F68EE"/>
    <w:rsid w:val="005038D5"/>
    <w:rsid w:val="005072FB"/>
    <w:rsid w:val="00511BA4"/>
    <w:rsid w:val="005149E7"/>
    <w:rsid w:val="005232D6"/>
    <w:rsid w:val="005333CC"/>
    <w:rsid w:val="005363F1"/>
    <w:rsid w:val="0055007C"/>
    <w:rsid w:val="00553F2E"/>
    <w:rsid w:val="00554922"/>
    <w:rsid w:val="00554C85"/>
    <w:rsid w:val="00555282"/>
    <w:rsid w:val="005560E7"/>
    <w:rsid w:val="00557459"/>
    <w:rsid w:val="005612CC"/>
    <w:rsid w:val="00563029"/>
    <w:rsid w:val="00567D12"/>
    <w:rsid w:val="00576062"/>
    <w:rsid w:val="0059559F"/>
    <w:rsid w:val="005A434F"/>
    <w:rsid w:val="005A49FF"/>
    <w:rsid w:val="005A7634"/>
    <w:rsid w:val="005C0447"/>
    <w:rsid w:val="005C739F"/>
    <w:rsid w:val="005C73CA"/>
    <w:rsid w:val="005D4768"/>
    <w:rsid w:val="005E2CAB"/>
    <w:rsid w:val="005E429E"/>
    <w:rsid w:val="00601ED4"/>
    <w:rsid w:val="006030BC"/>
    <w:rsid w:val="00612866"/>
    <w:rsid w:val="00616EB5"/>
    <w:rsid w:val="006269D4"/>
    <w:rsid w:val="006327D8"/>
    <w:rsid w:val="0064070A"/>
    <w:rsid w:val="00643A01"/>
    <w:rsid w:val="00655D4B"/>
    <w:rsid w:val="006574D2"/>
    <w:rsid w:val="006676D4"/>
    <w:rsid w:val="00675535"/>
    <w:rsid w:val="00681359"/>
    <w:rsid w:val="00683967"/>
    <w:rsid w:val="00696262"/>
    <w:rsid w:val="006C3A4F"/>
    <w:rsid w:val="006C4845"/>
    <w:rsid w:val="006D6BC1"/>
    <w:rsid w:val="006E2BFC"/>
    <w:rsid w:val="006E5C57"/>
    <w:rsid w:val="006F22A5"/>
    <w:rsid w:val="00701204"/>
    <w:rsid w:val="00702C73"/>
    <w:rsid w:val="00713394"/>
    <w:rsid w:val="00724677"/>
    <w:rsid w:val="00725AC2"/>
    <w:rsid w:val="00732880"/>
    <w:rsid w:val="007416B9"/>
    <w:rsid w:val="007422FD"/>
    <w:rsid w:val="00743E46"/>
    <w:rsid w:val="00747C45"/>
    <w:rsid w:val="00756FDB"/>
    <w:rsid w:val="007629B6"/>
    <w:rsid w:val="007665BF"/>
    <w:rsid w:val="00771B2A"/>
    <w:rsid w:val="007757CE"/>
    <w:rsid w:val="00775800"/>
    <w:rsid w:val="00790DA4"/>
    <w:rsid w:val="0079180E"/>
    <w:rsid w:val="007950CC"/>
    <w:rsid w:val="0079538B"/>
    <w:rsid w:val="007961B8"/>
    <w:rsid w:val="00797624"/>
    <w:rsid w:val="007A4828"/>
    <w:rsid w:val="007A4950"/>
    <w:rsid w:val="007B093D"/>
    <w:rsid w:val="007B2069"/>
    <w:rsid w:val="007C04A1"/>
    <w:rsid w:val="007C21FA"/>
    <w:rsid w:val="007D4351"/>
    <w:rsid w:val="007D7019"/>
    <w:rsid w:val="007E18DB"/>
    <w:rsid w:val="007E6F1C"/>
    <w:rsid w:val="00804C69"/>
    <w:rsid w:val="0080711D"/>
    <w:rsid w:val="008155CD"/>
    <w:rsid w:val="00833325"/>
    <w:rsid w:val="00840A41"/>
    <w:rsid w:val="00842F3C"/>
    <w:rsid w:val="008505D1"/>
    <w:rsid w:val="00855158"/>
    <w:rsid w:val="00857EE8"/>
    <w:rsid w:val="0086464B"/>
    <w:rsid w:val="008647FC"/>
    <w:rsid w:val="00864CA8"/>
    <w:rsid w:val="00865E2D"/>
    <w:rsid w:val="00870E6C"/>
    <w:rsid w:val="00884486"/>
    <w:rsid w:val="008871A9"/>
    <w:rsid w:val="008916BA"/>
    <w:rsid w:val="00891C05"/>
    <w:rsid w:val="00892176"/>
    <w:rsid w:val="008A1DB7"/>
    <w:rsid w:val="008A1E71"/>
    <w:rsid w:val="008A2E30"/>
    <w:rsid w:val="008A403A"/>
    <w:rsid w:val="008A4C13"/>
    <w:rsid w:val="008B5BE9"/>
    <w:rsid w:val="008B604D"/>
    <w:rsid w:val="008C54A9"/>
    <w:rsid w:val="008D4B81"/>
    <w:rsid w:val="008E67C3"/>
    <w:rsid w:val="008F589F"/>
    <w:rsid w:val="008F76A9"/>
    <w:rsid w:val="008F7E67"/>
    <w:rsid w:val="00900DBF"/>
    <w:rsid w:val="009048B9"/>
    <w:rsid w:val="00904E91"/>
    <w:rsid w:val="00915886"/>
    <w:rsid w:val="009214DC"/>
    <w:rsid w:val="00927027"/>
    <w:rsid w:val="009344BA"/>
    <w:rsid w:val="00947F78"/>
    <w:rsid w:val="00953234"/>
    <w:rsid w:val="00961EAF"/>
    <w:rsid w:val="0096278F"/>
    <w:rsid w:val="009726E1"/>
    <w:rsid w:val="00977591"/>
    <w:rsid w:val="00980E75"/>
    <w:rsid w:val="00994BE0"/>
    <w:rsid w:val="00995133"/>
    <w:rsid w:val="009A25B1"/>
    <w:rsid w:val="009A4608"/>
    <w:rsid w:val="009A6A57"/>
    <w:rsid w:val="009A70BF"/>
    <w:rsid w:val="009B1A15"/>
    <w:rsid w:val="009C0852"/>
    <w:rsid w:val="009C13CA"/>
    <w:rsid w:val="009C32C6"/>
    <w:rsid w:val="009C665F"/>
    <w:rsid w:val="009D7E38"/>
    <w:rsid w:val="009E095B"/>
    <w:rsid w:val="009E1846"/>
    <w:rsid w:val="009E78FF"/>
    <w:rsid w:val="00A01494"/>
    <w:rsid w:val="00A22FA9"/>
    <w:rsid w:val="00A25024"/>
    <w:rsid w:val="00A25C53"/>
    <w:rsid w:val="00A35F8F"/>
    <w:rsid w:val="00A41377"/>
    <w:rsid w:val="00A4263D"/>
    <w:rsid w:val="00A509B8"/>
    <w:rsid w:val="00A52AB9"/>
    <w:rsid w:val="00A6210B"/>
    <w:rsid w:val="00A7323A"/>
    <w:rsid w:val="00A73AC2"/>
    <w:rsid w:val="00A831B4"/>
    <w:rsid w:val="00A97798"/>
    <w:rsid w:val="00AA5213"/>
    <w:rsid w:val="00AA65A6"/>
    <w:rsid w:val="00AC1D8E"/>
    <w:rsid w:val="00AC48FA"/>
    <w:rsid w:val="00AD0240"/>
    <w:rsid w:val="00AD4137"/>
    <w:rsid w:val="00AF53E6"/>
    <w:rsid w:val="00B00143"/>
    <w:rsid w:val="00B037BA"/>
    <w:rsid w:val="00B1471B"/>
    <w:rsid w:val="00B20139"/>
    <w:rsid w:val="00B218DA"/>
    <w:rsid w:val="00B342FA"/>
    <w:rsid w:val="00B53E8B"/>
    <w:rsid w:val="00B774D2"/>
    <w:rsid w:val="00B8015A"/>
    <w:rsid w:val="00B82A57"/>
    <w:rsid w:val="00B93866"/>
    <w:rsid w:val="00BA053B"/>
    <w:rsid w:val="00BB35AE"/>
    <w:rsid w:val="00BC03A1"/>
    <w:rsid w:val="00BC0D25"/>
    <w:rsid w:val="00BD2505"/>
    <w:rsid w:val="00BE592D"/>
    <w:rsid w:val="00BF52B0"/>
    <w:rsid w:val="00BF5697"/>
    <w:rsid w:val="00C12CBC"/>
    <w:rsid w:val="00C14CCC"/>
    <w:rsid w:val="00C22C1C"/>
    <w:rsid w:val="00C33F2E"/>
    <w:rsid w:val="00C34936"/>
    <w:rsid w:val="00C34C14"/>
    <w:rsid w:val="00C355B9"/>
    <w:rsid w:val="00C401C4"/>
    <w:rsid w:val="00C41680"/>
    <w:rsid w:val="00C60A25"/>
    <w:rsid w:val="00C765C5"/>
    <w:rsid w:val="00C82479"/>
    <w:rsid w:val="00C867F0"/>
    <w:rsid w:val="00C918D0"/>
    <w:rsid w:val="00CA06D8"/>
    <w:rsid w:val="00CA345A"/>
    <w:rsid w:val="00CB49FF"/>
    <w:rsid w:val="00CC02CF"/>
    <w:rsid w:val="00CC086A"/>
    <w:rsid w:val="00CD0F66"/>
    <w:rsid w:val="00CD364B"/>
    <w:rsid w:val="00CE1F08"/>
    <w:rsid w:val="00CE23B8"/>
    <w:rsid w:val="00CE50D7"/>
    <w:rsid w:val="00CF6E8F"/>
    <w:rsid w:val="00D00344"/>
    <w:rsid w:val="00D14324"/>
    <w:rsid w:val="00D1754D"/>
    <w:rsid w:val="00D2223F"/>
    <w:rsid w:val="00D2334F"/>
    <w:rsid w:val="00D274A4"/>
    <w:rsid w:val="00D277AF"/>
    <w:rsid w:val="00D31163"/>
    <w:rsid w:val="00D320B1"/>
    <w:rsid w:val="00D33AFD"/>
    <w:rsid w:val="00D36489"/>
    <w:rsid w:val="00D42195"/>
    <w:rsid w:val="00D50704"/>
    <w:rsid w:val="00D5760A"/>
    <w:rsid w:val="00D61410"/>
    <w:rsid w:val="00D8181D"/>
    <w:rsid w:val="00D968D8"/>
    <w:rsid w:val="00DA563D"/>
    <w:rsid w:val="00DA7277"/>
    <w:rsid w:val="00DB2E6A"/>
    <w:rsid w:val="00DB3627"/>
    <w:rsid w:val="00DB4724"/>
    <w:rsid w:val="00DC4746"/>
    <w:rsid w:val="00DE7149"/>
    <w:rsid w:val="00DF0BF1"/>
    <w:rsid w:val="00E0314C"/>
    <w:rsid w:val="00E1508F"/>
    <w:rsid w:val="00E15D2D"/>
    <w:rsid w:val="00E27240"/>
    <w:rsid w:val="00E27EDD"/>
    <w:rsid w:val="00E30584"/>
    <w:rsid w:val="00E310B9"/>
    <w:rsid w:val="00E37E1B"/>
    <w:rsid w:val="00E562C0"/>
    <w:rsid w:val="00E672D6"/>
    <w:rsid w:val="00E76024"/>
    <w:rsid w:val="00E856A2"/>
    <w:rsid w:val="00E94471"/>
    <w:rsid w:val="00E96884"/>
    <w:rsid w:val="00EA5435"/>
    <w:rsid w:val="00EA5F47"/>
    <w:rsid w:val="00EC79DE"/>
    <w:rsid w:val="00ED4ACE"/>
    <w:rsid w:val="00EE4D35"/>
    <w:rsid w:val="00EF2DA7"/>
    <w:rsid w:val="00F435AA"/>
    <w:rsid w:val="00F5738A"/>
    <w:rsid w:val="00F612D4"/>
    <w:rsid w:val="00F77F1D"/>
    <w:rsid w:val="00F8775F"/>
    <w:rsid w:val="00F87CCB"/>
    <w:rsid w:val="00FA48C7"/>
    <w:rsid w:val="00FB73C1"/>
    <w:rsid w:val="00FE09BC"/>
    <w:rsid w:val="00FF6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53E6"/>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53E6"/>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qualityforum.org/Measuring_Performance/Submitting_Standards.aspx"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0D5F0D"/>
    <w:rsid w:val="00127222"/>
    <w:rsid w:val="00190AF4"/>
    <w:rsid w:val="00223FA3"/>
    <w:rsid w:val="002A288F"/>
    <w:rsid w:val="002F052A"/>
    <w:rsid w:val="00350176"/>
    <w:rsid w:val="003840F0"/>
    <w:rsid w:val="00437537"/>
    <w:rsid w:val="0053654E"/>
    <w:rsid w:val="00602A82"/>
    <w:rsid w:val="00632A7E"/>
    <w:rsid w:val="00632AB6"/>
    <w:rsid w:val="006A53ED"/>
    <w:rsid w:val="00730B33"/>
    <w:rsid w:val="00772B2A"/>
    <w:rsid w:val="007840DB"/>
    <w:rsid w:val="007C672A"/>
    <w:rsid w:val="007D4368"/>
    <w:rsid w:val="00822666"/>
    <w:rsid w:val="00823ECC"/>
    <w:rsid w:val="00866C97"/>
    <w:rsid w:val="009017AE"/>
    <w:rsid w:val="009C542D"/>
    <w:rsid w:val="00A95183"/>
    <w:rsid w:val="00AB4AF7"/>
    <w:rsid w:val="00AD7C4F"/>
    <w:rsid w:val="00B445F5"/>
    <w:rsid w:val="00BD40CB"/>
    <w:rsid w:val="00C362A2"/>
    <w:rsid w:val="00C90121"/>
    <w:rsid w:val="00CA344F"/>
    <w:rsid w:val="00D1676E"/>
    <w:rsid w:val="00DA0351"/>
    <w:rsid w:val="00DC0246"/>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29B9D0-7D72-4646-A118-1FB6631A3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9</Pages>
  <Words>3797</Words>
  <Characters>21645</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25392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Kroch, Eugene</cp:lastModifiedBy>
  <cp:revision>14</cp:revision>
  <dcterms:created xsi:type="dcterms:W3CDTF">2014-02-21T19:34:00Z</dcterms:created>
  <dcterms:modified xsi:type="dcterms:W3CDTF">2014-03-03T20:30:00Z</dcterms:modified>
</cp:coreProperties>
</file>