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F569B1">
      <w:pPr>
        <w:spacing w:line="240" w:lineRule="auto"/>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F569B1">
      <w:pPr>
        <w:spacing w:line="240" w:lineRule="auto"/>
        <w:contextualSpacing/>
        <w:rPr>
          <w:rFonts w:cstheme="minorHAnsi"/>
          <w:b/>
          <w:noProof/>
        </w:rPr>
      </w:pPr>
    </w:p>
    <w:p w:rsidR="00927027" w:rsidRDefault="00797624" w:rsidP="00F569B1">
      <w:pPr>
        <w:spacing w:line="240" w:lineRule="auto"/>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F569B1">
      <w:pPr>
        <w:spacing w:line="240" w:lineRule="auto"/>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03FD8">
            <w:rPr>
              <w:rStyle w:val="Style1"/>
              <w:rFonts w:cstheme="minorHAnsi"/>
            </w:rPr>
            <w:t>Hospitalizations per 1000 Medicare fee-for-service (FFS) Beneficiaries</w:t>
          </w:r>
        </w:sdtContent>
      </w:sdt>
    </w:p>
    <w:p w:rsidR="005C73CA" w:rsidRDefault="00105D8B" w:rsidP="00F569B1">
      <w:pPr>
        <w:spacing w:after="0" w:line="240" w:lineRule="auto"/>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003FD8">
            <w:rPr>
              <w:rStyle w:val="Style2"/>
              <w:rFonts w:cstheme="minorHAnsi"/>
            </w:rPr>
            <w:t>2/5/2014</w:t>
          </w:r>
        </w:sdtContent>
      </w:sdt>
    </w:p>
    <w:p w:rsidR="00CD364B" w:rsidRPr="009E1846" w:rsidRDefault="009E1846" w:rsidP="00F569B1">
      <w:pPr>
        <w:spacing w:after="0" w:line="240" w:lineRule="auto"/>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682E53" w:rsidP="00F569B1">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682E53" w:rsidP="00F569B1">
            <w:pPr>
              <w:autoSpaceDE w:val="0"/>
              <w:autoSpaceDN w:val="0"/>
              <w:adjustRightInd w:val="0"/>
              <w:rPr>
                <w:rFonts w:cstheme="minorHAnsi"/>
                <w:bCs/>
              </w:rPr>
            </w:pPr>
            <w:sdt>
              <w:sdtPr>
                <w:rPr>
                  <w:rFonts w:cstheme="minorHAnsi"/>
                  <w:bCs/>
                  <w:color w:val="0000FF"/>
                </w:rPr>
                <w:id w:val="8664767"/>
              </w:sdtPr>
              <w:sdtContent>
                <w:r w:rsidR="00003FD8">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682E53" w:rsidP="00F569B1">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682E53" w:rsidP="00F569B1">
            <w:pPr>
              <w:autoSpaceDE w:val="0"/>
              <w:autoSpaceDN w:val="0"/>
              <w:adjustRightInd w:val="0"/>
              <w:rPr>
                <w:rFonts w:cstheme="minorHAnsi"/>
                <w:bCs/>
              </w:rPr>
            </w:pPr>
            <w:sdt>
              <w:sdtPr>
                <w:rPr>
                  <w:rFonts w:cstheme="minorHAnsi"/>
                  <w:bCs/>
                  <w:color w:val="0000FF"/>
                </w:rPr>
                <w:id w:val="-1952933063"/>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682E53" w:rsidP="00F569B1">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682E53" w:rsidP="00F569B1">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F569B1">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RPr="00F569B1" w:rsidTr="00145149">
        <w:trPr>
          <w:jc w:val="center"/>
        </w:trPr>
        <w:tc>
          <w:tcPr>
            <w:tcW w:w="9576" w:type="dxa"/>
          </w:tcPr>
          <w:p w:rsidR="00B53E8B" w:rsidRPr="00F569B1" w:rsidRDefault="00B53E8B" w:rsidP="00F569B1">
            <w:pPr>
              <w:rPr>
                <w:rFonts w:cstheme="minorHAnsi"/>
                <w:b/>
                <w:noProof/>
                <w:sz w:val="20"/>
                <w:szCs w:val="20"/>
              </w:rPr>
            </w:pPr>
            <w:r w:rsidRPr="00F569B1">
              <w:rPr>
                <w:rFonts w:cstheme="minorHAnsi"/>
                <w:b/>
                <w:noProof/>
                <w:sz w:val="20"/>
                <w:szCs w:val="20"/>
              </w:rPr>
              <w:t>Instructions</w:t>
            </w:r>
          </w:p>
          <w:p w:rsidR="00C14CCC" w:rsidRPr="00F569B1" w:rsidRDefault="00C14CCC" w:rsidP="00F569B1">
            <w:pPr>
              <w:pStyle w:val="ListParagraph"/>
              <w:numPr>
                <w:ilvl w:val="0"/>
                <w:numId w:val="6"/>
              </w:numPr>
              <w:rPr>
                <w:rFonts w:cstheme="minorHAnsi"/>
                <w:noProof/>
                <w:sz w:val="20"/>
                <w:szCs w:val="20"/>
              </w:rPr>
            </w:pPr>
            <w:r w:rsidRPr="00F569B1">
              <w:rPr>
                <w:rFonts w:cstheme="minorHAnsi"/>
                <w:noProof/>
                <w:sz w:val="20"/>
                <w:szCs w:val="20"/>
              </w:rPr>
              <w:t xml:space="preserve">Measures must be tested for all the data sources and levels of analyses that are specified. </w:t>
            </w:r>
            <w:r w:rsidRPr="00F569B1">
              <w:rPr>
                <w:rFonts w:cstheme="minorHAnsi"/>
                <w:b/>
                <w:i/>
                <w:noProof/>
                <w:sz w:val="20"/>
                <w:szCs w:val="20"/>
              </w:rPr>
              <w:t xml:space="preserve">If </w:t>
            </w:r>
            <w:r w:rsidR="000B032A" w:rsidRPr="00F569B1">
              <w:rPr>
                <w:rFonts w:cstheme="minorHAnsi"/>
                <w:b/>
                <w:i/>
                <w:noProof/>
                <w:sz w:val="20"/>
                <w:szCs w:val="20"/>
              </w:rPr>
              <w:t xml:space="preserve">there is </w:t>
            </w:r>
            <w:r w:rsidRPr="00F569B1">
              <w:rPr>
                <w:rFonts w:cstheme="minorHAnsi"/>
                <w:b/>
                <w:i/>
                <w:noProof/>
                <w:sz w:val="20"/>
                <w:szCs w:val="20"/>
              </w:rPr>
              <w:t>more than one</w:t>
            </w:r>
            <w:r w:rsidR="00E96884" w:rsidRPr="00F569B1">
              <w:rPr>
                <w:rFonts w:cstheme="minorHAnsi"/>
                <w:b/>
                <w:i/>
                <w:noProof/>
                <w:sz w:val="20"/>
                <w:szCs w:val="20"/>
              </w:rPr>
              <w:t xml:space="preserve"> set of</w:t>
            </w:r>
            <w:r w:rsidRPr="00F569B1">
              <w:rPr>
                <w:rFonts w:cstheme="minorHAnsi"/>
                <w:b/>
                <w:i/>
                <w:noProof/>
                <w:sz w:val="20"/>
                <w:szCs w:val="20"/>
              </w:rPr>
              <w:t xml:space="preserve"> data </w:t>
            </w:r>
            <w:r w:rsidR="000B032A" w:rsidRPr="00F569B1">
              <w:rPr>
                <w:rFonts w:cstheme="minorHAnsi"/>
                <w:b/>
                <w:i/>
                <w:noProof/>
                <w:sz w:val="20"/>
                <w:szCs w:val="20"/>
              </w:rPr>
              <w:t>specification</w:t>
            </w:r>
            <w:r w:rsidR="009E095B" w:rsidRPr="00F569B1">
              <w:rPr>
                <w:rFonts w:cstheme="minorHAnsi"/>
                <w:b/>
                <w:i/>
                <w:noProof/>
                <w:sz w:val="20"/>
                <w:szCs w:val="20"/>
              </w:rPr>
              <w:t>s</w:t>
            </w:r>
            <w:r w:rsidRPr="00F569B1">
              <w:rPr>
                <w:rFonts w:cstheme="minorHAnsi"/>
                <w:b/>
                <w:i/>
                <w:noProof/>
                <w:sz w:val="20"/>
                <w:szCs w:val="20"/>
              </w:rPr>
              <w:t xml:space="preserve"> or </w:t>
            </w:r>
            <w:r w:rsidR="009E095B" w:rsidRPr="00F569B1">
              <w:rPr>
                <w:rFonts w:cstheme="minorHAnsi"/>
                <w:b/>
                <w:i/>
                <w:noProof/>
                <w:sz w:val="20"/>
                <w:szCs w:val="20"/>
              </w:rPr>
              <w:t xml:space="preserve">more than one </w:t>
            </w:r>
            <w:r w:rsidRPr="00F569B1">
              <w:rPr>
                <w:rFonts w:cstheme="minorHAnsi"/>
                <w:b/>
                <w:i/>
                <w:noProof/>
                <w:sz w:val="20"/>
                <w:szCs w:val="20"/>
              </w:rPr>
              <w:t>level of an</w:t>
            </w:r>
            <w:r w:rsidR="001F1DA1" w:rsidRPr="00F569B1">
              <w:rPr>
                <w:rFonts w:cstheme="minorHAnsi"/>
                <w:b/>
                <w:i/>
                <w:noProof/>
                <w:sz w:val="20"/>
                <w:szCs w:val="20"/>
              </w:rPr>
              <w:t>a</w:t>
            </w:r>
            <w:r w:rsidRPr="00F569B1">
              <w:rPr>
                <w:rFonts w:cstheme="minorHAnsi"/>
                <w:b/>
                <w:i/>
                <w:noProof/>
                <w:sz w:val="20"/>
                <w:szCs w:val="20"/>
              </w:rPr>
              <w:t>lysis, contact NQF staff</w:t>
            </w:r>
            <w:r w:rsidRPr="00F569B1">
              <w:rPr>
                <w:rFonts w:cstheme="minorHAnsi"/>
                <w:noProof/>
                <w:sz w:val="20"/>
                <w:szCs w:val="20"/>
              </w:rPr>
              <w:t xml:space="preserve"> about how to present </w:t>
            </w:r>
            <w:r w:rsidR="004D4D8A" w:rsidRPr="00F569B1">
              <w:rPr>
                <w:rFonts w:cstheme="minorHAnsi"/>
                <w:noProof/>
                <w:sz w:val="20"/>
                <w:szCs w:val="20"/>
              </w:rPr>
              <w:t xml:space="preserve">all </w:t>
            </w:r>
            <w:r w:rsidRPr="00F569B1">
              <w:rPr>
                <w:rFonts w:cstheme="minorHAnsi"/>
                <w:noProof/>
                <w:sz w:val="20"/>
                <w:szCs w:val="20"/>
              </w:rPr>
              <w:t>the testing information</w:t>
            </w:r>
            <w:r w:rsidR="00416962" w:rsidRPr="00F569B1">
              <w:rPr>
                <w:rFonts w:cstheme="minorHAnsi"/>
                <w:noProof/>
                <w:sz w:val="20"/>
                <w:szCs w:val="20"/>
              </w:rPr>
              <w:t xml:space="preserve"> in one form</w:t>
            </w:r>
            <w:r w:rsidRPr="00F569B1">
              <w:rPr>
                <w:rFonts w:cstheme="minorHAnsi"/>
                <w:noProof/>
                <w:sz w:val="20"/>
                <w:szCs w:val="20"/>
              </w:rPr>
              <w:t>.</w:t>
            </w:r>
          </w:p>
          <w:p w:rsidR="00702C73" w:rsidRPr="00F569B1" w:rsidRDefault="00702C73" w:rsidP="00F569B1">
            <w:pPr>
              <w:pStyle w:val="ListParagraph"/>
              <w:numPr>
                <w:ilvl w:val="0"/>
                <w:numId w:val="6"/>
              </w:numPr>
              <w:rPr>
                <w:rFonts w:cstheme="minorHAnsi"/>
                <w:b/>
                <w:noProof/>
                <w:sz w:val="20"/>
                <w:szCs w:val="20"/>
              </w:rPr>
            </w:pPr>
            <w:r w:rsidRPr="00F569B1">
              <w:rPr>
                <w:rFonts w:cstheme="minorHAnsi"/>
                <w:b/>
                <w:noProof/>
                <w:sz w:val="20"/>
                <w:szCs w:val="20"/>
              </w:rPr>
              <w:t xml:space="preserve">For </w:t>
            </w:r>
            <w:r w:rsidRPr="00F569B1">
              <w:rPr>
                <w:rFonts w:cstheme="minorHAnsi"/>
                <w:b/>
                <w:noProof/>
                <w:sz w:val="20"/>
                <w:szCs w:val="20"/>
                <w:u w:val="single"/>
              </w:rPr>
              <w:t>all</w:t>
            </w:r>
            <w:r w:rsidRPr="00F569B1">
              <w:rPr>
                <w:rFonts w:cstheme="minorHAnsi"/>
                <w:b/>
                <w:noProof/>
                <w:sz w:val="20"/>
                <w:szCs w:val="20"/>
              </w:rPr>
              <w:t xml:space="preserve"> measures, sections 1, 2a2, 2b2, 2b3, </w:t>
            </w:r>
            <w:r w:rsidR="004D4D8A" w:rsidRPr="00F569B1">
              <w:rPr>
                <w:rFonts w:cstheme="minorHAnsi"/>
                <w:b/>
                <w:noProof/>
                <w:sz w:val="20"/>
                <w:szCs w:val="20"/>
              </w:rPr>
              <w:t xml:space="preserve">and </w:t>
            </w:r>
            <w:r w:rsidRPr="00F569B1">
              <w:rPr>
                <w:rFonts w:cstheme="minorHAnsi"/>
                <w:b/>
                <w:noProof/>
                <w:sz w:val="20"/>
                <w:szCs w:val="20"/>
              </w:rPr>
              <w:t>2b5 must be completed</w:t>
            </w:r>
            <w:r w:rsidR="00E96884" w:rsidRPr="00F569B1">
              <w:rPr>
                <w:rFonts w:cstheme="minorHAnsi"/>
                <w:b/>
                <w:noProof/>
                <w:sz w:val="20"/>
                <w:szCs w:val="20"/>
              </w:rPr>
              <w:t>.</w:t>
            </w:r>
          </w:p>
          <w:p w:rsidR="00702C73" w:rsidRPr="00F569B1" w:rsidRDefault="00702C73" w:rsidP="00F569B1">
            <w:pPr>
              <w:pStyle w:val="ListParagraph"/>
              <w:numPr>
                <w:ilvl w:val="0"/>
                <w:numId w:val="6"/>
              </w:numPr>
              <w:rPr>
                <w:rFonts w:cstheme="minorHAnsi"/>
                <w:noProof/>
                <w:sz w:val="20"/>
                <w:szCs w:val="20"/>
              </w:rPr>
            </w:pPr>
            <w:r w:rsidRPr="00F569B1">
              <w:rPr>
                <w:rFonts w:cstheme="minorHAnsi"/>
                <w:b/>
                <w:noProof/>
                <w:sz w:val="20"/>
                <w:szCs w:val="20"/>
              </w:rPr>
              <w:t xml:space="preserve">For </w:t>
            </w:r>
            <w:r w:rsidRPr="00F569B1">
              <w:rPr>
                <w:rFonts w:cstheme="minorHAnsi"/>
                <w:b/>
                <w:noProof/>
                <w:sz w:val="20"/>
                <w:szCs w:val="20"/>
                <w:u w:val="single"/>
              </w:rPr>
              <w:t xml:space="preserve">outcome </w:t>
            </w:r>
            <w:r w:rsidR="00C34936" w:rsidRPr="00F569B1">
              <w:rPr>
                <w:rFonts w:cstheme="minorHAnsi"/>
                <w:b/>
                <w:noProof/>
                <w:sz w:val="20"/>
                <w:szCs w:val="20"/>
                <w:u w:val="single"/>
              </w:rPr>
              <w:t xml:space="preserve">and </w:t>
            </w:r>
            <w:r w:rsidRPr="00F569B1">
              <w:rPr>
                <w:rFonts w:cstheme="minorHAnsi"/>
                <w:b/>
                <w:noProof/>
                <w:sz w:val="20"/>
                <w:szCs w:val="20"/>
                <w:u w:val="single"/>
              </w:rPr>
              <w:t>resource use</w:t>
            </w:r>
            <w:r w:rsidRPr="00F569B1">
              <w:rPr>
                <w:rFonts w:cstheme="minorHAnsi"/>
                <w:b/>
                <w:noProof/>
                <w:sz w:val="20"/>
                <w:szCs w:val="20"/>
              </w:rPr>
              <w:t xml:space="preserve"> measures</w:t>
            </w:r>
            <w:r w:rsidRPr="00F569B1">
              <w:rPr>
                <w:rFonts w:cstheme="minorHAnsi"/>
                <w:noProof/>
                <w:sz w:val="20"/>
                <w:szCs w:val="20"/>
              </w:rPr>
              <w:t xml:space="preserve">, section </w:t>
            </w:r>
            <w:r w:rsidRPr="00F569B1">
              <w:rPr>
                <w:rFonts w:cstheme="minorHAnsi"/>
                <w:b/>
                <w:noProof/>
                <w:sz w:val="20"/>
                <w:szCs w:val="20"/>
              </w:rPr>
              <w:t>2b4</w:t>
            </w:r>
            <w:r w:rsidRPr="00F569B1">
              <w:rPr>
                <w:rFonts w:cstheme="minorHAnsi"/>
                <w:noProof/>
                <w:sz w:val="20"/>
                <w:szCs w:val="20"/>
              </w:rPr>
              <w:t xml:space="preserve"> also must be completed</w:t>
            </w:r>
            <w:r w:rsidR="00892176" w:rsidRPr="00F569B1">
              <w:rPr>
                <w:rFonts w:cstheme="minorHAnsi"/>
                <w:noProof/>
                <w:sz w:val="20"/>
                <w:szCs w:val="20"/>
              </w:rPr>
              <w:t>.</w:t>
            </w:r>
          </w:p>
          <w:p w:rsidR="00702C73" w:rsidRPr="00F569B1" w:rsidRDefault="00702C73" w:rsidP="00F569B1">
            <w:pPr>
              <w:pStyle w:val="ListParagraph"/>
              <w:numPr>
                <w:ilvl w:val="0"/>
                <w:numId w:val="6"/>
              </w:numPr>
              <w:rPr>
                <w:rFonts w:cstheme="minorHAnsi"/>
                <w:noProof/>
                <w:sz w:val="20"/>
                <w:szCs w:val="20"/>
              </w:rPr>
            </w:pPr>
            <w:r w:rsidRPr="00F569B1">
              <w:rPr>
                <w:rFonts w:cstheme="minorHAnsi"/>
                <w:noProof/>
                <w:sz w:val="20"/>
                <w:szCs w:val="20"/>
              </w:rPr>
              <w:t xml:space="preserve">If specified for </w:t>
            </w:r>
            <w:r w:rsidRPr="00F569B1">
              <w:rPr>
                <w:rFonts w:cstheme="minorHAnsi"/>
                <w:b/>
                <w:noProof/>
                <w:sz w:val="20"/>
                <w:szCs w:val="20"/>
                <w:u w:val="single"/>
              </w:rPr>
              <w:t>multiple data sources</w:t>
            </w:r>
            <w:r w:rsidR="004D4D8A" w:rsidRPr="00F569B1">
              <w:rPr>
                <w:rFonts w:cstheme="minorHAnsi"/>
                <w:b/>
                <w:noProof/>
                <w:sz w:val="20"/>
                <w:szCs w:val="20"/>
                <w:u w:val="single"/>
              </w:rPr>
              <w:t>/sets of specificaitons</w:t>
            </w:r>
            <w:r w:rsidRPr="00F569B1">
              <w:rPr>
                <w:rFonts w:cstheme="minorHAnsi"/>
                <w:noProof/>
                <w:sz w:val="20"/>
                <w:szCs w:val="20"/>
              </w:rPr>
              <w:t xml:space="preserve"> (e.g., claims and</w:t>
            </w:r>
            <w:r w:rsidR="00E96884" w:rsidRPr="00F569B1">
              <w:rPr>
                <w:rFonts w:cstheme="minorHAnsi"/>
                <w:noProof/>
                <w:sz w:val="20"/>
                <w:szCs w:val="20"/>
              </w:rPr>
              <w:t xml:space="preserve"> </w:t>
            </w:r>
            <w:r w:rsidR="00416962" w:rsidRPr="00F569B1">
              <w:rPr>
                <w:rFonts w:cstheme="minorHAnsi"/>
                <w:noProof/>
                <w:sz w:val="20"/>
                <w:szCs w:val="20"/>
              </w:rPr>
              <w:t>EHRs</w:t>
            </w:r>
            <w:r w:rsidRPr="00F569B1">
              <w:rPr>
                <w:rFonts w:cstheme="minorHAnsi"/>
                <w:noProof/>
                <w:sz w:val="20"/>
                <w:szCs w:val="20"/>
              </w:rPr>
              <w:t xml:space="preserve">), section </w:t>
            </w:r>
            <w:r w:rsidRPr="00F569B1">
              <w:rPr>
                <w:rFonts w:cstheme="minorHAnsi"/>
                <w:b/>
                <w:noProof/>
                <w:sz w:val="20"/>
                <w:szCs w:val="20"/>
              </w:rPr>
              <w:t>2b6</w:t>
            </w:r>
            <w:r w:rsidRPr="00F569B1">
              <w:rPr>
                <w:rFonts w:cstheme="minorHAnsi"/>
                <w:noProof/>
                <w:sz w:val="20"/>
                <w:szCs w:val="20"/>
              </w:rPr>
              <w:t xml:space="preserve"> also must be completed</w:t>
            </w:r>
            <w:r w:rsidR="00E96884" w:rsidRPr="00F569B1">
              <w:rPr>
                <w:rFonts w:cstheme="minorHAnsi"/>
                <w:noProof/>
                <w:sz w:val="20"/>
                <w:szCs w:val="20"/>
              </w:rPr>
              <w:t>.</w:t>
            </w:r>
          </w:p>
          <w:p w:rsidR="00702C73" w:rsidRPr="00F569B1" w:rsidRDefault="00702C73" w:rsidP="00F569B1">
            <w:pPr>
              <w:pStyle w:val="ListParagraph"/>
              <w:numPr>
                <w:ilvl w:val="0"/>
                <w:numId w:val="6"/>
              </w:numPr>
              <w:rPr>
                <w:rFonts w:cstheme="minorHAnsi"/>
                <w:noProof/>
                <w:sz w:val="20"/>
                <w:szCs w:val="20"/>
              </w:rPr>
            </w:pPr>
            <w:r w:rsidRPr="00F569B1">
              <w:rPr>
                <w:rFonts w:cstheme="minorHAnsi"/>
                <w:noProof/>
                <w:sz w:val="20"/>
                <w:szCs w:val="20"/>
              </w:rPr>
              <w:t xml:space="preserve">Respond to </w:t>
            </w:r>
            <w:r w:rsidRPr="00F569B1">
              <w:rPr>
                <w:rFonts w:cstheme="minorHAnsi"/>
                <w:noProof/>
                <w:sz w:val="20"/>
                <w:szCs w:val="20"/>
                <w:u w:val="single"/>
              </w:rPr>
              <w:t>all</w:t>
            </w:r>
            <w:r w:rsidRPr="00F569B1">
              <w:rPr>
                <w:rFonts w:cstheme="minorHAnsi"/>
                <w:noProof/>
                <w:sz w:val="20"/>
                <w:szCs w:val="20"/>
              </w:rPr>
              <w:t xml:space="preserve"> questions </w:t>
            </w:r>
            <w:r w:rsidR="00977591" w:rsidRPr="00F569B1">
              <w:rPr>
                <w:rFonts w:cstheme="minorHAnsi"/>
                <w:noProof/>
                <w:sz w:val="20"/>
                <w:szCs w:val="20"/>
              </w:rPr>
              <w:t>as instructed</w:t>
            </w:r>
            <w:r w:rsidR="008F589F" w:rsidRPr="00F569B1">
              <w:rPr>
                <w:rFonts w:cstheme="minorHAnsi"/>
                <w:noProof/>
                <w:sz w:val="20"/>
                <w:szCs w:val="20"/>
              </w:rPr>
              <w:t xml:space="preserve"> </w:t>
            </w:r>
            <w:r w:rsidR="00977591" w:rsidRPr="00F569B1">
              <w:rPr>
                <w:rFonts w:cstheme="minorHAnsi"/>
                <w:noProof/>
                <w:sz w:val="20"/>
                <w:szCs w:val="20"/>
              </w:rPr>
              <w:t xml:space="preserve">with </w:t>
            </w:r>
            <w:r w:rsidRPr="00F569B1">
              <w:rPr>
                <w:rFonts w:cstheme="minorHAnsi"/>
                <w:noProof/>
                <w:sz w:val="20"/>
                <w:szCs w:val="20"/>
              </w:rPr>
              <w:t>answers immediately following the question.</w:t>
            </w:r>
            <w:r w:rsidR="0096278F" w:rsidRPr="00F569B1">
              <w:rPr>
                <w:rFonts w:cstheme="minorHAnsi"/>
                <w:noProof/>
                <w:sz w:val="20"/>
                <w:szCs w:val="20"/>
              </w:rPr>
              <w:t xml:space="preserve"> All information </w:t>
            </w:r>
            <w:r w:rsidR="008F589F" w:rsidRPr="00F569B1">
              <w:rPr>
                <w:rFonts w:cstheme="minorHAnsi"/>
                <w:noProof/>
                <w:sz w:val="20"/>
                <w:szCs w:val="20"/>
              </w:rPr>
              <w:t xml:space="preserve">on testing </w:t>
            </w:r>
            <w:r w:rsidR="0096278F" w:rsidRPr="00F569B1">
              <w:rPr>
                <w:rFonts w:cstheme="minorHAnsi"/>
                <w:noProof/>
                <w:sz w:val="20"/>
                <w:szCs w:val="20"/>
              </w:rPr>
              <w:t>to demonstrate meeting</w:t>
            </w:r>
            <w:r w:rsidR="008F589F" w:rsidRPr="00F569B1">
              <w:rPr>
                <w:rFonts w:cstheme="minorHAnsi"/>
                <w:noProof/>
                <w:sz w:val="20"/>
                <w:szCs w:val="20"/>
              </w:rPr>
              <w:t xml:space="preserve"> the </w:t>
            </w:r>
            <w:r w:rsidR="008F589F" w:rsidRPr="00F569B1">
              <w:rPr>
                <w:sz w:val="20"/>
                <w:szCs w:val="20"/>
              </w:rPr>
              <w:t>subcriteria for reliability (2a</w:t>
            </w:r>
            <w:r w:rsidR="00145149" w:rsidRPr="00F569B1">
              <w:rPr>
                <w:sz w:val="20"/>
                <w:szCs w:val="20"/>
              </w:rPr>
              <w:t>2</w:t>
            </w:r>
            <w:r w:rsidR="008F589F" w:rsidRPr="00F569B1">
              <w:rPr>
                <w:sz w:val="20"/>
                <w:szCs w:val="20"/>
              </w:rPr>
              <w:t>) and validity (2b</w:t>
            </w:r>
            <w:r w:rsidR="00145149" w:rsidRPr="00F569B1">
              <w:rPr>
                <w:sz w:val="20"/>
                <w:szCs w:val="20"/>
              </w:rPr>
              <w:t>2-2b6</w:t>
            </w:r>
            <w:r w:rsidR="008F589F" w:rsidRPr="00F569B1">
              <w:rPr>
                <w:sz w:val="20"/>
                <w:szCs w:val="20"/>
              </w:rPr>
              <w:t xml:space="preserve">) </w:t>
            </w:r>
            <w:r w:rsidR="0096278F" w:rsidRPr="00F569B1">
              <w:rPr>
                <w:rFonts w:cstheme="minorHAnsi"/>
                <w:noProof/>
                <w:sz w:val="20"/>
                <w:szCs w:val="20"/>
              </w:rPr>
              <w:t xml:space="preserve">must be in this form. An appendix for </w:t>
            </w:r>
            <w:r w:rsidR="0096278F" w:rsidRPr="00F569B1">
              <w:rPr>
                <w:rFonts w:cstheme="minorHAnsi"/>
                <w:i/>
                <w:noProof/>
                <w:sz w:val="20"/>
                <w:szCs w:val="20"/>
              </w:rPr>
              <w:t>supplemental</w:t>
            </w:r>
            <w:r w:rsidR="0096278F" w:rsidRPr="00F569B1">
              <w:rPr>
                <w:rFonts w:cstheme="minorHAnsi"/>
                <w:noProof/>
                <w:sz w:val="20"/>
                <w:szCs w:val="20"/>
              </w:rPr>
              <w:t xml:space="preserve"> materials may be submitted, but there is no guarantee it will be reviewed.</w:t>
            </w:r>
          </w:p>
          <w:p w:rsidR="00C14CCC" w:rsidRPr="00F569B1" w:rsidRDefault="00977591" w:rsidP="00F569B1">
            <w:pPr>
              <w:pStyle w:val="ListParagraph"/>
              <w:numPr>
                <w:ilvl w:val="0"/>
                <w:numId w:val="6"/>
              </w:numPr>
              <w:rPr>
                <w:rFonts w:cstheme="minorHAnsi"/>
                <w:noProof/>
                <w:sz w:val="20"/>
                <w:szCs w:val="20"/>
              </w:rPr>
            </w:pPr>
            <w:r w:rsidRPr="00F569B1">
              <w:rPr>
                <w:sz w:val="20"/>
                <w:szCs w:val="20"/>
              </w:rPr>
              <w:t>If you are unable to check a</w:t>
            </w:r>
            <w:r w:rsidR="009D7E38" w:rsidRPr="00F569B1">
              <w:rPr>
                <w:sz w:val="20"/>
                <w:szCs w:val="20"/>
              </w:rPr>
              <w:t xml:space="preserve"> box, please highlight or </w:t>
            </w:r>
            <w:r w:rsidR="00C14CCC" w:rsidRPr="00F569B1">
              <w:rPr>
                <w:sz w:val="20"/>
                <w:szCs w:val="20"/>
              </w:rPr>
              <w:t>shade the box for your response.</w:t>
            </w:r>
          </w:p>
          <w:p w:rsidR="00904E91" w:rsidRPr="00F569B1" w:rsidRDefault="009D7E38" w:rsidP="00F569B1">
            <w:pPr>
              <w:pStyle w:val="ListParagraph"/>
              <w:numPr>
                <w:ilvl w:val="0"/>
                <w:numId w:val="6"/>
              </w:numPr>
              <w:rPr>
                <w:rFonts w:cstheme="minorHAnsi"/>
                <w:noProof/>
                <w:sz w:val="20"/>
                <w:szCs w:val="20"/>
              </w:rPr>
            </w:pPr>
            <w:r w:rsidRPr="00F569B1">
              <w:rPr>
                <w:rFonts w:cstheme="minorHAnsi"/>
                <w:noProof/>
                <w:sz w:val="20"/>
                <w:szCs w:val="20"/>
              </w:rPr>
              <w:t>Maximum of 20</w:t>
            </w:r>
            <w:r w:rsidR="00702C73" w:rsidRPr="00F569B1">
              <w:rPr>
                <w:rFonts w:cstheme="minorHAnsi"/>
                <w:noProof/>
                <w:sz w:val="20"/>
                <w:szCs w:val="20"/>
              </w:rPr>
              <w:t xml:space="preserve"> pages (</w:t>
            </w:r>
            <w:r w:rsidR="00702C73" w:rsidRPr="00F569B1">
              <w:rPr>
                <w:rFonts w:cstheme="minorHAnsi"/>
                <w:i/>
                <w:noProof/>
                <w:sz w:val="20"/>
                <w:szCs w:val="20"/>
              </w:rPr>
              <w:t xml:space="preserve">incuding questions/instructions; </w:t>
            </w:r>
            <w:r w:rsidR="00977591" w:rsidRPr="00F569B1">
              <w:rPr>
                <w:sz w:val="20"/>
                <w:szCs w:val="20"/>
              </w:rPr>
              <w:t>minimum font size 11 pt; do not change margins</w:t>
            </w:r>
            <w:r w:rsidRPr="00F569B1">
              <w:rPr>
                <w:sz w:val="20"/>
                <w:szCs w:val="20"/>
              </w:rPr>
              <w:t>)</w:t>
            </w:r>
            <w:r w:rsidR="00977591" w:rsidRPr="00F569B1">
              <w:rPr>
                <w:sz w:val="20"/>
                <w:szCs w:val="20"/>
              </w:rPr>
              <w:t xml:space="preserve">. </w:t>
            </w:r>
            <w:r w:rsidR="00977591" w:rsidRPr="00F569B1">
              <w:rPr>
                <w:b/>
                <w:i/>
                <w:sz w:val="20"/>
                <w:szCs w:val="20"/>
              </w:rPr>
              <w:t>Contact NQF staff if more pages are needed.</w:t>
            </w:r>
          </w:p>
          <w:p w:rsidR="00904E91" w:rsidRPr="00F569B1" w:rsidRDefault="00977591" w:rsidP="00F569B1">
            <w:pPr>
              <w:pStyle w:val="ListParagraph"/>
              <w:numPr>
                <w:ilvl w:val="0"/>
                <w:numId w:val="6"/>
              </w:numPr>
              <w:rPr>
                <w:rFonts w:cstheme="minorHAnsi"/>
                <w:noProof/>
                <w:sz w:val="20"/>
                <w:szCs w:val="20"/>
              </w:rPr>
            </w:pPr>
            <w:r w:rsidRPr="00F569B1">
              <w:rPr>
                <w:sz w:val="20"/>
                <w:szCs w:val="20"/>
              </w:rPr>
              <w:t>Contact NQF staff regardi</w:t>
            </w:r>
            <w:r w:rsidR="008F589F" w:rsidRPr="00F569B1">
              <w:rPr>
                <w:sz w:val="20"/>
                <w:szCs w:val="20"/>
              </w:rPr>
              <w:t xml:space="preserve">ng questions. Check for resources at </w:t>
            </w:r>
            <w:hyperlink r:id="rId8" w:history="1">
              <w:r w:rsidR="00145149" w:rsidRPr="00F569B1">
                <w:rPr>
                  <w:rStyle w:val="Hyperlink"/>
                  <w:sz w:val="20"/>
                  <w:szCs w:val="20"/>
                </w:rPr>
                <w:t>Submitting Standards webpage</w:t>
              </w:r>
            </w:hyperlink>
            <w:r w:rsidR="00145149" w:rsidRPr="00F569B1">
              <w:rPr>
                <w:sz w:val="20"/>
                <w:szCs w:val="20"/>
              </w:rPr>
              <w:t>.</w:t>
            </w:r>
          </w:p>
        </w:tc>
      </w:tr>
    </w:tbl>
    <w:p w:rsidR="005C73CA" w:rsidRDefault="005C73CA" w:rsidP="00F569B1">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F569B1" w:rsidTr="00145149">
        <w:trPr>
          <w:jc w:val="center"/>
        </w:trPr>
        <w:tc>
          <w:tcPr>
            <w:tcW w:w="9576" w:type="dxa"/>
          </w:tcPr>
          <w:p w:rsidR="00B53E8B" w:rsidRPr="00F569B1" w:rsidRDefault="00B53E8B" w:rsidP="00F569B1">
            <w:pPr>
              <w:rPr>
                <w:rFonts w:cstheme="minorHAnsi"/>
                <w:b/>
                <w:bCs/>
                <w:sz w:val="20"/>
                <w:szCs w:val="20"/>
              </w:rPr>
            </w:pPr>
            <w:r w:rsidRPr="00F569B1">
              <w:rPr>
                <w:b/>
                <w:bCs/>
                <w:sz w:val="20"/>
                <w:szCs w:val="20"/>
                <w:u w:val="single"/>
              </w:rPr>
              <w:t>Note</w:t>
            </w:r>
            <w:r w:rsidRPr="00F569B1">
              <w:rPr>
                <w:b/>
                <w:bCs/>
                <w:sz w:val="20"/>
                <w:szCs w:val="20"/>
              </w:rPr>
              <w:t>: The information provided in this form is intended to aid the Steering Committee and other stakeholders in understanding to what degree the testing results for this measure meet NQF’s evaluation criteria</w:t>
            </w:r>
            <w:r w:rsidR="000E78F6" w:rsidRPr="00F569B1">
              <w:rPr>
                <w:b/>
                <w:bCs/>
                <w:sz w:val="20"/>
                <w:szCs w:val="20"/>
              </w:rPr>
              <w:t xml:space="preserve"> for testing</w:t>
            </w:r>
            <w:r w:rsidRPr="00F569B1">
              <w:rPr>
                <w:b/>
                <w:bCs/>
                <w:sz w:val="20"/>
                <w:szCs w:val="20"/>
              </w:rPr>
              <w:t>.</w:t>
            </w:r>
          </w:p>
          <w:p w:rsidR="00B53E8B" w:rsidRPr="00F569B1" w:rsidRDefault="00B53E8B" w:rsidP="00F569B1">
            <w:pPr>
              <w:rPr>
                <w:rFonts w:cstheme="minorHAnsi"/>
                <w:b/>
                <w:bCs/>
                <w:sz w:val="20"/>
                <w:szCs w:val="20"/>
              </w:rPr>
            </w:pPr>
          </w:p>
          <w:p w:rsidR="00BC0D25" w:rsidRPr="00F569B1" w:rsidRDefault="00145149" w:rsidP="00F569B1">
            <w:pPr>
              <w:rPr>
                <w:rFonts w:cstheme="minorHAnsi"/>
                <w:bCs/>
                <w:iCs/>
                <w:sz w:val="20"/>
                <w:szCs w:val="20"/>
              </w:rPr>
            </w:pPr>
            <w:r w:rsidRPr="00F569B1">
              <w:rPr>
                <w:rFonts w:cstheme="minorHAnsi"/>
                <w:b/>
                <w:bCs/>
                <w:sz w:val="20"/>
                <w:szCs w:val="20"/>
              </w:rPr>
              <w:t>2a2.</w:t>
            </w:r>
            <w:r w:rsidRPr="00F569B1">
              <w:rPr>
                <w:rFonts w:cstheme="minorHAnsi"/>
                <w:sz w:val="20"/>
                <w:szCs w:val="20"/>
              </w:rPr>
              <w:t xml:space="preserve"> </w:t>
            </w:r>
            <w:r w:rsidRPr="00F569B1">
              <w:rPr>
                <w:rFonts w:cstheme="minorHAnsi"/>
                <w:b/>
                <w:sz w:val="20"/>
                <w:szCs w:val="20"/>
              </w:rPr>
              <w:t>Reliability testing</w:t>
            </w:r>
            <w:r w:rsidRPr="00F569B1">
              <w:rPr>
                <w:rFonts w:cstheme="minorHAnsi"/>
                <w:sz w:val="20"/>
                <w:szCs w:val="20"/>
              </w:rPr>
              <w:t xml:space="preserve"> </w:t>
            </w:r>
            <w:hyperlink w:anchor="Note10" w:history="1">
              <w:r w:rsidRPr="00F569B1">
                <w:rPr>
                  <w:rStyle w:val="Hyperlink"/>
                  <w:rFonts w:cstheme="minorHAnsi"/>
                  <w:b/>
                  <w:sz w:val="20"/>
                  <w:szCs w:val="20"/>
                  <w:vertAlign w:val="superscript"/>
                </w:rPr>
                <w:t>10</w:t>
              </w:r>
            </w:hyperlink>
            <w:r w:rsidRPr="00F569B1">
              <w:rPr>
                <w:rFonts w:cstheme="minorHAnsi"/>
                <w:sz w:val="20"/>
                <w:szCs w:val="20"/>
              </w:rPr>
              <w:t xml:space="preserve"> demonstrates the measure data elements are repeatable, producing the same results a high proportion of the time when assessed </w:t>
            </w:r>
            <w:r w:rsidRPr="00F569B1">
              <w:rPr>
                <w:rFonts w:cstheme="minorHAnsi"/>
                <w:bCs/>
                <w:iCs/>
                <w:sz w:val="20"/>
                <w:szCs w:val="20"/>
              </w:rPr>
              <w:t xml:space="preserve">in the same population in the same time period </w:t>
            </w:r>
            <w:r w:rsidRPr="00F569B1">
              <w:rPr>
                <w:rFonts w:cstheme="minorHAnsi"/>
                <w:sz w:val="20"/>
                <w:szCs w:val="20"/>
              </w:rPr>
              <w:t>and/or that the measure score is precise</w:t>
            </w:r>
            <w:r w:rsidRPr="00F569B1">
              <w:rPr>
                <w:rFonts w:cstheme="minorHAnsi"/>
                <w:bCs/>
                <w:iCs/>
                <w:sz w:val="20"/>
                <w:szCs w:val="20"/>
              </w:rPr>
              <w:t>.</w:t>
            </w:r>
            <w:r w:rsidR="00125273" w:rsidRPr="00F569B1">
              <w:rPr>
                <w:rFonts w:cstheme="minorHAnsi"/>
                <w:bCs/>
                <w:iCs/>
                <w:sz w:val="20"/>
                <w:szCs w:val="20"/>
              </w:rPr>
              <w:t xml:space="preserve"> For </w:t>
            </w:r>
            <w:r w:rsidR="00125273" w:rsidRPr="00F569B1">
              <w:rPr>
                <w:rFonts w:cstheme="minorHAnsi"/>
                <w:b/>
                <w:bCs/>
                <w:iCs/>
                <w:sz w:val="20"/>
                <w:szCs w:val="20"/>
              </w:rPr>
              <w:t>PRO-PMs and composite performance measures</w:t>
            </w:r>
            <w:r w:rsidR="00125273" w:rsidRPr="00F569B1">
              <w:rPr>
                <w:rFonts w:cstheme="minorHAnsi"/>
                <w:bCs/>
                <w:iCs/>
                <w:sz w:val="20"/>
                <w:szCs w:val="20"/>
              </w:rPr>
              <w:t>, reliability should be demonstrated for the computed performance score.</w:t>
            </w:r>
          </w:p>
          <w:p w:rsidR="00145149" w:rsidRPr="00F569B1" w:rsidRDefault="00145149" w:rsidP="00F569B1">
            <w:pPr>
              <w:autoSpaceDE w:val="0"/>
              <w:autoSpaceDN w:val="0"/>
              <w:adjustRightInd w:val="0"/>
              <w:rPr>
                <w:rFonts w:cstheme="minorHAnsi"/>
                <w:b/>
                <w:iCs/>
                <w:sz w:val="20"/>
                <w:szCs w:val="20"/>
              </w:rPr>
            </w:pPr>
          </w:p>
          <w:p w:rsidR="00145149" w:rsidRPr="00F569B1" w:rsidRDefault="00145149" w:rsidP="00F569B1">
            <w:pPr>
              <w:autoSpaceDE w:val="0"/>
              <w:autoSpaceDN w:val="0"/>
              <w:adjustRightInd w:val="0"/>
              <w:rPr>
                <w:rFonts w:cstheme="minorHAnsi"/>
                <w:sz w:val="20"/>
                <w:szCs w:val="20"/>
              </w:rPr>
            </w:pPr>
            <w:r w:rsidRPr="00F569B1">
              <w:rPr>
                <w:rFonts w:cstheme="minorHAnsi"/>
                <w:b/>
                <w:iCs/>
                <w:sz w:val="20"/>
                <w:szCs w:val="20"/>
              </w:rPr>
              <w:t>2b2.</w:t>
            </w:r>
            <w:r w:rsidRPr="00F569B1">
              <w:rPr>
                <w:rFonts w:cstheme="minorHAnsi"/>
                <w:bCs/>
                <w:iCs/>
                <w:sz w:val="20"/>
                <w:szCs w:val="20"/>
              </w:rPr>
              <w:t xml:space="preserve"> </w:t>
            </w:r>
            <w:r w:rsidRPr="00F569B1">
              <w:rPr>
                <w:rFonts w:cstheme="minorHAnsi"/>
                <w:b/>
                <w:bCs/>
                <w:iCs/>
                <w:sz w:val="20"/>
                <w:szCs w:val="20"/>
              </w:rPr>
              <w:t>Validity testing</w:t>
            </w:r>
            <w:r w:rsidRPr="00F569B1">
              <w:rPr>
                <w:rFonts w:cstheme="minorHAnsi"/>
                <w:bCs/>
                <w:iCs/>
                <w:sz w:val="20"/>
                <w:szCs w:val="20"/>
              </w:rPr>
              <w:t xml:space="preserve"> </w:t>
            </w:r>
            <w:hyperlink w:anchor="Note11" w:history="1">
              <w:r w:rsidRPr="00F569B1">
                <w:rPr>
                  <w:rStyle w:val="Hyperlink"/>
                  <w:rFonts w:cstheme="minorHAnsi"/>
                  <w:b/>
                  <w:sz w:val="20"/>
                  <w:szCs w:val="20"/>
                  <w:vertAlign w:val="superscript"/>
                </w:rPr>
                <w:t>11</w:t>
              </w:r>
            </w:hyperlink>
            <w:r w:rsidRPr="00F569B1">
              <w:rPr>
                <w:rFonts w:cstheme="minorHAnsi"/>
                <w:bCs/>
                <w:iCs/>
                <w:sz w:val="20"/>
                <w:szCs w:val="20"/>
              </w:rPr>
              <w:t xml:space="preserve"> demonstrates that the measure data elements are correct and/or the </w:t>
            </w:r>
            <w:r w:rsidRPr="00F569B1">
              <w:rPr>
                <w:rFonts w:cstheme="minorHAnsi"/>
                <w:sz w:val="20"/>
                <w:szCs w:val="20"/>
              </w:rPr>
              <w:t>measure score correctly reflects the quality of care provided, adequately identifying differences in quality</w:t>
            </w:r>
            <w:r w:rsidRPr="00F569B1">
              <w:rPr>
                <w:rFonts w:cstheme="minorHAnsi"/>
                <w:color w:val="0000FF"/>
                <w:sz w:val="20"/>
                <w:szCs w:val="20"/>
              </w:rPr>
              <w:t xml:space="preserve">.  </w:t>
            </w:r>
            <w:r w:rsidR="00372FE3" w:rsidRPr="00F569B1">
              <w:rPr>
                <w:rFonts w:cstheme="minorHAnsi"/>
                <w:bCs/>
                <w:iCs/>
                <w:sz w:val="20"/>
                <w:szCs w:val="20"/>
              </w:rPr>
              <w:t xml:space="preserve">For </w:t>
            </w:r>
            <w:r w:rsidR="00372FE3" w:rsidRPr="00F569B1">
              <w:rPr>
                <w:rFonts w:cstheme="minorHAnsi"/>
                <w:b/>
                <w:bCs/>
                <w:iCs/>
                <w:sz w:val="20"/>
                <w:szCs w:val="20"/>
              </w:rPr>
              <w:t>PRO-PMs and composite performance measures</w:t>
            </w:r>
            <w:r w:rsidR="00372FE3" w:rsidRPr="00F569B1">
              <w:rPr>
                <w:rFonts w:cstheme="minorHAnsi"/>
                <w:bCs/>
                <w:iCs/>
                <w:sz w:val="20"/>
                <w:szCs w:val="20"/>
              </w:rPr>
              <w:t>, validity should be demonstrated for the computed performance score.</w:t>
            </w:r>
          </w:p>
          <w:p w:rsidR="00145149" w:rsidRPr="00F569B1" w:rsidRDefault="00145149" w:rsidP="00F569B1">
            <w:pPr>
              <w:rPr>
                <w:rFonts w:cstheme="minorHAnsi"/>
                <w:sz w:val="20"/>
                <w:szCs w:val="20"/>
              </w:rPr>
            </w:pPr>
            <w:bookmarkStart w:id="0" w:name="_Toc256067249"/>
          </w:p>
          <w:p w:rsidR="00145149" w:rsidRPr="00F569B1" w:rsidRDefault="00145149" w:rsidP="00F569B1">
            <w:pPr>
              <w:rPr>
                <w:rFonts w:cstheme="minorHAnsi"/>
                <w:sz w:val="20"/>
                <w:szCs w:val="20"/>
              </w:rPr>
            </w:pPr>
            <w:r w:rsidRPr="00F569B1">
              <w:rPr>
                <w:rFonts w:cstheme="minorHAnsi"/>
                <w:b/>
                <w:bCs/>
                <w:sz w:val="20"/>
                <w:szCs w:val="20"/>
              </w:rPr>
              <w:t>2b3.</w:t>
            </w:r>
            <w:r w:rsidRPr="00F569B1">
              <w:rPr>
                <w:rFonts w:cstheme="minorHAnsi"/>
                <w:sz w:val="20"/>
                <w:szCs w:val="20"/>
              </w:rPr>
              <w:t xml:space="preserve"> Exclusions are supported by the clinical evidence; otherwise, they are supported by evidence of sufficient frequency of occurrence so that results are distorted without the exclusion; </w:t>
            </w:r>
            <w:hyperlink w:anchor="Note12" w:history="1">
              <w:r w:rsidRPr="00F569B1">
                <w:rPr>
                  <w:rStyle w:val="Hyperlink"/>
                  <w:rFonts w:cstheme="minorHAnsi"/>
                  <w:b/>
                  <w:sz w:val="20"/>
                  <w:szCs w:val="20"/>
                  <w:vertAlign w:val="superscript"/>
                </w:rPr>
                <w:t>12</w:t>
              </w:r>
            </w:hyperlink>
          </w:p>
          <w:p w:rsidR="00145149" w:rsidRPr="00F569B1" w:rsidRDefault="00145149" w:rsidP="00F569B1">
            <w:pPr>
              <w:rPr>
                <w:rFonts w:cstheme="minorHAnsi"/>
                <w:b/>
                <w:sz w:val="20"/>
                <w:szCs w:val="20"/>
              </w:rPr>
            </w:pPr>
            <w:r w:rsidRPr="00F569B1">
              <w:rPr>
                <w:rFonts w:cstheme="minorHAnsi"/>
                <w:b/>
                <w:sz w:val="20"/>
                <w:szCs w:val="20"/>
              </w:rPr>
              <w:t xml:space="preserve">AND </w:t>
            </w:r>
          </w:p>
          <w:p w:rsidR="00145149" w:rsidRPr="00F569B1" w:rsidRDefault="00145149" w:rsidP="00F569B1">
            <w:pPr>
              <w:rPr>
                <w:rFonts w:cstheme="minorHAnsi"/>
                <w:sz w:val="20"/>
                <w:szCs w:val="20"/>
              </w:rPr>
            </w:pPr>
            <w:r w:rsidRPr="00F569B1">
              <w:rPr>
                <w:rFonts w:cstheme="minorHAnsi"/>
                <w:sz w:val="20"/>
                <w:szCs w:val="20"/>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F569B1">
                <w:rPr>
                  <w:rStyle w:val="Hyperlink"/>
                  <w:rFonts w:cstheme="minorHAnsi"/>
                  <w:b/>
                  <w:sz w:val="20"/>
                  <w:szCs w:val="20"/>
                  <w:vertAlign w:val="superscript"/>
                </w:rPr>
                <w:t>13</w:t>
              </w:r>
            </w:hyperlink>
          </w:p>
          <w:p w:rsidR="00145149" w:rsidRPr="00F569B1" w:rsidRDefault="00145149" w:rsidP="00F569B1">
            <w:pPr>
              <w:rPr>
                <w:rFonts w:cstheme="minorHAnsi"/>
                <w:b/>
                <w:bCs/>
                <w:sz w:val="20"/>
                <w:szCs w:val="20"/>
              </w:rPr>
            </w:pPr>
          </w:p>
          <w:p w:rsidR="00145149" w:rsidRPr="00F569B1" w:rsidRDefault="00145149" w:rsidP="00F569B1">
            <w:pPr>
              <w:rPr>
                <w:rFonts w:cstheme="minorHAnsi"/>
                <w:sz w:val="20"/>
                <w:szCs w:val="20"/>
              </w:rPr>
            </w:pPr>
            <w:bookmarkStart w:id="1" w:name="_Toc256067250"/>
            <w:r w:rsidRPr="00F569B1">
              <w:rPr>
                <w:rFonts w:cstheme="minorHAnsi"/>
                <w:b/>
                <w:bCs/>
                <w:sz w:val="20"/>
                <w:szCs w:val="20"/>
              </w:rPr>
              <w:t>2b4.</w:t>
            </w:r>
            <w:r w:rsidRPr="00F569B1">
              <w:rPr>
                <w:rFonts w:cstheme="minorHAnsi"/>
                <w:sz w:val="20"/>
                <w:szCs w:val="20"/>
              </w:rPr>
              <w:t xml:space="preserve"> </w:t>
            </w:r>
            <w:r w:rsidRPr="00F569B1">
              <w:rPr>
                <w:rFonts w:cstheme="minorHAnsi"/>
                <w:b/>
                <w:sz w:val="20"/>
                <w:szCs w:val="20"/>
              </w:rPr>
              <w:t>For outcome measures and other measures when indicated</w:t>
            </w:r>
            <w:r w:rsidRPr="00F569B1">
              <w:rPr>
                <w:rFonts w:cstheme="minorHAnsi"/>
                <w:sz w:val="20"/>
                <w:szCs w:val="20"/>
              </w:rPr>
              <w:t xml:space="preserve"> (e.g., resource use): </w:t>
            </w:r>
          </w:p>
          <w:p w:rsidR="00145149" w:rsidRPr="00F569B1" w:rsidRDefault="00145149" w:rsidP="00F569B1">
            <w:pPr>
              <w:numPr>
                <w:ilvl w:val="0"/>
                <w:numId w:val="26"/>
              </w:numPr>
              <w:ind w:left="0" w:firstLine="0"/>
              <w:rPr>
                <w:rFonts w:cstheme="minorHAnsi"/>
                <w:sz w:val="20"/>
                <w:szCs w:val="20"/>
              </w:rPr>
            </w:pPr>
            <w:r w:rsidRPr="00F569B1">
              <w:rPr>
                <w:rFonts w:cstheme="minorHAnsi"/>
                <w:b/>
                <w:sz w:val="20"/>
                <w:szCs w:val="20"/>
              </w:rPr>
              <w:t>an evidence-based risk-adjustment strategy</w:t>
            </w:r>
            <w:r w:rsidRPr="00F569B1">
              <w:rPr>
                <w:rFonts w:cstheme="minorHAnsi"/>
                <w:sz w:val="20"/>
                <w:szCs w:val="20"/>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F569B1">
                <w:rPr>
                  <w:rStyle w:val="Hyperlink"/>
                  <w:rFonts w:cstheme="minorHAnsi"/>
                  <w:b/>
                  <w:sz w:val="20"/>
                  <w:szCs w:val="20"/>
                  <w:vertAlign w:val="superscript"/>
                </w:rPr>
                <w:t>14</w:t>
              </w:r>
            </w:hyperlink>
            <w:r w:rsidRPr="00F569B1">
              <w:rPr>
                <w:rFonts w:cstheme="minorHAnsi"/>
                <w:b/>
                <w:sz w:val="20"/>
                <w:szCs w:val="20"/>
                <w:vertAlign w:val="superscript"/>
              </w:rPr>
              <w:t>,</w:t>
            </w:r>
            <w:hyperlink w:anchor="Note15" w:history="1">
              <w:r w:rsidRPr="00F569B1">
                <w:rPr>
                  <w:rStyle w:val="Hyperlink"/>
                  <w:rFonts w:cstheme="minorHAnsi"/>
                  <w:b/>
                  <w:sz w:val="20"/>
                  <w:szCs w:val="20"/>
                  <w:vertAlign w:val="superscript"/>
                </w:rPr>
                <w:t>15</w:t>
              </w:r>
            </w:hyperlink>
            <w:r w:rsidRPr="00F569B1">
              <w:rPr>
                <w:rFonts w:cstheme="minorHAnsi"/>
                <w:sz w:val="20"/>
                <w:szCs w:val="20"/>
              </w:rPr>
              <w:t xml:space="preserve"> and has demonstrated adequate discrimination and calibration</w:t>
            </w:r>
          </w:p>
          <w:p w:rsidR="00145149" w:rsidRPr="00F569B1" w:rsidRDefault="00145149" w:rsidP="00F569B1">
            <w:pPr>
              <w:rPr>
                <w:rFonts w:cstheme="minorHAnsi"/>
                <w:b/>
                <w:sz w:val="20"/>
                <w:szCs w:val="20"/>
              </w:rPr>
            </w:pPr>
            <w:r w:rsidRPr="00F569B1">
              <w:rPr>
                <w:rFonts w:cstheme="minorHAnsi"/>
                <w:b/>
                <w:sz w:val="20"/>
                <w:szCs w:val="20"/>
              </w:rPr>
              <w:t>OR</w:t>
            </w:r>
          </w:p>
          <w:p w:rsidR="00145149" w:rsidRPr="00F569B1" w:rsidRDefault="00145149" w:rsidP="00F569B1">
            <w:pPr>
              <w:numPr>
                <w:ilvl w:val="0"/>
                <w:numId w:val="26"/>
              </w:numPr>
              <w:ind w:left="0" w:firstLine="0"/>
              <w:rPr>
                <w:rFonts w:cstheme="minorHAnsi"/>
                <w:sz w:val="20"/>
                <w:szCs w:val="20"/>
              </w:rPr>
            </w:pPr>
            <w:proofErr w:type="gramStart"/>
            <w:r w:rsidRPr="00F569B1">
              <w:rPr>
                <w:rFonts w:cstheme="minorHAnsi"/>
                <w:sz w:val="20"/>
                <w:szCs w:val="20"/>
              </w:rPr>
              <w:lastRenderedPageBreak/>
              <w:t>rationale/data</w:t>
            </w:r>
            <w:proofErr w:type="gramEnd"/>
            <w:r w:rsidRPr="00F569B1">
              <w:rPr>
                <w:rFonts w:cstheme="minorHAnsi"/>
                <w:sz w:val="20"/>
                <w:szCs w:val="20"/>
              </w:rPr>
              <w:t xml:space="preserve"> support no risk adjustment/ stratification. </w:t>
            </w:r>
          </w:p>
          <w:p w:rsidR="00145149" w:rsidRPr="00F569B1" w:rsidRDefault="00145149" w:rsidP="00F569B1">
            <w:pPr>
              <w:rPr>
                <w:rFonts w:cstheme="minorHAnsi"/>
                <w:b/>
                <w:bCs/>
                <w:sz w:val="20"/>
                <w:szCs w:val="20"/>
              </w:rPr>
            </w:pPr>
          </w:p>
          <w:bookmarkEnd w:id="1"/>
          <w:p w:rsidR="00145149" w:rsidRPr="00F569B1" w:rsidRDefault="00145149" w:rsidP="00F569B1">
            <w:pPr>
              <w:rPr>
                <w:rFonts w:cstheme="minorHAnsi"/>
                <w:sz w:val="20"/>
                <w:szCs w:val="20"/>
              </w:rPr>
            </w:pPr>
            <w:r w:rsidRPr="00F569B1">
              <w:rPr>
                <w:rFonts w:cstheme="minorHAnsi"/>
                <w:b/>
                <w:bCs/>
                <w:sz w:val="20"/>
                <w:szCs w:val="20"/>
              </w:rPr>
              <w:t>2b5.</w:t>
            </w:r>
            <w:r w:rsidRPr="00F569B1">
              <w:rPr>
                <w:rFonts w:cstheme="minorHAnsi"/>
                <w:sz w:val="20"/>
                <w:szCs w:val="20"/>
              </w:rPr>
              <w:t xml:space="preserve"> Data analysis of computed measure scores demonstrates that methods for scoring and analysis of the specified measure allow for </w:t>
            </w:r>
            <w:r w:rsidRPr="00F569B1">
              <w:rPr>
                <w:rFonts w:cstheme="minorHAnsi"/>
                <w:b/>
                <w:sz w:val="20"/>
                <w:szCs w:val="20"/>
              </w:rPr>
              <w:t>identification of statistically significant and practically/clinically meaningful</w:t>
            </w:r>
            <w:r w:rsidRPr="00F569B1">
              <w:rPr>
                <w:rFonts w:cstheme="minorHAnsi"/>
                <w:sz w:val="20"/>
                <w:szCs w:val="20"/>
              </w:rPr>
              <w:t xml:space="preserve"> </w:t>
            </w:r>
            <w:hyperlink w:anchor="Note16" w:history="1">
              <w:r w:rsidRPr="00F569B1">
                <w:rPr>
                  <w:rStyle w:val="Hyperlink"/>
                  <w:rFonts w:cstheme="minorHAnsi"/>
                  <w:b/>
                  <w:sz w:val="20"/>
                  <w:szCs w:val="20"/>
                  <w:vertAlign w:val="superscript"/>
                </w:rPr>
                <w:t>16</w:t>
              </w:r>
            </w:hyperlink>
            <w:r w:rsidRPr="00F569B1">
              <w:rPr>
                <w:rFonts w:cstheme="minorHAnsi"/>
                <w:sz w:val="20"/>
                <w:szCs w:val="20"/>
              </w:rPr>
              <w:t xml:space="preserve"> </w:t>
            </w:r>
            <w:r w:rsidRPr="00F569B1">
              <w:rPr>
                <w:rFonts w:cstheme="minorHAnsi"/>
                <w:b/>
                <w:sz w:val="20"/>
                <w:szCs w:val="20"/>
              </w:rPr>
              <w:t>differences in performance</w:t>
            </w:r>
            <w:r w:rsidRPr="00F569B1">
              <w:rPr>
                <w:rFonts w:cstheme="minorHAnsi"/>
                <w:sz w:val="20"/>
                <w:szCs w:val="20"/>
              </w:rPr>
              <w:t>;</w:t>
            </w:r>
          </w:p>
          <w:p w:rsidR="00145149" w:rsidRPr="00F569B1" w:rsidRDefault="00145149" w:rsidP="00F569B1">
            <w:pPr>
              <w:rPr>
                <w:rFonts w:cstheme="minorHAnsi"/>
                <w:sz w:val="20"/>
                <w:szCs w:val="20"/>
              </w:rPr>
            </w:pPr>
            <w:r w:rsidRPr="00F569B1">
              <w:rPr>
                <w:rFonts w:cstheme="minorHAnsi"/>
                <w:b/>
                <w:sz w:val="20"/>
                <w:szCs w:val="20"/>
              </w:rPr>
              <w:t>OR</w:t>
            </w:r>
          </w:p>
          <w:p w:rsidR="00145149" w:rsidRPr="00F569B1" w:rsidRDefault="00145149" w:rsidP="00F569B1">
            <w:pPr>
              <w:rPr>
                <w:rFonts w:cstheme="minorHAnsi"/>
                <w:sz w:val="20"/>
                <w:szCs w:val="20"/>
              </w:rPr>
            </w:pPr>
            <w:proofErr w:type="gramStart"/>
            <w:r w:rsidRPr="00F569B1">
              <w:rPr>
                <w:rFonts w:cstheme="minorHAnsi"/>
                <w:sz w:val="20"/>
                <w:szCs w:val="20"/>
              </w:rPr>
              <w:t>there</w:t>
            </w:r>
            <w:proofErr w:type="gramEnd"/>
            <w:r w:rsidRPr="00F569B1">
              <w:rPr>
                <w:rFonts w:cstheme="minorHAnsi"/>
                <w:sz w:val="20"/>
                <w:szCs w:val="20"/>
              </w:rPr>
              <w:t xml:space="preserve"> is evidence of overall less-than-optimal performance. </w:t>
            </w:r>
          </w:p>
          <w:p w:rsidR="00145149" w:rsidRPr="00F569B1" w:rsidRDefault="00145149" w:rsidP="00F569B1">
            <w:pPr>
              <w:rPr>
                <w:rFonts w:cstheme="minorHAnsi"/>
                <w:b/>
                <w:bCs/>
                <w:sz w:val="20"/>
                <w:szCs w:val="20"/>
              </w:rPr>
            </w:pPr>
          </w:p>
          <w:p w:rsidR="00145149" w:rsidRPr="00F569B1" w:rsidRDefault="00145149" w:rsidP="00F569B1">
            <w:pPr>
              <w:rPr>
                <w:rFonts w:cstheme="minorHAnsi"/>
                <w:sz w:val="20"/>
                <w:szCs w:val="20"/>
              </w:rPr>
            </w:pPr>
            <w:r w:rsidRPr="00F569B1">
              <w:rPr>
                <w:rFonts w:cstheme="minorHAnsi"/>
                <w:b/>
                <w:bCs/>
                <w:sz w:val="20"/>
                <w:szCs w:val="20"/>
              </w:rPr>
              <w:t>2b6.</w:t>
            </w:r>
            <w:r w:rsidRPr="00F569B1">
              <w:rPr>
                <w:rFonts w:cstheme="minorHAnsi"/>
                <w:sz w:val="20"/>
                <w:szCs w:val="20"/>
              </w:rPr>
              <w:t xml:space="preserve"> </w:t>
            </w:r>
            <w:r w:rsidRPr="00F569B1">
              <w:rPr>
                <w:rFonts w:cstheme="minorHAnsi"/>
                <w:b/>
                <w:sz w:val="20"/>
                <w:szCs w:val="20"/>
              </w:rPr>
              <w:t>If multiple data sources/methods are specified, there is demonstration they produce comparable results</w:t>
            </w:r>
            <w:r w:rsidRPr="00F569B1">
              <w:rPr>
                <w:rFonts w:cstheme="minorHAnsi"/>
                <w:sz w:val="20"/>
                <w:szCs w:val="20"/>
              </w:rPr>
              <w:t>.</w:t>
            </w:r>
          </w:p>
          <w:p w:rsidR="00E30584" w:rsidRPr="00F569B1" w:rsidRDefault="00E30584" w:rsidP="00F569B1">
            <w:pPr>
              <w:rPr>
                <w:rFonts w:cstheme="minorHAnsi"/>
                <w:sz w:val="20"/>
                <w:szCs w:val="20"/>
              </w:rPr>
            </w:pPr>
          </w:p>
          <w:p w:rsidR="00E30584" w:rsidRPr="00F569B1" w:rsidRDefault="00E30584" w:rsidP="00F569B1">
            <w:pPr>
              <w:rPr>
                <w:rFonts w:cstheme="minorHAnsi"/>
                <w:sz w:val="20"/>
                <w:szCs w:val="20"/>
              </w:rPr>
            </w:pPr>
            <w:r w:rsidRPr="00F569B1">
              <w:rPr>
                <w:rFonts w:ascii="Calibri" w:eastAsia="Calibri" w:hAnsi="Calibri" w:cs="Calibri"/>
                <w:b/>
                <w:sz w:val="20"/>
                <w:szCs w:val="20"/>
              </w:rPr>
              <w:t>2b7.</w:t>
            </w:r>
            <w:r w:rsidRPr="00F569B1">
              <w:rPr>
                <w:rFonts w:ascii="Calibri" w:eastAsia="Calibri" w:hAnsi="Calibri" w:cs="Calibri"/>
                <w:sz w:val="20"/>
                <w:szCs w:val="20"/>
              </w:rPr>
              <w:t xml:space="preserve"> For </w:t>
            </w:r>
            <w:r w:rsidRPr="00F569B1">
              <w:rPr>
                <w:rFonts w:ascii="Calibri" w:eastAsia="Calibri" w:hAnsi="Calibri" w:cs="Calibri"/>
                <w:b/>
                <w:sz w:val="20"/>
                <w:szCs w:val="20"/>
              </w:rPr>
              <w:t>eMeasures, composites, and PRO-PMs</w:t>
            </w:r>
            <w:r w:rsidRPr="00F569B1">
              <w:rPr>
                <w:rFonts w:ascii="Calibri" w:eastAsia="Calibri" w:hAnsi="Calibri" w:cs="Calibri"/>
                <w:sz w:val="20"/>
                <w:szCs w:val="20"/>
              </w:rPr>
              <w:t xml:space="preserve"> (or other measures susceptible to missing data),</w:t>
            </w:r>
            <w:r w:rsidR="00A831B4" w:rsidRPr="00F569B1">
              <w:rPr>
                <w:rFonts w:ascii="Calibri" w:eastAsia="Calibri" w:hAnsi="Calibri" w:cs="Calibri"/>
                <w:b/>
                <w:sz w:val="20"/>
                <w:szCs w:val="20"/>
              </w:rPr>
              <w:t xml:space="preserve"> </w:t>
            </w:r>
            <w:r w:rsidRPr="00F569B1">
              <w:rPr>
                <w:rFonts w:ascii="Calibri" w:eastAsia="Calibri" w:hAnsi="Calibri" w:cs="Calibri"/>
                <w:sz w:val="20"/>
                <w:szCs w:val="20"/>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F569B1" w:rsidRDefault="00145149" w:rsidP="00F569B1">
            <w:pPr>
              <w:rPr>
                <w:rFonts w:cstheme="minorHAnsi"/>
                <w:b/>
                <w:bCs/>
                <w:sz w:val="20"/>
                <w:szCs w:val="20"/>
              </w:rPr>
            </w:pPr>
          </w:p>
          <w:p w:rsidR="00145149" w:rsidRPr="00F569B1" w:rsidRDefault="00145149" w:rsidP="00F569B1">
            <w:pPr>
              <w:autoSpaceDE w:val="0"/>
              <w:autoSpaceDN w:val="0"/>
              <w:adjustRightInd w:val="0"/>
              <w:rPr>
                <w:rFonts w:cstheme="minorHAnsi"/>
                <w:b/>
                <w:bCs/>
                <w:iCs/>
                <w:sz w:val="20"/>
                <w:szCs w:val="20"/>
              </w:rPr>
            </w:pPr>
            <w:r w:rsidRPr="00F569B1">
              <w:rPr>
                <w:rFonts w:cstheme="minorHAnsi"/>
                <w:b/>
                <w:bCs/>
                <w:iCs/>
                <w:sz w:val="20"/>
                <w:szCs w:val="20"/>
              </w:rPr>
              <w:t>Notes</w:t>
            </w:r>
          </w:p>
          <w:p w:rsidR="00145149" w:rsidRPr="00F569B1" w:rsidRDefault="00145149" w:rsidP="00F569B1">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F569B1">
              <w:rPr>
                <w:rFonts w:cstheme="minorHAnsi"/>
                <w:b/>
                <w:sz w:val="20"/>
                <w:szCs w:val="20"/>
              </w:rPr>
              <w:t>10.</w:t>
            </w:r>
            <w:r w:rsidRPr="00F569B1">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F569B1" w:rsidRDefault="00145149" w:rsidP="00F569B1">
            <w:pPr>
              <w:rPr>
                <w:rFonts w:cstheme="minorHAnsi"/>
                <w:sz w:val="20"/>
                <w:szCs w:val="20"/>
              </w:rPr>
            </w:pPr>
            <w:bookmarkStart w:id="5" w:name="Note11"/>
            <w:bookmarkEnd w:id="5"/>
            <w:r w:rsidRPr="00F569B1">
              <w:rPr>
                <w:rFonts w:cstheme="minorHAnsi"/>
                <w:b/>
                <w:sz w:val="20"/>
                <w:szCs w:val="20"/>
              </w:rPr>
              <w:t>11.</w:t>
            </w:r>
            <w:r w:rsidRPr="00F569B1">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F569B1" w:rsidRDefault="00145149" w:rsidP="00F569B1">
            <w:pPr>
              <w:pStyle w:val="FootnoteText"/>
              <w:rPr>
                <w:rFonts w:asciiTheme="minorHAnsi" w:hAnsiTheme="minorHAnsi" w:cstheme="minorHAnsi"/>
              </w:rPr>
            </w:pPr>
            <w:bookmarkStart w:id="6" w:name="Note12"/>
            <w:bookmarkEnd w:id="6"/>
            <w:r w:rsidRPr="00F569B1">
              <w:rPr>
                <w:rFonts w:asciiTheme="minorHAnsi" w:hAnsiTheme="minorHAnsi" w:cstheme="minorHAnsi"/>
                <w:b/>
              </w:rPr>
              <w:t>12.</w:t>
            </w:r>
            <w:r w:rsidRPr="00F569B1">
              <w:rPr>
                <w:rFonts w:asciiTheme="minorHAnsi" w:hAnsiTheme="minorHAnsi" w:cstheme="minorHAnsi"/>
              </w:rPr>
              <w:t xml:space="preserve"> Examples of evidence that </w:t>
            </w:r>
            <w:proofErr w:type="gramStart"/>
            <w:r w:rsidRPr="00F569B1">
              <w:rPr>
                <w:rFonts w:asciiTheme="minorHAnsi" w:hAnsiTheme="minorHAnsi" w:cstheme="minorHAnsi"/>
              </w:rPr>
              <w:t>an exclusion</w:t>
            </w:r>
            <w:proofErr w:type="gramEnd"/>
            <w:r w:rsidRPr="00F569B1">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F569B1" w:rsidRDefault="00145149" w:rsidP="00F569B1">
            <w:pPr>
              <w:autoSpaceDE w:val="0"/>
              <w:autoSpaceDN w:val="0"/>
              <w:adjustRightInd w:val="0"/>
              <w:rPr>
                <w:rFonts w:cstheme="minorHAnsi"/>
                <w:b/>
                <w:sz w:val="20"/>
                <w:szCs w:val="20"/>
              </w:rPr>
            </w:pPr>
            <w:bookmarkStart w:id="7" w:name="Note13"/>
            <w:bookmarkEnd w:id="7"/>
            <w:r w:rsidRPr="00F569B1">
              <w:rPr>
                <w:rFonts w:cstheme="minorHAnsi"/>
                <w:b/>
                <w:sz w:val="20"/>
                <w:szCs w:val="20"/>
              </w:rPr>
              <w:t>13.</w:t>
            </w:r>
            <w:r w:rsidRPr="00F569B1">
              <w:rPr>
                <w:rFonts w:cstheme="minorHAnsi"/>
                <w:sz w:val="20"/>
                <w:szCs w:val="20"/>
              </w:rPr>
              <w:t xml:space="preserve"> Patient preference is not a clinical exception to eligibility and can be influenced by provider interventions.</w:t>
            </w:r>
          </w:p>
          <w:p w:rsidR="00145149" w:rsidRPr="00F569B1" w:rsidRDefault="00145149" w:rsidP="00F569B1">
            <w:pPr>
              <w:pStyle w:val="FootnoteText"/>
              <w:rPr>
                <w:rFonts w:asciiTheme="minorHAnsi" w:hAnsiTheme="minorHAnsi" w:cstheme="minorHAnsi"/>
              </w:rPr>
            </w:pPr>
            <w:bookmarkStart w:id="8" w:name="Note14"/>
            <w:bookmarkEnd w:id="8"/>
            <w:r w:rsidRPr="00F569B1">
              <w:rPr>
                <w:rFonts w:asciiTheme="minorHAnsi" w:hAnsiTheme="minorHAnsi" w:cstheme="minorHAnsi"/>
                <w:b/>
              </w:rPr>
              <w:t xml:space="preserve">14. </w:t>
            </w:r>
            <w:r w:rsidRPr="00F569B1">
              <w:rPr>
                <w:rFonts w:asciiTheme="minorHAnsi" w:hAnsiTheme="minorHAnsi" w:cstheme="minorHAnsi"/>
              </w:rPr>
              <w:t>Risk factors that influence outcomes should not be specified as exclusions.</w:t>
            </w:r>
          </w:p>
          <w:p w:rsidR="00145149" w:rsidRPr="00F569B1" w:rsidRDefault="00145149" w:rsidP="00F569B1">
            <w:pPr>
              <w:rPr>
                <w:rFonts w:cstheme="minorHAnsi"/>
                <w:b/>
                <w:bCs/>
                <w:sz w:val="20"/>
                <w:szCs w:val="20"/>
              </w:rPr>
            </w:pPr>
            <w:bookmarkStart w:id="9" w:name="Note15"/>
            <w:bookmarkEnd w:id="9"/>
            <w:r w:rsidRPr="00F569B1">
              <w:rPr>
                <w:rFonts w:cstheme="minorHAnsi"/>
                <w:b/>
                <w:sz w:val="20"/>
                <w:szCs w:val="20"/>
              </w:rPr>
              <w:t>15.</w:t>
            </w:r>
            <w:r w:rsidRPr="00F569B1">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F569B1" w:rsidRDefault="00145149" w:rsidP="00F569B1">
            <w:pPr>
              <w:rPr>
                <w:rFonts w:cstheme="minorHAnsi"/>
                <w:noProof/>
                <w:sz w:val="20"/>
                <w:szCs w:val="20"/>
              </w:rPr>
            </w:pPr>
            <w:bookmarkStart w:id="10" w:name="Note16"/>
            <w:bookmarkEnd w:id="10"/>
            <w:r w:rsidRPr="00F569B1">
              <w:rPr>
                <w:rFonts w:cstheme="minorHAnsi"/>
                <w:b/>
                <w:sz w:val="20"/>
                <w:szCs w:val="20"/>
              </w:rPr>
              <w:t>16.</w:t>
            </w:r>
            <w:r w:rsidRPr="00F569B1">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702C73" w:rsidRPr="00702C73" w:rsidRDefault="00702C73" w:rsidP="00F569B1">
      <w:pPr>
        <w:spacing w:after="0" w:line="240" w:lineRule="auto"/>
        <w:rPr>
          <w:rFonts w:cstheme="minorHAnsi"/>
          <w:noProof/>
        </w:rPr>
      </w:pPr>
    </w:p>
    <w:p w:rsidR="00E27240" w:rsidRPr="00A25024" w:rsidRDefault="002B5016" w:rsidP="00F569B1">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F569B1">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F569B1">
      <w:pPr>
        <w:spacing w:after="0" w:line="240" w:lineRule="auto"/>
        <w:rPr>
          <w:rFonts w:cstheme="minorHAnsi"/>
          <w:noProof/>
        </w:rPr>
      </w:pPr>
    </w:p>
    <w:p w:rsidR="00A01494" w:rsidRDefault="002B5016" w:rsidP="00F569B1">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w:t>
      </w:r>
      <w:r w:rsidR="004348CC" w:rsidRPr="00A25024">
        <w:rPr>
          <w:rFonts w:cstheme="minorHAnsi"/>
          <w:bCs/>
          <w:i/>
        </w:rPr>
        <w:lastRenderedPageBreak/>
        <w:t xml:space="preserve">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F569B1">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F569B1">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F569B1">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839233565"/>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9891706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89955174"/>
              </w:sdtPr>
              <w:sdtContent>
                <w:r w:rsidR="00343EC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89955175"/>
              </w:sdtPr>
              <w:sdtContent>
                <w:r w:rsidR="00343EC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751091068"/>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547026371"/>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112134217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359203911"/>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89955176"/>
              </w:sdtPr>
              <w:sdtContent>
                <w:r w:rsidR="00343EC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Content>
                <w:r w:rsidR="00343ECB" w:rsidRPr="00343ECB">
                  <w:rPr>
                    <w:rStyle w:val="Style1"/>
                  </w:rPr>
                  <w:t>Medicare denominator file 2012</w:t>
                </w:r>
              </w:sdtContent>
            </w:sdt>
          </w:p>
        </w:tc>
        <w:tc>
          <w:tcPr>
            <w:tcW w:w="4847" w:type="dxa"/>
          </w:tcPr>
          <w:p w:rsidR="00A01494" w:rsidRPr="00A01494" w:rsidRDefault="00682E53" w:rsidP="00F569B1">
            <w:pPr>
              <w:autoSpaceDE w:val="0"/>
              <w:autoSpaceDN w:val="0"/>
              <w:adjustRightInd w:val="0"/>
              <w:rPr>
                <w:rFonts w:cstheme="minorHAnsi"/>
                <w:bCs/>
              </w:rPr>
            </w:pPr>
            <w:sdt>
              <w:sdtPr>
                <w:rPr>
                  <w:rFonts w:cstheme="minorHAnsi"/>
                  <w:bCs/>
                  <w:color w:val="0000FF"/>
                </w:rPr>
                <w:id w:val="89955177"/>
              </w:sdtPr>
              <w:sdtContent>
                <w:r w:rsidR="00343ECB">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89955182"/>
                <w:text/>
              </w:sdtPr>
              <w:sdtContent>
                <w:r w:rsidR="00343ECB" w:rsidRPr="00343ECB">
                  <w:rPr>
                    <w:rStyle w:val="Style1"/>
                  </w:rPr>
                  <w:t>Medicare denominator file 2012</w:t>
                </w:r>
              </w:sdtContent>
            </w:sdt>
          </w:p>
        </w:tc>
      </w:tr>
    </w:tbl>
    <w:p w:rsidR="00A01494" w:rsidRDefault="006327D8" w:rsidP="00F569B1">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F569B1">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343ECB" w:rsidRPr="00A85A0C" w:rsidRDefault="00343ECB" w:rsidP="00F569B1">
      <w:pPr>
        <w:autoSpaceDE w:val="0"/>
        <w:autoSpaceDN w:val="0"/>
        <w:adjustRightInd w:val="0"/>
        <w:spacing w:after="0" w:line="240" w:lineRule="auto"/>
        <w:rPr>
          <w:rStyle w:val="Style1"/>
        </w:rPr>
      </w:pPr>
    </w:p>
    <w:p w:rsidR="009E1846" w:rsidRDefault="00D04225" w:rsidP="00F569B1">
      <w:pPr>
        <w:autoSpaceDE w:val="0"/>
        <w:autoSpaceDN w:val="0"/>
        <w:adjustRightInd w:val="0"/>
        <w:spacing w:after="0" w:line="240" w:lineRule="auto"/>
        <w:rPr>
          <w:rStyle w:val="Style1"/>
        </w:rPr>
      </w:pPr>
      <w:r w:rsidRPr="003A0312">
        <w:rPr>
          <w:rStyle w:val="Style1"/>
        </w:rPr>
        <w:t>Medicare Part A claims</w:t>
      </w:r>
      <w:r>
        <w:rPr>
          <w:rStyle w:val="Style1"/>
        </w:rPr>
        <w:t xml:space="preserve"> and the Denominator File</w:t>
      </w:r>
    </w:p>
    <w:p w:rsidR="00F569B1" w:rsidRPr="00F569B1" w:rsidRDefault="00F569B1" w:rsidP="00F569B1">
      <w:pPr>
        <w:autoSpaceDE w:val="0"/>
        <w:autoSpaceDN w:val="0"/>
        <w:adjustRightInd w:val="0"/>
        <w:spacing w:after="0" w:line="240" w:lineRule="auto"/>
        <w:rPr>
          <w:color w:val="0000FF"/>
        </w:rPr>
      </w:pPr>
    </w:p>
    <w:p w:rsidR="0004593A" w:rsidRPr="00A25024" w:rsidRDefault="002B5016" w:rsidP="00F569B1">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rsidR="0095747D" w:rsidRDefault="0095747D" w:rsidP="00F569B1">
      <w:pPr>
        <w:pStyle w:val="ListParagraph"/>
        <w:tabs>
          <w:tab w:val="left" w:pos="3255"/>
        </w:tabs>
        <w:autoSpaceDE w:val="0"/>
        <w:autoSpaceDN w:val="0"/>
        <w:adjustRightInd w:val="0"/>
        <w:spacing w:after="0" w:line="240" w:lineRule="auto"/>
        <w:rPr>
          <w:rStyle w:val="Style1"/>
        </w:rPr>
      </w:pPr>
    </w:p>
    <w:p w:rsidR="00343ECB" w:rsidRDefault="00343ECB" w:rsidP="00F569B1">
      <w:pPr>
        <w:pStyle w:val="ListParagraph"/>
        <w:numPr>
          <w:ilvl w:val="0"/>
          <w:numId w:val="27"/>
        </w:numPr>
        <w:tabs>
          <w:tab w:val="left" w:pos="3255"/>
        </w:tabs>
        <w:autoSpaceDE w:val="0"/>
        <w:autoSpaceDN w:val="0"/>
        <w:adjustRightInd w:val="0"/>
        <w:spacing w:after="0" w:line="240" w:lineRule="auto"/>
        <w:rPr>
          <w:rStyle w:val="Style1"/>
        </w:rPr>
      </w:pPr>
      <w:r>
        <w:rPr>
          <w:rStyle w:val="Style1"/>
        </w:rPr>
        <w:t xml:space="preserve">Annual Measure - </w:t>
      </w:r>
      <w:r w:rsidRPr="00343ECB">
        <w:rPr>
          <w:rStyle w:val="Style1"/>
        </w:rPr>
        <w:t>2009-</w:t>
      </w:r>
      <w:r w:rsidRPr="000C0F7C">
        <w:rPr>
          <w:rStyle w:val="Style1"/>
        </w:rPr>
        <w:t>2012</w:t>
      </w:r>
      <w:r>
        <w:rPr>
          <w:rStyle w:val="Style1"/>
        </w:rPr>
        <w:tab/>
      </w:r>
    </w:p>
    <w:p w:rsidR="00343ECB" w:rsidRDefault="00343ECB" w:rsidP="00F569B1">
      <w:pPr>
        <w:pStyle w:val="ListParagraph"/>
        <w:numPr>
          <w:ilvl w:val="0"/>
          <w:numId w:val="27"/>
        </w:numPr>
        <w:autoSpaceDE w:val="0"/>
        <w:autoSpaceDN w:val="0"/>
        <w:adjustRightInd w:val="0"/>
        <w:spacing w:after="0" w:line="240" w:lineRule="auto"/>
        <w:rPr>
          <w:rStyle w:val="Style1"/>
        </w:rPr>
      </w:pPr>
      <w:r>
        <w:rPr>
          <w:rStyle w:val="Style1"/>
        </w:rPr>
        <w:t xml:space="preserve">Quarterly Measure - Q1 </w:t>
      </w:r>
      <w:r w:rsidRPr="000C0F7C">
        <w:rPr>
          <w:rStyle w:val="Style1"/>
        </w:rPr>
        <w:t>2009 through</w:t>
      </w:r>
      <w:r>
        <w:rPr>
          <w:rStyle w:val="Style1"/>
        </w:rPr>
        <w:t xml:space="preserve"> Q1 2013</w:t>
      </w:r>
      <w:r w:rsidRPr="000C0F7C">
        <w:rPr>
          <w:rStyle w:val="Style1"/>
        </w:rPr>
        <w:t xml:space="preserve"> </w:t>
      </w:r>
    </w:p>
    <w:p w:rsidR="0095747D" w:rsidRPr="000C0F7C" w:rsidRDefault="0095747D" w:rsidP="00F569B1">
      <w:pPr>
        <w:pStyle w:val="ListParagraph"/>
        <w:autoSpaceDE w:val="0"/>
        <w:autoSpaceDN w:val="0"/>
        <w:adjustRightInd w:val="0"/>
        <w:spacing w:after="0" w:line="240" w:lineRule="auto"/>
        <w:rPr>
          <w:rStyle w:val="Style1"/>
        </w:rPr>
      </w:pPr>
    </w:p>
    <w:p w:rsidR="000414E8" w:rsidRDefault="002B5016" w:rsidP="00F569B1">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F569B1">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F569B1">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F569B1">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185509807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1857455968"/>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275535217"/>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1896924375"/>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89955183"/>
              </w:sdtPr>
              <w:sdtContent>
                <w:r w:rsidR="00343ECB">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text/>
              </w:sdtPr>
              <w:sdtContent>
                <w:r w:rsidR="00343ECB" w:rsidRPr="00343ECB">
                  <w:rPr>
                    <w:rStyle w:val="Style1"/>
                  </w:rPr>
                  <w:t>States/Territories &amp; Communities</w:t>
                </w:r>
              </w:sdtContent>
            </w:sdt>
          </w:p>
        </w:tc>
        <w:tc>
          <w:tcPr>
            <w:tcW w:w="5028" w:type="dxa"/>
          </w:tcPr>
          <w:p w:rsidR="000414E8" w:rsidRPr="00A01494" w:rsidRDefault="00682E53" w:rsidP="00F569B1">
            <w:pPr>
              <w:autoSpaceDE w:val="0"/>
              <w:autoSpaceDN w:val="0"/>
              <w:adjustRightInd w:val="0"/>
              <w:rPr>
                <w:rFonts w:cstheme="minorHAnsi"/>
                <w:bCs/>
              </w:rPr>
            </w:pPr>
            <w:sdt>
              <w:sdtPr>
                <w:rPr>
                  <w:rFonts w:cstheme="minorHAnsi"/>
                  <w:bCs/>
                  <w:color w:val="0000FF"/>
                </w:rPr>
                <w:id w:val="89955184"/>
              </w:sdtPr>
              <w:sdtContent>
                <w:r w:rsidR="00343ECB">
                  <w:rPr>
                    <w:rFonts w:ascii="MS Gothic" w:eastAsia="MS Gothic" w:hAnsi="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89955187"/>
                <w:text/>
              </w:sdtPr>
              <w:sdtEndPr>
                <w:rPr>
                  <w:rStyle w:val="DefaultParagraphFont"/>
                  <w:rFonts w:cstheme="minorHAnsi"/>
                  <w:bCs/>
                  <w:color w:val="auto"/>
                </w:rPr>
              </w:sdtEndPr>
              <w:sdtContent>
                <w:r w:rsidR="00343ECB">
                  <w:rPr>
                    <w:rStyle w:val="Style1"/>
                  </w:rPr>
                  <w:t>States/Territories, Communities, Hospital Referral Regions (HRRs)</w:t>
                </w:r>
              </w:sdtContent>
            </w:sdt>
            <w:r w:rsidR="000414E8" w:rsidRPr="00A01494">
              <w:rPr>
                <w:rFonts w:cstheme="minorHAnsi"/>
                <w:bCs/>
              </w:rPr>
              <w:t xml:space="preserve"> </w:t>
            </w:r>
          </w:p>
        </w:tc>
      </w:tr>
    </w:tbl>
    <w:p w:rsidR="000414E8" w:rsidRPr="00A25024" w:rsidRDefault="000414E8" w:rsidP="00F569B1">
      <w:pPr>
        <w:autoSpaceDE w:val="0"/>
        <w:autoSpaceDN w:val="0"/>
        <w:adjustRightInd w:val="0"/>
        <w:spacing w:after="0" w:line="240" w:lineRule="auto"/>
        <w:rPr>
          <w:rFonts w:cstheme="minorHAnsi"/>
          <w:bCs/>
        </w:rPr>
      </w:pPr>
    </w:p>
    <w:p w:rsidR="002E78A0" w:rsidRDefault="002B5016" w:rsidP="00F569B1">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2B5016" w:rsidRPr="00C85079" w:rsidRDefault="00A72A76" w:rsidP="00F569B1">
      <w:pPr>
        <w:autoSpaceDE w:val="0"/>
        <w:autoSpaceDN w:val="0"/>
        <w:adjustRightInd w:val="0"/>
        <w:spacing w:after="0" w:line="240" w:lineRule="auto"/>
        <w:rPr>
          <w:rStyle w:val="Style1"/>
        </w:rPr>
      </w:pPr>
      <w:r w:rsidRPr="00C85079">
        <w:rPr>
          <w:rStyle w:val="Style1"/>
        </w:rPr>
        <w:t xml:space="preserve">53 States/Territories, 327 Communities, and 306 Hospital Referral Regions (HRRs) (based on a set of ZIP Codes). </w:t>
      </w:r>
    </w:p>
    <w:p w:rsidR="00A72A76" w:rsidRPr="00A25024" w:rsidRDefault="00A72A76" w:rsidP="00F569B1">
      <w:pPr>
        <w:autoSpaceDE w:val="0"/>
        <w:autoSpaceDN w:val="0"/>
        <w:adjustRightInd w:val="0"/>
        <w:spacing w:after="0" w:line="240" w:lineRule="auto"/>
        <w:rPr>
          <w:rFonts w:cstheme="minorHAnsi"/>
          <w:bCs/>
        </w:rPr>
      </w:pPr>
    </w:p>
    <w:p w:rsidR="007422FD" w:rsidRDefault="002B5016" w:rsidP="00F569B1">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w:t>
      </w:r>
      <w:r w:rsidR="005A7634" w:rsidRPr="00A25024">
        <w:rPr>
          <w:rFonts w:cstheme="minorHAnsi"/>
          <w:bCs/>
          <w:i/>
        </w:rPr>
        <w:lastRenderedPageBreak/>
        <w:t>the sample</w:t>
      </w:r>
      <w:r w:rsidR="007422FD" w:rsidRPr="00A25024">
        <w:rPr>
          <w:rFonts w:cstheme="minorHAnsi"/>
          <w:bCs/>
        </w:rPr>
        <w:t xml:space="preserve">) </w:t>
      </w:r>
      <w:r w:rsidR="007422FD" w:rsidRPr="00A25024">
        <w:rPr>
          <w:rFonts w:cstheme="minorHAnsi"/>
          <w:bCs/>
        </w:rPr>
        <w:br/>
      </w:r>
    </w:p>
    <w:p w:rsidR="00C85079" w:rsidRPr="00DD491C" w:rsidRDefault="00C85079" w:rsidP="00F569B1">
      <w:pPr>
        <w:spacing w:line="240" w:lineRule="auto"/>
        <w:ind w:left="360"/>
        <w:rPr>
          <w:rStyle w:val="Style1"/>
        </w:rPr>
      </w:pPr>
      <w:proofErr w:type="gramStart"/>
      <w:r w:rsidRPr="00B81011">
        <w:rPr>
          <w:rStyle w:val="Style1"/>
        </w:rPr>
        <w:t>About 40 million Medicare beneficiaries, with info about sex, race/ethnicity, age, dual eligibility (Medicare and Medicaid), and urban/rural status.</w:t>
      </w:r>
      <w:proofErr w:type="gramEnd"/>
      <w:r>
        <w:rPr>
          <w:rStyle w:val="Style1"/>
        </w:rPr>
        <w:t xml:space="preserve"> </w:t>
      </w:r>
      <w:r w:rsidRPr="00DD491C">
        <w:rPr>
          <w:rStyle w:val="Style1"/>
        </w:rPr>
        <w:t>The table below provides descriptive characteristics of the Medicare FFS beneficiaries for 2012 for states and communities used in the analysis. The community testing data set is a subset (40.1%) of the State testing data set. N represents the number of Medicare FFS beneficiaries.</w:t>
      </w:r>
    </w:p>
    <w:p w:rsidR="00C85079" w:rsidRDefault="00C85079" w:rsidP="00F569B1">
      <w:pPr>
        <w:autoSpaceDE w:val="0"/>
        <w:autoSpaceDN w:val="0"/>
        <w:adjustRightInd w:val="0"/>
        <w:spacing w:after="0"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08"/>
        <w:gridCol w:w="1514"/>
        <w:gridCol w:w="1170"/>
        <w:gridCol w:w="945"/>
        <w:gridCol w:w="1215"/>
        <w:gridCol w:w="911"/>
      </w:tblGrid>
      <w:tr w:rsidR="00C85079" w:rsidRPr="00DD491C" w:rsidTr="00932751">
        <w:trPr>
          <w:cantSplit/>
          <w:tblHeader/>
          <w:jc w:val="center"/>
        </w:trPr>
        <w:tc>
          <w:tcPr>
            <w:tcW w:w="6863" w:type="dxa"/>
            <w:gridSpan w:val="6"/>
            <w:tcBorders>
              <w:top w:val="single" w:sz="6" w:space="0" w:color="000000"/>
              <w:left w:val="single" w:sz="2" w:space="0" w:color="000000"/>
              <w:bottom w:val="single" w:sz="2" w:space="0" w:color="000000"/>
              <w:right w:val="single" w:sz="6" w:space="0" w:color="000000"/>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Beneficiary Sample Summary (2012)</w:t>
            </w:r>
          </w:p>
        </w:tc>
      </w:tr>
      <w:tr w:rsidR="00C85079" w:rsidRPr="00DD491C" w:rsidTr="00932751">
        <w:trPr>
          <w:cantSplit/>
          <w:tblHeader/>
          <w:jc w:val="center"/>
        </w:trPr>
        <w:tc>
          <w:tcPr>
            <w:tcW w:w="1108"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p>
        </w:tc>
        <w:tc>
          <w:tcPr>
            <w:tcW w:w="1514"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p>
        </w:tc>
        <w:tc>
          <w:tcPr>
            <w:tcW w:w="2115" w:type="dxa"/>
            <w:gridSpan w:val="2"/>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State Testing</w:t>
            </w:r>
          </w:p>
        </w:tc>
        <w:tc>
          <w:tcPr>
            <w:tcW w:w="2126" w:type="dxa"/>
            <w:gridSpan w:val="2"/>
            <w:tcBorders>
              <w:top w:val="single" w:sz="6" w:space="0" w:color="000000"/>
              <w:left w:val="single" w:sz="2" w:space="0" w:color="000000"/>
              <w:bottom w:val="single" w:sz="2" w:space="0" w:color="000000"/>
              <w:right w:val="single" w:sz="6" w:space="0" w:color="000000"/>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Community Testing</w:t>
            </w:r>
          </w:p>
        </w:tc>
      </w:tr>
      <w:tr w:rsidR="00C85079" w:rsidRPr="00DD491C" w:rsidTr="00932751">
        <w:trPr>
          <w:cantSplit/>
          <w:tblHeader/>
          <w:jc w:val="center"/>
        </w:trPr>
        <w:tc>
          <w:tcPr>
            <w:tcW w:w="1108"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bookmarkStart w:id="11" w:name="IDX"/>
            <w:bookmarkEnd w:id="11"/>
            <w:r w:rsidRPr="00DD491C">
              <w:rPr>
                <w:rStyle w:val="Style1"/>
              </w:rPr>
              <w:t>Variable</w:t>
            </w:r>
          </w:p>
        </w:tc>
        <w:tc>
          <w:tcPr>
            <w:tcW w:w="1514"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Level</w:t>
            </w:r>
          </w:p>
        </w:tc>
        <w:tc>
          <w:tcPr>
            <w:tcW w:w="1170"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N</w:t>
            </w:r>
          </w:p>
        </w:tc>
        <w:tc>
          <w:tcPr>
            <w:tcW w:w="945"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Percent</w:t>
            </w:r>
          </w:p>
        </w:tc>
        <w:tc>
          <w:tcPr>
            <w:tcW w:w="1215" w:type="dxa"/>
            <w:tcBorders>
              <w:top w:val="single" w:sz="6" w:space="0" w:color="000000"/>
              <w:left w:val="single" w:sz="2" w:space="0" w:color="000000"/>
              <w:bottom w:val="single" w:sz="2" w:space="0" w:color="000000"/>
              <w:right w:val="nil"/>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N</w:t>
            </w:r>
          </w:p>
        </w:tc>
        <w:tc>
          <w:tcPr>
            <w:tcW w:w="911" w:type="dxa"/>
            <w:tcBorders>
              <w:top w:val="single" w:sz="6" w:space="0" w:color="000000"/>
              <w:left w:val="single" w:sz="2" w:space="0" w:color="000000"/>
              <w:bottom w:val="single" w:sz="2" w:space="0" w:color="000000"/>
              <w:right w:val="single" w:sz="6" w:space="0" w:color="000000"/>
            </w:tcBorders>
            <w:shd w:val="clear" w:color="auto" w:fill="BBBBBB"/>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Percent</w:t>
            </w:r>
          </w:p>
        </w:tc>
      </w:tr>
      <w:tr w:rsidR="00C85079" w:rsidRPr="00DD491C" w:rsidTr="00932751">
        <w:trPr>
          <w:cantSplit/>
          <w:jc w:val="center"/>
        </w:trPr>
        <w:tc>
          <w:tcPr>
            <w:tcW w:w="1108"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Total</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39,478,873</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100.0%</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15,814,412</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100.0%</w:t>
            </w:r>
          </w:p>
        </w:tc>
      </w:tr>
      <w:tr w:rsidR="00C85079" w:rsidRPr="00DD491C" w:rsidTr="00932751">
        <w:trPr>
          <w:cantSplit/>
          <w:jc w:val="center"/>
        </w:trPr>
        <w:tc>
          <w:tcPr>
            <w:tcW w:w="1108" w:type="dxa"/>
            <w:vMerge w:val="restart"/>
            <w:tcBorders>
              <w:top w:val="nil"/>
              <w:left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Sex</w:t>
            </w: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Male</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18,142,773</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46.0%</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7,222,498</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45.7%</w:t>
            </w:r>
          </w:p>
        </w:tc>
      </w:tr>
      <w:tr w:rsidR="00C85079" w:rsidRPr="00DD491C" w:rsidTr="00932751">
        <w:trPr>
          <w:cantSplit/>
          <w:jc w:val="center"/>
        </w:trPr>
        <w:tc>
          <w:tcPr>
            <w:tcW w:w="1108" w:type="dxa"/>
            <w:vMerge/>
            <w:tcBorders>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Female</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21,336,100</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54.0%</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8,591,914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54.3%</w:t>
            </w:r>
          </w:p>
        </w:tc>
      </w:tr>
      <w:tr w:rsidR="00C85079" w:rsidRPr="00DD491C" w:rsidTr="00932751">
        <w:trPr>
          <w:cantSplit/>
          <w:jc w:val="center"/>
        </w:trPr>
        <w:tc>
          <w:tcPr>
            <w:tcW w:w="1108" w:type="dxa"/>
            <w:vMerge w:val="restart"/>
            <w:tcBorders>
              <w:top w:val="nil"/>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Race</w:t>
            </w: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White</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32,423,180</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82.1%</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12,684,504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80.2%</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Black</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4,103,687</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10.4%</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1,961,727</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12.4%</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Hispanic</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956,833</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2.4%</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409,486</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2.6%</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Asian</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795,012</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2.0%</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289,160</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1.8%</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N</w:t>
            </w:r>
            <w:r>
              <w:rPr>
                <w:rStyle w:val="Style1"/>
              </w:rPr>
              <w:t>.</w:t>
            </w:r>
            <w:r w:rsidRPr="00DD491C">
              <w:rPr>
                <w:rStyle w:val="Style1"/>
              </w:rPr>
              <w:t xml:space="preserve"> Amer</w:t>
            </w:r>
            <w:r>
              <w:rPr>
                <w:rStyle w:val="Style1"/>
              </w:rPr>
              <w:t>ican</w:t>
            </w:r>
            <w:r w:rsidRPr="00DD491C">
              <w:rPr>
                <w:rStyle w:val="Style1"/>
              </w:rPr>
              <w:t xml:space="preserve"> Native</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209,758</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0.5%</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71,907</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0.5%</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Other</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690,043</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1.7%</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270,078</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1.7%</w:t>
            </w:r>
          </w:p>
        </w:tc>
      </w:tr>
      <w:tr w:rsidR="00C85079" w:rsidRPr="00DD491C" w:rsidTr="00932751">
        <w:trPr>
          <w:cantSplit/>
          <w:jc w:val="center"/>
        </w:trPr>
        <w:tc>
          <w:tcPr>
            <w:tcW w:w="1108" w:type="dxa"/>
            <w:vMerge/>
            <w:tcBorders>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Unknown</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300,360</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0.8%</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127,550</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0.8%</w:t>
            </w:r>
          </w:p>
        </w:tc>
      </w:tr>
      <w:tr w:rsidR="00C85079" w:rsidRPr="00DD491C" w:rsidTr="00932751">
        <w:trPr>
          <w:cantSplit/>
          <w:jc w:val="center"/>
        </w:trPr>
        <w:tc>
          <w:tcPr>
            <w:tcW w:w="1108" w:type="dxa"/>
            <w:vMerge w:val="restart"/>
            <w:tcBorders>
              <w:top w:val="nil"/>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Age Group</w:t>
            </w: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&lt; 50</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2,682,147</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6.8%</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1,130,784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7.2%</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50-64</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4,592,161</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11.6%</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1,884,996</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11.9%</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65-69</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10,522,952</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26.7%</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4,224,836</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26.7%</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70-74</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7,169,724</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18.2%</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2,826,309</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17.9%</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75-79</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5,304,110</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13.4%</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2,084,825</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13.2%</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80-84</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4,192,821</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10.6%</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1,658,262</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10.5%</w:t>
            </w:r>
          </w:p>
        </w:tc>
      </w:tr>
      <w:tr w:rsidR="00C85079" w:rsidRPr="00DD491C" w:rsidTr="00932751">
        <w:trPr>
          <w:cantSplit/>
          <w:jc w:val="center"/>
        </w:trPr>
        <w:tc>
          <w:tcPr>
            <w:tcW w:w="1108" w:type="dxa"/>
            <w:vMerge/>
            <w:tcBorders>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&gt;= 85</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5,014,958</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12.7%</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2,004,400</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12.7%</w:t>
            </w:r>
          </w:p>
        </w:tc>
      </w:tr>
      <w:tr w:rsidR="00C85079" w:rsidRPr="00DD491C" w:rsidTr="00932751">
        <w:trPr>
          <w:cantSplit/>
          <w:jc w:val="center"/>
        </w:trPr>
        <w:tc>
          <w:tcPr>
            <w:tcW w:w="1108" w:type="dxa"/>
            <w:vMerge w:val="restart"/>
            <w:tcBorders>
              <w:top w:val="nil"/>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Dual</w:t>
            </w: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Medicare only</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31,766,417</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80.5%</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12,579,768</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79.5%</w:t>
            </w:r>
          </w:p>
        </w:tc>
      </w:tr>
      <w:tr w:rsidR="00C85079" w:rsidRPr="00DD491C" w:rsidTr="00932751">
        <w:trPr>
          <w:cantSplit/>
          <w:jc w:val="center"/>
        </w:trPr>
        <w:tc>
          <w:tcPr>
            <w:tcW w:w="1108" w:type="dxa"/>
            <w:vMerge/>
            <w:tcBorders>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Default="00C85079" w:rsidP="00F569B1">
            <w:pPr>
              <w:adjustRightInd w:val="0"/>
              <w:spacing w:before="60" w:after="60" w:line="240" w:lineRule="auto"/>
              <w:jc w:val="center"/>
              <w:rPr>
                <w:rStyle w:val="Style1"/>
              </w:rPr>
            </w:pPr>
            <w:r w:rsidRPr="00DD491C">
              <w:rPr>
                <w:rStyle w:val="Style1"/>
              </w:rPr>
              <w:t>Medicare/</w:t>
            </w:r>
          </w:p>
          <w:p w:rsidR="00C85079" w:rsidRPr="00DD491C" w:rsidRDefault="00C85079" w:rsidP="00F569B1">
            <w:pPr>
              <w:adjustRightInd w:val="0"/>
              <w:spacing w:before="60" w:after="60" w:line="240" w:lineRule="auto"/>
              <w:jc w:val="center"/>
              <w:rPr>
                <w:rStyle w:val="Style1"/>
              </w:rPr>
            </w:pPr>
            <w:r w:rsidRPr="00DD491C">
              <w:rPr>
                <w:rStyle w:val="Style1"/>
              </w:rPr>
              <w:t>Medicaid</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7,712,456</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19.5%</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3,234,644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20.5%</w:t>
            </w:r>
          </w:p>
        </w:tc>
      </w:tr>
      <w:tr w:rsidR="00C85079" w:rsidRPr="00DD491C" w:rsidTr="00932751">
        <w:trPr>
          <w:cantSplit/>
          <w:jc w:val="center"/>
        </w:trPr>
        <w:tc>
          <w:tcPr>
            <w:tcW w:w="1108" w:type="dxa"/>
            <w:vMerge w:val="restart"/>
            <w:tcBorders>
              <w:top w:val="nil"/>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Urban Type</w:t>
            </w: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Urbanized Area</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27,737,539</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70.3%</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12,404,783</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78.4%</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Urban Cluster</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7,199,780</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18.2%</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2,102,354</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13.3%</w:t>
            </w:r>
          </w:p>
        </w:tc>
      </w:tr>
      <w:tr w:rsidR="00C85079" w:rsidRPr="00DD491C" w:rsidTr="00932751">
        <w:trPr>
          <w:cantSplit/>
          <w:jc w:val="center"/>
        </w:trPr>
        <w:tc>
          <w:tcPr>
            <w:tcW w:w="1108" w:type="dxa"/>
            <w:vMerge/>
            <w:tcBorders>
              <w:left w:val="single" w:sz="2"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Non-Urban Area</w:t>
            </w:r>
          </w:p>
        </w:tc>
        <w:tc>
          <w:tcPr>
            <w:tcW w:w="1170"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4,507,759</w:t>
            </w:r>
          </w:p>
        </w:tc>
        <w:tc>
          <w:tcPr>
            <w:tcW w:w="94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11.4%</w:t>
            </w:r>
          </w:p>
        </w:tc>
        <w:tc>
          <w:tcPr>
            <w:tcW w:w="1215" w:type="dxa"/>
            <w:tcBorders>
              <w:top w:val="nil"/>
              <w:left w:val="single" w:sz="2" w:space="0" w:color="000000"/>
              <w:bottom w:val="single" w:sz="2"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1,298,125</w:t>
            </w:r>
          </w:p>
        </w:tc>
        <w:tc>
          <w:tcPr>
            <w:tcW w:w="911" w:type="dxa"/>
            <w:tcBorders>
              <w:top w:val="nil"/>
              <w:left w:val="single" w:sz="2" w:space="0" w:color="000000"/>
              <w:bottom w:val="single" w:sz="2"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8.2%</w:t>
            </w:r>
          </w:p>
        </w:tc>
      </w:tr>
      <w:tr w:rsidR="00C85079" w:rsidRPr="00DD491C" w:rsidTr="00932751">
        <w:trPr>
          <w:cantSplit/>
          <w:jc w:val="center"/>
        </w:trPr>
        <w:tc>
          <w:tcPr>
            <w:tcW w:w="1108" w:type="dxa"/>
            <w:vMerge/>
            <w:tcBorders>
              <w:left w:val="single" w:sz="2" w:space="0" w:color="000000"/>
              <w:bottom w:val="single" w:sz="6"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p>
        </w:tc>
        <w:tc>
          <w:tcPr>
            <w:tcW w:w="1514" w:type="dxa"/>
            <w:tcBorders>
              <w:top w:val="nil"/>
              <w:left w:val="single" w:sz="2" w:space="0" w:color="000000"/>
              <w:bottom w:val="single" w:sz="6"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UTD</w:t>
            </w:r>
          </w:p>
        </w:tc>
        <w:tc>
          <w:tcPr>
            <w:tcW w:w="1170" w:type="dxa"/>
            <w:tcBorders>
              <w:top w:val="nil"/>
              <w:left w:val="single" w:sz="2" w:space="0" w:color="000000"/>
              <w:bottom w:val="single" w:sz="6"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33,795</w:t>
            </w:r>
          </w:p>
        </w:tc>
        <w:tc>
          <w:tcPr>
            <w:tcW w:w="945" w:type="dxa"/>
            <w:tcBorders>
              <w:top w:val="nil"/>
              <w:left w:val="single" w:sz="2" w:space="0" w:color="000000"/>
              <w:bottom w:val="single" w:sz="6" w:space="0" w:color="000000"/>
              <w:right w:val="nil"/>
            </w:tcBorders>
            <w:shd w:val="clear" w:color="auto" w:fill="FFFFFF"/>
            <w:vAlign w:val="center"/>
          </w:tcPr>
          <w:p w:rsidR="00C85079" w:rsidRPr="00DD491C" w:rsidRDefault="00C85079" w:rsidP="00F569B1">
            <w:pPr>
              <w:adjustRightInd w:val="0"/>
              <w:spacing w:before="60" w:after="60" w:line="240" w:lineRule="auto"/>
              <w:jc w:val="center"/>
              <w:rPr>
                <w:rStyle w:val="Style1"/>
              </w:rPr>
            </w:pPr>
            <w:r w:rsidRPr="00DD491C">
              <w:rPr>
                <w:rStyle w:val="Style1"/>
              </w:rPr>
              <w:t>0.1%</w:t>
            </w:r>
          </w:p>
        </w:tc>
        <w:tc>
          <w:tcPr>
            <w:tcW w:w="1215" w:type="dxa"/>
            <w:tcBorders>
              <w:top w:val="nil"/>
              <w:left w:val="single" w:sz="2" w:space="0" w:color="000000"/>
              <w:bottom w:val="single" w:sz="6" w:space="0" w:color="000000"/>
              <w:right w:val="nil"/>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9,150</w:t>
            </w:r>
          </w:p>
        </w:tc>
        <w:tc>
          <w:tcPr>
            <w:tcW w:w="911" w:type="dxa"/>
            <w:tcBorders>
              <w:top w:val="nil"/>
              <w:left w:val="single" w:sz="2" w:space="0" w:color="000000"/>
              <w:bottom w:val="single" w:sz="6" w:space="0" w:color="000000"/>
              <w:right w:val="single" w:sz="6" w:space="0" w:color="000000"/>
            </w:tcBorders>
            <w:shd w:val="clear" w:color="auto" w:fill="FFFFFF"/>
            <w:vAlign w:val="center"/>
          </w:tcPr>
          <w:p w:rsidR="00C85079" w:rsidRPr="00DD491C" w:rsidRDefault="00C85079" w:rsidP="00F569B1">
            <w:pPr>
              <w:keepNext/>
              <w:adjustRightInd w:val="0"/>
              <w:spacing w:before="60" w:after="60" w:line="240" w:lineRule="auto"/>
              <w:jc w:val="center"/>
              <w:rPr>
                <w:rStyle w:val="Style1"/>
              </w:rPr>
            </w:pPr>
            <w:r w:rsidRPr="00DD491C">
              <w:rPr>
                <w:rStyle w:val="Style1"/>
              </w:rPr>
              <w:t>0.1%</w:t>
            </w:r>
          </w:p>
        </w:tc>
      </w:tr>
    </w:tbl>
    <w:p w:rsidR="00C85079" w:rsidRDefault="00C85079" w:rsidP="00F569B1">
      <w:pPr>
        <w:spacing w:line="240" w:lineRule="auto"/>
        <w:rPr>
          <w:rStyle w:val="Style1"/>
        </w:rPr>
      </w:pPr>
    </w:p>
    <w:p w:rsidR="00C85079" w:rsidRDefault="00C85079" w:rsidP="00F569B1">
      <w:pPr>
        <w:spacing w:line="240" w:lineRule="auto"/>
        <w:rPr>
          <w:rStyle w:val="Style1"/>
        </w:rPr>
      </w:pPr>
      <w:r w:rsidRPr="00DD491C">
        <w:rPr>
          <w:rStyle w:val="Style1"/>
        </w:rPr>
        <w:t xml:space="preserve">The 306 HRRs were used for one aspect of testing. The number of FFS beneficiaries and corresponding </w:t>
      </w:r>
      <w:proofErr w:type="spellStart"/>
      <w:r w:rsidRPr="00DD491C">
        <w:rPr>
          <w:rStyle w:val="Style1"/>
        </w:rPr>
        <w:t>percents</w:t>
      </w:r>
      <w:proofErr w:type="spellEnd"/>
      <w:r w:rsidRPr="00DD491C">
        <w:rPr>
          <w:rStyle w:val="Style1"/>
        </w:rPr>
        <w:t xml:space="preserve"> for HRRs would be very close to those for State testing, but not identical since Puerto Rico and US Virgin Islands ZIP Codes are not assigned to any of the 306 HRRs.</w:t>
      </w:r>
    </w:p>
    <w:p w:rsidR="00682E53" w:rsidRPr="00DD491C" w:rsidRDefault="00682E53" w:rsidP="00F569B1">
      <w:pPr>
        <w:spacing w:line="240" w:lineRule="auto"/>
        <w:rPr>
          <w:rStyle w:val="Style1"/>
        </w:rPr>
      </w:pPr>
      <w:r>
        <w:rPr>
          <w:rStyle w:val="Style1"/>
        </w:rPr>
        <w:t xml:space="preserve">Please see the Appendix for community </w:t>
      </w:r>
      <w:r w:rsidR="00575EED">
        <w:rPr>
          <w:rStyle w:val="Style1"/>
        </w:rPr>
        <w:t>level characteristics</w:t>
      </w:r>
      <w:r>
        <w:rPr>
          <w:rStyle w:val="Style1"/>
        </w:rPr>
        <w:t>.</w:t>
      </w:r>
    </w:p>
    <w:p w:rsidR="0000442C" w:rsidRPr="00343ECB" w:rsidRDefault="0000442C" w:rsidP="00F569B1">
      <w:pPr>
        <w:autoSpaceDE w:val="0"/>
        <w:autoSpaceDN w:val="0"/>
        <w:adjustRightInd w:val="0"/>
        <w:spacing w:after="0" w:line="240" w:lineRule="auto"/>
        <w:rPr>
          <w:color w:val="0000FF"/>
        </w:rPr>
      </w:pPr>
    </w:p>
    <w:p w:rsidR="00E37E1B" w:rsidRDefault="002B5016" w:rsidP="00F569B1">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Pr="0049012F" w:rsidRDefault="0000442C" w:rsidP="00F569B1">
      <w:pPr>
        <w:autoSpaceDE w:val="0"/>
        <w:autoSpaceDN w:val="0"/>
        <w:adjustRightInd w:val="0"/>
        <w:spacing w:after="0" w:line="240" w:lineRule="auto"/>
        <w:rPr>
          <w:rStyle w:val="Style1"/>
        </w:rPr>
      </w:pPr>
      <w:r w:rsidRPr="0049012F">
        <w:rPr>
          <w:rStyle w:val="Style1"/>
        </w:rPr>
        <w:t>N/A</w:t>
      </w:r>
    </w:p>
    <w:p w:rsidR="004348CC" w:rsidRPr="00E37E1B" w:rsidRDefault="00483E94" w:rsidP="00F569B1">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F569B1">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F569B1">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F569B1">
      <w:pPr>
        <w:autoSpaceDE w:val="0"/>
        <w:autoSpaceDN w:val="0"/>
        <w:adjustRightInd w:val="0"/>
        <w:spacing w:after="0" w:line="240" w:lineRule="auto"/>
        <w:rPr>
          <w:rFonts w:cstheme="minorHAnsi"/>
          <w:b/>
          <w:bCs/>
        </w:rPr>
      </w:pPr>
    </w:p>
    <w:p w:rsidR="001969C5" w:rsidRDefault="00092566" w:rsidP="00F569B1">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sdtPr>
        <w:sdtContent>
          <w:sdt>
            <w:sdtPr>
              <w:rPr>
                <w:rFonts w:cstheme="minorHAnsi"/>
                <w:bCs/>
                <w:color w:val="0000FF"/>
              </w:rPr>
              <w:id w:val="89955188"/>
            </w:sdtPr>
            <w:sdtContent>
              <w:sdt>
                <w:sdtPr>
                  <w:rPr>
                    <w:rFonts w:cstheme="minorHAnsi"/>
                    <w:bCs/>
                    <w:color w:val="0000FF"/>
                  </w:rPr>
                  <w:id w:val="89955190"/>
                </w:sdtPr>
                <w:sdtContent>
                  <w:sdt>
                    <w:sdtPr>
                      <w:rPr>
                        <w:rFonts w:cstheme="minorHAnsi"/>
                        <w:bCs/>
                        <w:color w:val="0000FF"/>
                      </w:rPr>
                      <w:id w:val="8664782"/>
                    </w:sdtPr>
                    <w:sdtContent>
                      <w:r w:rsidR="0000442C">
                        <w:rPr>
                          <w:rFonts w:ascii="MS Gothic" w:eastAsia="MS Gothic" w:hAnsi="MS Gothic" w:cstheme="minorHAnsi" w:hint="eastAsia"/>
                          <w:bCs/>
                          <w:color w:val="0000FF"/>
                        </w:rPr>
                        <w:t>☒</w:t>
                      </w:r>
                    </w:sdtContent>
                  </w:sdt>
                </w:sdtContent>
              </w:sdt>
            </w:sdtContent>
          </w:sdt>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00442C" w:rsidRPr="00A25024" w:rsidRDefault="0000442C" w:rsidP="00F569B1">
      <w:pPr>
        <w:autoSpaceDE w:val="0"/>
        <w:autoSpaceDN w:val="0"/>
        <w:adjustRightInd w:val="0"/>
        <w:spacing w:after="0" w:line="240" w:lineRule="auto"/>
        <w:rPr>
          <w:rFonts w:cstheme="minorHAnsi"/>
          <w:bCs/>
        </w:rPr>
      </w:pPr>
    </w:p>
    <w:p w:rsidR="008C54A9" w:rsidRPr="0047687F" w:rsidRDefault="0047687F" w:rsidP="0047687F">
      <w:pPr>
        <w:autoSpaceDE w:val="0"/>
        <w:autoSpaceDN w:val="0"/>
      </w:pPr>
      <w:r>
        <w:rPr>
          <w:rStyle w:val="Style1"/>
        </w:rPr>
        <w:t>Test-retest approach:  We randomly split the approximately 40 million beneficiaries into two separate samples and computed measure rates at the State/Territory level and at the Community level for each sample.  Samples were compared using correlation statistics and quintile agreement.</w:t>
      </w:r>
    </w:p>
    <w:p w:rsidR="0000442C" w:rsidRDefault="00092566" w:rsidP="00F569B1">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rsidR="0000442C" w:rsidRDefault="0000442C" w:rsidP="00F569B1">
      <w:pPr>
        <w:autoSpaceDE w:val="0"/>
        <w:autoSpaceDN w:val="0"/>
        <w:adjustRightInd w:val="0"/>
        <w:spacing w:after="0" w:line="240" w:lineRule="auto"/>
        <w:rPr>
          <w:rFonts w:cstheme="minorHAnsi"/>
          <w:bCs/>
        </w:rPr>
      </w:pPr>
    </w:p>
    <w:p w:rsidR="0049012F" w:rsidRDefault="0049012F" w:rsidP="00F569B1">
      <w:pPr>
        <w:autoSpaceDE w:val="0"/>
        <w:autoSpaceDN w:val="0"/>
        <w:adjustRightInd w:val="0"/>
        <w:spacing w:after="0" w:line="240" w:lineRule="auto"/>
        <w:rPr>
          <w:rFonts w:cstheme="minorHAnsi"/>
          <w:bCs/>
        </w:rPr>
      </w:pPr>
    </w:p>
    <w:p w:rsidR="0049012F" w:rsidRDefault="0049012F" w:rsidP="00F569B1">
      <w:pPr>
        <w:autoSpaceDE w:val="0"/>
        <w:autoSpaceDN w:val="0"/>
        <w:adjustRightInd w:val="0"/>
        <w:spacing w:after="0" w:line="240" w:lineRule="auto"/>
        <w:rPr>
          <w:rFonts w:cstheme="minorHAnsi"/>
          <w:bCs/>
        </w:rPr>
      </w:pPr>
    </w:p>
    <w:p w:rsidR="0049012F" w:rsidRDefault="0049012F" w:rsidP="00F569B1">
      <w:pPr>
        <w:autoSpaceDE w:val="0"/>
        <w:autoSpaceDN w:val="0"/>
        <w:adjustRightInd w:val="0"/>
        <w:spacing w:after="0" w:line="240" w:lineRule="auto"/>
        <w:rPr>
          <w:rFonts w:cstheme="minorHAnsi"/>
          <w:bCs/>
        </w:rPr>
      </w:pPr>
    </w:p>
    <w:p w:rsidR="0049012F" w:rsidRDefault="0049012F" w:rsidP="00F569B1">
      <w:pPr>
        <w:autoSpaceDE w:val="0"/>
        <w:autoSpaceDN w:val="0"/>
        <w:adjustRightInd w:val="0"/>
        <w:spacing w:after="0" w:line="240" w:lineRule="auto"/>
        <w:rPr>
          <w:rFonts w:cstheme="minorHAnsi"/>
          <w:bCs/>
        </w:rPr>
      </w:pPr>
      <w:bookmarkStart w:id="12" w:name="_GoBack"/>
      <w:bookmarkEnd w:id="12"/>
    </w:p>
    <w:p w:rsidR="00991EEB" w:rsidRPr="00991EEB" w:rsidRDefault="00991EEB" w:rsidP="00F569B1">
      <w:pPr>
        <w:spacing w:line="240" w:lineRule="auto"/>
        <w:jc w:val="center"/>
        <w:rPr>
          <w:rStyle w:val="Style1"/>
        </w:rPr>
      </w:pPr>
      <w:r w:rsidRPr="00991EEB">
        <w:rPr>
          <w:rStyle w:val="Style1"/>
        </w:rPr>
        <w:lastRenderedPageBreak/>
        <w:t>2012 Annual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371"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272.84</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47.09</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279.73</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147.78</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337.47</w:t>
            </w:r>
          </w:p>
        </w:tc>
      </w:tr>
      <w:tr w:rsidR="00991EEB" w:rsidRPr="00991EEB" w:rsidTr="00991EEB">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371"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273.21</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46.11</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276.49</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147.24</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337.12</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0.99808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0.99653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10</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10</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spacing w:line="240" w:lineRule="auto"/>
              <w:jc w:val="center"/>
              <w:rPr>
                <w:rStyle w:val="Style1"/>
              </w:rPr>
            </w:pPr>
            <w:r w:rsidRPr="00991EEB">
              <w:rPr>
                <w:rStyle w:val="Style1"/>
              </w:rPr>
              <w:t>53</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89% (47/53)</w:t>
      </w:r>
    </w:p>
    <w:p w:rsidR="00991EEB" w:rsidRPr="00991EEB" w:rsidRDefault="00991EEB" w:rsidP="00F569B1">
      <w:pPr>
        <w:spacing w:line="240" w:lineRule="auto"/>
        <w:ind w:left="1440" w:firstLine="720"/>
        <w:rPr>
          <w:rStyle w:val="Style1"/>
        </w:rPr>
      </w:pPr>
      <w:r w:rsidRPr="00991EEB">
        <w:rPr>
          <w:rStyle w:val="Style1"/>
        </w:rPr>
        <w:t>Weighted Kappa: 0.9292 (95%CI:  (0.8728, 0.9856))</w:t>
      </w:r>
    </w:p>
    <w:p w:rsidR="00991EEB" w:rsidRPr="00991EEB" w:rsidRDefault="00991EEB" w:rsidP="00F569B1">
      <w:pPr>
        <w:spacing w:line="240" w:lineRule="auto"/>
        <w:rPr>
          <w:rStyle w:val="Style1"/>
        </w:rPr>
      </w:pPr>
      <w:r w:rsidRPr="00991EEB">
        <w:rPr>
          <w:rStyle w:val="Style1"/>
        </w:rPr>
        <w:br w:type="page"/>
      </w:r>
    </w:p>
    <w:p w:rsidR="00991EEB" w:rsidRPr="00991EEB" w:rsidRDefault="00991EEB" w:rsidP="00F569B1">
      <w:pPr>
        <w:spacing w:line="240" w:lineRule="auto"/>
        <w:rPr>
          <w:rStyle w:val="Style1"/>
        </w:rPr>
      </w:pPr>
    </w:p>
    <w:p w:rsidR="00991EEB" w:rsidRPr="00991EEB" w:rsidRDefault="00991EEB" w:rsidP="00F569B1">
      <w:pPr>
        <w:spacing w:line="240" w:lineRule="auto"/>
        <w:jc w:val="center"/>
        <w:rPr>
          <w:rStyle w:val="Style1"/>
        </w:rPr>
      </w:pPr>
      <w:r w:rsidRPr="00991EEB">
        <w:rPr>
          <w:rStyle w:val="Style1"/>
        </w:rPr>
        <w:t>2012 Annual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498"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287.46</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55.03</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286.67</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151.40</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468.17</w:t>
            </w:r>
          </w:p>
        </w:tc>
      </w:tr>
      <w:tr w:rsidR="00991EEB" w:rsidRPr="00991EEB" w:rsidTr="00991EEB">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498"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286.97</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53.90</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286.69</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142.51</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473.73</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0.99036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0.97720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58</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80% (263/327)</w:t>
      </w:r>
    </w:p>
    <w:p w:rsidR="00991EEB" w:rsidRPr="00991EEB" w:rsidRDefault="00991EEB" w:rsidP="00F569B1">
      <w:pPr>
        <w:spacing w:line="240" w:lineRule="auto"/>
        <w:ind w:left="1440" w:firstLine="720"/>
        <w:rPr>
          <w:rStyle w:val="Style1"/>
        </w:rPr>
      </w:pPr>
      <w:r w:rsidRPr="00991EEB">
        <w:rPr>
          <w:rStyle w:val="Style1"/>
        </w:rPr>
        <w:t>Weighted Kappa: 0.8777 (95%CI:  (0.8491, 0.9063))</w:t>
      </w:r>
    </w:p>
    <w:p w:rsidR="00991EEB" w:rsidRPr="00991EEB" w:rsidRDefault="00991EEB" w:rsidP="00F569B1">
      <w:pPr>
        <w:spacing w:line="240" w:lineRule="auto"/>
        <w:jc w:val="center"/>
        <w:rPr>
          <w:rStyle w:val="Style1"/>
        </w:rPr>
      </w:pPr>
    </w:p>
    <w:p w:rsidR="00991EEB" w:rsidRPr="00991EEB" w:rsidRDefault="00991EEB" w:rsidP="00F569B1">
      <w:pPr>
        <w:spacing w:line="240" w:lineRule="auto"/>
        <w:jc w:val="center"/>
        <w:rPr>
          <w:rStyle w:val="Style1"/>
        </w:rPr>
      </w:pPr>
    </w:p>
    <w:p w:rsidR="00991EEB" w:rsidRPr="00991EEB" w:rsidRDefault="00991EEB" w:rsidP="00F569B1">
      <w:pPr>
        <w:spacing w:line="240" w:lineRule="auto"/>
        <w:jc w:val="center"/>
        <w:rPr>
          <w:rStyle w:val="Style1"/>
        </w:rPr>
      </w:pPr>
    </w:p>
    <w:p w:rsidR="00991EEB" w:rsidRPr="00991EEB" w:rsidRDefault="00991EEB" w:rsidP="00F569B1">
      <w:pPr>
        <w:spacing w:line="240" w:lineRule="auto"/>
        <w:rPr>
          <w:rStyle w:val="Style1"/>
        </w:rPr>
      </w:pPr>
      <w:r w:rsidRPr="00991EEB">
        <w:rPr>
          <w:rStyle w:val="Style1"/>
        </w:rPr>
        <w:br w:type="page"/>
      </w:r>
    </w:p>
    <w:p w:rsidR="00991EEB" w:rsidRPr="00991EEB" w:rsidRDefault="00991EEB" w:rsidP="00F569B1">
      <w:pPr>
        <w:spacing w:line="240" w:lineRule="auto"/>
        <w:jc w:val="center"/>
        <w:rPr>
          <w:rStyle w:val="Style1"/>
        </w:rPr>
      </w:pPr>
      <w:r w:rsidRPr="00991EEB">
        <w:rPr>
          <w:rStyle w:val="Style1"/>
        </w:rPr>
        <w:lastRenderedPageBreak/>
        <w:t>2012 Q1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371"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73.02</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12.87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75.81</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37.69</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92.41</w:t>
            </w:r>
          </w:p>
        </w:tc>
      </w:tr>
      <w:tr w:rsidR="00991EEB" w:rsidRPr="00991EEB" w:rsidTr="00991EEB">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371"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73.12</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12.47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75.09</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38.37</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91.76</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0.99667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0.99540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92% (49/53)</w:t>
      </w:r>
    </w:p>
    <w:p w:rsidR="00991EEB" w:rsidRPr="00991EEB" w:rsidRDefault="00991EEB" w:rsidP="00F569B1">
      <w:pPr>
        <w:spacing w:line="240" w:lineRule="auto"/>
        <w:ind w:left="1440" w:firstLine="720"/>
        <w:rPr>
          <w:rStyle w:val="Style1"/>
        </w:rPr>
      </w:pPr>
      <w:r w:rsidRPr="00991EEB">
        <w:rPr>
          <w:rStyle w:val="Style1"/>
        </w:rPr>
        <w:t>Weighted Kappa: 0.9528 (95%CI:  (0.9067, 0.9989))</w:t>
      </w:r>
    </w:p>
    <w:p w:rsidR="00991EEB" w:rsidRPr="00991EEB" w:rsidRDefault="00991EEB" w:rsidP="00F569B1">
      <w:pPr>
        <w:spacing w:line="240" w:lineRule="auto"/>
        <w:jc w:val="center"/>
        <w:rPr>
          <w:rStyle w:val="Style1"/>
        </w:rPr>
      </w:pPr>
    </w:p>
    <w:p w:rsidR="00991EEB" w:rsidRPr="00991EEB" w:rsidRDefault="00991EEB" w:rsidP="00F569B1">
      <w:pPr>
        <w:spacing w:line="240" w:lineRule="auto"/>
        <w:rPr>
          <w:rStyle w:val="Style1"/>
        </w:rPr>
      </w:pPr>
      <w:r w:rsidRPr="00991EEB">
        <w:rPr>
          <w:rStyle w:val="Style1"/>
        </w:rPr>
        <w:br w:type="page"/>
      </w:r>
    </w:p>
    <w:p w:rsidR="00991EEB" w:rsidRPr="00991EEB" w:rsidRDefault="00991EEB" w:rsidP="00F569B1">
      <w:pPr>
        <w:spacing w:line="240" w:lineRule="auto"/>
        <w:jc w:val="center"/>
        <w:rPr>
          <w:rStyle w:val="Style1"/>
        </w:rPr>
      </w:pPr>
      <w:r w:rsidRPr="00991EEB">
        <w:rPr>
          <w:rStyle w:val="Style1"/>
        </w:rPr>
        <w:lastRenderedPageBreak/>
        <w:t>2012 Q1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498"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76.70</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14.86</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77.48</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37.55</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122.73</w:t>
            </w:r>
          </w:p>
        </w:tc>
      </w:tr>
      <w:tr w:rsidR="00991EEB" w:rsidRPr="00991EEB" w:rsidTr="00991EEB">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498"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76.66</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14.59</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77.21</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37.49</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123.21</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0.95583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0.94905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57</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74% (243/327)</w:t>
      </w:r>
    </w:p>
    <w:p w:rsidR="00991EEB" w:rsidRPr="00991EEB" w:rsidRDefault="00991EEB" w:rsidP="00F569B1">
      <w:pPr>
        <w:spacing w:line="240" w:lineRule="auto"/>
        <w:ind w:left="1440" w:firstLine="720"/>
        <w:rPr>
          <w:rStyle w:val="Style1"/>
        </w:rPr>
      </w:pPr>
      <w:r w:rsidRPr="00991EEB">
        <w:rPr>
          <w:rStyle w:val="Style1"/>
        </w:rPr>
        <w:t>Weighted Kappa: 0.8318 (95%CI:  (0.7967, 0.8669))</w:t>
      </w:r>
    </w:p>
    <w:p w:rsidR="00991EEB" w:rsidRPr="00991EEB" w:rsidRDefault="00991EEB" w:rsidP="00F569B1">
      <w:pPr>
        <w:spacing w:line="240" w:lineRule="auto"/>
        <w:jc w:val="center"/>
        <w:rPr>
          <w:rStyle w:val="Style1"/>
        </w:rPr>
      </w:pPr>
    </w:p>
    <w:p w:rsidR="00991EEB" w:rsidRPr="00991EEB" w:rsidRDefault="00991EEB" w:rsidP="00F569B1">
      <w:pPr>
        <w:tabs>
          <w:tab w:val="left" w:pos="7845"/>
        </w:tabs>
        <w:spacing w:line="240" w:lineRule="auto"/>
        <w:rPr>
          <w:rStyle w:val="Style1"/>
        </w:rPr>
      </w:pPr>
      <w:r w:rsidRPr="00991EEB">
        <w:rPr>
          <w:rStyle w:val="Style1"/>
        </w:rPr>
        <w:br w:type="page"/>
      </w:r>
      <w:r w:rsidRPr="00991EEB">
        <w:rPr>
          <w:rStyle w:val="Style1"/>
        </w:rPr>
        <w:lastRenderedPageBreak/>
        <w:tab/>
      </w:r>
    </w:p>
    <w:p w:rsidR="00991EEB" w:rsidRPr="00991EEB" w:rsidRDefault="00991EEB" w:rsidP="00F569B1">
      <w:pPr>
        <w:spacing w:line="240" w:lineRule="auto"/>
        <w:jc w:val="center"/>
        <w:rPr>
          <w:rStyle w:val="Style1"/>
        </w:rPr>
      </w:pPr>
      <w:r w:rsidRPr="00991EEB">
        <w:rPr>
          <w:rStyle w:val="Style1"/>
        </w:rPr>
        <w:t>2012 Q2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371"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68.01</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11.54</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69.73</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36.88</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84.69</w:t>
            </w:r>
          </w:p>
        </w:tc>
      </w:tr>
      <w:tr w:rsidR="00991EEB" w:rsidRPr="00991EEB" w:rsidTr="00991EEB">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371"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68.19</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11.37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69.53</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37.13</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84.40</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0.99460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0.98976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81% (43/53)</w:t>
      </w:r>
    </w:p>
    <w:p w:rsidR="00991EEB" w:rsidRPr="00991EEB" w:rsidRDefault="00991EEB" w:rsidP="00F569B1">
      <w:pPr>
        <w:spacing w:line="240" w:lineRule="auto"/>
        <w:ind w:left="1440" w:firstLine="720"/>
        <w:rPr>
          <w:rStyle w:val="Style1"/>
        </w:rPr>
      </w:pPr>
      <w:r w:rsidRPr="00991EEB">
        <w:rPr>
          <w:rStyle w:val="Style1"/>
        </w:rPr>
        <w:t>Weighted Kappa: 0.8820 (95%CI:  (0.8125, 0.9515))</w:t>
      </w:r>
    </w:p>
    <w:p w:rsidR="00991EEB" w:rsidRPr="00991EEB" w:rsidRDefault="00991EEB" w:rsidP="00F569B1">
      <w:pPr>
        <w:spacing w:line="240" w:lineRule="auto"/>
        <w:jc w:val="center"/>
        <w:rPr>
          <w:rStyle w:val="Style1"/>
        </w:rPr>
      </w:pPr>
    </w:p>
    <w:p w:rsidR="00991EEB" w:rsidRPr="00991EEB" w:rsidRDefault="00991EEB" w:rsidP="00F569B1">
      <w:pPr>
        <w:spacing w:line="240" w:lineRule="auto"/>
        <w:jc w:val="center"/>
        <w:rPr>
          <w:rStyle w:val="Style1"/>
        </w:rPr>
      </w:pPr>
      <w:r w:rsidRPr="00991EEB">
        <w:rPr>
          <w:rStyle w:val="Style1"/>
        </w:rPr>
        <w:br w:type="page"/>
      </w:r>
      <w:r w:rsidRPr="00991EEB">
        <w:rPr>
          <w:rStyle w:val="Style1"/>
        </w:rPr>
        <w:lastRenderedPageBreak/>
        <w:t>2012 Q2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498"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68.99</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13.79</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69.36</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35.82</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113.56</w:t>
            </w:r>
          </w:p>
        </w:tc>
      </w:tr>
      <w:tr w:rsidR="00991EEB" w:rsidRPr="00991EEB" w:rsidTr="00991EEB">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498"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68.68</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13.91</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68.20</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35.68</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118.46</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0.94215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0.93225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54</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71% (233/327)</w:t>
      </w:r>
    </w:p>
    <w:p w:rsidR="00991EEB" w:rsidRPr="00991EEB" w:rsidRDefault="00991EEB" w:rsidP="00F569B1">
      <w:pPr>
        <w:spacing w:line="240" w:lineRule="auto"/>
        <w:ind w:left="1440" w:firstLine="720"/>
        <w:rPr>
          <w:rStyle w:val="Style1"/>
        </w:rPr>
      </w:pPr>
      <w:r w:rsidRPr="00991EEB">
        <w:rPr>
          <w:rStyle w:val="Style1"/>
        </w:rPr>
        <w:t>Weighted Kappa: 0.8050 (95%CI:  (0.7674, 0.8427))</w:t>
      </w:r>
    </w:p>
    <w:p w:rsidR="00991EEB" w:rsidRPr="00991EEB" w:rsidRDefault="00991EEB" w:rsidP="00F569B1">
      <w:pPr>
        <w:spacing w:line="240" w:lineRule="auto"/>
        <w:jc w:val="center"/>
        <w:rPr>
          <w:rStyle w:val="Style1"/>
        </w:rPr>
      </w:pPr>
    </w:p>
    <w:p w:rsidR="00991EEB" w:rsidRPr="00991EEB" w:rsidRDefault="00991EEB" w:rsidP="00F569B1">
      <w:pPr>
        <w:spacing w:line="240" w:lineRule="auto"/>
        <w:rPr>
          <w:rStyle w:val="Style1"/>
        </w:rPr>
      </w:pPr>
      <w:r w:rsidRPr="00991EEB">
        <w:rPr>
          <w:rStyle w:val="Style1"/>
        </w:rPr>
        <w:br w:type="page"/>
      </w:r>
    </w:p>
    <w:p w:rsidR="00991EEB" w:rsidRPr="00991EEB" w:rsidRDefault="00991EEB" w:rsidP="00F569B1">
      <w:pPr>
        <w:spacing w:line="240" w:lineRule="auto"/>
        <w:jc w:val="center"/>
        <w:rPr>
          <w:rStyle w:val="Style1"/>
        </w:rPr>
      </w:pPr>
      <w:r w:rsidRPr="00991EEB">
        <w:rPr>
          <w:rStyle w:val="Style1"/>
        </w:rPr>
        <w:lastRenderedPageBreak/>
        <w:t>2012 Q3 Measure for States/Territories</w:t>
      </w:r>
    </w:p>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371"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65.40</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11.38</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67.71</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36.94</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81.06</w:t>
            </w:r>
          </w:p>
        </w:tc>
      </w:tr>
      <w:tr w:rsidR="00991EEB" w:rsidRPr="00991EEB" w:rsidTr="00991EEB">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371"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65.39</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11.47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66.28</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35.81</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81.37</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F569B1">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bottom"/>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F569B1">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bottom"/>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bottom"/>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F569B1">
        <w:trPr>
          <w:cantSplit/>
          <w:jc w:val="center"/>
        </w:trPr>
        <w:tc>
          <w:tcPr>
            <w:tcW w:w="3375" w:type="dxa"/>
            <w:tcBorders>
              <w:top w:val="nil"/>
              <w:left w:val="single" w:sz="6" w:space="0" w:color="000000"/>
              <w:bottom w:val="single" w:sz="2" w:space="0" w:color="000000"/>
              <w:right w:val="single" w:sz="4" w:space="0" w:color="auto"/>
            </w:tcBorders>
            <w:shd w:val="clear" w:color="auto" w:fill="BBBBBB"/>
          </w:tcPr>
          <w:p w:rsidR="00991EEB" w:rsidRPr="00991EEB" w:rsidRDefault="00991EEB" w:rsidP="00F569B1">
            <w:pPr>
              <w:keepNext/>
              <w:adjustRightInd w:val="0"/>
              <w:spacing w:before="60" w:after="60" w:line="240" w:lineRule="auto"/>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tcPr>
          <w:p w:rsidR="00991EEB" w:rsidRPr="00991EEB" w:rsidRDefault="00991EEB" w:rsidP="00F569B1">
            <w:pPr>
              <w:keepNext/>
              <w:adjustRightInd w:val="0"/>
              <w:spacing w:before="60" w:after="60" w:line="240" w:lineRule="auto"/>
              <w:jc w:val="center"/>
              <w:rPr>
                <w:rStyle w:val="Style1"/>
              </w:rPr>
            </w:pPr>
            <w:r w:rsidRPr="00991EEB">
              <w:rPr>
                <w:rStyle w:val="Style1"/>
              </w:rPr>
              <w:t>0.99568 (&lt;.0001)</w:t>
            </w:r>
          </w:p>
        </w:tc>
      </w:tr>
      <w:tr w:rsidR="00991EEB" w:rsidRPr="00991EEB" w:rsidTr="00F569B1">
        <w:trPr>
          <w:cantSplit/>
          <w:jc w:val="center"/>
        </w:trPr>
        <w:tc>
          <w:tcPr>
            <w:tcW w:w="3375" w:type="dxa"/>
            <w:tcBorders>
              <w:top w:val="nil"/>
              <w:left w:val="single" w:sz="6" w:space="0" w:color="000000"/>
              <w:bottom w:val="single" w:sz="6" w:space="0" w:color="000000"/>
              <w:right w:val="single" w:sz="4" w:space="0" w:color="auto"/>
            </w:tcBorders>
            <w:shd w:val="clear" w:color="auto" w:fill="BBBBBB"/>
          </w:tcPr>
          <w:p w:rsidR="00991EEB" w:rsidRPr="00991EEB" w:rsidRDefault="00991EEB" w:rsidP="00F569B1">
            <w:pPr>
              <w:keepNext/>
              <w:adjustRightInd w:val="0"/>
              <w:spacing w:before="60" w:after="60" w:line="240" w:lineRule="auto"/>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tcPr>
          <w:p w:rsidR="00991EEB" w:rsidRPr="00991EEB" w:rsidRDefault="00991EEB" w:rsidP="00F569B1">
            <w:pPr>
              <w:keepNext/>
              <w:adjustRightInd w:val="0"/>
              <w:spacing w:before="60" w:after="60" w:line="240" w:lineRule="auto"/>
              <w:jc w:val="center"/>
              <w:rPr>
                <w:rStyle w:val="Style1"/>
              </w:rPr>
            </w:pPr>
            <w:r w:rsidRPr="00991EEB">
              <w:rPr>
                <w:rStyle w:val="Style1"/>
              </w:rPr>
              <w:t>0.99097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F569B1">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bottom"/>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F569B1">
        <w:trPr>
          <w:cantSplit/>
          <w:tblHeader/>
          <w:jc w:val="center"/>
        </w:trPr>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bottom"/>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bottom"/>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F569B1">
        <w:trPr>
          <w:cantSplit/>
          <w:tblHeader/>
          <w:jc w:val="center"/>
        </w:trPr>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rPr>
                <w:rStyle w:val="Style1"/>
              </w:rPr>
            </w:pPr>
          </w:p>
        </w:tc>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rPr>
                <w:rStyle w:val="Style1"/>
              </w:rPr>
            </w:pPr>
          </w:p>
        </w:tc>
        <w:tc>
          <w:tcPr>
            <w:tcW w:w="537" w:type="dxa"/>
            <w:tcBorders>
              <w:top w:val="nil"/>
              <w:left w:val="single" w:sz="2" w:space="0" w:color="000000"/>
              <w:bottom w:val="single" w:sz="2" w:space="0" w:color="000000"/>
              <w:right w:val="nil"/>
            </w:tcBorders>
            <w:shd w:val="clear" w:color="auto" w:fill="BBBBBB"/>
            <w:vAlign w:val="bottom"/>
          </w:tcPr>
          <w:p w:rsidR="00991EEB" w:rsidRPr="00991EEB" w:rsidRDefault="00991EEB" w:rsidP="00F569B1">
            <w:pPr>
              <w:keepNext/>
              <w:adjustRightInd w:val="0"/>
              <w:spacing w:before="60" w:after="60" w:line="240" w:lineRule="auto"/>
              <w:jc w:val="right"/>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bottom"/>
          </w:tcPr>
          <w:p w:rsidR="00991EEB" w:rsidRPr="00991EEB" w:rsidRDefault="00991EEB" w:rsidP="00F569B1">
            <w:pPr>
              <w:keepNext/>
              <w:adjustRightInd w:val="0"/>
              <w:spacing w:before="60" w:after="60" w:line="240" w:lineRule="auto"/>
              <w:jc w:val="right"/>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bottom"/>
          </w:tcPr>
          <w:p w:rsidR="00991EEB" w:rsidRPr="00991EEB" w:rsidRDefault="00991EEB" w:rsidP="00F569B1">
            <w:pPr>
              <w:keepNext/>
              <w:adjustRightInd w:val="0"/>
              <w:spacing w:before="60" w:after="60" w:line="240" w:lineRule="auto"/>
              <w:jc w:val="right"/>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bottom"/>
          </w:tcPr>
          <w:p w:rsidR="00991EEB" w:rsidRPr="00991EEB" w:rsidRDefault="00991EEB" w:rsidP="00F569B1">
            <w:pPr>
              <w:keepNext/>
              <w:adjustRightInd w:val="0"/>
              <w:spacing w:before="60" w:after="60" w:line="240" w:lineRule="auto"/>
              <w:jc w:val="right"/>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bottom"/>
          </w:tcPr>
          <w:p w:rsidR="00991EEB" w:rsidRPr="00991EEB" w:rsidRDefault="00991EEB" w:rsidP="00F569B1">
            <w:pPr>
              <w:keepNext/>
              <w:adjustRightInd w:val="0"/>
              <w:spacing w:before="60" w:after="60" w:line="240" w:lineRule="auto"/>
              <w:jc w:val="right"/>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bottom"/>
          </w:tcPr>
          <w:p w:rsidR="00991EEB" w:rsidRPr="00991EEB" w:rsidRDefault="00991EEB" w:rsidP="00F569B1">
            <w:pPr>
              <w:keepNext/>
              <w:adjustRightInd w:val="0"/>
              <w:spacing w:before="60" w:after="60" w:line="240" w:lineRule="auto"/>
              <w:jc w:val="right"/>
              <w:rPr>
                <w:rStyle w:val="Style1"/>
              </w:rPr>
            </w:pPr>
            <w:r w:rsidRPr="00991EEB">
              <w:rPr>
                <w:rStyle w:val="Style1"/>
              </w:rPr>
              <w:t>Total</w:t>
            </w:r>
          </w:p>
        </w:tc>
      </w:tr>
      <w:tr w:rsidR="00991EEB" w:rsidRPr="00991EEB" w:rsidTr="00F569B1">
        <w:trPr>
          <w:cantSplit/>
          <w:jc w:val="center"/>
        </w:trPr>
        <w:tc>
          <w:tcPr>
            <w:tcW w:w="1157" w:type="dxa"/>
            <w:vMerge w:val="restart"/>
            <w:tcBorders>
              <w:top w:val="nil"/>
              <w:left w:val="single" w:sz="6" w:space="0" w:color="000000"/>
              <w:right w:val="nil"/>
            </w:tcBorders>
            <w:shd w:val="clear" w:color="auto" w:fill="BBBBBB"/>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r>
      <w:tr w:rsidR="00991EEB" w:rsidRPr="00991EEB" w:rsidTr="00F569B1">
        <w:trPr>
          <w:cantSplit/>
          <w:jc w:val="center"/>
        </w:trPr>
        <w:tc>
          <w:tcPr>
            <w:tcW w:w="1157" w:type="dxa"/>
            <w:vMerge/>
            <w:tcBorders>
              <w:left w:val="single" w:sz="6"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r>
      <w:tr w:rsidR="00991EEB" w:rsidRPr="00991EEB" w:rsidTr="00F569B1">
        <w:trPr>
          <w:cantSplit/>
          <w:jc w:val="center"/>
        </w:trPr>
        <w:tc>
          <w:tcPr>
            <w:tcW w:w="1157" w:type="dxa"/>
            <w:vMerge/>
            <w:tcBorders>
              <w:left w:val="single" w:sz="6"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10</w:t>
            </w:r>
          </w:p>
        </w:tc>
      </w:tr>
      <w:tr w:rsidR="00991EEB" w:rsidRPr="00991EEB" w:rsidTr="00F569B1">
        <w:trPr>
          <w:cantSplit/>
          <w:jc w:val="center"/>
        </w:trPr>
        <w:tc>
          <w:tcPr>
            <w:tcW w:w="1157" w:type="dxa"/>
            <w:vMerge/>
            <w:tcBorders>
              <w:left w:val="single" w:sz="6"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r>
      <w:tr w:rsidR="00991EEB" w:rsidRPr="00991EEB" w:rsidTr="00F569B1">
        <w:trPr>
          <w:cantSplit/>
          <w:jc w:val="center"/>
        </w:trPr>
        <w:tc>
          <w:tcPr>
            <w:tcW w:w="1157" w:type="dxa"/>
            <w:vMerge/>
            <w:tcBorders>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991EEB" w:rsidRPr="00991EEB" w:rsidRDefault="00991EEB" w:rsidP="00F569B1">
            <w:pPr>
              <w:keepNext/>
              <w:adjustRightInd w:val="0"/>
              <w:spacing w:before="60" w:after="60" w:line="240" w:lineRule="auto"/>
              <w:jc w:val="right"/>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10</w:t>
            </w:r>
          </w:p>
        </w:tc>
        <w:tc>
          <w:tcPr>
            <w:tcW w:w="651" w:type="dxa"/>
            <w:tcBorders>
              <w:top w:val="nil"/>
              <w:left w:val="single" w:sz="2" w:space="0" w:color="000000"/>
              <w:bottom w:val="single" w:sz="2" w:space="0" w:color="000000"/>
              <w:right w:val="single" w:sz="6" w:space="0" w:color="000000"/>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10</w:t>
            </w:r>
          </w:p>
        </w:tc>
      </w:tr>
      <w:tr w:rsidR="00991EEB" w:rsidRPr="00991EEB" w:rsidTr="00F569B1">
        <w:trPr>
          <w:cantSplit/>
          <w:jc w:val="center"/>
        </w:trPr>
        <w:tc>
          <w:tcPr>
            <w:tcW w:w="1157" w:type="dxa"/>
            <w:tcBorders>
              <w:top w:val="nil"/>
              <w:left w:val="single" w:sz="6" w:space="0" w:color="000000"/>
              <w:bottom w:val="single" w:sz="6" w:space="0" w:color="000000"/>
              <w:right w:val="nil"/>
            </w:tcBorders>
            <w:shd w:val="clear" w:color="auto" w:fill="BBBBBB"/>
          </w:tcPr>
          <w:p w:rsidR="00991EEB" w:rsidRPr="00991EEB" w:rsidRDefault="00991EEB" w:rsidP="00F569B1">
            <w:pPr>
              <w:keepNext/>
              <w:adjustRightInd w:val="0"/>
              <w:spacing w:before="60" w:after="60" w:line="240" w:lineRule="auto"/>
              <w:rPr>
                <w:rStyle w:val="Style1"/>
              </w:rPr>
            </w:pPr>
          </w:p>
        </w:tc>
        <w:tc>
          <w:tcPr>
            <w:tcW w:w="1157" w:type="dxa"/>
            <w:tcBorders>
              <w:top w:val="nil"/>
              <w:left w:val="single" w:sz="6" w:space="0" w:color="000000"/>
              <w:bottom w:val="single" w:sz="6" w:space="0" w:color="000000"/>
              <w:right w:val="nil"/>
            </w:tcBorders>
            <w:shd w:val="clear" w:color="auto" w:fill="BBBBBB"/>
          </w:tcPr>
          <w:p w:rsidR="00991EEB" w:rsidRPr="00991EEB" w:rsidRDefault="00991EEB" w:rsidP="00F569B1">
            <w:pPr>
              <w:keepNext/>
              <w:adjustRightInd w:val="0"/>
              <w:spacing w:before="60" w:after="60" w:line="240" w:lineRule="auto"/>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10</w:t>
            </w:r>
          </w:p>
        </w:tc>
        <w:tc>
          <w:tcPr>
            <w:tcW w:w="537" w:type="dxa"/>
            <w:tcBorders>
              <w:top w:val="nil"/>
              <w:left w:val="single" w:sz="2" w:space="0" w:color="000000"/>
              <w:bottom w:val="single" w:sz="6"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tcPr>
          <w:p w:rsidR="00991EEB" w:rsidRPr="00991EEB" w:rsidRDefault="00991EEB" w:rsidP="00F569B1">
            <w:pPr>
              <w:keepNext/>
              <w:adjustRightInd w:val="0"/>
              <w:spacing w:before="60" w:after="60" w:line="240" w:lineRule="auto"/>
              <w:jc w:val="right"/>
              <w:rPr>
                <w:rStyle w:val="Style1"/>
              </w:rPr>
            </w:pPr>
            <w:r w:rsidRPr="00991EEB">
              <w:rPr>
                <w:rStyle w:val="Style1"/>
              </w:rPr>
              <w:t>53</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89% (47/53)</w:t>
      </w:r>
    </w:p>
    <w:p w:rsidR="00991EEB" w:rsidRPr="00991EEB" w:rsidRDefault="00991EEB" w:rsidP="00F569B1">
      <w:pPr>
        <w:spacing w:line="240" w:lineRule="auto"/>
        <w:ind w:left="1440" w:firstLine="720"/>
        <w:rPr>
          <w:rStyle w:val="Style1"/>
        </w:rPr>
      </w:pPr>
      <w:r w:rsidRPr="00991EEB">
        <w:rPr>
          <w:rStyle w:val="Style1"/>
        </w:rPr>
        <w:t>Weighted Kappa: 0.9292 (95%CI:  (0.8729, 0.9855))</w:t>
      </w:r>
    </w:p>
    <w:p w:rsidR="00991EEB" w:rsidRPr="00991EEB" w:rsidRDefault="00991EEB" w:rsidP="00F569B1">
      <w:pPr>
        <w:spacing w:line="240" w:lineRule="auto"/>
        <w:jc w:val="center"/>
        <w:rPr>
          <w:rStyle w:val="Style1"/>
        </w:rPr>
      </w:pPr>
    </w:p>
    <w:p w:rsidR="00991EEB" w:rsidRPr="00991EEB" w:rsidRDefault="00991EEB" w:rsidP="00F569B1">
      <w:pPr>
        <w:spacing w:line="240" w:lineRule="auto"/>
        <w:jc w:val="center"/>
        <w:rPr>
          <w:rStyle w:val="Style1"/>
        </w:rPr>
      </w:pPr>
    </w:p>
    <w:p w:rsidR="00991EEB" w:rsidRPr="00991EEB" w:rsidRDefault="00991EEB" w:rsidP="00F569B1">
      <w:pPr>
        <w:spacing w:line="240" w:lineRule="auto"/>
        <w:jc w:val="center"/>
        <w:rPr>
          <w:rStyle w:val="Style1"/>
        </w:rPr>
      </w:pPr>
      <w:r w:rsidRPr="00991EEB">
        <w:rPr>
          <w:rStyle w:val="Style1"/>
        </w:rPr>
        <w:br w:type="page"/>
      </w:r>
      <w:r w:rsidRPr="00991EEB">
        <w:rPr>
          <w:rStyle w:val="Style1"/>
        </w:rPr>
        <w:lastRenderedPageBreak/>
        <w:t>2012 Q3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498"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68.99</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13.79</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69.36</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35.82</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113.56</w:t>
            </w:r>
          </w:p>
        </w:tc>
      </w:tr>
      <w:tr w:rsidR="00991EEB" w:rsidRPr="00991EEB" w:rsidTr="00991EEB">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498"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68.68</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13.91</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68.20</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35.67</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118.46</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0.95470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0.95161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55</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74% (241/327)</w:t>
      </w:r>
    </w:p>
    <w:p w:rsidR="00991EEB" w:rsidRPr="00991EEB" w:rsidRDefault="00991EEB" w:rsidP="00F569B1">
      <w:pPr>
        <w:spacing w:line="240" w:lineRule="auto"/>
        <w:ind w:left="1440" w:firstLine="720"/>
        <w:rPr>
          <w:rStyle w:val="Style1"/>
        </w:rPr>
      </w:pPr>
      <w:r w:rsidRPr="00991EEB">
        <w:rPr>
          <w:rStyle w:val="Style1"/>
        </w:rPr>
        <w:t>Weighted Kappa: 0.8242 (95%CI:  (0.7884, 0.8599))</w:t>
      </w:r>
    </w:p>
    <w:p w:rsidR="00991EEB" w:rsidRPr="00991EEB" w:rsidRDefault="00991EEB" w:rsidP="00F569B1">
      <w:pPr>
        <w:spacing w:line="240" w:lineRule="auto"/>
        <w:jc w:val="center"/>
        <w:rPr>
          <w:rStyle w:val="Style1"/>
        </w:rPr>
      </w:pPr>
    </w:p>
    <w:p w:rsidR="00991EEB" w:rsidRPr="00991EEB" w:rsidRDefault="00991EEB" w:rsidP="00F569B1">
      <w:pPr>
        <w:spacing w:line="240" w:lineRule="auto"/>
        <w:rPr>
          <w:rStyle w:val="Style1"/>
        </w:rPr>
      </w:pPr>
      <w:r w:rsidRPr="00991EEB">
        <w:rPr>
          <w:rStyle w:val="Style1"/>
        </w:rPr>
        <w:br w:type="page"/>
      </w:r>
    </w:p>
    <w:p w:rsidR="00991EEB" w:rsidRPr="00991EEB" w:rsidRDefault="00991EEB" w:rsidP="00F569B1">
      <w:pPr>
        <w:spacing w:line="240" w:lineRule="auto"/>
        <w:rPr>
          <w:rStyle w:val="Style1"/>
        </w:rPr>
      </w:pPr>
    </w:p>
    <w:p w:rsidR="00991EEB" w:rsidRPr="00991EEB" w:rsidRDefault="00991EEB" w:rsidP="00F569B1">
      <w:pPr>
        <w:spacing w:line="240" w:lineRule="auto"/>
        <w:jc w:val="center"/>
        <w:rPr>
          <w:rStyle w:val="Style1"/>
        </w:rPr>
      </w:pPr>
      <w:r w:rsidRPr="00991EEB">
        <w:rPr>
          <w:rStyle w:val="Style1"/>
        </w:rPr>
        <w:t>2012 Q4 Measure for States/Territories</w:t>
      </w:r>
    </w:p>
    <w:tbl>
      <w:tblPr>
        <w:tblW w:w="0" w:type="auto"/>
        <w:jc w:val="center"/>
        <w:tblLayout w:type="fixed"/>
        <w:tblCellMar>
          <w:left w:w="60" w:type="dxa"/>
          <w:right w:w="60" w:type="dxa"/>
        </w:tblCellMar>
        <w:tblLook w:val="0000" w:firstRow="0" w:lastRow="0" w:firstColumn="0" w:lastColumn="0" w:noHBand="0" w:noVBand="0"/>
      </w:tblPr>
      <w:tblGrid>
        <w:gridCol w:w="1444"/>
        <w:gridCol w:w="371"/>
        <w:gridCol w:w="950"/>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71"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5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444"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371"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66.51</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11.45</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68.96</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35.95</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81.83</w:t>
            </w:r>
          </w:p>
        </w:tc>
      </w:tr>
      <w:tr w:rsidR="00991EEB" w:rsidRPr="00991EEB" w:rsidTr="00991EEB">
        <w:trPr>
          <w:cantSplit/>
          <w:jc w:val="center"/>
        </w:trPr>
        <w:tc>
          <w:tcPr>
            <w:tcW w:w="1444"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371"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c>
          <w:tcPr>
            <w:tcW w:w="95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66.60</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10.97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68.06</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35.89</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82.24</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0.99448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0.99234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9</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10</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53</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85% (45/53)</w:t>
      </w:r>
    </w:p>
    <w:p w:rsidR="00991EEB" w:rsidRPr="00991EEB" w:rsidRDefault="00991EEB" w:rsidP="00F569B1">
      <w:pPr>
        <w:spacing w:line="240" w:lineRule="auto"/>
        <w:ind w:left="1440" w:firstLine="720"/>
        <w:rPr>
          <w:rStyle w:val="Style1"/>
        </w:rPr>
      </w:pPr>
      <w:r w:rsidRPr="00991EEB">
        <w:rPr>
          <w:rStyle w:val="Style1"/>
        </w:rPr>
        <w:t>Weighted Kappa: 0.9056 (95%CI:  (0.8432, 0.9680))</w:t>
      </w:r>
    </w:p>
    <w:p w:rsidR="00991EEB" w:rsidRPr="00991EEB" w:rsidRDefault="00991EEB" w:rsidP="00F569B1">
      <w:pPr>
        <w:spacing w:line="240" w:lineRule="auto"/>
        <w:jc w:val="center"/>
        <w:rPr>
          <w:rStyle w:val="Style1"/>
        </w:rPr>
      </w:pPr>
    </w:p>
    <w:p w:rsidR="00991EEB" w:rsidRPr="00991EEB" w:rsidRDefault="00991EEB" w:rsidP="00F569B1">
      <w:pPr>
        <w:tabs>
          <w:tab w:val="left" w:pos="7530"/>
        </w:tabs>
        <w:spacing w:line="240" w:lineRule="auto"/>
        <w:rPr>
          <w:rStyle w:val="Style1"/>
        </w:rPr>
      </w:pPr>
      <w:r w:rsidRPr="00991EEB">
        <w:rPr>
          <w:rStyle w:val="Style1"/>
        </w:rPr>
        <w:tab/>
      </w:r>
    </w:p>
    <w:p w:rsidR="00991EEB" w:rsidRPr="00991EEB" w:rsidRDefault="00991EEB" w:rsidP="00F569B1">
      <w:pPr>
        <w:spacing w:line="240" w:lineRule="auto"/>
        <w:rPr>
          <w:rStyle w:val="Style1"/>
        </w:rPr>
      </w:pPr>
      <w:r w:rsidRPr="00991EEB">
        <w:rPr>
          <w:rStyle w:val="Style1"/>
        </w:rPr>
        <w:br w:type="page"/>
      </w:r>
    </w:p>
    <w:p w:rsidR="00991EEB" w:rsidRPr="00991EEB" w:rsidRDefault="00991EEB" w:rsidP="00F569B1">
      <w:pPr>
        <w:spacing w:line="240" w:lineRule="auto"/>
        <w:jc w:val="center"/>
        <w:rPr>
          <w:rStyle w:val="Style1"/>
        </w:rPr>
      </w:pPr>
      <w:r w:rsidRPr="00991EEB">
        <w:rPr>
          <w:rStyle w:val="Style1"/>
        </w:rPr>
        <w:lastRenderedPageBreak/>
        <w:t>2012 Q4 Measure for Communities</w:t>
      </w:r>
    </w:p>
    <w:tbl>
      <w:tblPr>
        <w:tblW w:w="0" w:type="auto"/>
        <w:jc w:val="center"/>
        <w:tblLayout w:type="fixed"/>
        <w:tblCellMar>
          <w:left w:w="60" w:type="dxa"/>
          <w:right w:w="60" w:type="dxa"/>
        </w:tblCellMar>
        <w:tblLook w:val="0000" w:firstRow="0" w:lastRow="0" w:firstColumn="0" w:lastColumn="0" w:noHBand="0" w:noVBand="0"/>
      </w:tblPr>
      <w:tblGrid>
        <w:gridCol w:w="1275"/>
        <w:gridCol w:w="498"/>
        <w:gridCol w:w="992"/>
        <w:gridCol w:w="890"/>
        <w:gridCol w:w="992"/>
        <w:gridCol w:w="1085"/>
        <w:gridCol w:w="1137"/>
      </w:tblGrid>
      <w:tr w:rsidR="00991EEB" w:rsidRPr="00991EEB" w:rsidTr="00991EEB">
        <w:trPr>
          <w:cantSplit/>
          <w:tblHeader/>
          <w:jc w:val="center"/>
        </w:trPr>
        <w:tc>
          <w:tcPr>
            <w:tcW w:w="6869"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Summary</w:t>
            </w:r>
          </w:p>
        </w:tc>
      </w:tr>
      <w:tr w:rsidR="00991EEB" w:rsidRPr="00991EEB" w:rsidTr="00991EEB">
        <w:trPr>
          <w:cantSplit/>
          <w:tblHeader/>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98"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N</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Mean</w:t>
            </w:r>
          </w:p>
        </w:tc>
        <w:tc>
          <w:tcPr>
            <w:tcW w:w="890"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Std Dev</w:t>
            </w:r>
          </w:p>
        </w:tc>
        <w:tc>
          <w:tcPr>
            <w:tcW w:w="992"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Median</w:t>
            </w:r>
          </w:p>
        </w:tc>
        <w:tc>
          <w:tcPr>
            <w:tcW w:w="1085"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Minimum</w:t>
            </w:r>
          </w:p>
        </w:tc>
        <w:tc>
          <w:tcPr>
            <w:tcW w:w="1137"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Maximum</w:t>
            </w:r>
          </w:p>
        </w:tc>
      </w:tr>
      <w:tr w:rsidR="00991EEB" w:rsidRPr="00991EEB" w:rsidTr="00991EEB">
        <w:trPr>
          <w:cantSplit/>
          <w:jc w:val="center"/>
        </w:trPr>
        <w:tc>
          <w:tcPr>
            <w:tcW w:w="1275"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498"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70.38</w:t>
            </w:r>
          </w:p>
        </w:tc>
        <w:tc>
          <w:tcPr>
            <w:tcW w:w="890"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13.87</w:t>
            </w:r>
          </w:p>
        </w:tc>
        <w:tc>
          <w:tcPr>
            <w:tcW w:w="992"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70.35</w:t>
            </w:r>
          </w:p>
        </w:tc>
        <w:tc>
          <w:tcPr>
            <w:tcW w:w="1085" w:type="dxa"/>
            <w:tcBorders>
              <w:top w:val="nil"/>
              <w:left w:val="single" w:sz="2" w:space="0" w:color="000000"/>
              <w:bottom w:val="single" w:sz="2"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33.26</w:t>
            </w:r>
          </w:p>
        </w:tc>
        <w:tc>
          <w:tcPr>
            <w:tcW w:w="1137" w:type="dxa"/>
            <w:tcBorders>
              <w:top w:val="nil"/>
              <w:left w:val="single" w:sz="2" w:space="0" w:color="000000"/>
              <w:bottom w:val="single" w:sz="2"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129.33</w:t>
            </w:r>
          </w:p>
        </w:tc>
      </w:tr>
      <w:tr w:rsidR="00991EEB" w:rsidRPr="00991EEB" w:rsidTr="00991EEB">
        <w:trPr>
          <w:cantSplit/>
          <w:jc w:val="center"/>
        </w:trPr>
        <w:tc>
          <w:tcPr>
            <w:tcW w:w="1275"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Sample 2</w:t>
            </w:r>
          </w:p>
        </w:tc>
        <w:tc>
          <w:tcPr>
            <w:tcW w:w="498"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70.03</w:t>
            </w:r>
          </w:p>
        </w:tc>
        <w:tc>
          <w:tcPr>
            <w:tcW w:w="890"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13.24</w:t>
            </w:r>
          </w:p>
        </w:tc>
        <w:tc>
          <w:tcPr>
            <w:tcW w:w="992"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70.09</w:t>
            </w:r>
          </w:p>
        </w:tc>
        <w:tc>
          <w:tcPr>
            <w:tcW w:w="1085" w:type="dxa"/>
            <w:tcBorders>
              <w:top w:val="nil"/>
              <w:left w:val="single" w:sz="2" w:space="0" w:color="000000"/>
              <w:bottom w:val="single" w:sz="6" w:space="0" w:color="000000"/>
              <w:right w:val="nil"/>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35.46</w:t>
            </w:r>
          </w:p>
        </w:tc>
        <w:tc>
          <w:tcPr>
            <w:tcW w:w="1137" w:type="dxa"/>
            <w:tcBorders>
              <w:top w:val="nil"/>
              <w:left w:val="single" w:sz="2" w:space="0" w:color="000000"/>
              <w:bottom w:val="single" w:sz="6" w:space="0" w:color="000000"/>
              <w:right w:val="single" w:sz="6" w:space="0" w:color="000000"/>
            </w:tcBorders>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113.00</w:t>
            </w:r>
          </w:p>
        </w:tc>
      </w:tr>
    </w:tbl>
    <w:p w:rsidR="00991EEB" w:rsidRPr="00991EEB" w:rsidRDefault="00991EEB" w:rsidP="00F569B1">
      <w:pPr>
        <w:spacing w:line="240" w:lineRule="auto"/>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3375"/>
        <w:gridCol w:w="2938"/>
      </w:tblGrid>
      <w:tr w:rsidR="00991EEB" w:rsidRPr="00991EEB" w:rsidTr="00991EEB">
        <w:trPr>
          <w:cantSplit/>
          <w:tblHeader/>
          <w:jc w:val="center"/>
        </w:trPr>
        <w:tc>
          <w:tcPr>
            <w:tcW w:w="6313" w:type="dxa"/>
            <w:gridSpan w:val="2"/>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Correlations</w:t>
            </w:r>
          </w:p>
        </w:tc>
      </w:tr>
      <w:tr w:rsidR="00991EEB" w:rsidRPr="00991EEB" w:rsidTr="00991EEB">
        <w:trPr>
          <w:cantSplit/>
          <w:tblHeader/>
          <w:jc w:val="center"/>
        </w:trPr>
        <w:tc>
          <w:tcPr>
            <w:tcW w:w="3375" w:type="dxa"/>
            <w:tcBorders>
              <w:top w:val="single" w:sz="4" w:space="0" w:color="auto"/>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2938" w:type="dxa"/>
            <w:tcBorders>
              <w:top w:val="single" w:sz="4" w:space="0" w:color="auto"/>
              <w:left w:val="single" w:sz="4" w:space="0" w:color="auto"/>
              <w:bottom w:val="single" w:sz="4" w:space="0" w:color="auto"/>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Correlation (p-value)</w:t>
            </w:r>
          </w:p>
        </w:tc>
      </w:tr>
      <w:tr w:rsidR="00991EEB" w:rsidRPr="00991EEB" w:rsidTr="00991EEB">
        <w:trPr>
          <w:cantSplit/>
          <w:jc w:val="center"/>
        </w:trPr>
        <w:tc>
          <w:tcPr>
            <w:tcW w:w="3375" w:type="dxa"/>
            <w:tcBorders>
              <w:top w:val="nil"/>
              <w:left w:val="single" w:sz="6" w:space="0" w:color="000000"/>
              <w:bottom w:val="single" w:sz="2"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Pearson Correlation</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0.94469 (&lt;.0001)</w:t>
            </w:r>
          </w:p>
        </w:tc>
      </w:tr>
      <w:tr w:rsidR="00991EEB" w:rsidRPr="00991EEB" w:rsidTr="00991EEB">
        <w:trPr>
          <w:cantSplit/>
          <w:jc w:val="center"/>
        </w:trPr>
        <w:tc>
          <w:tcPr>
            <w:tcW w:w="3375" w:type="dxa"/>
            <w:tcBorders>
              <w:top w:val="nil"/>
              <w:left w:val="single" w:sz="6" w:space="0" w:color="000000"/>
              <w:bottom w:val="single" w:sz="6" w:space="0" w:color="000000"/>
              <w:right w:val="single" w:sz="4" w:space="0" w:color="auto"/>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Spearman Correlation (uses ranks)</w:t>
            </w:r>
          </w:p>
        </w:tc>
        <w:tc>
          <w:tcPr>
            <w:tcW w:w="2938" w:type="dxa"/>
            <w:tcBorders>
              <w:top w:val="single" w:sz="4" w:space="0" w:color="auto"/>
              <w:left w:val="single" w:sz="4" w:space="0" w:color="auto"/>
              <w:bottom w:val="single" w:sz="4" w:space="0" w:color="auto"/>
              <w:right w:val="single" w:sz="4" w:space="0" w:color="auto"/>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0.94571 (&lt;.0001)</w:t>
            </w:r>
          </w:p>
        </w:tc>
      </w:tr>
    </w:tbl>
    <w:p w:rsidR="00991EEB" w:rsidRPr="00991EEB" w:rsidRDefault="00991EEB" w:rsidP="00F569B1">
      <w:pPr>
        <w:spacing w:line="240" w:lineRule="auto"/>
        <w:jc w:val="center"/>
        <w:rPr>
          <w:rStyle w:val="Style1"/>
        </w:rPr>
      </w:pPr>
    </w:p>
    <w:tbl>
      <w:tblPr>
        <w:tblW w:w="0" w:type="auto"/>
        <w:jc w:val="center"/>
        <w:tblLayout w:type="fixed"/>
        <w:tblCellMar>
          <w:left w:w="60" w:type="dxa"/>
          <w:right w:w="60" w:type="dxa"/>
        </w:tblCellMar>
        <w:tblLook w:val="0000" w:firstRow="0" w:lastRow="0" w:firstColumn="0" w:lastColumn="0" w:noHBand="0" w:noVBand="0"/>
      </w:tblPr>
      <w:tblGrid>
        <w:gridCol w:w="1157"/>
        <w:gridCol w:w="1157"/>
        <w:gridCol w:w="537"/>
        <w:gridCol w:w="537"/>
        <w:gridCol w:w="537"/>
        <w:gridCol w:w="537"/>
        <w:gridCol w:w="537"/>
        <w:gridCol w:w="651"/>
      </w:tblGrid>
      <w:tr w:rsidR="00991EEB" w:rsidRPr="00991EEB" w:rsidTr="00991EEB">
        <w:trPr>
          <w:cantSplit/>
          <w:tblHeader/>
          <w:jc w:val="center"/>
        </w:trPr>
        <w:tc>
          <w:tcPr>
            <w:tcW w:w="1157" w:type="dxa"/>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4493" w:type="dxa"/>
            <w:gridSpan w:val="7"/>
            <w:tcBorders>
              <w:top w:val="single" w:sz="6" w:space="0" w:color="000000"/>
              <w:left w:val="single" w:sz="6"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Hospitalizations per 1000 Quintile Comparison</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3336" w:type="dxa"/>
            <w:gridSpan w:val="6"/>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Quintiles Sample 2</w:t>
            </w:r>
          </w:p>
        </w:tc>
      </w:tr>
      <w:tr w:rsidR="00991EEB" w:rsidRPr="00991EEB" w:rsidTr="00991EEB">
        <w:trPr>
          <w:cantSplit/>
          <w:tblHeader/>
          <w:jc w:val="center"/>
        </w:trPr>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651" w:type="dxa"/>
            <w:tcBorders>
              <w:top w:val="nil"/>
              <w:left w:val="single" w:sz="2" w:space="0" w:color="000000"/>
              <w:bottom w:val="single" w:sz="2" w:space="0" w:color="000000"/>
              <w:right w:val="single" w:sz="6" w:space="0" w:color="000000"/>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r>
      <w:tr w:rsidR="00991EEB" w:rsidRPr="00991EEB" w:rsidTr="00991EEB">
        <w:trPr>
          <w:cantSplit/>
          <w:jc w:val="center"/>
        </w:trPr>
        <w:tc>
          <w:tcPr>
            <w:tcW w:w="1157" w:type="dxa"/>
            <w:vMerge w:val="restart"/>
            <w:tcBorders>
              <w:top w:val="nil"/>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p>
          <w:p w:rsidR="00991EEB" w:rsidRPr="00991EEB" w:rsidRDefault="00991EEB" w:rsidP="00F569B1">
            <w:pPr>
              <w:keepNext/>
              <w:adjustRightInd w:val="0"/>
              <w:spacing w:before="60" w:after="60" w:line="240" w:lineRule="auto"/>
              <w:jc w:val="center"/>
              <w:rPr>
                <w:rStyle w:val="Style1"/>
              </w:rPr>
            </w:pPr>
            <w:r w:rsidRPr="00991EEB">
              <w:rPr>
                <w:rStyle w:val="Style1"/>
              </w:rPr>
              <w:t>Quintiles</w:t>
            </w:r>
          </w:p>
          <w:p w:rsidR="00991EEB" w:rsidRPr="00991EEB" w:rsidRDefault="00991EEB" w:rsidP="00F569B1">
            <w:pPr>
              <w:keepNext/>
              <w:adjustRightInd w:val="0"/>
              <w:spacing w:before="60" w:after="60" w:line="240" w:lineRule="auto"/>
              <w:jc w:val="center"/>
              <w:rPr>
                <w:rStyle w:val="Style1"/>
              </w:rPr>
            </w:pPr>
            <w:r w:rsidRPr="00991EEB">
              <w:rPr>
                <w:rStyle w:val="Style1"/>
              </w:rPr>
              <w:t>Sample 1</w:t>
            </w: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41</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2</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17</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r>
      <w:tr w:rsidR="00991EEB" w:rsidRPr="00991EEB" w:rsidTr="00991EEB">
        <w:trPr>
          <w:cantSplit/>
          <w:jc w:val="center"/>
        </w:trPr>
        <w:tc>
          <w:tcPr>
            <w:tcW w:w="1157" w:type="dxa"/>
            <w:vMerge/>
            <w:tcBorders>
              <w:left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4</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16</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vMerge/>
            <w:tcBorders>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0</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8</w:t>
            </w:r>
          </w:p>
        </w:tc>
        <w:tc>
          <w:tcPr>
            <w:tcW w:w="537" w:type="dxa"/>
            <w:tcBorders>
              <w:top w:val="nil"/>
              <w:left w:val="single" w:sz="2" w:space="0" w:color="000000"/>
              <w:bottom w:val="single" w:sz="2"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57</w:t>
            </w:r>
          </w:p>
        </w:tc>
        <w:tc>
          <w:tcPr>
            <w:tcW w:w="651" w:type="dxa"/>
            <w:tcBorders>
              <w:top w:val="nil"/>
              <w:left w:val="single" w:sz="2" w:space="0" w:color="000000"/>
              <w:bottom w:val="single" w:sz="2"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r>
      <w:tr w:rsidR="00991EEB" w:rsidRPr="00991EEB" w:rsidTr="00991EEB">
        <w:trPr>
          <w:cantSplit/>
          <w:jc w:val="center"/>
        </w:trPr>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6" w:space="0" w:color="000000"/>
              <w:right w:val="nil"/>
            </w:tcBorders>
            <w:shd w:val="clear" w:color="auto" w:fill="BBBBBB"/>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Total</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66</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537" w:type="dxa"/>
            <w:tcBorders>
              <w:top w:val="nil"/>
              <w:left w:val="single" w:sz="2" w:space="0" w:color="000000"/>
              <w:bottom w:val="single" w:sz="6" w:space="0" w:color="000000"/>
              <w:right w:val="nil"/>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65</w:t>
            </w:r>
          </w:p>
        </w:tc>
        <w:tc>
          <w:tcPr>
            <w:tcW w:w="651" w:type="dxa"/>
            <w:tcBorders>
              <w:top w:val="nil"/>
              <w:left w:val="single" w:sz="2" w:space="0" w:color="000000"/>
              <w:bottom w:val="single" w:sz="6" w:space="0" w:color="000000"/>
              <w:right w:val="single" w:sz="6" w:space="0" w:color="000000"/>
            </w:tcBorders>
            <w:shd w:val="clear" w:color="auto" w:fill="FFFFFF"/>
            <w:vAlign w:val="center"/>
          </w:tcPr>
          <w:p w:rsidR="00991EEB" w:rsidRPr="00991EEB" w:rsidRDefault="00991EEB" w:rsidP="00F569B1">
            <w:pPr>
              <w:keepNext/>
              <w:adjustRightInd w:val="0"/>
              <w:spacing w:before="60" w:after="60" w:line="240" w:lineRule="auto"/>
              <w:jc w:val="center"/>
              <w:rPr>
                <w:rStyle w:val="Style1"/>
              </w:rPr>
            </w:pPr>
            <w:r w:rsidRPr="00991EEB">
              <w:rPr>
                <w:rStyle w:val="Style1"/>
              </w:rPr>
              <w:t>327</w:t>
            </w:r>
          </w:p>
        </w:tc>
      </w:tr>
    </w:tbl>
    <w:p w:rsidR="00991EEB" w:rsidRPr="00991EEB" w:rsidRDefault="00991EEB" w:rsidP="00F569B1">
      <w:pPr>
        <w:spacing w:line="240" w:lineRule="auto"/>
        <w:jc w:val="center"/>
        <w:rPr>
          <w:rStyle w:val="Style1"/>
        </w:rPr>
      </w:pPr>
    </w:p>
    <w:p w:rsidR="00991EEB" w:rsidRPr="00991EEB" w:rsidRDefault="00991EEB" w:rsidP="00F569B1">
      <w:pPr>
        <w:spacing w:line="240" w:lineRule="auto"/>
        <w:ind w:left="1440" w:firstLine="720"/>
        <w:rPr>
          <w:rStyle w:val="Style1"/>
        </w:rPr>
      </w:pPr>
      <w:r w:rsidRPr="00991EEB">
        <w:rPr>
          <w:rStyle w:val="Style1"/>
        </w:rPr>
        <w:t>Quintile Agreement:  70% (229/327)</w:t>
      </w:r>
    </w:p>
    <w:p w:rsidR="00991EEB" w:rsidRPr="00991EEB" w:rsidRDefault="00991EEB" w:rsidP="00F569B1">
      <w:pPr>
        <w:spacing w:line="240" w:lineRule="auto"/>
        <w:ind w:left="1440" w:firstLine="720"/>
        <w:rPr>
          <w:rStyle w:val="Style1"/>
        </w:rPr>
      </w:pPr>
      <w:r w:rsidRPr="00991EEB">
        <w:rPr>
          <w:rStyle w:val="Style1"/>
        </w:rPr>
        <w:t>Weighted Kappa: 0.8012 (95%CI:  (0.7634, 0.8390))</w:t>
      </w:r>
    </w:p>
    <w:p w:rsidR="007422FD" w:rsidRDefault="00092566" w:rsidP="00F569B1">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rsidR="00875C27" w:rsidRPr="00991EEB" w:rsidRDefault="00875C27" w:rsidP="00F569B1">
      <w:pPr>
        <w:autoSpaceDE w:val="0"/>
        <w:autoSpaceDN w:val="0"/>
        <w:adjustRightInd w:val="0"/>
        <w:spacing w:after="0" w:line="240" w:lineRule="auto"/>
        <w:rPr>
          <w:rStyle w:val="Style1"/>
        </w:rPr>
      </w:pPr>
      <w:r w:rsidRPr="00991EEB">
        <w:rPr>
          <w:rStyle w:val="Style1"/>
        </w:rPr>
        <w:t>Kappa Statistic Interpretation</w:t>
      </w:r>
    </w:p>
    <w:p w:rsidR="00875C27" w:rsidRPr="00991EEB" w:rsidRDefault="00875C27" w:rsidP="00F569B1">
      <w:pPr>
        <w:autoSpaceDE w:val="0"/>
        <w:autoSpaceDN w:val="0"/>
        <w:adjustRightInd w:val="0"/>
        <w:spacing w:after="0" w:line="240" w:lineRule="auto"/>
        <w:rPr>
          <w:rStyle w:val="Style1"/>
        </w:rPr>
      </w:pPr>
      <w:r w:rsidRPr="00991EEB">
        <w:rPr>
          <w:rStyle w:val="Style1"/>
        </w:rPr>
        <w:t>The Kappa statistic is a statistical measure of inter-rater reliability. It generally ranges from 0.0 to 1.0, where values near one are indicative of high reliability and values near zero indicate that agreement can be attributed to chance.</w:t>
      </w:r>
    </w:p>
    <w:p w:rsidR="00875C27" w:rsidRPr="00991EEB" w:rsidRDefault="00875C27" w:rsidP="00F569B1">
      <w:pPr>
        <w:autoSpaceDE w:val="0"/>
        <w:autoSpaceDN w:val="0"/>
        <w:adjustRightInd w:val="0"/>
        <w:spacing w:after="0" w:line="240" w:lineRule="auto"/>
        <w:rPr>
          <w:rStyle w:val="Style1"/>
        </w:rPr>
      </w:pPr>
    </w:p>
    <w:p w:rsidR="00875C27" w:rsidRPr="00991EEB" w:rsidRDefault="00875C27" w:rsidP="00F569B1">
      <w:pPr>
        <w:autoSpaceDE w:val="0"/>
        <w:autoSpaceDN w:val="0"/>
        <w:adjustRightInd w:val="0"/>
        <w:spacing w:after="0" w:line="240" w:lineRule="auto"/>
        <w:rPr>
          <w:rStyle w:val="Style1"/>
        </w:rPr>
      </w:pPr>
      <w:r w:rsidRPr="00991EEB">
        <w:rPr>
          <w:rStyle w:val="Style1"/>
        </w:rPr>
        <w:t>Landis and Koch, 1977 offer the following classification of Kappa interpretation:</w:t>
      </w:r>
    </w:p>
    <w:p w:rsidR="00875C27" w:rsidRPr="00692ED4" w:rsidRDefault="00875C27" w:rsidP="00F569B1">
      <w:pPr>
        <w:autoSpaceDE w:val="0"/>
        <w:autoSpaceDN w:val="0"/>
        <w:adjustRightInd w:val="0"/>
        <w:spacing w:after="0" w:line="240" w:lineRule="auto"/>
        <w:rPr>
          <w:rFonts w:cstheme="minorHAnsi"/>
          <w:bCs/>
          <w:color w:val="FF0000"/>
        </w:rPr>
      </w:pPr>
    </w:p>
    <w:tbl>
      <w:tblPr>
        <w:tblStyle w:val="TableGrid"/>
        <w:tblW w:w="0" w:type="auto"/>
        <w:tblInd w:w="1920" w:type="dxa"/>
        <w:tblLook w:val="04A0" w:firstRow="1" w:lastRow="0" w:firstColumn="1" w:lastColumn="0" w:noHBand="0" w:noVBand="1"/>
      </w:tblPr>
      <w:tblGrid>
        <w:gridCol w:w="2448"/>
        <w:gridCol w:w="3090"/>
      </w:tblGrid>
      <w:tr w:rsidR="00875C27" w:rsidRPr="00991EEB" w:rsidTr="00932751">
        <w:tc>
          <w:tcPr>
            <w:tcW w:w="2448" w:type="dxa"/>
            <w:shd w:val="clear" w:color="auto" w:fill="D9D9D9" w:themeFill="background1" w:themeFillShade="D9"/>
          </w:tcPr>
          <w:p w:rsidR="00875C27" w:rsidRPr="00991EEB" w:rsidRDefault="00875C27" w:rsidP="00F569B1">
            <w:pPr>
              <w:autoSpaceDE w:val="0"/>
              <w:autoSpaceDN w:val="0"/>
              <w:adjustRightInd w:val="0"/>
              <w:jc w:val="center"/>
              <w:rPr>
                <w:rStyle w:val="Style1"/>
              </w:rPr>
            </w:pPr>
            <w:r w:rsidRPr="00991EEB">
              <w:rPr>
                <w:rStyle w:val="Style1"/>
              </w:rPr>
              <w:t>Kappa Range</w:t>
            </w:r>
          </w:p>
        </w:tc>
        <w:tc>
          <w:tcPr>
            <w:tcW w:w="3090" w:type="dxa"/>
            <w:shd w:val="clear" w:color="auto" w:fill="D9D9D9" w:themeFill="background1" w:themeFillShade="D9"/>
          </w:tcPr>
          <w:p w:rsidR="00875C27" w:rsidRPr="00991EEB" w:rsidRDefault="00875C27" w:rsidP="00F569B1">
            <w:pPr>
              <w:autoSpaceDE w:val="0"/>
              <w:autoSpaceDN w:val="0"/>
              <w:adjustRightInd w:val="0"/>
              <w:jc w:val="center"/>
              <w:rPr>
                <w:rStyle w:val="Style1"/>
              </w:rPr>
            </w:pPr>
            <w:r w:rsidRPr="00991EEB">
              <w:rPr>
                <w:rStyle w:val="Style1"/>
              </w:rPr>
              <w:t>Interpretation</w:t>
            </w:r>
          </w:p>
        </w:tc>
      </w:tr>
      <w:tr w:rsidR="00875C27" w:rsidRPr="00991EEB" w:rsidTr="00932751">
        <w:tc>
          <w:tcPr>
            <w:tcW w:w="2448" w:type="dxa"/>
          </w:tcPr>
          <w:p w:rsidR="00875C27" w:rsidRPr="00991EEB" w:rsidRDefault="00875C27" w:rsidP="00F569B1">
            <w:pPr>
              <w:autoSpaceDE w:val="0"/>
              <w:autoSpaceDN w:val="0"/>
              <w:adjustRightInd w:val="0"/>
              <w:jc w:val="center"/>
              <w:rPr>
                <w:rStyle w:val="Style1"/>
              </w:rPr>
            </w:pPr>
            <w:r w:rsidRPr="00991EEB">
              <w:rPr>
                <w:rStyle w:val="Style1"/>
              </w:rPr>
              <w:t>&lt;0</w:t>
            </w:r>
          </w:p>
        </w:tc>
        <w:tc>
          <w:tcPr>
            <w:tcW w:w="3090" w:type="dxa"/>
          </w:tcPr>
          <w:p w:rsidR="00875C27" w:rsidRPr="00991EEB" w:rsidRDefault="00875C27" w:rsidP="00F569B1">
            <w:pPr>
              <w:autoSpaceDE w:val="0"/>
              <w:autoSpaceDN w:val="0"/>
              <w:adjustRightInd w:val="0"/>
              <w:jc w:val="center"/>
              <w:rPr>
                <w:rStyle w:val="Style1"/>
              </w:rPr>
            </w:pPr>
            <w:r w:rsidRPr="00991EEB">
              <w:rPr>
                <w:rStyle w:val="Style1"/>
              </w:rPr>
              <w:t>Poor agreement</w:t>
            </w:r>
          </w:p>
        </w:tc>
      </w:tr>
      <w:tr w:rsidR="00875C27" w:rsidRPr="00991EEB" w:rsidTr="00932751">
        <w:tc>
          <w:tcPr>
            <w:tcW w:w="2448" w:type="dxa"/>
          </w:tcPr>
          <w:p w:rsidR="00875C27" w:rsidRPr="00991EEB" w:rsidRDefault="00875C27" w:rsidP="00F569B1">
            <w:pPr>
              <w:autoSpaceDE w:val="0"/>
              <w:autoSpaceDN w:val="0"/>
              <w:adjustRightInd w:val="0"/>
              <w:jc w:val="center"/>
              <w:rPr>
                <w:rStyle w:val="Style1"/>
              </w:rPr>
            </w:pPr>
            <w:r w:rsidRPr="00991EEB">
              <w:rPr>
                <w:rStyle w:val="Style1"/>
              </w:rPr>
              <w:t>0.00-0.20</w:t>
            </w:r>
          </w:p>
        </w:tc>
        <w:tc>
          <w:tcPr>
            <w:tcW w:w="3090" w:type="dxa"/>
          </w:tcPr>
          <w:p w:rsidR="00875C27" w:rsidRPr="00991EEB" w:rsidRDefault="00875C27" w:rsidP="00F569B1">
            <w:pPr>
              <w:autoSpaceDE w:val="0"/>
              <w:autoSpaceDN w:val="0"/>
              <w:adjustRightInd w:val="0"/>
              <w:jc w:val="center"/>
              <w:rPr>
                <w:rStyle w:val="Style1"/>
              </w:rPr>
            </w:pPr>
            <w:r w:rsidRPr="00991EEB">
              <w:rPr>
                <w:rStyle w:val="Style1"/>
              </w:rPr>
              <w:t>Slight agreement</w:t>
            </w:r>
          </w:p>
        </w:tc>
      </w:tr>
      <w:tr w:rsidR="00875C27" w:rsidRPr="00991EEB" w:rsidTr="00932751">
        <w:tc>
          <w:tcPr>
            <w:tcW w:w="2448" w:type="dxa"/>
          </w:tcPr>
          <w:p w:rsidR="00875C27" w:rsidRPr="00991EEB" w:rsidRDefault="00875C27" w:rsidP="00F569B1">
            <w:pPr>
              <w:autoSpaceDE w:val="0"/>
              <w:autoSpaceDN w:val="0"/>
              <w:adjustRightInd w:val="0"/>
              <w:jc w:val="center"/>
              <w:rPr>
                <w:rStyle w:val="Style1"/>
              </w:rPr>
            </w:pPr>
            <w:r w:rsidRPr="00991EEB">
              <w:rPr>
                <w:rStyle w:val="Style1"/>
              </w:rPr>
              <w:lastRenderedPageBreak/>
              <w:t>0.21-0.40</w:t>
            </w:r>
          </w:p>
        </w:tc>
        <w:tc>
          <w:tcPr>
            <w:tcW w:w="3090" w:type="dxa"/>
          </w:tcPr>
          <w:p w:rsidR="00875C27" w:rsidRPr="00991EEB" w:rsidRDefault="00875C27" w:rsidP="00F569B1">
            <w:pPr>
              <w:autoSpaceDE w:val="0"/>
              <w:autoSpaceDN w:val="0"/>
              <w:adjustRightInd w:val="0"/>
              <w:jc w:val="center"/>
              <w:rPr>
                <w:rStyle w:val="Style1"/>
              </w:rPr>
            </w:pPr>
            <w:r w:rsidRPr="00991EEB">
              <w:rPr>
                <w:rStyle w:val="Style1"/>
              </w:rPr>
              <w:t>Fair agreement</w:t>
            </w:r>
          </w:p>
        </w:tc>
      </w:tr>
      <w:tr w:rsidR="00875C27" w:rsidRPr="00991EEB" w:rsidTr="00932751">
        <w:tc>
          <w:tcPr>
            <w:tcW w:w="2448" w:type="dxa"/>
          </w:tcPr>
          <w:p w:rsidR="00875C27" w:rsidRPr="00991EEB" w:rsidRDefault="00875C27" w:rsidP="00F569B1">
            <w:pPr>
              <w:autoSpaceDE w:val="0"/>
              <w:autoSpaceDN w:val="0"/>
              <w:adjustRightInd w:val="0"/>
              <w:jc w:val="center"/>
              <w:rPr>
                <w:rStyle w:val="Style1"/>
              </w:rPr>
            </w:pPr>
            <w:r w:rsidRPr="00991EEB">
              <w:rPr>
                <w:rStyle w:val="Style1"/>
              </w:rPr>
              <w:t>0.41-0.60</w:t>
            </w:r>
          </w:p>
        </w:tc>
        <w:tc>
          <w:tcPr>
            <w:tcW w:w="3090" w:type="dxa"/>
          </w:tcPr>
          <w:p w:rsidR="00875C27" w:rsidRPr="00991EEB" w:rsidRDefault="00875C27" w:rsidP="00F569B1">
            <w:pPr>
              <w:autoSpaceDE w:val="0"/>
              <w:autoSpaceDN w:val="0"/>
              <w:adjustRightInd w:val="0"/>
              <w:jc w:val="center"/>
              <w:rPr>
                <w:rStyle w:val="Style1"/>
              </w:rPr>
            </w:pPr>
            <w:r w:rsidRPr="00991EEB">
              <w:rPr>
                <w:rStyle w:val="Style1"/>
              </w:rPr>
              <w:t>Moderate agreement</w:t>
            </w:r>
          </w:p>
        </w:tc>
      </w:tr>
      <w:tr w:rsidR="00875C27" w:rsidRPr="00991EEB" w:rsidTr="00932751">
        <w:tc>
          <w:tcPr>
            <w:tcW w:w="2448" w:type="dxa"/>
          </w:tcPr>
          <w:p w:rsidR="00875C27" w:rsidRPr="00991EEB" w:rsidRDefault="00875C27" w:rsidP="00F569B1">
            <w:pPr>
              <w:autoSpaceDE w:val="0"/>
              <w:autoSpaceDN w:val="0"/>
              <w:adjustRightInd w:val="0"/>
              <w:jc w:val="center"/>
              <w:rPr>
                <w:rStyle w:val="Style1"/>
              </w:rPr>
            </w:pPr>
            <w:r w:rsidRPr="00991EEB">
              <w:rPr>
                <w:rStyle w:val="Style1"/>
              </w:rPr>
              <w:t>0.61-0.80</w:t>
            </w:r>
          </w:p>
        </w:tc>
        <w:tc>
          <w:tcPr>
            <w:tcW w:w="3090" w:type="dxa"/>
          </w:tcPr>
          <w:p w:rsidR="00875C27" w:rsidRPr="00991EEB" w:rsidRDefault="00875C27" w:rsidP="00F569B1">
            <w:pPr>
              <w:autoSpaceDE w:val="0"/>
              <w:autoSpaceDN w:val="0"/>
              <w:adjustRightInd w:val="0"/>
              <w:jc w:val="center"/>
              <w:rPr>
                <w:rStyle w:val="Style1"/>
              </w:rPr>
            </w:pPr>
            <w:r w:rsidRPr="00991EEB">
              <w:rPr>
                <w:rStyle w:val="Style1"/>
              </w:rPr>
              <w:t>Substantial agreement</w:t>
            </w:r>
          </w:p>
        </w:tc>
      </w:tr>
      <w:tr w:rsidR="00875C27" w:rsidRPr="00991EEB" w:rsidTr="00932751">
        <w:tc>
          <w:tcPr>
            <w:tcW w:w="2448" w:type="dxa"/>
          </w:tcPr>
          <w:p w:rsidR="00875C27" w:rsidRPr="00991EEB" w:rsidRDefault="00875C27" w:rsidP="00F569B1">
            <w:pPr>
              <w:autoSpaceDE w:val="0"/>
              <w:autoSpaceDN w:val="0"/>
              <w:adjustRightInd w:val="0"/>
              <w:jc w:val="center"/>
              <w:rPr>
                <w:rStyle w:val="Style1"/>
              </w:rPr>
            </w:pPr>
            <w:r w:rsidRPr="00991EEB">
              <w:rPr>
                <w:rStyle w:val="Style1"/>
              </w:rPr>
              <w:t>0.81-1.00</w:t>
            </w:r>
          </w:p>
        </w:tc>
        <w:tc>
          <w:tcPr>
            <w:tcW w:w="3090" w:type="dxa"/>
          </w:tcPr>
          <w:p w:rsidR="00875C27" w:rsidRPr="00991EEB" w:rsidRDefault="00875C27" w:rsidP="00F569B1">
            <w:pPr>
              <w:autoSpaceDE w:val="0"/>
              <w:autoSpaceDN w:val="0"/>
              <w:adjustRightInd w:val="0"/>
              <w:jc w:val="center"/>
              <w:rPr>
                <w:rStyle w:val="Style1"/>
              </w:rPr>
            </w:pPr>
            <w:r w:rsidRPr="00991EEB">
              <w:rPr>
                <w:rStyle w:val="Style1"/>
              </w:rPr>
              <w:t>Almost perfect agreement</w:t>
            </w:r>
          </w:p>
        </w:tc>
      </w:tr>
    </w:tbl>
    <w:p w:rsidR="00875C27" w:rsidRDefault="00875C27" w:rsidP="00F569B1">
      <w:pPr>
        <w:autoSpaceDE w:val="0"/>
        <w:autoSpaceDN w:val="0"/>
        <w:adjustRightInd w:val="0"/>
        <w:spacing w:after="0" w:line="240" w:lineRule="auto"/>
        <w:rPr>
          <w:rFonts w:cstheme="minorHAnsi"/>
          <w:bCs/>
        </w:rPr>
      </w:pPr>
    </w:p>
    <w:p w:rsidR="0000442C" w:rsidRPr="0001369A" w:rsidRDefault="0000442C" w:rsidP="00F569B1">
      <w:pPr>
        <w:autoSpaceDE w:val="0"/>
        <w:autoSpaceDN w:val="0"/>
        <w:adjustRightInd w:val="0"/>
        <w:spacing w:after="0" w:line="240" w:lineRule="auto"/>
        <w:rPr>
          <w:rStyle w:val="Style1"/>
        </w:rPr>
      </w:pPr>
      <w:r w:rsidRPr="0001369A">
        <w:rPr>
          <w:rStyle w:val="Style1"/>
        </w:rPr>
        <w:t>The</w:t>
      </w:r>
      <w:r w:rsidR="0047687F">
        <w:rPr>
          <w:rStyle w:val="Style1"/>
        </w:rPr>
        <w:t xml:space="preserve"> high</w:t>
      </w:r>
      <w:r w:rsidRPr="0001369A">
        <w:rPr>
          <w:rStyle w:val="Style1"/>
        </w:rPr>
        <w:t xml:space="preserve"> correlation coefficient</w:t>
      </w:r>
      <w:r w:rsidR="0047687F">
        <w:rPr>
          <w:rStyle w:val="Style1"/>
        </w:rPr>
        <w:t>s</w:t>
      </w:r>
      <w:r w:rsidR="0047687F" w:rsidRPr="0047687F">
        <w:rPr>
          <w:rStyle w:val="Style1"/>
        </w:rPr>
        <w:t xml:space="preserve"> </w:t>
      </w:r>
      <w:r w:rsidRPr="0001369A">
        <w:rPr>
          <w:rStyle w:val="Style1"/>
        </w:rPr>
        <w:t xml:space="preserve">along with the high kappa statistics for quintile agreement, suggest </w:t>
      </w:r>
      <w:r w:rsidRPr="0047687F">
        <w:rPr>
          <w:rStyle w:val="Style1"/>
        </w:rPr>
        <w:t>high reliability</w:t>
      </w:r>
      <w:r w:rsidRPr="0001369A">
        <w:rPr>
          <w:rStyle w:val="Style1"/>
        </w:rPr>
        <w:t xml:space="preserve"> for the annual </w:t>
      </w:r>
      <w:r w:rsidR="0047687F">
        <w:rPr>
          <w:rStyle w:val="Style1"/>
        </w:rPr>
        <w:t xml:space="preserve">and quarterly </w:t>
      </w:r>
      <w:r>
        <w:rPr>
          <w:rStyle w:val="Style1"/>
        </w:rPr>
        <w:t>Hospitalizations</w:t>
      </w:r>
      <w:r w:rsidRPr="0001369A">
        <w:rPr>
          <w:rStyle w:val="Style1"/>
        </w:rPr>
        <w:t xml:space="preserve"> per 1000 Beneficiaries measures when computed at the state/territory level.</w:t>
      </w:r>
    </w:p>
    <w:p w:rsidR="0000442C" w:rsidRPr="0001369A" w:rsidRDefault="0000442C" w:rsidP="00F569B1">
      <w:pPr>
        <w:autoSpaceDE w:val="0"/>
        <w:autoSpaceDN w:val="0"/>
        <w:adjustRightInd w:val="0"/>
        <w:spacing w:after="0" w:line="240" w:lineRule="auto"/>
        <w:rPr>
          <w:rStyle w:val="Style1"/>
        </w:rPr>
      </w:pPr>
    </w:p>
    <w:p w:rsidR="00692ED4" w:rsidRPr="0047687F" w:rsidRDefault="0047687F" w:rsidP="00F569B1">
      <w:pPr>
        <w:autoSpaceDE w:val="0"/>
        <w:autoSpaceDN w:val="0"/>
        <w:adjustRightInd w:val="0"/>
        <w:spacing w:after="0" w:line="240" w:lineRule="auto"/>
        <w:rPr>
          <w:rStyle w:val="Style1"/>
        </w:rPr>
      </w:pPr>
      <w:r>
        <w:rPr>
          <w:rStyle w:val="Style1"/>
        </w:rPr>
        <w:t>The correlation coefficients</w:t>
      </w:r>
      <w:r w:rsidR="0000442C" w:rsidRPr="0001369A">
        <w:rPr>
          <w:rStyle w:val="Style1"/>
        </w:rPr>
        <w:t xml:space="preserve"> along with the high kappa for quintile agreement, suggest </w:t>
      </w:r>
      <w:r w:rsidR="0000442C" w:rsidRPr="0047687F">
        <w:rPr>
          <w:rStyle w:val="Style1"/>
        </w:rPr>
        <w:t>high reliability</w:t>
      </w:r>
      <w:r w:rsidR="0000442C" w:rsidRPr="0001369A">
        <w:rPr>
          <w:rStyle w:val="Style1"/>
        </w:rPr>
        <w:t xml:space="preserve"> for the annual </w:t>
      </w:r>
      <w:r>
        <w:rPr>
          <w:rStyle w:val="Style1"/>
        </w:rPr>
        <w:t xml:space="preserve">and quarterly </w:t>
      </w:r>
      <w:r w:rsidR="0000442C">
        <w:rPr>
          <w:rStyle w:val="Style1"/>
        </w:rPr>
        <w:t>Hospitalizations</w:t>
      </w:r>
      <w:r w:rsidR="0000442C" w:rsidRPr="0001369A">
        <w:rPr>
          <w:rStyle w:val="Style1"/>
        </w:rPr>
        <w:t xml:space="preserve"> per 1000 Beneficiaries measures when c</w:t>
      </w:r>
      <w:r>
        <w:rPr>
          <w:rStyle w:val="Style1"/>
        </w:rPr>
        <w:t>omputed at the community level.</w:t>
      </w:r>
    </w:p>
    <w:p w:rsidR="00021170" w:rsidRPr="00A25024" w:rsidRDefault="00483E94" w:rsidP="00F569B1">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F569B1">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F569B1">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82E53" w:rsidP="00F569B1">
      <w:pPr>
        <w:autoSpaceDE w:val="0"/>
        <w:autoSpaceDN w:val="0"/>
        <w:adjustRightInd w:val="0"/>
        <w:spacing w:after="0" w:line="240" w:lineRule="auto"/>
        <w:rPr>
          <w:rFonts w:cstheme="minorHAnsi"/>
          <w:b/>
          <w:bCs/>
        </w:rPr>
      </w:pPr>
      <w:sdt>
        <w:sdtPr>
          <w:rPr>
            <w:rFonts w:cstheme="minorHAnsi"/>
            <w:bCs/>
            <w:color w:val="0000FF"/>
          </w:rPr>
          <w:id w:val="-1767844731"/>
        </w:sdtPr>
        <w:sdtContent>
          <w:sdt>
            <w:sdtPr>
              <w:rPr>
                <w:rFonts w:cstheme="minorHAnsi"/>
                <w:bCs/>
                <w:color w:val="0000FF"/>
              </w:rPr>
              <w:id w:val="89955191"/>
            </w:sdtPr>
            <w:sdtContent>
              <w:sdt>
                <w:sdtPr>
                  <w:rPr>
                    <w:rFonts w:cstheme="minorHAnsi"/>
                    <w:bCs/>
                    <w:color w:val="0000FF"/>
                  </w:rPr>
                  <w:id w:val="8664786"/>
                </w:sdtPr>
                <w:sdtContent>
                  <w:r w:rsidR="00692ED4">
                    <w:rPr>
                      <w:rFonts w:ascii="MS Gothic" w:eastAsia="MS Gothic" w:hAnsi="MS Gothic" w:cstheme="minorHAnsi" w:hint="eastAsia"/>
                      <w:bCs/>
                      <w:color w:val="0000FF"/>
                    </w:rPr>
                    <w:t>☒</w:t>
                  </w:r>
                </w:sdtContent>
              </w:sdt>
            </w:sdtContent>
          </w:sdt>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682E53" w:rsidP="00F569B1">
      <w:pPr>
        <w:autoSpaceDE w:val="0"/>
        <w:autoSpaceDN w:val="0"/>
        <w:adjustRightInd w:val="0"/>
        <w:spacing w:after="0" w:line="240" w:lineRule="auto"/>
        <w:ind w:left="255"/>
        <w:rPr>
          <w:rFonts w:cstheme="minorHAnsi"/>
          <w:bCs/>
        </w:rPr>
      </w:pPr>
      <w:sdt>
        <w:sdtPr>
          <w:rPr>
            <w:rFonts w:cstheme="minorHAnsi"/>
            <w:bCs/>
            <w:color w:val="0000FF"/>
          </w:rPr>
          <w:id w:val="-114983144"/>
        </w:sdtPr>
        <w:sdtContent>
          <w:sdt>
            <w:sdtPr>
              <w:rPr>
                <w:rFonts w:cstheme="minorHAnsi"/>
                <w:bCs/>
                <w:color w:val="0000FF"/>
              </w:rPr>
              <w:id w:val="89955192"/>
            </w:sdtPr>
            <w:sdtContent>
              <w:sdt>
                <w:sdtPr>
                  <w:rPr>
                    <w:rFonts w:cstheme="minorHAnsi"/>
                    <w:bCs/>
                    <w:color w:val="0000FF"/>
                  </w:rPr>
                  <w:id w:val="89955193"/>
                </w:sdtPr>
                <w:sdtContent>
                  <w:r w:rsidR="00692ED4">
                    <w:rPr>
                      <w:rFonts w:ascii="MS Gothic" w:eastAsia="MS Gothic" w:hAnsi="MS Gothic" w:cstheme="minorHAnsi" w:hint="eastAsia"/>
                      <w:bCs/>
                      <w:color w:val="0000FF"/>
                    </w:rPr>
                    <w:t>☒</w:t>
                  </w:r>
                </w:sdtContent>
              </w:sdt>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Content>
          <w:sdt>
            <w:sdtPr>
              <w:rPr>
                <w:rFonts w:cstheme="minorHAnsi"/>
                <w:bCs/>
                <w:color w:val="0000FF"/>
              </w:rPr>
              <w:id w:val="-1791511002"/>
            </w:sdtPr>
            <w:sdtContent>
              <w:sdt>
                <w:sdtPr>
                  <w:rPr>
                    <w:rFonts w:cstheme="minorHAnsi"/>
                    <w:bCs/>
                    <w:color w:val="0000FF"/>
                  </w:rPr>
                  <w:id w:val="722491346"/>
                </w:sdtPr>
                <w:sdtContent>
                  <w:r w:rsidR="0047687F">
                    <w:rPr>
                      <w:rFonts w:ascii="MS Gothic" w:eastAsia="MS Gothic" w:hAnsi="MS Gothic" w:cstheme="minorHAnsi" w:hint="eastAsia"/>
                      <w:bCs/>
                      <w:color w:val="0000FF"/>
                    </w:rPr>
                    <w:t>☒</w:t>
                  </w:r>
                </w:sdtContent>
              </w:sdt>
            </w:sdtContent>
          </w:sdt>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F569B1">
      <w:pPr>
        <w:autoSpaceDE w:val="0"/>
        <w:autoSpaceDN w:val="0"/>
        <w:adjustRightInd w:val="0"/>
        <w:spacing w:after="0" w:line="240" w:lineRule="auto"/>
        <w:rPr>
          <w:rFonts w:cstheme="minorHAnsi"/>
        </w:rPr>
      </w:pPr>
    </w:p>
    <w:p w:rsidR="00D50704" w:rsidRPr="00A25024" w:rsidRDefault="00D50704" w:rsidP="00F569B1">
      <w:pPr>
        <w:autoSpaceDE w:val="0"/>
        <w:autoSpaceDN w:val="0"/>
        <w:adjustRightInd w:val="0"/>
        <w:spacing w:after="0" w:line="240" w:lineRule="auto"/>
        <w:rPr>
          <w:rFonts w:cstheme="minorHAnsi"/>
          <w:bCs/>
        </w:rPr>
      </w:pPr>
    </w:p>
    <w:p w:rsidR="00833325" w:rsidRDefault="00092566" w:rsidP="00F569B1">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692ED4" w:rsidRPr="007D652F" w:rsidRDefault="00692ED4" w:rsidP="00F569B1">
      <w:pPr>
        <w:autoSpaceDE w:val="0"/>
        <w:autoSpaceDN w:val="0"/>
        <w:adjustRightInd w:val="0"/>
        <w:spacing w:after="0" w:line="240" w:lineRule="auto"/>
        <w:rPr>
          <w:rStyle w:val="Style1"/>
        </w:rPr>
      </w:pPr>
      <w:r w:rsidRPr="007D652F">
        <w:rPr>
          <w:rStyle w:val="Style1"/>
        </w:rPr>
        <w:t xml:space="preserve">The Commonwealth Fund report </w:t>
      </w:r>
      <w:r w:rsidR="0047687F">
        <w:rPr>
          <w:rStyle w:val="Style1"/>
        </w:rPr>
        <w:t>“</w:t>
      </w:r>
      <w:r w:rsidRPr="007D652F">
        <w:rPr>
          <w:rStyle w:val="Style1"/>
        </w:rPr>
        <w:t>Commission on a High Performance Health System, March 2012</w:t>
      </w:r>
      <w:r w:rsidR="0047687F">
        <w:rPr>
          <w:rStyle w:val="Style1"/>
        </w:rPr>
        <w:t>”</w:t>
      </w:r>
      <w:r w:rsidRPr="007D652F">
        <w:rPr>
          <w:rStyle w:val="Style1"/>
        </w:rPr>
        <w:t xml:space="preserve"> contains results on a variety of measures, including Medicare </w:t>
      </w:r>
      <w:r>
        <w:rPr>
          <w:rStyle w:val="Style1"/>
        </w:rPr>
        <w:t>Hospitalizations</w:t>
      </w:r>
      <w:r w:rsidRPr="007D652F">
        <w:rPr>
          <w:rStyle w:val="Style1"/>
        </w:rPr>
        <w:t xml:space="preserve"> for Ambulatory Care-Sensitive Conditions per 100,000 beneficiaries.  This measure is one of four measures in the Potentially Avoidable Hospital Use and Cost dimension. The report computes metrics for all 306 Hospital Referral Regions (HRRs) in the US and displays quartile (1, 2, 3,</w:t>
      </w:r>
      <w:r w:rsidR="00766576">
        <w:rPr>
          <w:rStyle w:val="Style1"/>
        </w:rPr>
        <w:t xml:space="preserve"> and</w:t>
      </w:r>
      <w:r w:rsidRPr="007D652F">
        <w:rPr>
          <w:rStyle w:val="Style1"/>
        </w:rPr>
        <w:t xml:space="preserve"> 4) classification for each HRR for this dimension.   Potentially Avoidable Hospital Use and Cost dimension quartile should correlate with </w:t>
      </w:r>
      <w:r>
        <w:rPr>
          <w:rStyle w:val="Style1"/>
        </w:rPr>
        <w:t>Hospitalizations</w:t>
      </w:r>
      <w:r w:rsidRPr="007D652F">
        <w:rPr>
          <w:rStyle w:val="Style1"/>
        </w:rPr>
        <w:t xml:space="preserve"> per 1,000 Medicare Beneficiaries measure.</w:t>
      </w:r>
    </w:p>
    <w:p w:rsidR="00692ED4" w:rsidRPr="007D652F" w:rsidRDefault="00692ED4" w:rsidP="00F569B1">
      <w:pPr>
        <w:autoSpaceDE w:val="0"/>
        <w:autoSpaceDN w:val="0"/>
        <w:adjustRightInd w:val="0"/>
        <w:spacing w:after="0" w:line="240" w:lineRule="auto"/>
        <w:rPr>
          <w:rStyle w:val="Style1"/>
        </w:rPr>
      </w:pPr>
    </w:p>
    <w:p w:rsidR="00692ED4" w:rsidRPr="007D652F" w:rsidRDefault="00692ED4" w:rsidP="00F569B1">
      <w:pPr>
        <w:autoSpaceDE w:val="0"/>
        <w:autoSpaceDN w:val="0"/>
        <w:adjustRightInd w:val="0"/>
        <w:spacing w:after="0" w:line="240" w:lineRule="auto"/>
        <w:rPr>
          <w:rStyle w:val="Style1"/>
        </w:rPr>
      </w:pPr>
      <w:r>
        <w:rPr>
          <w:rStyle w:val="Style1"/>
        </w:rPr>
        <w:t xml:space="preserve">Annual Measure:  </w:t>
      </w:r>
      <w:r w:rsidRPr="007D652F">
        <w:rPr>
          <w:rStyle w:val="Style1"/>
        </w:rPr>
        <w:t xml:space="preserve">We computed </w:t>
      </w:r>
      <w:r>
        <w:rPr>
          <w:rStyle w:val="Style1"/>
        </w:rPr>
        <w:t>Hospitalizations</w:t>
      </w:r>
      <w:r w:rsidRPr="007D652F">
        <w:rPr>
          <w:rStyle w:val="Style1"/>
        </w:rPr>
        <w:t xml:space="preserve"> per 1,000 Beneficiaries for each HRR in the US and split the HRRs into quartiles.  Quartiles for Commonwealth’s Use/Cost dimension and </w:t>
      </w:r>
      <w:r>
        <w:rPr>
          <w:rStyle w:val="Style1"/>
        </w:rPr>
        <w:t>Hospitalizations</w:t>
      </w:r>
      <w:r w:rsidRPr="007D652F">
        <w:rPr>
          <w:rStyle w:val="Style1"/>
        </w:rPr>
        <w:t xml:space="preserve"> per 1,000 Beneficiaries were compared.</w:t>
      </w:r>
    </w:p>
    <w:p w:rsidR="00692ED4" w:rsidRPr="00E30BC3" w:rsidRDefault="00692ED4" w:rsidP="00F569B1">
      <w:pPr>
        <w:autoSpaceDE w:val="0"/>
        <w:autoSpaceDN w:val="0"/>
        <w:adjustRightInd w:val="0"/>
        <w:spacing w:after="0" w:line="240" w:lineRule="auto"/>
        <w:rPr>
          <w:rStyle w:val="Style1"/>
          <w:color w:val="FF0000"/>
        </w:rPr>
      </w:pPr>
    </w:p>
    <w:p w:rsidR="00612FE3" w:rsidRPr="00612FE3" w:rsidRDefault="00612FE3" w:rsidP="00F569B1">
      <w:pPr>
        <w:pStyle w:val="NormalWeb"/>
        <w:rPr>
          <w:rStyle w:val="Style1"/>
          <w:rFonts w:eastAsiaTheme="minorEastAsia" w:cstheme="minorBidi"/>
          <w:szCs w:val="22"/>
        </w:rPr>
      </w:pPr>
      <w:r w:rsidRPr="00612FE3">
        <w:rPr>
          <w:rStyle w:val="Style1"/>
          <w:rFonts w:eastAsiaTheme="minorEastAsia" w:cstheme="minorBidi"/>
          <w:szCs w:val="22"/>
        </w:rPr>
        <w:t>Quarterly Measure:</w:t>
      </w:r>
      <w:r>
        <w:rPr>
          <w:rStyle w:val="Style1"/>
          <w:rFonts w:eastAsiaTheme="minorEastAsia" w:cstheme="minorBidi"/>
          <w:szCs w:val="22"/>
        </w:rPr>
        <w:t xml:space="preserve"> </w:t>
      </w:r>
      <w:r w:rsidRPr="00612FE3">
        <w:rPr>
          <w:rStyle w:val="Style1"/>
          <w:rFonts w:eastAsiaTheme="minorEastAsia" w:cstheme="minorBidi"/>
          <w:szCs w:val="22"/>
        </w:rPr>
        <w:t>Since the annual measure was found to be valid, we compared the quarterly measure rates to the annual measure rate to test their validity.  In addition, the sum of the four quarterly measures for a year should be nearly identical to the annual measure for the same set of quarters.</w:t>
      </w:r>
    </w:p>
    <w:p w:rsidR="00692ED4" w:rsidRPr="00A25024" w:rsidRDefault="00692ED4" w:rsidP="00F569B1">
      <w:pPr>
        <w:autoSpaceDE w:val="0"/>
        <w:autoSpaceDN w:val="0"/>
        <w:adjustRightInd w:val="0"/>
        <w:spacing w:after="0" w:line="240" w:lineRule="auto"/>
        <w:rPr>
          <w:rFonts w:cstheme="minorHAnsi"/>
          <w:bCs/>
        </w:rPr>
      </w:pPr>
    </w:p>
    <w:p w:rsidR="00AE2F7E" w:rsidRPr="00776F00" w:rsidRDefault="00766576" w:rsidP="00F569B1">
      <w:pPr>
        <w:spacing w:line="240" w:lineRule="auto"/>
        <w:rPr>
          <w:color w:val="0000FF"/>
        </w:rPr>
      </w:pPr>
      <w:r>
        <w:rPr>
          <w:rStyle w:val="Style1"/>
        </w:rPr>
        <w:t>Face validity:</w:t>
      </w:r>
      <w:r w:rsidR="00D855E9" w:rsidRPr="00F94901">
        <w:rPr>
          <w:rStyle w:val="Style1"/>
        </w:rPr>
        <w:t xml:space="preserve"> </w:t>
      </w:r>
      <w:proofErr w:type="spellStart"/>
      <w:r w:rsidR="00D855E9" w:rsidRPr="00F94901">
        <w:rPr>
          <w:rStyle w:val="Style1"/>
        </w:rPr>
        <w:t>Gawande</w:t>
      </w:r>
      <w:proofErr w:type="spellEnd"/>
      <w:r w:rsidR="00D855E9" w:rsidRPr="00F94901">
        <w:rPr>
          <w:rStyle w:val="Style1"/>
        </w:rPr>
        <w:t xml:space="preserve"> (2009, New Yorker) discussed the high costs of care in McAllen, TX, indicating that only Miami, FL had higher costs.  The article also explored reasons why El Paso, TX, just up the coast </w:t>
      </w:r>
      <w:r w:rsidR="00D855E9" w:rsidRPr="00F94901">
        <w:rPr>
          <w:rStyle w:val="Style1"/>
        </w:rPr>
        <w:lastRenderedPageBreak/>
        <w:t>from McAllen, TX had quite a bit lower costs.  Finally, the article discussed the Grand Junction, CO area due to its very low costs.  We identified ZIP Codes for these four communities and computed our 2012 annual measure for them.</w:t>
      </w:r>
    </w:p>
    <w:p w:rsidR="00692ED4" w:rsidRDefault="00092566" w:rsidP="00F569B1">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692ED4" w:rsidRPr="000B7058" w:rsidRDefault="00692ED4" w:rsidP="00F569B1">
      <w:pPr>
        <w:autoSpaceDE w:val="0"/>
        <w:autoSpaceDN w:val="0"/>
        <w:adjustRightInd w:val="0"/>
        <w:spacing w:after="0" w:line="240" w:lineRule="auto"/>
        <w:rPr>
          <w:rStyle w:val="Style1"/>
        </w:rPr>
      </w:pPr>
    </w:p>
    <w:tbl>
      <w:tblPr>
        <w:tblW w:w="0" w:type="auto"/>
        <w:jc w:val="center"/>
        <w:tblInd w:w="-648" w:type="dxa"/>
        <w:tblLayout w:type="fixed"/>
        <w:tblCellMar>
          <w:left w:w="60" w:type="dxa"/>
          <w:right w:w="60" w:type="dxa"/>
        </w:tblCellMar>
        <w:tblLook w:val="0000" w:firstRow="0" w:lastRow="0" w:firstColumn="0" w:lastColumn="0" w:noHBand="0" w:noVBand="0"/>
      </w:tblPr>
      <w:tblGrid>
        <w:gridCol w:w="1805"/>
        <w:gridCol w:w="1157"/>
        <w:gridCol w:w="1061"/>
        <w:gridCol w:w="900"/>
        <w:gridCol w:w="900"/>
        <w:gridCol w:w="810"/>
        <w:gridCol w:w="1053"/>
      </w:tblGrid>
      <w:tr w:rsidR="00692ED4" w:rsidRPr="00AE2F7E" w:rsidTr="00261874">
        <w:trPr>
          <w:cantSplit/>
          <w:tblHeader/>
          <w:jc w:val="center"/>
        </w:trPr>
        <w:tc>
          <w:tcPr>
            <w:tcW w:w="1805" w:type="dxa"/>
            <w:tcBorders>
              <w:top w:val="single" w:sz="6" w:space="0" w:color="000000"/>
              <w:left w:val="single" w:sz="6" w:space="0" w:color="000000"/>
              <w:bottom w:val="single" w:sz="2" w:space="0" w:color="000000"/>
              <w:right w:val="single" w:sz="6" w:space="0" w:color="000000"/>
            </w:tcBorders>
            <w:shd w:val="clear" w:color="auto" w:fill="BBBBBB"/>
          </w:tcPr>
          <w:p w:rsidR="00692ED4" w:rsidRPr="00AE2F7E" w:rsidRDefault="00692ED4" w:rsidP="00F569B1">
            <w:pPr>
              <w:keepNext/>
              <w:adjustRightInd w:val="0"/>
              <w:spacing w:before="60" w:after="60" w:line="240" w:lineRule="auto"/>
              <w:jc w:val="center"/>
              <w:rPr>
                <w:rStyle w:val="Style1"/>
              </w:rPr>
            </w:pPr>
          </w:p>
        </w:tc>
        <w:tc>
          <w:tcPr>
            <w:tcW w:w="5881" w:type="dxa"/>
            <w:gridSpan w:val="6"/>
            <w:tcBorders>
              <w:top w:val="single" w:sz="6" w:space="0" w:color="000000"/>
              <w:left w:val="single" w:sz="6" w:space="0" w:color="000000"/>
              <w:bottom w:val="single" w:sz="2" w:space="0" w:color="000000"/>
              <w:right w:val="single" w:sz="6" w:space="0" w:color="000000"/>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Commonwealth Quartile vs. Hospitalization per 1000 Quartile</w:t>
            </w:r>
          </w:p>
        </w:tc>
      </w:tr>
      <w:tr w:rsidR="00692ED4" w:rsidRPr="00AE2F7E" w:rsidTr="00261874">
        <w:trPr>
          <w:cantSplit/>
          <w:tblHeader/>
          <w:jc w:val="center"/>
        </w:trPr>
        <w:tc>
          <w:tcPr>
            <w:tcW w:w="1805"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p>
        </w:tc>
        <w:tc>
          <w:tcPr>
            <w:tcW w:w="1157" w:type="dxa"/>
            <w:tcBorders>
              <w:top w:val="nil"/>
              <w:left w:val="single" w:sz="6" w:space="0" w:color="000000"/>
              <w:bottom w:val="single" w:sz="2" w:space="0" w:color="000000"/>
              <w:right w:val="nil"/>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p>
        </w:tc>
        <w:tc>
          <w:tcPr>
            <w:tcW w:w="4724" w:type="dxa"/>
            <w:gridSpan w:val="5"/>
            <w:tcBorders>
              <w:top w:val="nil"/>
              <w:left w:val="single" w:sz="2" w:space="0" w:color="000000"/>
              <w:bottom w:val="single" w:sz="2" w:space="0" w:color="000000"/>
              <w:right w:val="single" w:sz="6" w:space="0" w:color="000000"/>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Hospitalizations per 1000</w:t>
            </w:r>
          </w:p>
          <w:p w:rsidR="00692ED4" w:rsidRPr="00AE2F7E" w:rsidRDefault="00692ED4" w:rsidP="00F569B1">
            <w:pPr>
              <w:keepNext/>
              <w:adjustRightInd w:val="0"/>
              <w:spacing w:before="60" w:after="60" w:line="240" w:lineRule="auto"/>
              <w:jc w:val="center"/>
              <w:rPr>
                <w:rStyle w:val="Style1"/>
              </w:rPr>
            </w:pPr>
            <w:r w:rsidRPr="00AE2F7E">
              <w:rPr>
                <w:rStyle w:val="Style1"/>
              </w:rPr>
              <w:t xml:space="preserve"> Quartile</w:t>
            </w:r>
          </w:p>
        </w:tc>
      </w:tr>
      <w:tr w:rsidR="00692ED4" w:rsidRPr="00AE2F7E" w:rsidTr="00261874">
        <w:trPr>
          <w:cantSplit/>
          <w:tblHeader/>
          <w:jc w:val="center"/>
        </w:trPr>
        <w:tc>
          <w:tcPr>
            <w:tcW w:w="1805"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rPr>
                <w:rStyle w:val="Style1"/>
              </w:rPr>
            </w:pPr>
          </w:p>
        </w:tc>
        <w:tc>
          <w:tcPr>
            <w:tcW w:w="1157"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r w:rsidRPr="00AE2F7E">
              <w:rPr>
                <w:rStyle w:val="Style1"/>
              </w:rPr>
              <w:t>Frequency</w:t>
            </w:r>
          </w:p>
        </w:tc>
        <w:tc>
          <w:tcPr>
            <w:tcW w:w="1061" w:type="dxa"/>
            <w:tcBorders>
              <w:top w:val="nil"/>
              <w:left w:val="single" w:sz="2" w:space="0" w:color="000000"/>
              <w:bottom w:val="single" w:sz="2" w:space="0" w:color="000000"/>
              <w:right w:val="nil"/>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1</w:t>
            </w:r>
          </w:p>
        </w:tc>
        <w:tc>
          <w:tcPr>
            <w:tcW w:w="900" w:type="dxa"/>
            <w:tcBorders>
              <w:top w:val="nil"/>
              <w:left w:val="single" w:sz="2" w:space="0" w:color="000000"/>
              <w:bottom w:val="single" w:sz="2" w:space="0" w:color="000000"/>
              <w:right w:val="nil"/>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2</w:t>
            </w:r>
          </w:p>
        </w:tc>
        <w:tc>
          <w:tcPr>
            <w:tcW w:w="900" w:type="dxa"/>
            <w:tcBorders>
              <w:top w:val="nil"/>
              <w:left w:val="single" w:sz="2" w:space="0" w:color="000000"/>
              <w:bottom w:val="single" w:sz="2" w:space="0" w:color="000000"/>
              <w:right w:val="nil"/>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3</w:t>
            </w:r>
          </w:p>
        </w:tc>
        <w:tc>
          <w:tcPr>
            <w:tcW w:w="810" w:type="dxa"/>
            <w:tcBorders>
              <w:top w:val="nil"/>
              <w:left w:val="single" w:sz="2" w:space="0" w:color="000000"/>
              <w:bottom w:val="single" w:sz="2" w:space="0" w:color="000000"/>
              <w:right w:val="nil"/>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4</w:t>
            </w:r>
          </w:p>
        </w:tc>
        <w:tc>
          <w:tcPr>
            <w:tcW w:w="1053" w:type="dxa"/>
            <w:tcBorders>
              <w:top w:val="nil"/>
              <w:left w:val="single" w:sz="2" w:space="0" w:color="000000"/>
              <w:bottom w:val="single" w:sz="2" w:space="0" w:color="000000"/>
              <w:right w:val="single" w:sz="6" w:space="0" w:color="000000"/>
            </w:tcBorders>
            <w:shd w:val="clear" w:color="auto" w:fill="BBBBBB"/>
            <w:vAlign w:val="bottom"/>
          </w:tcPr>
          <w:p w:rsidR="00692ED4" w:rsidRPr="00AE2F7E" w:rsidRDefault="00692ED4" w:rsidP="00F569B1">
            <w:pPr>
              <w:keepNext/>
              <w:adjustRightInd w:val="0"/>
              <w:spacing w:before="60" w:after="60" w:line="240" w:lineRule="auto"/>
              <w:jc w:val="center"/>
              <w:rPr>
                <w:rStyle w:val="Style1"/>
              </w:rPr>
            </w:pPr>
            <w:r w:rsidRPr="00AE2F7E">
              <w:rPr>
                <w:rStyle w:val="Style1"/>
              </w:rPr>
              <w:t>Total</w:t>
            </w:r>
          </w:p>
        </w:tc>
      </w:tr>
      <w:tr w:rsidR="00692ED4" w:rsidRPr="00AE2F7E" w:rsidTr="00932751">
        <w:trPr>
          <w:cantSplit/>
          <w:jc w:val="center"/>
        </w:trPr>
        <w:tc>
          <w:tcPr>
            <w:tcW w:w="1805" w:type="dxa"/>
            <w:vMerge w:val="restart"/>
            <w:tcBorders>
              <w:top w:val="nil"/>
              <w:left w:val="single" w:sz="6" w:space="0" w:color="000000"/>
              <w:right w:val="nil"/>
            </w:tcBorders>
            <w:shd w:val="clear" w:color="auto" w:fill="BBBBBB"/>
            <w:vAlign w:val="center"/>
          </w:tcPr>
          <w:p w:rsidR="00692ED4" w:rsidRPr="00AE2F7E" w:rsidRDefault="00692ED4" w:rsidP="00F569B1">
            <w:pPr>
              <w:keepNext/>
              <w:adjustRightInd w:val="0"/>
              <w:spacing w:before="60" w:after="60" w:line="240" w:lineRule="auto"/>
              <w:jc w:val="center"/>
              <w:rPr>
                <w:rStyle w:val="Style1"/>
              </w:rPr>
            </w:pPr>
          </w:p>
          <w:p w:rsidR="00692ED4" w:rsidRPr="00AE2F7E" w:rsidRDefault="00692ED4" w:rsidP="00F569B1">
            <w:pPr>
              <w:keepNext/>
              <w:adjustRightInd w:val="0"/>
              <w:spacing w:before="60" w:after="60" w:line="240" w:lineRule="auto"/>
              <w:jc w:val="center"/>
              <w:rPr>
                <w:rStyle w:val="Style1"/>
              </w:rPr>
            </w:pPr>
            <w:r w:rsidRPr="00AE2F7E">
              <w:rPr>
                <w:rStyle w:val="Style1"/>
              </w:rPr>
              <w:t>Commonwealth Quartile</w:t>
            </w:r>
          </w:p>
        </w:tc>
        <w:tc>
          <w:tcPr>
            <w:tcW w:w="1157"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r w:rsidRPr="00AE2F7E">
              <w:rPr>
                <w:rStyle w:val="Style1"/>
              </w:rPr>
              <w:t>1</w:t>
            </w:r>
          </w:p>
        </w:tc>
        <w:tc>
          <w:tcPr>
            <w:tcW w:w="1061"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57</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19</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2</w:t>
            </w:r>
          </w:p>
        </w:tc>
        <w:tc>
          <w:tcPr>
            <w:tcW w:w="81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0</w:t>
            </w:r>
          </w:p>
        </w:tc>
        <w:tc>
          <w:tcPr>
            <w:tcW w:w="1053" w:type="dxa"/>
            <w:tcBorders>
              <w:top w:val="nil"/>
              <w:left w:val="single" w:sz="2" w:space="0" w:color="000000"/>
              <w:bottom w:val="single" w:sz="2" w:space="0" w:color="000000"/>
              <w:right w:val="single" w:sz="6" w:space="0" w:color="000000"/>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78</w:t>
            </w:r>
          </w:p>
        </w:tc>
      </w:tr>
      <w:tr w:rsidR="00692ED4" w:rsidRPr="00AE2F7E" w:rsidTr="00261874">
        <w:trPr>
          <w:cantSplit/>
          <w:jc w:val="center"/>
        </w:trPr>
        <w:tc>
          <w:tcPr>
            <w:tcW w:w="1805" w:type="dxa"/>
            <w:vMerge/>
            <w:tcBorders>
              <w:left w:val="single" w:sz="6" w:space="0" w:color="000000"/>
              <w:right w:val="nil"/>
            </w:tcBorders>
            <w:shd w:val="clear" w:color="auto" w:fill="BBBBBB"/>
          </w:tcPr>
          <w:p w:rsidR="00692ED4" w:rsidRPr="00AE2F7E" w:rsidRDefault="00692ED4"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r w:rsidRPr="00AE2F7E">
              <w:rPr>
                <w:rStyle w:val="Style1"/>
              </w:rPr>
              <w:t>2</w:t>
            </w:r>
          </w:p>
        </w:tc>
        <w:tc>
          <w:tcPr>
            <w:tcW w:w="1061"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18</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37</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18</w:t>
            </w:r>
          </w:p>
        </w:tc>
        <w:tc>
          <w:tcPr>
            <w:tcW w:w="81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5</w:t>
            </w:r>
          </w:p>
        </w:tc>
        <w:tc>
          <w:tcPr>
            <w:tcW w:w="1053" w:type="dxa"/>
            <w:tcBorders>
              <w:top w:val="nil"/>
              <w:left w:val="single" w:sz="2" w:space="0" w:color="000000"/>
              <w:bottom w:val="single" w:sz="2" w:space="0" w:color="000000"/>
              <w:right w:val="single" w:sz="6" w:space="0" w:color="000000"/>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78</w:t>
            </w:r>
          </w:p>
        </w:tc>
      </w:tr>
      <w:tr w:rsidR="00692ED4" w:rsidRPr="00AE2F7E" w:rsidTr="00261874">
        <w:trPr>
          <w:cantSplit/>
          <w:jc w:val="center"/>
        </w:trPr>
        <w:tc>
          <w:tcPr>
            <w:tcW w:w="1805" w:type="dxa"/>
            <w:vMerge/>
            <w:tcBorders>
              <w:left w:val="single" w:sz="6" w:space="0" w:color="000000"/>
              <w:right w:val="nil"/>
            </w:tcBorders>
            <w:shd w:val="clear" w:color="auto" w:fill="BBBBBB"/>
          </w:tcPr>
          <w:p w:rsidR="00692ED4" w:rsidRPr="00AE2F7E" w:rsidRDefault="00692ED4"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r w:rsidRPr="00AE2F7E">
              <w:rPr>
                <w:rStyle w:val="Style1"/>
              </w:rPr>
              <w:t>3</w:t>
            </w:r>
          </w:p>
        </w:tc>
        <w:tc>
          <w:tcPr>
            <w:tcW w:w="1061"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2</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18</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33</w:t>
            </w:r>
          </w:p>
        </w:tc>
        <w:tc>
          <w:tcPr>
            <w:tcW w:w="81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21</w:t>
            </w:r>
          </w:p>
        </w:tc>
        <w:tc>
          <w:tcPr>
            <w:tcW w:w="1053" w:type="dxa"/>
            <w:tcBorders>
              <w:top w:val="nil"/>
              <w:left w:val="single" w:sz="2" w:space="0" w:color="000000"/>
              <w:bottom w:val="single" w:sz="2" w:space="0" w:color="000000"/>
              <w:right w:val="single" w:sz="6" w:space="0" w:color="000000"/>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74</w:t>
            </w:r>
          </w:p>
        </w:tc>
      </w:tr>
      <w:tr w:rsidR="00692ED4" w:rsidRPr="00AE2F7E" w:rsidTr="00261874">
        <w:trPr>
          <w:cantSplit/>
          <w:jc w:val="center"/>
        </w:trPr>
        <w:tc>
          <w:tcPr>
            <w:tcW w:w="1805" w:type="dxa"/>
            <w:vMerge/>
            <w:tcBorders>
              <w:left w:val="single" w:sz="6" w:space="0" w:color="000000"/>
              <w:right w:val="nil"/>
            </w:tcBorders>
            <w:shd w:val="clear" w:color="auto" w:fill="BBBBBB"/>
          </w:tcPr>
          <w:p w:rsidR="00692ED4" w:rsidRPr="00AE2F7E" w:rsidRDefault="00692ED4" w:rsidP="00F569B1">
            <w:pPr>
              <w:keepNext/>
              <w:adjustRightInd w:val="0"/>
              <w:spacing w:before="60" w:after="60" w:line="240" w:lineRule="auto"/>
              <w:jc w:val="right"/>
              <w:rPr>
                <w:rStyle w:val="Style1"/>
              </w:rPr>
            </w:pPr>
          </w:p>
        </w:tc>
        <w:tc>
          <w:tcPr>
            <w:tcW w:w="1157" w:type="dxa"/>
            <w:tcBorders>
              <w:top w:val="nil"/>
              <w:left w:val="single" w:sz="6" w:space="0" w:color="000000"/>
              <w:bottom w:val="single" w:sz="2"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r w:rsidRPr="00AE2F7E">
              <w:rPr>
                <w:rStyle w:val="Style1"/>
              </w:rPr>
              <w:t>4</w:t>
            </w:r>
          </w:p>
        </w:tc>
        <w:tc>
          <w:tcPr>
            <w:tcW w:w="1061"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0</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2</w:t>
            </w:r>
          </w:p>
        </w:tc>
        <w:tc>
          <w:tcPr>
            <w:tcW w:w="90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24</w:t>
            </w:r>
          </w:p>
        </w:tc>
        <w:tc>
          <w:tcPr>
            <w:tcW w:w="810" w:type="dxa"/>
            <w:tcBorders>
              <w:top w:val="nil"/>
              <w:left w:val="single" w:sz="2" w:space="0" w:color="000000"/>
              <w:bottom w:val="single" w:sz="2"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50</w:t>
            </w:r>
          </w:p>
        </w:tc>
        <w:tc>
          <w:tcPr>
            <w:tcW w:w="1053" w:type="dxa"/>
            <w:tcBorders>
              <w:top w:val="nil"/>
              <w:left w:val="single" w:sz="2" w:space="0" w:color="000000"/>
              <w:bottom w:val="single" w:sz="2" w:space="0" w:color="000000"/>
              <w:right w:val="single" w:sz="6" w:space="0" w:color="000000"/>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76</w:t>
            </w:r>
          </w:p>
        </w:tc>
      </w:tr>
      <w:tr w:rsidR="00692ED4" w:rsidRPr="00AE2F7E" w:rsidTr="00261874">
        <w:trPr>
          <w:cantSplit/>
          <w:jc w:val="center"/>
        </w:trPr>
        <w:tc>
          <w:tcPr>
            <w:tcW w:w="1805" w:type="dxa"/>
            <w:vMerge/>
            <w:tcBorders>
              <w:left w:val="single" w:sz="6" w:space="0" w:color="000000"/>
              <w:bottom w:val="single" w:sz="6" w:space="0" w:color="000000"/>
              <w:right w:val="nil"/>
            </w:tcBorders>
            <w:shd w:val="clear" w:color="auto" w:fill="BBBBBB"/>
          </w:tcPr>
          <w:p w:rsidR="00692ED4" w:rsidRPr="00AE2F7E" w:rsidRDefault="00692ED4" w:rsidP="00F569B1">
            <w:pPr>
              <w:keepNext/>
              <w:adjustRightInd w:val="0"/>
              <w:spacing w:before="60" w:after="60" w:line="240" w:lineRule="auto"/>
              <w:rPr>
                <w:rStyle w:val="Style1"/>
              </w:rPr>
            </w:pPr>
          </w:p>
        </w:tc>
        <w:tc>
          <w:tcPr>
            <w:tcW w:w="1157" w:type="dxa"/>
            <w:tcBorders>
              <w:top w:val="nil"/>
              <w:left w:val="single" w:sz="6" w:space="0" w:color="000000"/>
              <w:bottom w:val="single" w:sz="6" w:space="0" w:color="000000"/>
              <w:right w:val="nil"/>
            </w:tcBorders>
            <w:shd w:val="clear" w:color="auto" w:fill="BBBBBB"/>
          </w:tcPr>
          <w:p w:rsidR="00692ED4" w:rsidRPr="00AE2F7E" w:rsidRDefault="00692ED4" w:rsidP="00F569B1">
            <w:pPr>
              <w:keepNext/>
              <w:adjustRightInd w:val="0"/>
              <w:spacing w:before="60" w:after="60" w:line="240" w:lineRule="auto"/>
              <w:jc w:val="center"/>
              <w:rPr>
                <w:rStyle w:val="Style1"/>
              </w:rPr>
            </w:pPr>
            <w:r w:rsidRPr="00AE2F7E">
              <w:rPr>
                <w:rStyle w:val="Style1"/>
              </w:rPr>
              <w:t>Total</w:t>
            </w:r>
          </w:p>
        </w:tc>
        <w:tc>
          <w:tcPr>
            <w:tcW w:w="1061" w:type="dxa"/>
            <w:tcBorders>
              <w:top w:val="nil"/>
              <w:left w:val="single" w:sz="2" w:space="0" w:color="000000"/>
              <w:bottom w:val="single" w:sz="6"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77</w:t>
            </w:r>
          </w:p>
        </w:tc>
        <w:tc>
          <w:tcPr>
            <w:tcW w:w="900" w:type="dxa"/>
            <w:tcBorders>
              <w:top w:val="nil"/>
              <w:left w:val="single" w:sz="2" w:space="0" w:color="000000"/>
              <w:bottom w:val="single" w:sz="6"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76</w:t>
            </w:r>
          </w:p>
        </w:tc>
        <w:tc>
          <w:tcPr>
            <w:tcW w:w="900" w:type="dxa"/>
            <w:tcBorders>
              <w:top w:val="nil"/>
              <w:left w:val="single" w:sz="2" w:space="0" w:color="000000"/>
              <w:bottom w:val="single" w:sz="6"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77</w:t>
            </w:r>
          </w:p>
        </w:tc>
        <w:tc>
          <w:tcPr>
            <w:tcW w:w="810" w:type="dxa"/>
            <w:tcBorders>
              <w:top w:val="nil"/>
              <w:left w:val="single" w:sz="2" w:space="0" w:color="000000"/>
              <w:bottom w:val="single" w:sz="6" w:space="0" w:color="000000"/>
              <w:right w:val="nil"/>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76</w:t>
            </w:r>
          </w:p>
        </w:tc>
        <w:tc>
          <w:tcPr>
            <w:tcW w:w="1053" w:type="dxa"/>
            <w:tcBorders>
              <w:top w:val="nil"/>
              <w:left w:val="single" w:sz="2" w:space="0" w:color="000000"/>
              <w:bottom w:val="single" w:sz="6" w:space="0" w:color="000000"/>
              <w:right w:val="single" w:sz="6" w:space="0" w:color="000000"/>
            </w:tcBorders>
            <w:shd w:val="clear" w:color="auto" w:fill="FFFFFF"/>
          </w:tcPr>
          <w:p w:rsidR="00692ED4" w:rsidRPr="00AE2F7E" w:rsidRDefault="00692ED4" w:rsidP="00F569B1">
            <w:pPr>
              <w:keepNext/>
              <w:adjustRightInd w:val="0"/>
              <w:spacing w:before="60" w:after="60" w:line="240" w:lineRule="auto"/>
              <w:jc w:val="center"/>
              <w:rPr>
                <w:rStyle w:val="Style1"/>
              </w:rPr>
            </w:pPr>
            <w:r w:rsidRPr="00AE2F7E">
              <w:rPr>
                <w:rStyle w:val="Style1"/>
              </w:rPr>
              <w:t>306</w:t>
            </w:r>
          </w:p>
        </w:tc>
      </w:tr>
    </w:tbl>
    <w:p w:rsidR="00692ED4" w:rsidRPr="000B7058" w:rsidRDefault="00692ED4" w:rsidP="00F569B1">
      <w:pPr>
        <w:autoSpaceDE w:val="0"/>
        <w:autoSpaceDN w:val="0"/>
        <w:adjustRightInd w:val="0"/>
        <w:spacing w:after="0" w:line="240" w:lineRule="auto"/>
        <w:rPr>
          <w:rStyle w:val="Style1"/>
        </w:rPr>
      </w:pPr>
    </w:p>
    <w:p w:rsidR="00692ED4" w:rsidRPr="000B7058" w:rsidRDefault="00692ED4" w:rsidP="00F569B1">
      <w:pPr>
        <w:autoSpaceDE w:val="0"/>
        <w:autoSpaceDN w:val="0"/>
        <w:adjustRightInd w:val="0"/>
        <w:spacing w:after="0" w:line="240" w:lineRule="auto"/>
        <w:rPr>
          <w:rStyle w:val="Style1"/>
        </w:rPr>
      </w:pPr>
      <w:r w:rsidRPr="000B7058">
        <w:rPr>
          <w:rStyle w:val="Style1"/>
        </w:rPr>
        <w:t xml:space="preserve">HRR Commonwealth Potentially Avoidable Hospital Use and Cost Quartile and </w:t>
      </w:r>
      <w:r>
        <w:rPr>
          <w:rStyle w:val="Style1"/>
        </w:rPr>
        <w:t>Hospitalizations</w:t>
      </w:r>
      <w:r w:rsidRPr="000B7058">
        <w:rPr>
          <w:rStyle w:val="Style1"/>
        </w:rPr>
        <w:t xml:space="preserve"> per 1000 Beneficiaries quartile agreement is 177/306 = 58%.</w:t>
      </w:r>
    </w:p>
    <w:p w:rsidR="00692ED4" w:rsidRPr="000B7058" w:rsidRDefault="00692ED4" w:rsidP="00F569B1">
      <w:pPr>
        <w:autoSpaceDE w:val="0"/>
        <w:autoSpaceDN w:val="0"/>
        <w:adjustRightInd w:val="0"/>
        <w:spacing w:after="0" w:line="240" w:lineRule="auto"/>
        <w:rPr>
          <w:rStyle w:val="Style1"/>
        </w:rPr>
      </w:pPr>
    </w:p>
    <w:p w:rsidR="00692ED4" w:rsidRPr="000B7058" w:rsidRDefault="00692ED4" w:rsidP="00F569B1">
      <w:pPr>
        <w:autoSpaceDE w:val="0"/>
        <w:autoSpaceDN w:val="0"/>
        <w:adjustRightInd w:val="0"/>
        <w:spacing w:after="0" w:line="240" w:lineRule="auto"/>
        <w:rPr>
          <w:rStyle w:val="Style1"/>
        </w:rPr>
      </w:pPr>
      <w:r w:rsidRPr="000B7058">
        <w:rPr>
          <w:rStyle w:val="Style1"/>
        </w:rPr>
        <w:t>Weighted Kappa statistic for quartile agreement is 0.63 (95%CI: (0.58, 0.69)).</w:t>
      </w:r>
    </w:p>
    <w:p w:rsidR="00692ED4" w:rsidRDefault="00692ED4" w:rsidP="00F569B1">
      <w:pPr>
        <w:autoSpaceDE w:val="0"/>
        <w:autoSpaceDN w:val="0"/>
        <w:adjustRightInd w:val="0"/>
        <w:spacing w:after="0" w:line="240" w:lineRule="auto"/>
        <w:rPr>
          <w:rFonts w:cstheme="minorHAnsi"/>
          <w:bCs/>
        </w:rPr>
      </w:pP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The correlation of the 53 state/territory quarterly rates for 2012 Q1, 2012 Q2, 2012 Q3, and 2012 Q4 with the annual rate for 2012 were 0.996, 0.998, 0.997, and 0.997, respectively.</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 </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 xml:space="preserve">The </w:t>
      </w:r>
      <w:proofErr w:type="gramStart"/>
      <w:r w:rsidRPr="00932751">
        <w:rPr>
          <w:rStyle w:val="Style1"/>
          <w:rFonts w:eastAsiaTheme="minorEastAsia" w:cstheme="minorBidi"/>
          <w:szCs w:val="22"/>
        </w:rPr>
        <w:t>average of the 53 state/territory rates are</w:t>
      </w:r>
      <w:proofErr w:type="gramEnd"/>
      <w:r w:rsidRPr="00932751">
        <w:rPr>
          <w:rStyle w:val="Style1"/>
          <w:rFonts w:eastAsiaTheme="minorEastAsia" w:cstheme="minorBidi"/>
          <w:szCs w:val="22"/>
        </w:rPr>
        <w:t>:</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Annual: 273.57</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Q1: 73.12</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Q2: 68.15</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Q3: 65.56</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Q4: 66.84</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Sum of four 2012 quarters: 273.67</w:t>
      </w:r>
    </w:p>
    <w:p w:rsidR="00932751" w:rsidRPr="00932751" w:rsidRDefault="00AE2F7E" w:rsidP="00F569B1">
      <w:pPr>
        <w:pStyle w:val="NormalWeb"/>
        <w:rPr>
          <w:rStyle w:val="Style1"/>
          <w:rFonts w:eastAsiaTheme="minorEastAsia" w:cstheme="minorBidi"/>
          <w:szCs w:val="22"/>
        </w:rPr>
      </w:pPr>
      <w:r>
        <w:rPr>
          <w:rStyle w:val="Style1"/>
          <w:rFonts w:eastAsiaTheme="minorEastAsia" w:cstheme="minorBidi"/>
          <w:szCs w:val="22"/>
        </w:rPr>
        <w:t> </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The correlation of the 327 community quarterly rates for 2012 Q1, 2012 Q2, 2012 Q3, and 2012 Q4 with the annual rate for 2012 were 0.986, 0.987, 0.991, and 0.981, respectively.</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 </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 xml:space="preserve">The </w:t>
      </w:r>
      <w:proofErr w:type="gramStart"/>
      <w:r w:rsidRPr="00932751">
        <w:rPr>
          <w:rStyle w:val="Style1"/>
          <w:rFonts w:eastAsiaTheme="minorEastAsia" w:cstheme="minorBidi"/>
          <w:szCs w:val="22"/>
        </w:rPr>
        <w:t>average of the 327 rates are</w:t>
      </w:r>
      <w:proofErr w:type="gramEnd"/>
      <w:r w:rsidRPr="00932751">
        <w:rPr>
          <w:rStyle w:val="Style1"/>
          <w:rFonts w:eastAsiaTheme="minorEastAsia" w:cstheme="minorBidi"/>
          <w:szCs w:val="22"/>
        </w:rPr>
        <w:t>:</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Annual: 287.45</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Q1:76.67</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Q2: 71.56</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Q3: 68.89</w:t>
      </w:r>
    </w:p>
    <w:p w:rsidR="00932751" w:rsidRP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2012 Q4: 70.43</w:t>
      </w:r>
    </w:p>
    <w:p w:rsidR="00932751" w:rsidRDefault="00932751" w:rsidP="00F569B1">
      <w:pPr>
        <w:pStyle w:val="NormalWeb"/>
        <w:rPr>
          <w:rStyle w:val="Style1"/>
          <w:rFonts w:eastAsiaTheme="minorEastAsia" w:cstheme="minorBidi"/>
          <w:szCs w:val="22"/>
        </w:rPr>
      </w:pPr>
      <w:r w:rsidRPr="00932751">
        <w:rPr>
          <w:rStyle w:val="Style1"/>
          <w:rFonts w:eastAsiaTheme="minorEastAsia" w:cstheme="minorBidi"/>
          <w:szCs w:val="22"/>
        </w:rPr>
        <w:t>Sum of four 2012 quarters: 287.55</w:t>
      </w:r>
    </w:p>
    <w:p w:rsidR="005D6EE0" w:rsidRDefault="005D6EE0" w:rsidP="00F569B1">
      <w:pPr>
        <w:pStyle w:val="NormalWeb"/>
        <w:rPr>
          <w:rStyle w:val="Style1"/>
          <w:rFonts w:eastAsiaTheme="minorEastAsia" w:cstheme="minorBidi"/>
          <w:szCs w:val="22"/>
        </w:rPr>
      </w:pPr>
    </w:p>
    <w:p w:rsidR="00AE2F7E" w:rsidRDefault="00AE2F7E" w:rsidP="00F569B1">
      <w:pPr>
        <w:pStyle w:val="NormalWeb"/>
        <w:rPr>
          <w:rStyle w:val="Style1"/>
          <w:rFonts w:eastAsiaTheme="minorEastAsia" w:cstheme="minorBidi"/>
          <w:szCs w:val="22"/>
        </w:rPr>
      </w:pPr>
    </w:p>
    <w:p w:rsidR="00AE2F7E" w:rsidRDefault="00AE2F7E" w:rsidP="00F569B1">
      <w:pPr>
        <w:pStyle w:val="NormalWeb"/>
        <w:rPr>
          <w:rStyle w:val="Style1"/>
          <w:rFonts w:eastAsiaTheme="minorEastAsia" w:cstheme="minorBidi"/>
          <w:szCs w:val="22"/>
        </w:rPr>
      </w:pPr>
    </w:p>
    <w:p w:rsidR="00AE2F7E" w:rsidRDefault="00AE2F7E" w:rsidP="00F569B1">
      <w:pPr>
        <w:pStyle w:val="NormalWeb"/>
        <w:rPr>
          <w:rStyle w:val="Style1"/>
          <w:rFonts w:eastAsiaTheme="minorEastAsia" w:cstheme="minorBidi"/>
          <w:szCs w:val="22"/>
        </w:rPr>
      </w:pPr>
    </w:p>
    <w:p w:rsidR="00AE2F7E" w:rsidRDefault="00AE2F7E" w:rsidP="00F569B1">
      <w:pPr>
        <w:pStyle w:val="NormalWeb"/>
        <w:rPr>
          <w:rStyle w:val="Style1"/>
          <w:rFonts w:eastAsiaTheme="minorEastAsia" w:cstheme="minorBidi"/>
          <w:szCs w:val="22"/>
        </w:rPr>
      </w:pPr>
    </w:p>
    <w:p w:rsidR="00595576" w:rsidRDefault="00595576" w:rsidP="00F569B1">
      <w:pPr>
        <w:pStyle w:val="NormalWeb"/>
        <w:rPr>
          <w:rStyle w:val="Style1"/>
          <w:rFonts w:eastAsiaTheme="minorEastAsia" w:cstheme="minorBidi"/>
          <w:szCs w:val="22"/>
        </w:rPr>
      </w:pPr>
      <w:r>
        <w:rPr>
          <w:rStyle w:val="Style1"/>
          <w:rFonts w:eastAsiaTheme="minorEastAsia" w:cstheme="minorBidi"/>
          <w:szCs w:val="22"/>
        </w:rPr>
        <w:t>Face Validity:</w:t>
      </w:r>
    </w:p>
    <w:tbl>
      <w:tblPr>
        <w:tblW w:w="0" w:type="auto"/>
        <w:jc w:val="center"/>
        <w:tblInd w:w="-599" w:type="dxa"/>
        <w:tblCellMar>
          <w:left w:w="0" w:type="dxa"/>
          <w:right w:w="0" w:type="dxa"/>
        </w:tblCellMar>
        <w:tblLook w:val="04A0" w:firstRow="1" w:lastRow="0" w:firstColumn="1" w:lastColumn="0" w:noHBand="0" w:noVBand="1"/>
      </w:tblPr>
      <w:tblGrid>
        <w:gridCol w:w="1986"/>
        <w:gridCol w:w="2613"/>
      </w:tblGrid>
      <w:tr w:rsidR="00595576" w:rsidTr="00595576">
        <w:trPr>
          <w:cantSplit/>
          <w:tblHeader/>
          <w:jc w:val="center"/>
        </w:trPr>
        <w:tc>
          <w:tcPr>
            <w:tcW w:w="1986" w:type="dxa"/>
            <w:tcBorders>
              <w:top w:val="single" w:sz="8" w:space="0" w:color="000000"/>
              <w:left w:val="single" w:sz="8" w:space="0" w:color="000000"/>
              <w:bottom w:val="single" w:sz="8" w:space="0" w:color="000000"/>
              <w:right w:val="single" w:sz="8" w:space="0" w:color="auto"/>
            </w:tcBorders>
            <w:shd w:val="clear" w:color="auto" w:fill="BBBBBB"/>
            <w:tcMar>
              <w:top w:w="0" w:type="dxa"/>
              <w:left w:w="60" w:type="dxa"/>
              <w:bottom w:w="0" w:type="dxa"/>
              <w:right w:w="60" w:type="dxa"/>
            </w:tcMar>
            <w:vAlign w:val="bottom"/>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Community</w:t>
            </w:r>
          </w:p>
        </w:tc>
        <w:tc>
          <w:tcPr>
            <w:tcW w:w="2613" w:type="dxa"/>
            <w:tcBorders>
              <w:top w:val="single" w:sz="8" w:space="0" w:color="auto"/>
              <w:left w:val="nil"/>
              <w:bottom w:val="single" w:sz="8" w:space="0" w:color="auto"/>
              <w:right w:val="single" w:sz="8" w:space="0" w:color="auto"/>
            </w:tcBorders>
            <w:shd w:val="clear" w:color="auto" w:fill="BBBBBB"/>
            <w:tcMar>
              <w:top w:w="0" w:type="dxa"/>
              <w:left w:w="60" w:type="dxa"/>
              <w:bottom w:w="0" w:type="dxa"/>
              <w:right w:w="60" w:type="dxa"/>
            </w:tcMar>
            <w:vAlign w:val="bottom"/>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Hospitalizations per 1000 Benes</w:t>
            </w:r>
          </w:p>
        </w:tc>
      </w:tr>
      <w:tr w:rsidR="00595576" w:rsidTr="00595576">
        <w:trPr>
          <w:cantSplit/>
          <w:jc w:val="center"/>
        </w:trPr>
        <w:tc>
          <w:tcPr>
            <w:tcW w:w="1986" w:type="dxa"/>
            <w:tcBorders>
              <w:top w:val="nil"/>
              <w:left w:val="single" w:sz="8" w:space="0" w:color="000000"/>
              <w:bottom w:val="single" w:sz="8" w:space="0" w:color="000000"/>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McAllen</w:t>
            </w:r>
          </w:p>
        </w:tc>
        <w:tc>
          <w:tcPr>
            <w:tcW w:w="2613" w:type="dxa"/>
            <w:tcBorders>
              <w:top w:val="nil"/>
              <w:left w:val="nil"/>
              <w:bottom w:val="single" w:sz="8" w:space="0" w:color="auto"/>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318.54</w:t>
            </w:r>
          </w:p>
        </w:tc>
      </w:tr>
      <w:tr w:rsidR="00595576" w:rsidTr="00595576">
        <w:trPr>
          <w:cantSplit/>
          <w:jc w:val="center"/>
        </w:trPr>
        <w:tc>
          <w:tcPr>
            <w:tcW w:w="1986" w:type="dxa"/>
            <w:tcBorders>
              <w:top w:val="nil"/>
              <w:left w:val="single" w:sz="8" w:space="0" w:color="000000"/>
              <w:bottom w:val="single" w:sz="8" w:space="0" w:color="000000"/>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Miami</w:t>
            </w:r>
          </w:p>
        </w:tc>
        <w:tc>
          <w:tcPr>
            <w:tcW w:w="2613" w:type="dxa"/>
            <w:tcBorders>
              <w:top w:val="nil"/>
              <w:left w:val="nil"/>
              <w:bottom w:val="single" w:sz="8" w:space="0" w:color="auto"/>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378.30</w:t>
            </w:r>
          </w:p>
        </w:tc>
      </w:tr>
      <w:tr w:rsidR="00595576" w:rsidTr="00595576">
        <w:trPr>
          <w:cantSplit/>
          <w:jc w:val="center"/>
        </w:trPr>
        <w:tc>
          <w:tcPr>
            <w:tcW w:w="1986" w:type="dxa"/>
            <w:tcBorders>
              <w:top w:val="nil"/>
              <w:left w:val="single" w:sz="8" w:space="0" w:color="000000"/>
              <w:bottom w:val="single" w:sz="8" w:space="0" w:color="000000"/>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El Paso</w:t>
            </w:r>
          </w:p>
        </w:tc>
        <w:tc>
          <w:tcPr>
            <w:tcW w:w="2613" w:type="dxa"/>
            <w:tcBorders>
              <w:top w:val="nil"/>
              <w:left w:val="nil"/>
              <w:bottom w:val="single" w:sz="8" w:space="0" w:color="auto"/>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274.41</w:t>
            </w:r>
          </w:p>
        </w:tc>
      </w:tr>
      <w:tr w:rsidR="00595576" w:rsidTr="00595576">
        <w:trPr>
          <w:cantSplit/>
          <w:jc w:val="center"/>
        </w:trPr>
        <w:tc>
          <w:tcPr>
            <w:tcW w:w="1986" w:type="dxa"/>
            <w:tcBorders>
              <w:top w:val="nil"/>
              <w:left w:val="single" w:sz="8" w:space="0" w:color="000000"/>
              <w:bottom w:val="single" w:sz="8" w:space="0" w:color="000000"/>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Grand Junction</w:t>
            </w:r>
          </w:p>
        </w:tc>
        <w:tc>
          <w:tcPr>
            <w:tcW w:w="2613" w:type="dxa"/>
            <w:tcBorders>
              <w:top w:val="nil"/>
              <w:left w:val="nil"/>
              <w:bottom w:val="single" w:sz="8" w:space="0" w:color="auto"/>
              <w:right w:val="single" w:sz="8" w:space="0" w:color="auto"/>
            </w:tcBorders>
            <w:tcMar>
              <w:top w:w="0" w:type="dxa"/>
              <w:left w:w="60" w:type="dxa"/>
              <w:bottom w:w="0" w:type="dxa"/>
              <w:right w:w="60" w:type="dxa"/>
            </w:tcMar>
            <w:hideMark/>
          </w:tcPr>
          <w:p w:rsidR="00595576" w:rsidRPr="003E3E8B" w:rsidRDefault="00595576" w:rsidP="00F569B1">
            <w:pPr>
              <w:pStyle w:val="NormalWeb"/>
              <w:rPr>
                <w:rStyle w:val="Style1"/>
                <w:rFonts w:eastAsiaTheme="minorEastAsia" w:cstheme="minorBidi"/>
              </w:rPr>
            </w:pPr>
            <w:r w:rsidRPr="003E3E8B">
              <w:rPr>
                <w:rStyle w:val="Style1"/>
                <w:rFonts w:eastAsiaTheme="minorEastAsia" w:cstheme="minorBidi"/>
                <w:szCs w:val="22"/>
              </w:rPr>
              <w:t>189.25</w:t>
            </w:r>
          </w:p>
        </w:tc>
      </w:tr>
    </w:tbl>
    <w:p w:rsidR="006F466B" w:rsidRDefault="006F466B" w:rsidP="00F569B1">
      <w:pPr>
        <w:pStyle w:val="NormalWeb"/>
        <w:rPr>
          <w:rStyle w:val="Style1"/>
          <w:rFonts w:eastAsiaTheme="minorEastAsia" w:cstheme="minorBidi"/>
          <w:szCs w:val="22"/>
        </w:rPr>
      </w:pPr>
    </w:p>
    <w:p w:rsidR="007422FD" w:rsidRPr="00AE2F7E" w:rsidRDefault="00766576" w:rsidP="00F569B1">
      <w:pPr>
        <w:spacing w:line="240" w:lineRule="auto"/>
        <w:rPr>
          <w:color w:val="0000FF"/>
        </w:rPr>
      </w:pPr>
      <w:r>
        <w:rPr>
          <w:rStyle w:val="Style1"/>
        </w:rPr>
        <w:t>In summary, t</w:t>
      </w:r>
      <w:r w:rsidR="005D6EE0" w:rsidRPr="005D6EE0">
        <w:rPr>
          <w:rStyle w:val="Style1"/>
        </w:rPr>
        <w:t>he average of the 53 state/territory 2012 hospitalizations per 1000 beneficiaries for blacks was 329.47, compared to 266.82 for whites.  Also, for age groups 65-69, 70-74, 75-79, 80-84&lt; 85+ hospitalizations per 1000 were 162.22, 217.60, 285.43, 359.62, and 456.36, respectively.</w:t>
      </w:r>
    </w:p>
    <w:p w:rsidR="00692ED4" w:rsidRDefault="00092566" w:rsidP="00F569B1">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rsidR="00692ED4" w:rsidRDefault="00692ED4" w:rsidP="00F569B1">
      <w:pPr>
        <w:autoSpaceDE w:val="0"/>
        <w:autoSpaceDN w:val="0"/>
        <w:adjustRightInd w:val="0"/>
        <w:spacing w:after="0" w:line="240" w:lineRule="auto"/>
        <w:rPr>
          <w:rStyle w:val="Style1"/>
        </w:rPr>
      </w:pPr>
      <w:r w:rsidRPr="00673688">
        <w:rPr>
          <w:rStyle w:val="Style1"/>
        </w:rPr>
        <w:t xml:space="preserve">The percent agreement and kappa statistic support the validity of the </w:t>
      </w:r>
      <w:r>
        <w:rPr>
          <w:rStyle w:val="Style1"/>
        </w:rPr>
        <w:t>Hospitalizations</w:t>
      </w:r>
      <w:r w:rsidRPr="00673688">
        <w:rPr>
          <w:rStyle w:val="Style1"/>
        </w:rPr>
        <w:t xml:space="preserve"> per 1,000 Beneficiaries measure.</w:t>
      </w:r>
    </w:p>
    <w:p w:rsidR="00C937A8" w:rsidRDefault="00C937A8" w:rsidP="00C937A8">
      <w:pPr>
        <w:pStyle w:val="NormalWeb"/>
        <w:rPr>
          <w:rStyle w:val="Style1"/>
          <w:rFonts w:eastAsiaTheme="minorEastAsia" w:cstheme="minorBidi"/>
          <w:szCs w:val="22"/>
        </w:rPr>
      </w:pPr>
    </w:p>
    <w:p w:rsidR="00C937A8" w:rsidRPr="00C937A8" w:rsidRDefault="00C937A8" w:rsidP="00C937A8">
      <w:pPr>
        <w:pStyle w:val="NormalWeb"/>
        <w:rPr>
          <w:rFonts w:asciiTheme="minorHAnsi" w:eastAsiaTheme="minorEastAsia" w:hAnsiTheme="minorHAnsi" w:cstheme="minorBidi"/>
          <w:color w:val="0000FF"/>
          <w:sz w:val="22"/>
          <w:szCs w:val="22"/>
        </w:rPr>
      </w:pPr>
      <w:r w:rsidRPr="00F94901">
        <w:rPr>
          <w:rStyle w:val="Style1"/>
          <w:rFonts w:eastAsiaTheme="minorEastAsia" w:cstheme="minorBidi"/>
          <w:szCs w:val="22"/>
        </w:rPr>
        <w:t>The quarterly rates have a very high correlation with the annual rate and the sum of the four quarterly rates is nearly identical to the annual rate.  Therefore, since testing supports validity of the annual measure and the quarterly measures correlate well and sum to the annual measure, the quarterly me</w:t>
      </w:r>
      <w:r>
        <w:rPr>
          <w:rStyle w:val="Style1"/>
          <w:rFonts w:eastAsiaTheme="minorEastAsia" w:cstheme="minorBidi"/>
          <w:szCs w:val="22"/>
        </w:rPr>
        <w:t>asures also appear to be valid.</w:t>
      </w:r>
    </w:p>
    <w:p w:rsidR="00692ED4" w:rsidRDefault="00692ED4" w:rsidP="00F569B1">
      <w:pPr>
        <w:autoSpaceDE w:val="0"/>
        <w:autoSpaceDN w:val="0"/>
        <w:adjustRightInd w:val="0"/>
        <w:spacing w:after="0" w:line="240" w:lineRule="auto"/>
        <w:rPr>
          <w:rStyle w:val="Style1"/>
        </w:rPr>
      </w:pPr>
    </w:p>
    <w:p w:rsidR="00766576" w:rsidRPr="00673688" w:rsidRDefault="00766576" w:rsidP="00F569B1">
      <w:pPr>
        <w:autoSpaceDE w:val="0"/>
        <w:autoSpaceDN w:val="0"/>
        <w:adjustRightInd w:val="0"/>
        <w:spacing w:after="0" w:line="240" w:lineRule="auto"/>
        <w:rPr>
          <w:rStyle w:val="Style1"/>
        </w:rPr>
      </w:pPr>
      <w:r>
        <w:rPr>
          <w:rStyle w:val="Style1"/>
        </w:rPr>
        <w:t>Face Validity:</w:t>
      </w:r>
    </w:p>
    <w:p w:rsidR="007422FD" w:rsidRPr="005D6EE0" w:rsidRDefault="00CD4B10" w:rsidP="00F569B1">
      <w:pPr>
        <w:spacing w:line="240" w:lineRule="auto"/>
        <w:rPr>
          <w:color w:val="0000FF"/>
        </w:rPr>
      </w:pPr>
      <w:r w:rsidRPr="003D3974">
        <w:rPr>
          <w:rStyle w:val="Style1"/>
        </w:rPr>
        <w:t xml:space="preserve">Based on New Yorker article discussing high cost, we would expect the same order for the four communities, namely </w:t>
      </w:r>
      <w:proofErr w:type="gramStart"/>
      <w:r w:rsidRPr="003D3974">
        <w:rPr>
          <w:rStyle w:val="Style1"/>
        </w:rPr>
        <w:t>Miami ,</w:t>
      </w:r>
      <w:proofErr w:type="gramEnd"/>
      <w:r w:rsidRPr="003D3974">
        <w:rPr>
          <w:rStyle w:val="Style1"/>
        </w:rPr>
        <w:t xml:space="preserve"> McAllen, El Paso, and Grand Junction.  Our 2012 measure rate found Miami to be the highest, McAllen second, El Paso, third, and Grand Junction a distant fourth, matching exactly what was reported for cost in the Anew Yorker article.</w:t>
      </w:r>
    </w:p>
    <w:p w:rsidR="008A403A" w:rsidRPr="00A25024" w:rsidRDefault="00483E94" w:rsidP="00F569B1">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F569B1">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F569B1">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sdt>
            <w:sdtPr>
              <w:rPr>
                <w:rFonts w:cstheme="minorHAnsi"/>
                <w:bCs/>
                <w:color w:val="0000FF"/>
              </w:rPr>
              <w:id w:val="89955194"/>
            </w:sdtPr>
            <w:sdtContent>
              <w:sdt>
                <w:sdtPr>
                  <w:rPr>
                    <w:rFonts w:cstheme="minorHAnsi"/>
                    <w:bCs/>
                    <w:color w:val="0000FF"/>
                  </w:rPr>
                  <w:id w:val="8664790"/>
                </w:sdtPr>
                <w:sdtContent>
                  <w:r w:rsidR="007B7602">
                    <w:rPr>
                      <w:rFonts w:ascii="MS Gothic" w:eastAsia="MS Gothic" w:hAnsi="MS Gothic" w:cstheme="minorHAnsi" w:hint="eastAsia"/>
                      <w:bCs/>
                      <w:color w:val="0000FF"/>
                    </w:rPr>
                    <w:t>☒</w:t>
                  </w:r>
                </w:sdtContent>
              </w:sdt>
            </w:sdtContent>
          </w:sdt>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F569B1">
      <w:pPr>
        <w:autoSpaceDE w:val="0"/>
        <w:autoSpaceDN w:val="0"/>
        <w:adjustRightInd w:val="0"/>
        <w:spacing w:after="0" w:line="240" w:lineRule="auto"/>
        <w:rPr>
          <w:rFonts w:cstheme="minorHAnsi"/>
          <w:b/>
          <w:bCs/>
        </w:rPr>
      </w:pPr>
    </w:p>
    <w:p w:rsidR="00833325" w:rsidRPr="00A25024" w:rsidRDefault="00092566" w:rsidP="00F569B1">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F569B1">
      <w:pPr>
        <w:autoSpaceDE w:val="0"/>
        <w:autoSpaceDN w:val="0"/>
        <w:adjustRightInd w:val="0"/>
        <w:spacing w:after="0" w:line="240" w:lineRule="auto"/>
        <w:rPr>
          <w:rFonts w:cstheme="minorHAnsi"/>
          <w:bCs/>
        </w:rPr>
      </w:pPr>
    </w:p>
    <w:p w:rsidR="007422FD" w:rsidRDefault="00092566" w:rsidP="00F569B1">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F569B1">
      <w:pPr>
        <w:autoSpaceDE w:val="0"/>
        <w:autoSpaceDN w:val="0"/>
        <w:adjustRightInd w:val="0"/>
        <w:spacing w:after="0" w:line="240" w:lineRule="auto"/>
        <w:rPr>
          <w:rFonts w:cstheme="minorHAnsi"/>
          <w:bCs/>
        </w:rPr>
      </w:pPr>
    </w:p>
    <w:p w:rsidR="007422FD" w:rsidRPr="00A25024" w:rsidRDefault="00092566" w:rsidP="00F569B1">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w:t>
      </w:r>
      <w:r w:rsidR="000B2DF7" w:rsidRPr="00A25024">
        <w:rPr>
          <w:rFonts w:cstheme="minorHAnsi"/>
          <w:bCs/>
          <w:i/>
        </w:rPr>
        <w:lastRenderedPageBreak/>
        <w:t>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F569B1">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F569B1">
      <w:pPr>
        <w:autoSpaceDE w:val="0"/>
        <w:autoSpaceDN w:val="0"/>
        <w:adjustRightInd w:val="0"/>
        <w:spacing w:after="0" w:line="240" w:lineRule="auto"/>
        <w:rPr>
          <w:rFonts w:cstheme="minorHAnsi"/>
          <w:b/>
          <w:bCs/>
          <w:i/>
        </w:rPr>
      </w:pPr>
      <w:bookmarkStart w:id="13" w:name="section2b4"/>
      <w:bookmarkEnd w:id="13"/>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F569B1">
      <w:pPr>
        <w:autoSpaceDE w:val="0"/>
        <w:autoSpaceDN w:val="0"/>
        <w:adjustRightInd w:val="0"/>
        <w:spacing w:after="0" w:line="240" w:lineRule="auto"/>
        <w:rPr>
          <w:rFonts w:cstheme="minorHAnsi"/>
          <w:b/>
          <w:bCs/>
        </w:rPr>
      </w:pPr>
    </w:p>
    <w:p w:rsidR="00743E46" w:rsidRDefault="00092566" w:rsidP="00F569B1">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682E53" w:rsidP="00F569B1">
      <w:pPr>
        <w:autoSpaceDE w:val="0"/>
        <w:autoSpaceDN w:val="0"/>
        <w:adjustRightInd w:val="0"/>
        <w:spacing w:after="0" w:line="240" w:lineRule="auto"/>
        <w:rPr>
          <w:rFonts w:cstheme="minorHAnsi"/>
          <w:b/>
          <w:bCs/>
        </w:rPr>
      </w:pPr>
      <w:sdt>
        <w:sdtPr>
          <w:rPr>
            <w:rFonts w:cstheme="minorHAnsi"/>
            <w:bCs/>
            <w:color w:val="0000FF"/>
          </w:rPr>
          <w:id w:val="-1450705013"/>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682E53" w:rsidP="00F569B1">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682E53" w:rsidP="00F569B1">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82E53" w:rsidP="00F569B1">
      <w:pPr>
        <w:autoSpaceDE w:val="0"/>
        <w:autoSpaceDN w:val="0"/>
        <w:adjustRightInd w:val="0"/>
        <w:spacing w:after="0" w:line="240" w:lineRule="auto"/>
        <w:rPr>
          <w:rFonts w:cstheme="minorHAnsi"/>
          <w:b/>
          <w:bCs/>
        </w:rPr>
      </w:pPr>
      <w:sdt>
        <w:sdtPr>
          <w:rPr>
            <w:rFonts w:cstheme="minorHAnsi"/>
            <w:bCs/>
            <w:color w:val="0000FF"/>
          </w:rPr>
          <w:id w:val="2076930997"/>
        </w:sdtPr>
        <w:sdtContent>
          <w:sdt>
            <w:sdtPr>
              <w:rPr>
                <w:rFonts w:cstheme="minorHAnsi"/>
                <w:bCs/>
                <w:color w:val="0000FF"/>
              </w:rPr>
              <w:id w:val="89955195"/>
            </w:sdtPr>
            <w:sdtContent>
              <w:sdt>
                <w:sdtPr>
                  <w:rPr>
                    <w:rFonts w:cstheme="minorHAnsi"/>
                    <w:bCs/>
                    <w:color w:val="0000FF"/>
                  </w:rPr>
                  <w:id w:val="89955196"/>
                </w:sdtPr>
                <w:sdtContent>
                  <w:r w:rsidR="007B7602">
                    <w:rPr>
                      <w:rFonts w:ascii="MS Gothic" w:eastAsia="MS Gothic" w:hAnsi="MS Gothic" w:cstheme="minorHAnsi" w:hint="eastAsia"/>
                      <w:bCs/>
                      <w:color w:val="0000FF"/>
                    </w:rPr>
                    <w:t>☒</w:t>
                  </w:r>
                </w:sdtContent>
              </w:sdt>
            </w:sdtContent>
          </w:sdt>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text/>
        </w:sdtPr>
        <w:sdtEndPr>
          <w:rPr>
            <w:rStyle w:val="DefaultParagraphFont"/>
            <w:rFonts w:cstheme="minorHAnsi"/>
            <w:b/>
            <w:bCs/>
            <w:color w:val="auto"/>
          </w:rPr>
        </w:sdtEndPr>
        <w:sdtContent>
          <w:r w:rsidR="007B7602">
            <w:rPr>
              <w:rStyle w:val="Style1"/>
            </w:rPr>
            <w:t>Seasonal Adjustment for the quarterly measure</w:t>
          </w:r>
        </w:sdtContent>
      </w:sdt>
    </w:p>
    <w:p w:rsidR="00743E46" w:rsidRDefault="00743E46" w:rsidP="00F569B1">
      <w:pPr>
        <w:autoSpaceDE w:val="0"/>
        <w:autoSpaceDN w:val="0"/>
        <w:adjustRightInd w:val="0"/>
        <w:spacing w:after="0" w:line="240" w:lineRule="auto"/>
        <w:rPr>
          <w:rFonts w:cstheme="minorHAnsi"/>
          <w:b/>
          <w:bCs/>
        </w:rPr>
      </w:pPr>
    </w:p>
    <w:p w:rsidR="007B7602" w:rsidRDefault="00743E46" w:rsidP="00F569B1">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5C2203" w:rsidRPr="00776F00" w:rsidRDefault="005C2203" w:rsidP="00F569B1">
      <w:pPr>
        <w:autoSpaceDE w:val="0"/>
        <w:autoSpaceDN w:val="0"/>
        <w:adjustRightInd w:val="0"/>
        <w:spacing w:after="0" w:line="240" w:lineRule="auto"/>
        <w:rPr>
          <w:rStyle w:val="Style1"/>
        </w:rPr>
      </w:pPr>
      <w:r w:rsidRPr="00776F00">
        <w:rPr>
          <w:rStyle w:val="Style1"/>
        </w:rPr>
        <w:t xml:space="preserve">There is no risk adjustment for differences in case mix. The purpose of this measure is to support population health improvement initiatives by tracking change in </w:t>
      </w:r>
      <w:r w:rsidR="009C31BB">
        <w:rPr>
          <w:rStyle w:val="Style1"/>
        </w:rPr>
        <w:t>hospitalization</w:t>
      </w:r>
      <w:r w:rsidRPr="00776F00">
        <w:rPr>
          <w:rStyle w:val="Style1"/>
        </w:rPr>
        <w:t xml:space="preserve"> rates for a population over time, and not to compare </w:t>
      </w:r>
      <w:r w:rsidR="009C31BB">
        <w:rPr>
          <w:rStyle w:val="Style1"/>
        </w:rPr>
        <w:t>hospitalization</w:t>
      </w:r>
      <w:r w:rsidRPr="00776F00">
        <w:rPr>
          <w:rStyle w:val="Style1"/>
        </w:rPr>
        <w:t xml:space="preserve"> rates among different populations at a single point in time.   The population of interest is all FFS Medicare beneficiaries residing in the selected geographic subdivision (states, zip code, designations of community, etc), which is unlikely to change with regard to important characteristics over short intervals removing the need for risk adjustment. Although other measures of medical utilization are typically adjusted by patient characteristics, this measure is designed to be useful to communities to monitor progress in </w:t>
      </w:r>
      <w:r w:rsidR="009C31BB">
        <w:rPr>
          <w:rStyle w:val="Style1"/>
        </w:rPr>
        <w:t>hospitalization</w:t>
      </w:r>
      <w:r w:rsidR="008F2EEF">
        <w:rPr>
          <w:rStyle w:val="Style1"/>
        </w:rPr>
        <w:t xml:space="preserve"> reduction</w:t>
      </w:r>
      <w:r w:rsidRPr="00776F00">
        <w:rPr>
          <w:rStyle w:val="Style1"/>
        </w:rPr>
        <w:t xml:space="preserve">, and important characteristics of communities that are associated with the capacity to change medical practice. Because there is no defined set of variables that characterize a community’s capacity to change its medical utilization practices, </w:t>
      </w:r>
      <w:r w:rsidR="009C31BB">
        <w:rPr>
          <w:rStyle w:val="Style1"/>
        </w:rPr>
        <w:t>i</w:t>
      </w:r>
      <w:r w:rsidRPr="00776F00">
        <w:rPr>
          <w:rStyle w:val="Style1"/>
        </w:rPr>
        <w:t>mprovement science is grounded in the assumption that complex systems such as communities are dynamic before, during and after intervention tests, and that any given system characteristic may or may not endure throughout the intervention period. </w:t>
      </w:r>
      <w:r>
        <w:rPr>
          <w:rStyle w:val="Style1"/>
        </w:rPr>
        <w:t>Therefore, w</w:t>
      </w:r>
      <w:r w:rsidRPr="00776F00">
        <w:rPr>
          <w:rStyle w:val="Style1"/>
        </w:rPr>
        <w:t>e do not adjust for any patient characteristics for either the annual or quarterly measures.</w:t>
      </w:r>
    </w:p>
    <w:p w:rsidR="005C2203" w:rsidRPr="00776F00" w:rsidRDefault="005C2203" w:rsidP="00F569B1">
      <w:pPr>
        <w:autoSpaceDE w:val="0"/>
        <w:autoSpaceDN w:val="0"/>
        <w:adjustRightInd w:val="0"/>
        <w:spacing w:after="0" w:line="240" w:lineRule="auto"/>
        <w:rPr>
          <w:rStyle w:val="Style1"/>
        </w:rPr>
      </w:pPr>
    </w:p>
    <w:p w:rsidR="005C2203" w:rsidRPr="00776F00" w:rsidRDefault="005C2203" w:rsidP="00F569B1">
      <w:pPr>
        <w:autoSpaceDE w:val="0"/>
        <w:autoSpaceDN w:val="0"/>
        <w:adjustRightInd w:val="0"/>
        <w:spacing w:after="0" w:line="240" w:lineRule="auto"/>
        <w:rPr>
          <w:rStyle w:val="Style1"/>
        </w:rPr>
      </w:pPr>
      <w:r w:rsidRPr="00776F00">
        <w:rPr>
          <w:rStyle w:val="Style1"/>
        </w:rPr>
        <w:t>While we do not risk adjust for patient characteristics we do incorporate a seasonal adjustment when trending the quarterly measure. This allows for comparison of any and all quarters (e.g., Q1 2011; Q2 2011; Q3 2012) and trending for any state/territory or community. Without the adjustment only like quarters (e.g., Q1 2010 and Q1 2011) can be compared. Please refer to S.14</w:t>
      </w:r>
      <w:r w:rsidR="00776F00" w:rsidRPr="00776F00">
        <w:rPr>
          <w:rStyle w:val="Style1"/>
        </w:rPr>
        <w:t xml:space="preserve"> and S2.b</w:t>
      </w:r>
      <w:r w:rsidRPr="00776F00">
        <w:rPr>
          <w:rStyle w:val="Style1"/>
        </w:rPr>
        <w:t xml:space="preserve"> for details. </w:t>
      </w:r>
    </w:p>
    <w:p w:rsidR="00092566" w:rsidRPr="00A25024" w:rsidRDefault="00092566" w:rsidP="00F569B1">
      <w:pPr>
        <w:pStyle w:val="ListParagraph"/>
        <w:autoSpaceDE w:val="0"/>
        <w:autoSpaceDN w:val="0"/>
        <w:adjustRightInd w:val="0"/>
        <w:spacing w:after="0" w:line="240" w:lineRule="auto"/>
        <w:ind w:left="360"/>
        <w:rPr>
          <w:rFonts w:cstheme="minorHAnsi"/>
          <w:bCs/>
        </w:rPr>
      </w:pPr>
    </w:p>
    <w:p w:rsidR="00092566" w:rsidRDefault="00092566" w:rsidP="00F569B1">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00FC38E8">
        <w:rPr>
          <w:rFonts w:cstheme="minorHAnsi"/>
          <w:bCs/>
        </w:rPr>
        <w:t>)</w:t>
      </w:r>
    </w:p>
    <w:p w:rsidR="00001D73" w:rsidRPr="00FC38E8" w:rsidRDefault="00FC38E8" w:rsidP="00F569B1">
      <w:pPr>
        <w:autoSpaceDE w:val="0"/>
        <w:autoSpaceDN w:val="0"/>
        <w:adjustRightInd w:val="0"/>
        <w:spacing w:after="0" w:line="240" w:lineRule="auto"/>
        <w:rPr>
          <w:color w:val="0000FF"/>
        </w:rPr>
      </w:pPr>
      <w:r>
        <w:rPr>
          <w:rStyle w:val="Style1"/>
        </w:rPr>
        <w:t>N/A</w:t>
      </w:r>
    </w:p>
    <w:p w:rsidR="007B7602" w:rsidRPr="00FC38E8" w:rsidRDefault="00092566" w:rsidP="00F569B1">
      <w:pPr>
        <w:autoSpaceDE w:val="0"/>
        <w:autoSpaceDN w:val="0"/>
        <w:adjustRightInd w:val="0"/>
        <w:spacing w:after="0" w:line="240" w:lineRule="auto"/>
        <w:rPr>
          <w:rStyle w:val="Style1"/>
          <w:rFonts w:cstheme="minorHAnsi"/>
          <w:b/>
          <w:bCs/>
          <w:color w:val="auto"/>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7B7602" w:rsidRPr="00773253">
        <w:rPr>
          <w:rStyle w:val="Style1"/>
        </w:rPr>
        <w:t>N/A</w:t>
      </w:r>
    </w:p>
    <w:p w:rsidR="00001D73" w:rsidRPr="00001D73" w:rsidRDefault="00001D73" w:rsidP="00F569B1">
      <w:pPr>
        <w:autoSpaceDE w:val="0"/>
        <w:autoSpaceDN w:val="0"/>
        <w:adjustRightInd w:val="0"/>
        <w:spacing w:after="0" w:line="240" w:lineRule="auto"/>
        <w:rPr>
          <w:rFonts w:cstheme="minorHAnsi"/>
          <w:b/>
          <w:bCs/>
        </w:rPr>
      </w:pPr>
    </w:p>
    <w:p w:rsidR="00092566" w:rsidRPr="00A25024" w:rsidRDefault="00E1508F" w:rsidP="00F569B1">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FC38E8">
        <w:rPr>
          <w:rFonts w:cstheme="minorHAnsi"/>
          <w:bCs/>
        </w:rPr>
        <w:t>)</w:t>
      </w:r>
    </w:p>
    <w:p w:rsidR="00092566" w:rsidRPr="00FC38E8" w:rsidRDefault="007B7602" w:rsidP="00F569B1">
      <w:pPr>
        <w:autoSpaceDE w:val="0"/>
        <w:autoSpaceDN w:val="0"/>
        <w:adjustRightInd w:val="0"/>
        <w:spacing w:after="0" w:line="240" w:lineRule="auto"/>
        <w:rPr>
          <w:color w:val="0000FF"/>
        </w:rPr>
      </w:pPr>
      <w:r w:rsidRPr="00773253">
        <w:rPr>
          <w:rStyle w:val="Style1"/>
        </w:rPr>
        <w:lastRenderedPageBreak/>
        <w:t>N/</w:t>
      </w:r>
      <w:r w:rsidR="00FC38E8">
        <w:rPr>
          <w:rStyle w:val="Style1"/>
        </w:rPr>
        <w:t>A</w:t>
      </w:r>
    </w:p>
    <w:p w:rsidR="00743E46" w:rsidRDefault="00001D73" w:rsidP="00F569B1">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B7602" w:rsidRDefault="00743E46" w:rsidP="00F569B1">
      <w:pPr>
        <w:autoSpaceDE w:val="0"/>
        <w:autoSpaceDN w:val="0"/>
        <w:adjustRightInd w:val="0"/>
        <w:spacing w:after="0" w:line="240" w:lineRule="auto"/>
        <w:rPr>
          <w:rStyle w:val="Style1"/>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rsidR="00001D73" w:rsidRPr="00FC38E8" w:rsidRDefault="00FC38E8" w:rsidP="00F569B1">
      <w:pPr>
        <w:autoSpaceDE w:val="0"/>
        <w:autoSpaceDN w:val="0"/>
        <w:adjustRightInd w:val="0"/>
        <w:spacing w:after="0" w:line="240" w:lineRule="auto"/>
        <w:rPr>
          <w:color w:val="0000FF"/>
        </w:rPr>
      </w:pPr>
      <w:r>
        <w:rPr>
          <w:rStyle w:val="Style1"/>
        </w:rPr>
        <w:t>N/A</w:t>
      </w:r>
    </w:p>
    <w:p w:rsidR="007B7602" w:rsidRDefault="00743E46" w:rsidP="00F569B1">
      <w:pPr>
        <w:autoSpaceDE w:val="0"/>
        <w:autoSpaceDN w:val="0"/>
        <w:adjustRightInd w:val="0"/>
        <w:spacing w:after="0" w:line="240" w:lineRule="auto"/>
        <w:rPr>
          <w:rStyle w:val="Style1"/>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FC38E8">
        <w:rPr>
          <w:rFonts w:cstheme="minorHAnsi"/>
          <w:bCs/>
        </w:rPr>
        <w:t xml:space="preserve">:  </w:t>
      </w:r>
    </w:p>
    <w:p w:rsidR="00001D73" w:rsidRPr="00FC38E8" w:rsidRDefault="00FC38E8" w:rsidP="00F569B1">
      <w:pPr>
        <w:autoSpaceDE w:val="0"/>
        <w:autoSpaceDN w:val="0"/>
        <w:adjustRightInd w:val="0"/>
        <w:spacing w:after="0" w:line="240" w:lineRule="auto"/>
        <w:rPr>
          <w:color w:val="0000FF"/>
        </w:rPr>
      </w:pPr>
      <w:r>
        <w:rPr>
          <w:rStyle w:val="Style1"/>
        </w:rPr>
        <w:t>N/A</w:t>
      </w:r>
    </w:p>
    <w:p w:rsidR="007B7602" w:rsidRDefault="00743E46" w:rsidP="00F569B1">
      <w:pPr>
        <w:autoSpaceDE w:val="0"/>
        <w:autoSpaceDN w:val="0"/>
        <w:adjustRightInd w:val="0"/>
        <w:spacing w:after="0" w:line="240" w:lineRule="auto"/>
        <w:rPr>
          <w:rStyle w:val="Style1"/>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FC38E8">
        <w:rPr>
          <w:rFonts w:cstheme="minorHAnsi"/>
          <w:bCs/>
        </w:rPr>
        <w:t>:</w:t>
      </w:r>
    </w:p>
    <w:p w:rsidR="00743E46" w:rsidRPr="00FC38E8" w:rsidRDefault="00FC38E8" w:rsidP="00F569B1">
      <w:pPr>
        <w:autoSpaceDE w:val="0"/>
        <w:autoSpaceDN w:val="0"/>
        <w:adjustRightInd w:val="0"/>
        <w:spacing w:after="0" w:line="240" w:lineRule="auto"/>
        <w:rPr>
          <w:color w:val="0000FF"/>
        </w:rPr>
      </w:pPr>
      <w:r>
        <w:rPr>
          <w:rStyle w:val="Style1"/>
        </w:rPr>
        <w:t>N/A</w:t>
      </w:r>
    </w:p>
    <w:p w:rsidR="007B7602" w:rsidRPr="00FC38E8" w:rsidRDefault="00743E46" w:rsidP="00F569B1">
      <w:pPr>
        <w:autoSpaceDE w:val="0"/>
        <w:autoSpaceDN w:val="0"/>
        <w:adjustRightInd w:val="0"/>
        <w:spacing w:after="0" w:line="240" w:lineRule="auto"/>
        <w:rPr>
          <w:rStyle w:val="Style1"/>
          <w:rFonts w:cstheme="minorHAnsi"/>
          <w:bCs/>
          <w:color w:val="auto"/>
        </w:rPr>
      </w:pPr>
      <w:bookmarkStart w:id="14" w:name="question2b49"/>
      <w:bookmarkEnd w:id="14"/>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FC38E8">
        <w:rPr>
          <w:rFonts w:cstheme="minorHAnsi"/>
          <w:bCs/>
        </w:rPr>
        <w:t xml:space="preserve"> </w:t>
      </w:r>
    </w:p>
    <w:p w:rsidR="007B7602" w:rsidRPr="00773253" w:rsidRDefault="007B7602" w:rsidP="00F569B1">
      <w:pPr>
        <w:autoSpaceDE w:val="0"/>
        <w:autoSpaceDN w:val="0"/>
        <w:adjustRightInd w:val="0"/>
        <w:spacing w:after="0" w:line="240" w:lineRule="auto"/>
        <w:rPr>
          <w:rStyle w:val="Style1"/>
        </w:rPr>
      </w:pPr>
      <w:r w:rsidRPr="00773253">
        <w:rPr>
          <w:rStyle w:val="Style1"/>
        </w:rPr>
        <w:t>N/A</w:t>
      </w:r>
    </w:p>
    <w:p w:rsidR="007B7602" w:rsidRDefault="00743E46" w:rsidP="00F569B1">
      <w:pPr>
        <w:autoSpaceDE w:val="0"/>
        <w:autoSpaceDN w:val="0"/>
        <w:adjustRightInd w:val="0"/>
        <w:spacing w:after="0" w:line="240" w:lineRule="auto"/>
        <w:rPr>
          <w:rStyle w:val="Style1"/>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FC38E8">
        <w:rPr>
          <w:rFonts w:cstheme="minorHAnsi"/>
          <w:bCs/>
        </w:rPr>
        <w:t>)</w:t>
      </w:r>
    </w:p>
    <w:p w:rsidR="00092566" w:rsidRPr="00FC38E8" w:rsidRDefault="00FC38E8" w:rsidP="00FC38E8">
      <w:pPr>
        <w:autoSpaceDE w:val="0"/>
        <w:autoSpaceDN w:val="0"/>
        <w:adjustRightInd w:val="0"/>
        <w:spacing w:after="0" w:line="240" w:lineRule="auto"/>
        <w:rPr>
          <w:color w:val="0000FF"/>
        </w:rPr>
      </w:pPr>
      <w:r>
        <w:rPr>
          <w:rStyle w:val="Style1"/>
        </w:rPr>
        <w:t>N/A</w:t>
      </w:r>
    </w:p>
    <w:p w:rsidR="007B7602" w:rsidRPr="00FC38E8" w:rsidRDefault="009B1A15" w:rsidP="00FC38E8">
      <w:pPr>
        <w:spacing w:after="0" w:line="240" w:lineRule="auto"/>
        <w:rPr>
          <w:rStyle w:val="Style1"/>
          <w:rFonts w:cstheme="minorHAnsi"/>
          <w:color w:val="auto"/>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7B7602" w:rsidRPr="00773253" w:rsidRDefault="007B7602" w:rsidP="00F569B1">
      <w:pPr>
        <w:autoSpaceDE w:val="0"/>
        <w:autoSpaceDN w:val="0"/>
        <w:adjustRightInd w:val="0"/>
        <w:spacing w:after="0" w:line="240" w:lineRule="auto"/>
        <w:rPr>
          <w:rStyle w:val="Style1"/>
        </w:rPr>
      </w:pPr>
      <w:r w:rsidRPr="00773253">
        <w:rPr>
          <w:rStyle w:val="Style1"/>
        </w:rPr>
        <w:t>N/A</w:t>
      </w:r>
    </w:p>
    <w:p w:rsidR="00D61410" w:rsidRPr="00A25024" w:rsidRDefault="00D61410" w:rsidP="00F569B1">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F569B1">
      <w:pPr>
        <w:autoSpaceDE w:val="0"/>
        <w:autoSpaceDN w:val="0"/>
        <w:adjustRightInd w:val="0"/>
        <w:spacing w:after="0" w:line="240" w:lineRule="auto"/>
        <w:rPr>
          <w:rFonts w:cstheme="minorHAnsi"/>
          <w:b/>
          <w:bCs/>
        </w:rPr>
      </w:pPr>
      <w:bookmarkStart w:id="15" w:name="section2b5"/>
      <w:bookmarkEnd w:id="15"/>
      <w:r w:rsidRPr="00A25024">
        <w:rPr>
          <w:rFonts w:cstheme="minorHAnsi"/>
          <w:b/>
          <w:bCs/>
        </w:rPr>
        <w:t>2b5. IDENTIFICATION OF STATISTICALLY SIGNIFICANT &amp; MEANINGFUL DIFFERENCES IN PERFORMANCE</w:t>
      </w:r>
    </w:p>
    <w:p w:rsidR="00D61410" w:rsidRDefault="00D61410" w:rsidP="00F569B1">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1345ED" w:rsidRDefault="001345ED" w:rsidP="00F569B1">
      <w:pPr>
        <w:autoSpaceDE w:val="0"/>
        <w:autoSpaceDN w:val="0"/>
        <w:adjustRightInd w:val="0"/>
        <w:spacing w:after="0" w:line="240" w:lineRule="auto"/>
        <w:rPr>
          <w:rStyle w:val="Style1"/>
        </w:rPr>
      </w:pPr>
      <w:r>
        <w:rPr>
          <w:rStyle w:val="Style1"/>
        </w:rPr>
        <w:t>Annual Measure: R</w:t>
      </w:r>
      <w:r w:rsidRPr="00555A0B">
        <w:rPr>
          <w:rStyle w:val="Style1"/>
        </w:rPr>
        <w:t>elative improvement</w:t>
      </w:r>
      <w:r>
        <w:rPr>
          <w:rStyle w:val="Style1"/>
        </w:rPr>
        <w:t xml:space="preserve"> was computed</w:t>
      </w:r>
      <w:r w:rsidRPr="00555A0B">
        <w:rPr>
          <w:rStyle w:val="Style1"/>
        </w:rPr>
        <w:t xml:space="preserve"> </w:t>
      </w:r>
      <w:r w:rsidR="00DD1CA6">
        <w:rPr>
          <w:rStyle w:val="Style1"/>
        </w:rPr>
        <w:t>comparing</w:t>
      </w:r>
      <w:r w:rsidRPr="00555A0B">
        <w:rPr>
          <w:rStyle w:val="Style1"/>
        </w:rPr>
        <w:t xml:space="preserve"> 2010 to 2012 using the annual rate for states/territories and communities.</w:t>
      </w:r>
      <w:r>
        <w:rPr>
          <w:rStyle w:val="Style1"/>
        </w:rPr>
        <w:t xml:space="preserve"> </w:t>
      </w:r>
    </w:p>
    <w:p w:rsidR="001345ED" w:rsidRDefault="001345ED" w:rsidP="00F569B1">
      <w:pPr>
        <w:autoSpaceDE w:val="0"/>
        <w:autoSpaceDN w:val="0"/>
        <w:adjustRightInd w:val="0"/>
        <w:spacing w:after="0" w:line="240" w:lineRule="auto"/>
        <w:rPr>
          <w:rStyle w:val="Style1"/>
        </w:rPr>
      </w:pPr>
    </w:p>
    <w:p w:rsidR="001345ED" w:rsidRPr="00555A0B" w:rsidRDefault="001345ED" w:rsidP="00F569B1">
      <w:pPr>
        <w:autoSpaceDE w:val="0"/>
        <w:autoSpaceDN w:val="0"/>
        <w:adjustRightInd w:val="0"/>
        <w:spacing w:after="0" w:line="240" w:lineRule="auto"/>
        <w:rPr>
          <w:rStyle w:val="Style1"/>
        </w:rPr>
      </w:pPr>
      <w:r>
        <w:rPr>
          <w:rStyle w:val="Style1"/>
        </w:rPr>
        <w:t xml:space="preserve">Quarterly Measure: </w:t>
      </w:r>
      <w:r w:rsidRPr="00555A0B">
        <w:rPr>
          <w:rStyle w:val="Style1"/>
        </w:rPr>
        <w:t>Control charts were used to assess improvement and deterioration for state/territory and community seasonally adjusted quarte</w:t>
      </w:r>
      <w:r w:rsidR="00DD1CA6">
        <w:rPr>
          <w:rStyle w:val="Style1"/>
        </w:rPr>
        <w:t>rly rates.  Quarter 1, 2009 through</w:t>
      </w:r>
      <w:r w:rsidRPr="00555A0B">
        <w:rPr>
          <w:rStyle w:val="Style1"/>
        </w:rPr>
        <w:t xml:space="preserve"> quarter 3, 2011 were used to compute the center line and control limits. “Out-of-control” points were assessed using </w:t>
      </w:r>
      <w:r w:rsidR="00DD1CA6">
        <w:rPr>
          <w:rStyle w:val="Style1"/>
        </w:rPr>
        <w:t>Quarter 4, 2011 through</w:t>
      </w:r>
      <w:r w:rsidRPr="00555A0B">
        <w:rPr>
          <w:rStyle w:val="Style1"/>
        </w:rPr>
        <w:t xml:space="preserve"> </w:t>
      </w:r>
      <w:r w:rsidR="00DD1CA6">
        <w:rPr>
          <w:rStyle w:val="Style1"/>
        </w:rPr>
        <w:t>Quarter 1, 2013.</w:t>
      </w:r>
    </w:p>
    <w:p w:rsidR="001345ED" w:rsidRDefault="001345ED" w:rsidP="00F569B1">
      <w:pPr>
        <w:autoSpaceDE w:val="0"/>
        <w:autoSpaceDN w:val="0"/>
        <w:adjustRightInd w:val="0"/>
        <w:spacing w:after="0" w:line="240" w:lineRule="auto"/>
        <w:rPr>
          <w:rStyle w:val="Style1"/>
        </w:rPr>
      </w:pPr>
      <w:r w:rsidRPr="00555A0B">
        <w:rPr>
          <w:rStyle w:val="Style1"/>
        </w:rPr>
        <w:t xml:space="preserve"> </w:t>
      </w:r>
    </w:p>
    <w:p w:rsidR="007B7602" w:rsidRPr="00555A0B" w:rsidRDefault="007B7602" w:rsidP="00F569B1">
      <w:pPr>
        <w:autoSpaceDE w:val="0"/>
        <w:autoSpaceDN w:val="0"/>
        <w:adjustRightInd w:val="0"/>
        <w:spacing w:after="0" w:line="240" w:lineRule="auto"/>
        <w:rPr>
          <w:rStyle w:val="Style1"/>
        </w:rPr>
      </w:pPr>
      <w:r w:rsidRPr="00555A0B">
        <w:rPr>
          <w:rStyle w:val="Style1"/>
        </w:rPr>
        <w:t xml:space="preserve">“Out-of-control” Rules </w:t>
      </w:r>
    </w:p>
    <w:p w:rsidR="007B7602" w:rsidRDefault="007B7602" w:rsidP="00F569B1">
      <w:pPr>
        <w:pStyle w:val="ListParagraph"/>
        <w:numPr>
          <w:ilvl w:val="0"/>
          <w:numId w:val="28"/>
        </w:numPr>
        <w:autoSpaceDE w:val="0"/>
        <w:autoSpaceDN w:val="0"/>
        <w:adjustRightInd w:val="0"/>
        <w:spacing w:after="0" w:line="240" w:lineRule="auto"/>
        <w:rPr>
          <w:rStyle w:val="Style1"/>
        </w:rPr>
      </w:pPr>
      <w:r w:rsidRPr="00555A0B">
        <w:rPr>
          <w:rStyle w:val="Style1"/>
        </w:rPr>
        <w:t xml:space="preserve">Any point during the intervention period that is above the upper control limit (deterioration) or below the lower control limit (improvement). </w:t>
      </w:r>
    </w:p>
    <w:p w:rsidR="007B7602" w:rsidRDefault="007B7602" w:rsidP="00F569B1">
      <w:pPr>
        <w:pStyle w:val="ListParagraph"/>
        <w:numPr>
          <w:ilvl w:val="0"/>
          <w:numId w:val="28"/>
        </w:numPr>
        <w:autoSpaceDE w:val="0"/>
        <w:autoSpaceDN w:val="0"/>
        <w:adjustRightInd w:val="0"/>
        <w:spacing w:after="0" w:line="240" w:lineRule="auto"/>
        <w:rPr>
          <w:rStyle w:val="Style1"/>
        </w:rPr>
      </w:pPr>
      <w:r w:rsidRPr="00555A0B">
        <w:rPr>
          <w:rStyle w:val="Style1"/>
        </w:rPr>
        <w:t xml:space="preserve">Eight consecutive points above the center line (deterioration) or eight consecutive points below the center line (improvement). </w:t>
      </w:r>
    </w:p>
    <w:p w:rsidR="007B7602" w:rsidRPr="00555A0B" w:rsidRDefault="007B7602" w:rsidP="00F569B1">
      <w:pPr>
        <w:pStyle w:val="ListParagraph"/>
        <w:numPr>
          <w:ilvl w:val="0"/>
          <w:numId w:val="28"/>
        </w:numPr>
        <w:autoSpaceDE w:val="0"/>
        <w:autoSpaceDN w:val="0"/>
        <w:adjustRightInd w:val="0"/>
        <w:spacing w:after="0" w:line="240" w:lineRule="auto"/>
        <w:rPr>
          <w:rStyle w:val="Style1"/>
        </w:rPr>
      </w:pPr>
      <w:r w:rsidRPr="00555A0B">
        <w:rPr>
          <w:rStyle w:val="Style1"/>
        </w:rPr>
        <w:t xml:space="preserve">If states/territories and communities are flagged for both deterioration and improvement we identify them based on whichever (deterioration or improvement) occurred later.  </w:t>
      </w:r>
    </w:p>
    <w:p w:rsidR="007B7602" w:rsidRDefault="007B7602" w:rsidP="00F569B1">
      <w:pPr>
        <w:autoSpaceDE w:val="0"/>
        <w:autoSpaceDN w:val="0"/>
        <w:adjustRightInd w:val="0"/>
        <w:spacing w:after="0" w:line="240" w:lineRule="auto"/>
        <w:rPr>
          <w:rFonts w:cstheme="minorHAnsi"/>
          <w:bCs/>
        </w:rPr>
      </w:pPr>
    </w:p>
    <w:p w:rsidR="001345ED" w:rsidRPr="00A25024" w:rsidRDefault="001345ED" w:rsidP="00F569B1">
      <w:pPr>
        <w:autoSpaceDE w:val="0"/>
        <w:autoSpaceDN w:val="0"/>
        <w:adjustRightInd w:val="0"/>
        <w:spacing w:after="0" w:line="240" w:lineRule="auto"/>
        <w:rPr>
          <w:rFonts w:cstheme="minorHAnsi"/>
          <w:bCs/>
        </w:rPr>
      </w:pPr>
    </w:p>
    <w:p w:rsidR="00D61410" w:rsidRPr="00A25024" w:rsidRDefault="00D61410" w:rsidP="00F569B1">
      <w:pPr>
        <w:autoSpaceDE w:val="0"/>
        <w:autoSpaceDN w:val="0"/>
        <w:adjustRightInd w:val="0"/>
        <w:spacing w:after="0" w:line="240" w:lineRule="auto"/>
        <w:rPr>
          <w:rFonts w:cstheme="minorHAnsi"/>
          <w:bCs/>
        </w:rPr>
      </w:pPr>
    </w:p>
    <w:p w:rsidR="007B7602" w:rsidRDefault="00D61410" w:rsidP="00F569B1">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lastRenderedPageBreak/>
        <w:t xml:space="preserve">different from mean </w:t>
      </w:r>
      <w:r w:rsidR="001E69DC">
        <w:rPr>
          <w:rFonts w:cstheme="minorHAnsi"/>
          <w:bCs/>
          <w:i/>
        </w:rPr>
        <w:t>or some benchmark, different from expected; how was meaningful difference defined</w:t>
      </w:r>
      <w:r w:rsidRPr="00A25024">
        <w:rPr>
          <w:rFonts w:cstheme="minorHAnsi"/>
          <w:bCs/>
        </w:rPr>
        <w:t>)</w:t>
      </w:r>
    </w:p>
    <w:p w:rsidR="007B7602" w:rsidRPr="000025D4" w:rsidRDefault="00D61410" w:rsidP="00F569B1">
      <w:pPr>
        <w:autoSpaceDE w:val="0"/>
        <w:autoSpaceDN w:val="0"/>
        <w:adjustRightInd w:val="0"/>
        <w:spacing w:after="0" w:line="240" w:lineRule="auto"/>
        <w:rPr>
          <w:rStyle w:val="Style1"/>
          <w:color w:val="FF0000"/>
        </w:rPr>
      </w:pPr>
      <w:r w:rsidRPr="00A25024">
        <w:rPr>
          <w:rFonts w:cstheme="minorHAnsi"/>
          <w:bCs/>
        </w:rPr>
        <w:br/>
      </w:r>
      <w:r w:rsidR="00DD1CA6" w:rsidRPr="00DD1CA6">
        <w:rPr>
          <w:rStyle w:val="Style1"/>
        </w:rPr>
        <w:t xml:space="preserve">Quarterly: </w:t>
      </w:r>
      <w:r w:rsidR="007B7602" w:rsidRPr="00DD1CA6">
        <w:rPr>
          <w:rStyle w:val="Style1"/>
        </w:rPr>
        <w:t>Of the 53 states/territories 51 (96%) demonstrated improvement and 0 (0%) demonstrated deterioration.  Of the 327 communities, 263 (80%) demonstrated improvement and 4 (1%) demonstrated deterioration.</w:t>
      </w:r>
    </w:p>
    <w:p w:rsidR="00D61410" w:rsidRDefault="00D61410" w:rsidP="00F569B1">
      <w:pPr>
        <w:autoSpaceDE w:val="0"/>
        <w:autoSpaceDN w:val="0"/>
        <w:adjustRightInd w:val="0"/>
        <w:spacing w:after="0" w:line="240" w:lineRule="auto"/>
        <w:rPr>
          <w:rFonts w:cstheme="minorHAnsi"/>
          <w:bCs/>
        </w:rPr>
      </w:pPr>
    </w:p>
    <w:p w:rsidR="000156CA" w:rsidRPr="000156CA" w:rsidRDefault="000156CA" w:rsidP="000156CA">
      <w:pPr>
        <w:rPr>
          <w:rStyle w:val="Style1"/>
        </w:rPr>
      </w:pPr>
      <w:r w:rsidRPr="000156CA">
        <w:rPr>
          <w:rStyle w:val="Style1"/>
        </w:rPr>
        <w:t>States/Territories:</w:t>
      </w:r>
    </w:p>
    <w:p w:rsidR="000156CA" w:rsidRPr="000156CA" w:rsidRDefault="000156CA" w:rsidP="000156CA">
      <w:pPr>
        <w:rPr>
          <w:rStyle w:val="Style1"/>
        </w:rPr>
      </w:pPr>
    </w:p>
    <w:tbl>
      <w:tblPr>
        <w:tblW w:w="0" w:type="auto"/>
        <w:jc w:val="center"/>
        <w:tblCellMar>
          <w:left w:w="0" w:type="dxa"/>
          <w:right w:w="0" w:type="dxa"/>
        </w:tblCellMar>
        <w:tblLook w:val="04A0" w:firstRow="1" w:lastRow="0" w:firstColumn="1" w:lastColumn="0" w:noHBand="0" w:noVBand="1"/>
      </w:tblPr>
      <w:tblGrid>
        <w:gridCol w:w="377"/>
        <w:gridCol w:w="1086"/>
        <w:gridCol w:w="1125"/>
        <w:gridCol w:w="675"/>
        <w:gridCol w:w="978"/>
        <w:gridCol w:w="978"/>
        <w:gridCol w:w="993"/>
      </w:tblGrid>
      <w:tr w:rsidR="000156CA" w:rsidRPr="000156CA" w:rsidTr="000156CA">
        <w:trPr>
          <w:cantSplit/>
          <w:tblHeader/>
          <w:jc w:val="center"/>
        </w:trPr>
        <w:tc>
          <w:tcPr>
            <w:tcW w:w="6212" w:type="dxa"/>
            <w:gridSpan w:val="7"/>
            <w:tcBorders>
              <w:top w:val="single" w:sz="8" w:space="0" w:color="000000"/>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156CA" w:rsidRPr="000156CA" w:rsidRDefault="000156CA">
            <w:pPr>
              <w:spacing w:before="60" w:after="60"/>
              <w:jc w:val="center"/>
              <w:rPr>
                <w:rStyle w:val="Style1"/>
              </w:rPr>
            </w:pPr>
            <w:r w:rsidRPr="000156CA">
              <w:rPr>
                <w:rStyle w:val="Style1"/>
              </w:rPr>
              <w:t>Relative Improvement in Hospitalizations per 1000</w:t>
            </w:r>
          </w:p>
          <w:p w:rsidR="000156CA" w:rsidRPr="000156CA" w:rsidRDefault="000156CA">
            <w:pPr>
              <w:autoSpaceDE w:val="0"/>
              <w:autoSpaceDN w:val="0"/>
              <w:spacing w:before="60" w:after="60"/>
              <w:jc w:val="center"/>
              <w:rPr>
                <w:rStyle w:val="Style1"/>
              </w:rPr>
            </w:pPr>
            <w:r w:rsidRPr="000156CA">
              <w:rPr>
                <w:rStyle w:val="Style1"/>
              </w:rPr>
              <w:t>(2010 annual to 2012 annual)</w:t>
            </w:r>
          </w:p>
        </w:tc>
      </w:tr>
      <w:tr w:rsidR="000156CA" w:rsidRPr="000156CA" w:rsidTr="000156CA">
        <w:trPr>
          <w:cantSplit/>
          <w:tblHeader/>
          <w:jc w:val="center"/>
        </w:trPr>
        <w:tc>
          <w:tcPr>
            <w:tcW w:w="377"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N</w:t>
            </w:r>
          </w:p>
        </w:tc>
        <w:tc>
          <w:tcPr>
            <w:tcW w:w="1086"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Minimum</w:t>
            </w:r>
          </w:p>
        </w:tc>
        <w:tc>
          <w:tcPr>
            <w:tcW w:w="112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Maximum</w:t>
            </w:r>
          </w:p>
        </w:tc>
        <w:tc>
          <w:tcPr>
            <w:tcW w:w="67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Mean</w:t>
            </w:r>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 xml:space="preserve">25th </w:t>
            </w:r>
            <w:proofErr w:type="spellStart"/>
            <w:r w:rsidRPr="000156CA">
              <w:rPr>
                <w:rStyle w:val="Style1"/>
              </w:rPr>
              <w:t>Pctl</w:t>
            </w:r>
            <w:proofErr w:type="spellEnd"/>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 xml:space="preserve">50th </w:t>
            </w:r>
            <w:proofErr w:type="spellStart"/>
            <w:r w:rsidRPr="000156CA">
              <w:rPr>
                <w:rStyle w:val="Style1"/>
              </w:rPr>
              <w:t>Pctl</w:t>
            </w:r>
            <w:proofErr w:type="spellEnd"/>
          </w:p>
        </w:tc>
        <w:tc>
          <w:tcPr>
            <w:tcW w:w="993" w:type="dxa"/>
            <w:tcBorders>
              <w:top w:val="nil"/>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 xml:space="preserve">75th </w:t>
            </w:r>
            <w:proofErr w:type="spellStart"/>
            <w:r w:rsidRPr="000156CA">
              <w:rPr>
                <w:rStyle w:val="Style1"/>
              </w:rPr>
              <w:t>Pctl</w:t>
            </w:r>
            <w:proofErr w:type="spellEnd"/>
          </w:p>
        </w:tc>
      </w:tr>
      <w:tr w:rsidR="000156CA" w:rsidRPr="000156CA" w:rsidTr="000156CA">
        <w:trPr>
          <w:cantSplit/>
          <w:jc w:val="center"/>
        </w:trPr>
        <w:tc>
          <w:tcPr>
            <w:tcW w:w="377"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53</w:t>
            </w:r>
          </w:p>
        </w:tc>
        <w:tc>
          <w:tcPr>
            <w:tcW w:w="1086"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-0.50</w:t>
            </w:r>
          </w:p>
        </w:tc>
        <w:tc>
          <w:tcPr>
            <w:tcW w:w="112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11.81</w:t>
            </w:r>
          </w:p>
        </w:tc>
        <w:tc>
          <w:tcPr>
            <w:tcW w:w="67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6.54</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5.54</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6.93</w:t>
            </w:r>
          </w:p>
        </w:tc>
        <w:tc>
          <w:tcPr>
            <w:tcW w:w="993" w:type="dxa"/>
            <w:tcBorders>
              <w:top w:val="nil"/>
              <w:left w:val="single" w:sz="8" w:space="0" w:color="000000"/>
              <w:bottom w:val="single" w:sz="8" w:space="0" w:color="000000"/>
              <w:right w:val="single" w:sz="8" w:space="0" w:color="000000"/>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8.07</w:t>
            </w:r>
          </w:p>
        </w:tc>
      </w:tr>
    </w:tbl>
    <w:p w:rsidR="000156CA" w:rsidRPr="000156CA" w:rsidRDefault="000156CA" w:rsidP="000156CA">
      <w:pPr>
        <w:rPr>
          <w:rStyle w:val="Style1"/>
        </w:rPr>
      </w:pPr>
    </w:p>
    <w:p w:rsidR="000156CA" w:rsidRPr="000156CA" w:rsidRDefault="000156CA" w:rsidP="000156CA">
      <w:pPr>
        <w:rPr>
          <w:rStyle w:val="Style1"/>
        </w:rPr>
      </w:pPr>
      <w:r w:rsidRPr="000156CA">
        <w:rPr>
          <w:rStyle w:val="Style1"/>
        </w:rPr>
        <w:t>Communities:</w:t>
      </w:r>
    </w:p>
    <w:tbl>
      <w:tblPr>
        <w:tblW w:w="0" w:type="auto"/>
        <w:jc w:val="center"/>
        <w:tblCellMar>
          <w:left w:w="0" w:type="dxa"/>
          <w:right w:w="0" w:type="dxa"/>
        </w:tblCellMar>
        <w:tblLook w:val="04A0" w:firstRow="1" w:lastRow="0" w:firstColumn="1" w:lastColumn="0" w:noHBand="0" w:noVBand="1"/>
      </w:tblPr>
      <w:tblGrid>
        <w:gridCol w:w="480"/>
        <w:gridCol w:w="1086"/>
        <w:gridCol w:w="1125"/>
        <w:gridCol w:w="675"/>
        <w:gridCol w:w="978"/>
        <w:gridCol w:w="978"/>
        <w:gridCol w:w="993"/>
      </w:tblGrid>
      <w:tr w:rsidR="000156CA" w:rsidRPr="000156CA" w:rsidTr="000156CA">
        <w:trPr>
          <w:cantSplit/>
          <w:tblHeader/>
          <w:jc w:val="center"/>
        </w:trPr>
        <w:tc>
          <w:tcPr>
            <w:tcW w:w="6315" w:type="dxa"/>
            <w:gridSpan w:val="7"/>
            <w:tcBorders>
              <w:top w:val="single" w:sz="8" w:space="0" w:color="000000"/>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156CA" w:rsidRPr="000156CA" w:rsidRDefault="000156CA">
            <w:pPr>
              <w:spacing w:before="60" w:after="60"/>
              <w:jc w:val="center"/>
              <w:rPr>
                <w:rStyle w:val="Style1"/>
              </w:rPr>
            </w:pPr>
            <w:r w:rsidRPr="000156CA">
              <w:rPr>
                <w:rStyle w:val="Style1"/>
              </w:rPr>
              <w:t>Relative Improvement in Hospitalizations per 1000</w:t>
            </w:r>
          </w:p>
          <w:p w:rsidR="000156CA" w:rsidRPr="000156CA" w:rsidRDefault="000156CA">
            <w:pPr>
              <w:autoSpaceDE w:val="0"/>
              <w:autoSpaceDN w:val="0"/>
              <w:spacing w:before="60" w:after="60"/>
              <w:jc w:val="center"/>
              <w:rPr>
                <w:rStyle w:val="Style1"/>
              </w:rPr>
            </w:pPr>
            <w:r w:rsidRPr="000156CA">
              <w:rPr>
                <w:rStyle w:val="Style1"/>
              </w:rPr>
              <w:t>(2010 annual to 2012 annual)</w:t>
            </w:r>
          </w:p>
        </w:tc>
      </w:tr>
      <w:tr w:rsidR="000156CA" w:rsidRPr="000156CA" w:rsidTr="000156CA">
        <w:trPr>
          <w:cantSplit/>
          <w:tblHeader/>
          <w:jc w:val="center"/>
        </w:trPr>
        <w:tc>
          <w:tcPr>
            <w:tcW w:w="480"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N</w:t>
            </w:r>
          </w:p>
        </w:tc>
        <w:tc>
          <w:tcPr>
            <w:tcW w:w="1086"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Minimum</w:t>
            </w:r>
          </w:p>
        </w:tc>
        <w:tc>
          <w:tcPr>
            <w:tcW w:w="112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Maximum</w:t>
            </w:r>
          </w:p>
        </w:tc>
        <w:tc>
          <w:tcPr>
            <w:tcW w:w="675"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Mean</w:t>
            </w:r>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 xml:space="preserve">25th </w:t>
            </w:r>
            <w:proofErr w:type="spellStart"/>
            <w:r w:rsidRPr="000156CA">
              <w:rPr>
                <w:rStyle w:val="Style1"/>
              </w:rPr>
              <w:t>Pctl</w:t>
            </w:r>
            <w:proofErr w:type="spellEnd"/>
          </w:p>
        </w:tc>
        <w:tc>
          <w:tcPr>
            <w:tcW w:w="978" w:type="dxa"/>
            <w:tcBorders>
              <w:top w:val="nil"/>
              <w:left w:val="single" w:sz="8" w:space="0" w:color="000000"/>
              <w:bottom w:val="single" w:sz="8" w:space="0" w:color="000000"/>
              <w:right w:val="nil"/>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 xml:space="preserve">50th </w:t>
            </w:r>
            <w:proofErr w:type="spellStart"/>
            <w:r w:rsidRPr="000156CA">
              <w:rPr>
                <w:rStyle w:val="Style1"/>
              </w:rPr>
              <w:t>Pctl</w:t>
            </w:r>
            <w:proofErr w:type="spellEnd"/>
          </w:p>
        </w:tc>
        <w:tc>
          <w:tcPr>
            <w:tcW w:w="993" w:type="dxa"/>
            <w:tcBorders>
              <w:top w:val="nil"/>
              <w:left w:val="single" w:sz="8" w:space="0" w:color="000000"/>
              <w:bottom w:val="single" w:sz="8" w:space="0" w:color="000000"/>
              <w:right w:val="single" w:sz="8" w:space="0" w:color="000000"/>
            </w:tcBorders>
            <w:shd w:val="clear" w:color="auto" w:fill="BBBBBB"/>
            <w:tcMar>
              <w:top w:w="0" w:type="dxa"/>
              <w:left w:w="60" w:type="dxa"/>
              <w:bottom w:w="0" w:type="dxa"/>
              <w:right w:w="60" w:type="dxa"/>
            </w:tcMar>
            <w:vAlign w:val="bottom"/>
            <w:hideMark/>
          </w:tcPr>
          <w:p w:rsidR="000156CA" w:rsidRPr="000156CA" w:rsidRDefault="000156CA">
            <w:pPr>
              <w:autoSpaceDE w:val="0"/>
              <w:autoSpaceDN w:val="0"/>
              <w:spacing w:before="60" w:after="60"/>
              <w:jc w:val="right"/>
              <w:rPr>
                <w:rStyle w:val="Style1"/>
              </w:rPr>
            </w:pPr>
            <w:r w:rsidRPr="000156CA">
              <w:rPr>
                <w:rStyle w:val="Style1"/>
              </w:rPr>
              <w:t xml:space="preserve">75th </w:t>
            </w:r>
            <w:proofErr w:type="spellStart"/>
            <w:r w:rsidRPr="000156CA">
              <w:rPr>
                <w:rStyle w:val="Style1"/>
              </w:rPr>
              <w:t>Pctl</w:t>
            </w:r>
            <w:proofErr w:type="spellEnd"/>
          </w:p>
        </w:tc>
      </w:tr>
      <w:tr w:rsidR="000156CA" w:rsidRPr="000156CA" w:rsidTr="000156CA">
        <w:trPr>
          <w:cantSplit/>
          <w:jc w:val="center"/>
        </w:trPr>
        <w:tc>
          <w:tcPr>
            <w:tcW w:w="480"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327</w:t>
            </w:r>
          </w:p>
        </w:tc>
        <w:tc>
          <w:tcPr>
            <w:tcW w:w="1086"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-15.93</w:t>
            </w:r>
          </w:p>
        </w:tc>
        <w:tc>
          <w:tcPr>
            <w:tcW w:w="112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20.73</w:t>
            </w:r>
          </w:p>
        </w:tc>
        <w:tc>
          <w:tcPr>
            <w:tcW w:w="675"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6.52</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3.56</w:t>
            </w:r>
          </w:p>
        </w:tc>
        <w:tc>
          <w:tcPr>
            <w:tcW w:w="978" w:type="dxa"/>
            <w:tcBorders>
              <w:top w:val="nil"/>
              <w:left w:val="single" w:sz="8" w:space="0" w:color="000000"/>
              <w:bottom w:val="single" w:sz="8" w:space="0" w:color="000000"/>
              <w:right w:val="nil"/>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6.55</w:t>
            </w:r>
          </w:p>
        </w:tc>
        <w:tc>
          <w:tcPr>
            <w:tcW w:w="993" w:type="dxa"/>
            <w:tcBorders>
              <w:top w:val="nil"/>
              <w:left w:val="single" w:sz="8" w:space="0" w:color="000000"/>
              <w:bottom w:val="single" w:sz="8" w:space="0" w:color="000000"/>
              <w:right w:val="single" w:sz="8" w:space="0" w:color="000000"/>
            </w:tcBorders>
            <w:shd w:val="clear" w:color="auto" w:fill="FFFFFF"/>
            <w:tcMar>
              <w:top w:w="0" w:type="dxa"/>
              <w:left w:w="60" w:type="dxa"/>
              <w:bottom w:w="0" w:type="dxa"/>
              <w:right w:w="60" w:type="dxa"/>
            </w:tcMar>
            <w:hideMark/>
          </w:tcPr>
          <w:p w:rsidR="000156CA" w:rsidRPr="000156CA" w:rsidRDefault="000156CA">
            <w:pPr>
              <w:autoSpaceDE w:val="0"/>
              <w:autoSpaceDN w:val="0"/>
              <w:spacing w:before="60" w:after="60"/>
              <w:jc w:val="right"/>
              <w:rPr>
                <w:rStyle w:val="Style1"/>
              </w:rPr>
            </w:pPr>
            <w:r w:rsidRPr="000156CA">
              <w:rPr>
                <w:rStyle w:val="Style1"/>
              </w:rPr>
              <w:t>9.39</w:t>
            </w:r>
          </w:p>
        </w:tc>
      </w:tr>
    </w:tbl>
    <w:p w:rsidR="000156CA" w:rsidRDefault="000156CA" w:rsidP="00F569B1">
      <w:pPr>
        <w:autoSpaceDE w:val="0"/>
        <w:autoSpaceDN w:val="0"/>
        <w:adjustRightInd w:val="0"/>
        <w:spacing w:after="0" w:line="240" w:lineRule="auto"/>
        <w:rPr>
          <w:rFonts w:cstheme="minorHAnsi"/>
          <w:bCs/>
        </w:rPr>
      </w:pPr>
    </w:p>
    <w:p w:rsidR="00D61410" w:rsidRDefault="00D61410" w:rsidP="00F569B1">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7B7602" w:rsidRPr="00E92B32" w:rsidRDefault="007B7602" w:rsidP="00F569B1">
      <w:pPr>
        <w:autoSpaceDE w:val="0"/>
        <w:autoSpaceDN w:val="0"/>
        <w:adjustRightInd w:val="0"/>
        <w:spacing w:after="0" w:line="240" w:lineRule="auto"/>
        <w:rPr>
          <w:rStyle w:val="Style1"/>
        </w:rPr>
      </w:pPr>
      <w:r w:rsidRPr="00E92B32">
        <w:rPr>
          <w:rStyle w:val="Style1"/>
        </w:rPr>
        <w:t xml:space="preserve">The results suggest the measure is sensitive to the effects of interventions intended to reduce </w:t>
      </w:r>
      <w:r w:rsidR="008E1504">
        <w:rPr>
          <w:rStyle w:val="Style1"/>
        </w:rPr>
        <w:t>hospitalization</w:t>
      </w:r>
      <w:r w:rsidRPr="00E92B32">
        <w:rPr>
          <w:rStyle w:val="Style1"/>
        </w:rPr>
        <w:t>s.</w:t>
      </w:r>
    </w:p>
    <w:p w:rsidR="0086464B" w:rsidRDefault="0086464B" w:rsidP="00F569B1">
      <w:pPr>
        <w:spacing w:after="0" w:line="240" w:lineRule="auto"/>
        <w:rPr>
          <w:rFonts w:cstheme="minorHAnsi"/>
          <w:b/>
          <w:bCs/>
        </w:rPr>
      </w:pPr>
      <w:r>
        <w:rPr>
          <w:rFonts w:cstheme="minorHAnsi"/>
          <w:b/>
          <w:bCs/>
        </w:rPr>
        <w:t>_______________________________________</w:t>
      </w:r>
    </w:p>
    <w:p w:rsidR="004B1BA0" w:rsidRDefault="00021170" w:rsidP="00F569B1">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F569B1">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F569B1">
      <w:pPr>
        <w:autoSpaceDE w:val="0"/>
        <w:autoSpaceDN w:val="0"/>
        <w:adjustRightInd w:val="0"/>
        <w:spacing w:after="0" w:line="240" w:lineRule="auto"/>
        <w:rPr>
          <w:rFonts w:cstheme="minorHAnsi"/>
          <w:b/>
          <w:bCs/>
        </w:rPr>
      </w:pPr>
    </w:p>
    <w:p w:rsidR="000F06B5" w:rsidRPr="00DD1CA6" w:rsidRDefault="002B2116" w:rsidP="00F569B1">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Default="00E1508F" w:rsidP="00F569B1">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DD1CA6">
        <w:rPr>
          <w:rFonts w:cstheme="minorHAnsi"/>
          <w:bCs/>
        </w:rPr>
        <w:t>)</w:t>
      </w:r>
      <w:r w:rsidR="000F06B5" w:rsidRPr="00A25024">
        <w:rPr>
          <w:rFonts w:cstheme="minorHAnsi"/>
          <w:bCs/>
        </w:rPr>
        <w:t xml:space="preserve"> </w:t>
      </w:r>
    </w:p>
    <w:p w:rsidR="000F06B5" w:rsidRPr="00DD1CA6" w:rsidRDefault="007B7602" w:rsidP="00F569B1">
      <w:pPr>
        <w:pStyle w:val="ListParagraph"/>
        <w:autoSpaceDE w:val="0"/>
        <w:autoSpaceDN w:val="0"/>
        <w:adjustRightInd w:val="0"/>
        <w:spacing w:after="0" w:line="240" w:lineRule="auto"/>
        <w:ind w:left="0"/>
        <w:rPr>
          <w:color w:val="0000FF"/>
        </w:rPr>
      </w:pPr>
      <w:r w:rsidRPr="00E92B32">
        <w:rPr>
          <w:rStyle w:val="Style1"/>
        </w:rPr>
        <w:lastRenderedPageBreak/>
        <w:t>N/A</w:t>
      </w:r>
    </w:p>
    <w:p w:rsidR="00A35F8F" w:rsidRDefault="00E1508F" w:rsidP="00F569B1">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rsidR="00E1508F" w:rsidRPr="00DD1CA6" w:rsidRDefault="007B7602" w:rsidP="00DD1CA6">
      <w:pPr>
        <w:pStyle w:val="ListParagraph"/>
        <w:autoSpaceDE w:val="0"/>
        <w:autoSpaceDN w:val="0"/>
        <w:adjustRightInd w:val="0"/>
        <w:spacing w:after="0" w:line="240" w:lineRule="auto"/>
        <w:ind w:left="0"/>
        <w:rPr>
          <w:color w:val="0000FF"/>
        </w:rPr>
      </w:pPr>
      <w:r w:rsidRPr="00E92B32">
        <w:rPr>
          <w:rStyle w:val="Style1"/>
        </w:rPr>
        <w:t>N/A</w:t>
      </w:r>
    </w:p>
    <w:p w:rsidR="007B7602" w:rsidRDefault="00E1508F" w:rsidP="00F569B1">
      <w:pPr>
        <w:pStyle w:val="ListParagraph"/>
        <w:autoSpaceDE w:val="0"/>
        <w:autoSpaceDN w:val="0"/>
        <w:adjustRightInd w:val="0"/>
        <w:spacing w:after="0" w:line="240" w:lineRule="auto"/>
        <w:ind w:left="0"/>
        <w:rPr>
          <w:rStyle w:val="Style1"/>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p>
    <w:p w:rsidR="007B7602" w:rsidRDefault="007B7602" w:rsidP="00F569B1">
      <w:pPr>
        <w:pStyle w:val="ListParagraph"/>
        <w:autoSpaceDE w:val="0"/>
        <w:autoSpaceDN w:val="0"/>
        <w:adjustRightInd w:val="0"/>
        <w:spacing w:after="0" w:line="240" w:lineRule="auto"/>
        <w:ind w:left="0"/>
        <w:rPr>
          <w:rStyle w:val="Style1"/>
        </w:rPr>
      </w:pPr>
      <w:r w:rsidRPr="00E92B32">
        <w:rPr>
          <w:rStyle w:val="Style1"/>
        </w:rPr>
        <w:t>N/A</w:t>
      </w:r>
    </w:p>
    <w:p w:rsidR="008F7E67" w:rsidRDefault="008F7E67" w:rsidP="00F569B1">
      <w:pPr>
        <w:spacing w:after="0" w:line="240" w:lineRule="auto"/>
        <w:rPr>
          <w:rFonts w:cstheme="minorHAnsi"/>
          <w:b/>
          <w:bCs/>
        </w:rPr>
      </w:pPr>
      <w:r>
        <w:rPr>
          <w:rFonts w:cstheme="minorHAnsi"/>
          <w:b/>
          <w:bCs/>
        </w:rPr>
        <w:t>______________________________________</w:t>
      </w:r>
    </w:p>
    <w:p w:rsidR="008F7E67" w:rsidRPr="00DD1CA6" w:rsidRDefault="008F7E67" w:rsidP="00F569B1">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Pr="00A25024" w:rsidRDefault="008F7E67" w:rsidP="00F569B1">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00DD1CA6">
        <w:rPr>
          <w:rFonts w:cstheme="minorHAnsi"/>
          <w:bCs/>
        </w:rPr>
        <w:t>)</w:t>
      </w:r>
    </w:p>
    <w:p w:rsidR="008F7E67" w:rsidRPr="000156CA" w:rsidRDefault="007B7602" w:rsidP="00F569B1">
      <w:pPr>
        <w:pStyle w:val="ListParagraph"/>
        <w:autoSpaceDE w:val="0"/>
        <w:autoSpaceDN w:val="0"/>
        <w:adjustRightInd w:val="0"/>
        <w:spacing w:after="0" w:line="240" w:lineRule="auto"/>
        <w:ind w:left="0"/>
        <w:rPr>
          <w:color w:val="0000FF"/>
        </w:rPr>
      </w:pPr>
      <w:r w:rsidRPr="00E92B32">
        <w:rPr>
          <w:rStyle w:val="Style1"/>
        </w:rPr>
        <w:t>N/A</w:t>
      </w:r>
    </w:p>
    <w:p w:rsidR="008F7E67" w:rsidRDefault="008F7E67" w:rsidP="00F569B1">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0156CA">
        <w:rPr>
          <w:rFonts w:cstheme="minorHAnsi"/>
          <w:bCs/>
        </w:rPr>
        <w:t>)</w:t>
      </w:r>
    </w:p>
    <w:p w:rsidR="008F7E67" w:rsidRPr="000156CA" w:rsidRDefault="007B7602" w:rsidP="000156CA">
      <w:pPr>
        <w:pStyle w:val="ListParagraph"/>
        <w:autoSpaceDE w:val="0"/>
        <w:autoSpaceDN w:val="0"/>
        <w:adjustRightInd w:val="0"/>
        <w:spacing w:after="0" w:line="240" w:lineRule="auto"/>
        <w:ind w:left="0"/>
        <w:rPr>
          <w:color w:val="0000FF"/>
        </w:rPr>
      </w:pPr>
      <w:r w:rsidRPr="00E92B32">
        <w:rPr>
          <w:rStyle w:val="Style1"/>
        </w:rPr>
        <w:t>N/A</w:t>
      </w:r>
    </w:p>
    <w:p w:rsidR="007B7602" w:rsidRPr="000156CA" w:rsidRDefault="008F7E67" w:rsidP="000156CA">
      <w:pPr>
        <w:autoSpaceDE w:val="0"/>
        <w:autoSpaceDN w:val="0"/>
        <w:adjustRightInd w:val="0"/>
        <w:spacing w:after="0" w:line="240" w:lineRule="auto"/>
        <w:rPr>
          <w:rStyle w:val="Style1"/>
          <w:rFonts w:cstheme="minorHAnsi"/>
          <w:bCs/>
          <w:color w:val="auto"/>
        </w:rPr>
      </w:pPr>
      <w:r>
        <w:rPr>
          <w:rFonts w:cstheme="minorHAnsi"/>
          <w:b/>
          <w:bCs/>
        </w:rPr>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7B7602" w:rsidRDefault="007B7602" w:rsidP="00F569B1">
      <w:pPr>
        <w:pStyle w:val="ListParagraph"/>
        <w:autoSpaceDE w:val="0"/>
        <w:autoSpaceDN w:val="0"/>
        <w:adjustRightInd w:val="0"/>
        <w:spacing w:after="0" w:line="240" w:lineRule="auto"/>
        <w:ind w:left="0"/>
        <w:rPr>
          <w:rStyle w:val="Style1"/>
        </w:rPr>
      </w:pPr>
      <w:r w:rsidRPr="00E92B32">
        <w:rPr>
          <w:rStyle w:val="Style1"/>
        </w:rPr>
        <w:t>N/A</w:t>
      </w:r>
    </w:p>
    <w:p w:rsidR="00BA053B" w:rsidRPr="005560E7" w:rsidRDefault="00BA053B" w:rsidP="00F569B1">
      <w:pPr>
        <w:autoSpaceDE w:val="0"/>
        <w:autoSpaceDN w:val="0"/>
        <w:adjustRightInd w:val="0"/>
        <w:spacing w:after="0" w:line="240" w:lineRule="auto"/>
        <w:rPr>
          <w:rFonts w:cstheme="minorHAnsi"/>
          <w:bCs/>
        </w:rPr>
      </w:pPr>
    </w:p>
    <w:sectPr w:rsidR="00BA053B"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E53" w:rsidRDefault="00682E53" w:rsidP="005C73CA">
      <w:pPr>
        <w:spacing w:after="0" w:line="240" w:lineRule="auto"/>
      </w:pPr>
      <w:r>
        <w:separator/>
      </w:r>
    </w:p>
  </w:endnote>
  <w:endnote w:type="continuationSeparator" w:id="0">
    <w:p w:rsidR="00682E53" w:rsidRDefault="00682E5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E53" w:rsidRDefault="00682E53">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49012F">
      <w:rPr>
        <w:noProof/>
      </w:rPr>
      <w:t>22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E53" w:rsidRDefault="00682E53" w:rsidP="005C73CA">
      <w:pPr>
        <w:spacing w:after="0" w:line="240" w:lineRule="auto"/>
      </w:pPr>
      <w:r>
        <w:separator/>
      </w:r>
    </w:p>
  </w:footnote>
  <w:footnote w:type="continuationSeparator" w:id="0">
    <w:p w:rsidR="00682E53" w:rsidRDefault="00682E5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E53" w:rsidRPr="00105D8B" w:rsidRDefault="00682E53"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D12975"/>
    <w:multiLevelType w:val="hybridMultilevel"/>
    <w:tmpl w:val="46300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C515DE6"/>
    <w:multiLevelType w:val="hybridMultilevel"/>
    <w:tmpl w:val="35A2E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5"/>
  </w:num>
  <w:num w:numId="11">
    <w:abstractNumId w:val="10"/>
  </w:num>
  <w:num w:numId="12">
    <w:abstractNumId w:val="22"/>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4"/>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6"/>
  </w:num>
  <w:num w:numId="27">
    <w:abstractNumId w:val="2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25D4"/>
    <w:rsid w:val="00003469"/>
    <w:rsid w:val="00003FD8"/>
    <w:rsid w:val="0000442C"/>
    <w:rsid w:val="0001094F"/>
    <w:rsid w:val="000156CA"/>
    <w:rsid w:val="00020762"/>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49FE"/>
    <w:rsid w:val="000775F8"/>
    <w:rsid w:val="00080CF7"/>
    <w:rsid w:val="000851B2"/>
    <w:rsid w:val="00092566"/>
    <w:rsid w:val="000968F8"/>
    <w:rsid w:val="00097012"/>
    <w:rsid w:val="000B032A"/>
    <w:rsid w:val="000B2DF7"/>
    <w:rsid w:val="000B3880"/>
    <w:rsid w:val="000B6CD3"/>
    <w:rsid w:val="000D7948"/>
    <w:rsid w:val="000D7C84"/>
    <w:rsid w:val="000E4E13"/>
    <w:rsid w:val="000E78F6"/>
    <w:rsid w:val="000F034A"/>
    <w:rsid w:val="000F06B5"/>
    <w:rsid w:val="000F39E9"/>
    <w:rsid w:val="00104B45"/>
    <w:rsid w:val="00105D8B"/>
    <w:rsid w:val="0011342F"/>
    <w:rsid w:val="0011479A"/>
    <w:rsid w:val="001202E9"/>
    <w:rsid w:val="00122510"/>
    <w:rsid w:val="0012454F"/>
    <w:rsid w:val="00125273"/>
    <w:rsid w:val="0012575E"/>
    <w:rsid w:val="00127C06"/>
    <w:rsid w:val="001345ED"/>
    <w:rsid w:val="00145149"/>
    <w:rsid w:val="00145D4F"/>
    <w:rsid w:val="0014773C"/>
    <w:rsid w:val="0017696D"/>
    <w:rsid w:val="001848FC"/>
    <w:rsid w:val="001969C5"/>
    <w:rsid w:val="001A08D3"/>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61874"/>
    <w:rsid w:val="00276867"/>
    <w:rsid w:val="0028114D"/>
    <w:rsid w:val="00287649"/>
    <w:rsid w:val="00287E84"/>
    <w:rsid w:val="0029286C"/>
    <w:rsid w:val="0029300E"/>
    <w:rsid w:val="002B0C3A"/>
    <w:rsid w:val="002B2116"/>
    <w:rsid w:val="002B2D9B"/>
    <w:rsid w:val="002B5016"/>
    <w:rsid w:val="002B742C"/>
    <w:rsid w:val="002B7F4D"/>
    <w:rsid w:val="002C09C1"/>
    <w:rsid w:val="002C285C"/>
    <w:rsid w:val="002C7BE4"/>
    <w:rsid w:val="002D417D"/>
    <w:rsid w:val="002D5E5D"/>
    <w:rsid w:val="002E78A0"/>
    <w:rsid w:val="002F2687"/>
    <w:rsid w:val="002F48E1"/>
    <w:rsid w:val="002F4F3B"/>
    <w:rsid w:val="003059EB"/>
    <w:rsid w:val="003116AC"/>
    <w:rsid w:val="00315567"/>
    <w:rsid w:val="00330144"/>
    <w:rsid w:val="00343ECB"/>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3E3E8B"/>
    <w:rsid w:val="0041606D"/>
    <w:rsid w:val="00416962"/>
    <w:rsid w:val="004348CC"/>
    <w:rsid w:val="004658FF"/>
    <w:rsid w:val="00474ED7"/>
    <w:rsid w:val="004756E1"/>
    <w:rsid w:val="0047687F"/>
    <w:rsid w:val="0048008A"/>
    <w:rsid w:val="00483E94"/>
    <w:rsid w:val="00484120"/>
    <w:rsid w:val="004853A0"/>
    <w:rsid w:val="0049012F"/>
    <w:rsid w:val="00496B5F"/>
    <w:rsid w:val="004A2E10"/>
    <w:rsid w:val="004B17FF"/>
    <w:rsid w:val="004B1BA0"/>
    <w:rsid w:val="004B6CEE"/>
    <w:rsid w:val="004C2443"/>
    <w:rsid w:val="004C498F"/>
    <w:rsid w:val="004C5D29"/>
    <w:rsid w:val="004C681A"/>
    <w:rsid w:val="004D4D8A"/>
    <w:rsid w:val="004F2FBE"/>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5EED"/>
    <w:rsid w:val="00576062"/>
    <w:rsid w:val="00595576"/>
    <w:rsid w:val="0059559F"/>
    <w:rsid w:val="005976AE"/>
    <w:rsid w:val="005A49FF"/>
    <w:rsid w:val="005A7634"/>
    <w:rsid w:val="005C0447"/>
    <w:rsid w:val="005C2203"/>
    <w:rsid w:val="005C739F"/>
    <w:rsid w:val="005C73CA"/>
    <w:rsid w:val="005D4768"/>
    <w:rsid w:val="005D6EE0"/>
    <w:rsid w:val="005E2CAB"/>
    <w:rsid w:val="005E429E"/>
    <w:rsid w:val="00601ED4"/>
    <w:rsid w:val="006030BC"/>
    <w:rsid w:val="00610902"/>
    <w:rsid w:val="00612866"/>
    <w:rsid w:val="00612FE3"/>
    <w:rsid w:val="00616EB5"/>
    <w:rsid w:val="006269D4"/>
    <w:rsid w:val="006327D8"/>
    <w:rsid w:val="00634091"/>
    <w:rsid w:val="00637D2E"/>
    <w:rsid w:val="0064070A"/>
    <w:rsid w:val="006436F8"/>
    <w:rsid w:val="00643A01"/>
    <w:rsid w:val="006574D2"/>
    <w:rsid w:val="006676D4"/>
    <w:rsid w:val="00675535"/>
    <w:rsid w:val="00681359"/>
    <w:rsid w:val="00682E53"/>
    <w:rsid w:val="00692ED4"/>
    <w:rsid w:val="00696262"/>
    <w:rsid w:val="006C3A4F"/>
    <w:rsid w:val="006C4845"/>
    <w:rsid w:val="006D6BC1"/>
    <w:rsid w:val="006E2BFC"/>
    <w:rsid w:val="006E5C57"/>
    <w:rsid w:val="006F22A5"/>
    <w:rsid w:val="006F466B"/>
    <w:rsid w:val="00702C73"/>
    <w:rsid w:val="00713394"/>
    <w:rsid w:val="00724677"/>
    <w:rsid w:val="00725AC2"/>
    <w:rsid w:val="00732880"/>
    <w:rsid w:val="007416B9"/>
    <w:rsid w:val="007422FD"/>
    <w:rsid w:val="00743E46"/>
    <w:rsid w:val="00747C45"/>
    <w:rsid w:val="00756FDB"/>
    <w:rsid w:val="007629B6"/>
    <w:rsid w:val="00766576"/>
    <w:rsid w:val="007665BF"/>
    <w:rsid w:val="00771B2A"/>
    <w:rsid w:val="007757CE"/>
    <w:rsid w:val="00775800"/>
    <w:rsid w:val="00776F00"/>
    <w:rsid w:val="0079180E"/>
    <w:rsid w:val="007950CC"/>
    <w:rsid w:val="0079538B"/>
    <w:rsid w:val="007961B8"/>
    <w:rsid w:val="00797624"/>
    <w:rsid w:val="007A4828"/>
    <w:rsid w:val="007B093D"/>
    <w:rsid w:val="007B2069"/>
    <w:rsid w:val="007B7602"/>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75C27"/>
    <w:rsid w:val="00884486"/>
    <w:rsid w:val="008871A9"/>
    <w:rsid w:val="008916BA"/>
    <w:rsid w:val="00892176"/>
    <w:rsid w:val="008A1DB7"/>
    <w:rsid w:val="008A403A"/>
    <w:rsid w:val="008A4C13"/>
    <w:rsid w:val="008B604D"/>
    <w:rsid w:val="008C54A9"/>
    <w:rsid w:val="008E1504"/>
    <w:rsid w:val="008E67C3"/>
    <w:rsid w:val="008F2EEF"/>
    <w:rsid w:val="008F589F"/>
    <w:rsid w:val="008F76A9"/>
    <w:rsid w:val="008F7E67"/>
    <w:rsid w:val="00900DBF"/>
    <w:rsid w:val="009048B9"/>
    <w:rsid w:val="00904E91"/>
    <w:rsid w:val="00915886"/>
    <w:rsid w:val="009214DC"/>
    <w:rsid w:val="00927027"/>
    <w:rsid w:val="00932751"/>
    <w:rsid w:val="009344BA"/>
    <w:rsid w:val="00947F78"/>
    <w:rsid w:val="00953234"/>
    <w:rsid w:val="0095747D"/>
    <w:rsid w:val="00961EAF"/>
    <w:rsid w:val="0096278F"/>
    <w:rsid w:val="009726E1"/>
    <w:rsid w:val="00977591"/>
    <w:rsid w:val="00980E75"/>
    <w:rsid w:val="00991EEB"/>
    <w:rsid w:val="009927AB"/>
    <w:rsid w:val="00994BE0"/>
    <w:rsid w:val="009A25B1"/>
    <w:rsid w:val="009A4608"/>
    <w:rsid w:val="009A6A57"/>
    <w:rsid w:val="009A70BF"/>
    <w:rsid w:val="009B1A15"/>
    <w:rsid w:val="009C0852"/>
    <w:rsid w:val="009C13CA"/>
    <w:rsid w:val="009C31BB"/>
    <w:rsid w:val="009C32C6"/>
    <w:rsid w:val="009C665F"/>
    <w:rsid w:val="009C6C51"/>
    <w:rsid w:val="009D7E38"/>
    <w:rsid w:val="009E095B"/>
    <w:rsid w:val="009E1846"/>
    <w:rsid w:val="009E78FF"/>
    <w:rsid w:val="00A01494"/>
    <w:rsid w:val="00A22FA9"/>
    <w:rsid w:val="00A25024"/>
    <w:rsid w:val="00A35F8F"/>
    <w:rsid w:val="00A41377"/>
    <w:rsid w:val="00A4263D"/>
    <w:rsid w:val="00A509B8"/>
    <w:rsid w:val="00A52AB9"/>
    <w:rsid w:val="00A6210B"/>
    <w:rsid w:val="00A72A76"/>
    <w:rsid w:val="00A7323A"/>
    <w:rsid w:val="00A831B4"/>
    <w:rsid w:val="00A96EFF"/>
    <w:rsid w:val="00A97798"/>
    <w:rsid w:val="00AA5213"/>
    <w:rsid w:val="00AA65A6"/>
    <w:rsid w:val="00AC1D8E"/>
    <w:rsid w:val="00AC48FA"/>
    <w:rsid w:val="00AD0240"/>
    <w:rsid w:val="00AD4137"/>
    <w:rsid w:val="00AE2F7E"/>
    <w:rsid w:val="00B037BA"/>
    <w:rsid w:val="00B20139"/>
    <w:rsid w:val="00B218DA"/>
    <w:rsid w:val="00B342FA"/>
    <w:rsid w:val="00B53E8B"/>
    <w:rsid w:val="00B562B1"/>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5079"/>
    <w:rsid w:val="00C867F0"/>
    <w:rsid w:val="00C937A8"/>
    <w:rsid w:val="00CA06D8"/>
    <w:rsid w:val="00CA345A"/>
    <w:rsid w:val="00CB49FF"/>
    <w:rsid w:val="00CC02CF"/>
    <w:rsid w:val="00CC086A"/>
    <w:rsid w:val="00CD0F66"/>
    <w:rsid w:val="00CD364B"/>
    <w:rsid w:val="00CD4B10"/>
    <w:rsid w:val="00CE1FD9"/>
    <w:rsid w:val="00CE23B8"/>
    <w:rsid w:val="00CE50D7"/>
    <w:rsid w:val="00D00344"/>
    <w:rsid w:val="00D04225"/>
    <w:rsid w:val="00D1754D"/>
    <w:rsid w:val="00D2223F"/>
    <w:rsid w:val="00D274A4"/>
    <w:rsid w:val="00D277AF"/>
    <w:rsid w:val="00D31163"/>
    <w:rsid w:val="00D31564"/>
    <w:rsid w:val="00D320B1"/>
    <w:rsid w:val="00D33AFD"/>
    <w:rsid w:val="00D36489"/>
    <w:rsid w:val="00D42195"/>
    <w:rsid w:val="00D50704"/>
    <w:rsid w:val="00D5760A"/>
    <w:rsid w:val="00D61410"/>
    <w:rsid w:val="00D8181D"/>
    <w:rsid w:val="00D855E9"/>
    <w:rsid w:val="00D968D8"/>
    <w:rsid w:val="00DA563D"/>
    <w:rsid w:val="00DA7277"/>
    <w:rsid w:val="00DB3627"/>
    <w:rsid w:val="00DB4724"/>
    <w:rsid w:val="00DC4746"/>
    <w:rsid w:val="00DD1CA6"/>
    <w:rsid w:val="00DE1B83"/>
    <w:rsid w:val="00DE7149"/>
    <w:rsid w:val="00E000F5"/>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0755A"/>
    <w:rsid w:val="00F435AA"/>
    <w:rsid w:val="00F569B1"/>
    <w:rsid w:val="00F5738A"/>
    <w:rsid w:val="00F612D4"/>
    <w:rsid w:val="00F70AF9"/>
    <w:rsid w:val="00F77F1D"/>
    <w:rsid w:val="00F87CCB"/>
    <w:rsid w:val="00FA48C7"/>
    <w:rsid w:val="00FB73C1"/>
    <w:rsid w:val="00FC38E8"/>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612FE3"/>
    <w:pPr>
      <w:spacing w:after="0" w:line="240" w:lineRule="auto"/>
    </w:pPr>
    <w:rPr>
      <w:rFonts w:ascii="Times New Roman" w:eastAsiaTheme="minorHAns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rmalWeb">
    <w:name w:val="Normal (Web)"/>
    <w:basedOn w:val="Normal"/>
    <w:uiPriority w:val="99"/>
    <w:unhideWhenUsed/>
    <w:rsid w:val="00612FE3"/>
    <w:pPr>
      <w:spacing w:after="0"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018891573">
      <w:bodyDiv w:val="1"/>
      <w:marLeft w:val="0"/>
      <w:marRight w:val="0"/>
      <w:marTop w:val="0"/>
      <w:marBottom w:val="0"/>
      <w:divBdr>
        <w:top w:val="none" w:sz="0" w:space="0" w:color="auto"/>
        <w:left w:val="none" w:sz="0" w:space="0" w:color="auto"/>
        <w:bottom w:val="none" w:sz="0" w:space="0" w:color="auto"/>
        <w:right w:val="none" w:sz="0" w:space="0" w:color="auto"/>
      </w:divBdr>
    </w:div>
    <w:div w:id="1144539992">
      <w:bodyDiv w:val="1"/>
      <w:marLeft w:val="0"/>
      <w:marRight w:val="0"/>
      <w:marTop w:val="0"/>
      <w:marBottom w:val="0"/>
      <w:divBdr>
        <w:top w:val="none" w:sz="0" w:space="0" w:color="auto"/>
        <w:left w:val="none" w:sz="0" w:space="0" w:color="auto"/>
        <w:bottom w:val="none" w:sz="0" w:space="0" w:color="auto"/>
        <w:right w:val="none" w:sz="0" w:space="0" w:color="auto"/>
      </w:divBdr>
    </w:div>
    <w:div w:id="1268270113">
      <w:bodyDiv w:val="1"/>
      <w:marLeft w:val="0"/>
      <w:marRight w:val="0"/>
      <w:marTop w:val="0"/>
      <w:marBottom w:val="0"/>
      <w:divBdr>
        <w:top w:val="none" w:sz="0" w:space="0" w:color="auto"/>
        <w:left w:val="none" w:sz="0" w:space="0" w:color="auto"/>
        <w:bottom w:val="none" w:sz="0" w:space="0" w:color="auto"/>
        <w:right w:val="none" w:sz="0" w:space="0" w:color="auto"/>
      </w:divBdr>
    </w:div>
    <w:div w:id="130608504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87291562">
      <w:bodyDiv w:val="1"/>
      <w:marLeft w:val="0"/>
      <w:marRight w:val="0"/>
      <w:marTop w:val="0"/>
      <w:marBottom w:val="0"/>
      <w:divBdr>
        <w:top w:val="none" w:sz="0" w:space="0" w:color="auto"/>
        <w:left w:val="none" w:sz="0" w:space="0" w:color="auto"/>
        <w:bottom w:val="none" w:sz="0" w:space="0" w:color="auto"/>
        <w:right w:val="none" w:sz="0" w:space="0" w:color="auto"/>
      </w:divBdr>
    </w:div>
    <w:div w:id="208478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22DCA"/>
    <w:rsid w:val="00127222"/>
    <w:rsid w:val="00190AF4"/>
    <w:rsid w:val="002133A9"/>
    <w:rsid w:val="00223FA3"/>
    <w:rsid w:val="002A288F"/>
    <w:rsid w:val="002F052A"/>
    <w:rsid w:val="00350176"/>
    <w:rsid w:val="003840F0"/>
    <w:rsid w:val="00437537"/>
    <w:rsid w:val="0053654E"/>
    <w:rsid w:val="00632A7E"/>
    <w:rsid w:val="00632AB6"/>
    <w:rsid w:val="00730B33"/>
    <w:rsid w:val="00772B2A"/>
    <w:rsid w:val="007C672A"/>
    <w:rsid w:val="007D4368"/>
    <w:rsid w:val="007F1781"/>
    <w:rsid w:val="00822666"/>
    <w:rsid w:val="00823ECC"/>
    <w:rsid w:val="00861FF8"/>
    <w:rsid w:val="00866C97"/>
    <w:rsid w:val="009017AE"/>
    <w:rsid w:val="0097069F"/>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F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5767</Words>
  <Characters>32876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Freeman, Shenita</cp:lastModifiedBy>
  <cp:revision>3</cp:revision>
  <cp:lastPrinted>2014-02-05T20:53:00Z</cp:lastPrinted>
  <dcterms:created xsi:type="dcterms:W3CDTF">2014-02-06T15:55:00Z</dcterms:created>
  <dcterms:modified xsi:type="dcterms:W3CDTF">2014-02-06T15:56:00Z</dcterms:modified>
</cp:coreProperties>
</file>