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4.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Pr="00467521" w:rsidRDefault="00467521" w:rsidP="00E73808">
      <w:pPr>
        <w:pStyle w:val="Heading1"/>
        <w:jc w:val="center"/>
      </w:pPr>
      <w:bookmarkStart w:id="0" w:name="_Toc379443645"/>
      <w:r w:rsidRPr="00467521">
        <w:t>Appendix</w:t>
      </w:r>
      <w:bookmarkEnd w:id="0"/>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FB4001" w:rsidRDefault="00FB4001">
      <w:pPr>
        <w:rPr>
          <w:strike/>
        </w:rPr>
      </w:pPr>
    </w:p>
    <w:p w:rsidR="00FB4001" w:rsidRDefault="00FB4001">
      <w:pPr>
        <w:rPr>
          <w:strike/>
        </w:rPr>
      </w:pPr>
    </w:p>
    <w:p w:rsidR="00FB4001" w:rsidRDefault="00FB4001">
      <w:pPr>
        <w:rPr>
          <w:strike/>
        </w:rPr>
      </w:pPr>
    </w:p>
    <w:p w:rsidR="00FB4001" w:rsidRDefault="00FB4001">
      <w:pPr>
        <w:rPr>
          <w:strike/>
        </w:rPr>
      </w:pPr>
    </w:p>
    <w:p w:rsidR="00FB4001" w:rsidRDefault="00FB4001">
      <w:pPr>
        <w:rPr>
          <w:strike/>
        </w:rPr>
      </w:pPr>
    </w:p>
    <w:p w:rsidR="00FB4001" w:rsidRDefault="00FB4001">
      <w:pPr>
        <w:rPr>
          <w:strike/>
        </w:rPr>
      </w:pPr>
    </w:p>
    <w:p w:rsidR="00FB4001" w:rsidRDefault="00FB4001">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sdt>
      <w:sdtPr>
        <w:rPr>
          <w:rFonts w:ascii="Times New Roman" w:eastAsia="Arial Unicode MS" w:hAnsi="Times New Roman" w:cs="Mangal"/>
          <w:b w:val="0"/>
          <w:bCs w:val="0"/>
          <w:color w:val="auto"/>
          <w:kern w:val="1"/>
          <w:sz w:val="24"/>
          <w:szCs w:val="24"/>
          <w:lang w:eastAsia="hi-IN" w:bidi="hi-IN"/>
        </w:rPr>
        <w:id w:val="701599630"/>
        <w:docPartObj>
          <w:docPartGallery w:val="Table of Contents"/>
          <w:docPartUnique/>
        </w:docPartObj>
      </w:sdtPr>
      <w:sdtEndPr>
        <w:rPr>
          <w:noProof/>
        </w:rPr>
      </w:sdtEndPr>
      <w:sdtContent>
        <w:p w:rsidR="00A3714A" w:rsidRDefault="00A3714A">
          <w:pPr>
            <w:pStyle w:val="TOCHeading"/>
          </w:pPr>
          <w:r>
            <w:t>Contents</w:t>
          </w:r>
        </w:p>
        <w:p w:rsidR="00E73808" w:rsidRDefault="00C820DD">
          <w:pPr>
            <w:pStyle w:val="TOC1"/>
            <w:tabs>
              <w:tab w:val="right" w:leader="dot" w:pos="9350"/>
            </w:tabs>
            <w:rPr>
              <w:rFonts w:asciiTheme="minorHAnsi" w:eastAsiaTheme="minorEastAsia" w:hAnsiTheme="minorHAnsi" w:cstheme="minorBidi"/>
              <w:noProof/>
              <w:kern w:val="0"/>
              <w:sz w:val="22"/>
              <w:szCs w:val="22"/>
              <w:lang w:eastAsia="en-US" w:bidi="ar-SA"/>
            </w:rPr>
          </w:pPr>
          <w:r w:rsidRPr="00C820DD">
            <w:fldChar w:fldCharType="begin"/>
          </w:r>
          <w:r w:rsidR="00A3714A">
            <w:instrText xml:space="preserve"> TOC \o "1-3" \h \z \u </w:instrText>
          </w:r>
          <w:r w:rsidRPr="00C820DD">
            <w:fldChar w:fldCharType="separate"/>
          </w:r>
          <w:hyperlink w:anchor="_Toc379443646" w:history="1">
            <w:r w:rsidR="00E73808" w:rsidRPr="00B01A4A">
              <w:rPr>
                <w:rStyle w:val="Hyperlink"/>
                <w:noProof/>
              </w:rPr>
              <w:t>1b.2 Performance Scores Tables (Hospitalizations and Rehospitalizations)</w:t>
            </w:r>
            <w:r w:rsidR="00E73808">
              <w:rPr>
                <w:noProof/>
                <w:webHidden/>
              </w:rPr>
              <w:tab/>
            </w:r>
            <w:r w:rsidR="00E73808">
              <w:rPr>
                <w:noProof/>
                <w:webHidden/>
              </w:rPr>
              <w:fldChar w:fldCharType="begin"/>
            </w:r>
            <w:r w:rsidR="00E73808">
              <w:rPr>
                <w:noProof/>
                <w:webHidden/>
              </w:rPr>
              <w:instrText xml:space="preserve"> PAGEREF _Toc379443646 \h </w:instrText>
            </w:r>
            <w:r w:rsidR="00E73808">
              <w:rPr>
                <w:noProof/>
                <w:webHidden/>
              </w:rPr>
            </w:r>
            <w:r w:rsidR="00E73808">
              <w:rPr>
                <w:noProof/>
                <w:webHidden/>
              </w:rPr>
              <w:fldChar w:fldCharType="separate"/>
            </w:r>
            <w:r w:rsidR="00AA581C">
              <w:rPr>
                <w:noProof/>
                <w:webHidden/>
              </w:rPr>
              <w:t>3</w:t>
            </w:r>
            <w:r w:rsidR="00E73808">
              <w:rPr>
                <w:noProof/>
                <w:webHidden/>
              </w:rPr>
              <w:fldChar w:fldCharType="end"/>
            </w:r>
          </w:hyperlink>
        </w:p>
        <w:p w:rsidR="00E73808" w:rsidRDefault="00E73808">
          <w:pPr>
            <w:pStyle w:val="TOC1"/>
            <w:tabs>
              <w:tab w:val="right" w:leader="dot" w:pos="9350"/>
            </w:tabs>
            <w:rPr>
              <w:rFonts w:asciiTheme="minorHAnsi" w:eastAsiaTheme="minorEastAsia" w:hAnsiTheme="minorHAnsi" w:cstheme="minorBidi"/>
              <w:noProof/>
              <w:kern w:val="0"/>
              <w:sz w:val="22"/>
              <w:szCs w:val="22"/>
              <w:lang w:eastAsia="en-US" w:bidi="ar-SA"/>
            </w:rPr>
          </w:pPr>
          <w:hyperlink w:anchor="_Toc379443647" w:history="1">
            <w:r w:rsidRPr="00B01A4A">
              <w:rPr>
                <w:rStyle w:val="Hyperlink"/>
                <w:noProof/>
              </w:rPr>
              <w:t>S.14 &amp; S.15a Additional Seasonal Adjustment Information</w:t>
            </w:r>
            <w:r>
              <w:rPr>
                <w:noProof/>
                <w:webHidden/>
              </w:rPr>
              <w:tab/>
            </w:r>
            <w:r>
              <w:rPr>
                <w:noProof/>
                <w:webHidden/>
              </w:rPr>
              <w:fldChar w:fldCharType="begin"/>
            </w:r>
            <w:r>
              <w:rPr>
                <w:noProof/>
                <w:webHidden/>
              </w:rPr>
              <w:instrText xml:space="preserve"> PAGEREF _Toc379443647 \h </w:instrText>
            </w:r>
            <w:r>
              <w:rPr>
                <w:noProof/>
                <w:webHidden/>
              </w:rPr>
            </w:r>
            <w:r>
              <w:rPr>
                <w:noProof/>
                <w:webHidden/>
              </w:rPr>
              <w:fldChar w:fldCharType="separate"/>
            </w:r>
            <w:r w:rsidR="00AA581C">
              <w:rPr>
                <w:noProof/>
                <w:webHidden/>
              </w:rPr>
              <w:t>10</w:t>
            </w:r>
            <w:r>
              <w:rPr>
                <w:noProof/>
                <w:webHidden/>
              </w:rPr>
              <w:fldChar w:fldCharType="end"/>
            </w:r>
          </w:hyperlink>
        </w:p>
        <w:p w:rsidR="00E73808" w:rsidRDefault="00E73808">
          <w:pPr>
            <w:pStyle w:val="TOC2"/>
            <w:tabs>
              <w:tab w:val="right" w:leader="dot" w:pos="9350"/>
            </w:tabs>
            <w:rPr>
              <w:rFonts w:asciiTheme="minorHAnsi" w:eastAsiaTheme="minorEastAsia" w:hAnsiTheme="minorHAnsi" w:cstheme="minorBidi"/>
              <w:noProof/>
              <w:kern w:val="0"/>
              <w:sz w:val="22"/>
              <w:szCs w:val="22"/>
              <w:lang w:eastAsia="en-US" w:bidi="ar-SA"/>
            </w:rPr>
          </w:pPr>
          <w:hyperlink w:anchor="_Toc379443648" w:history="1">
            <w:r w:rsidRPr="00B01A4A">
              <w:rPr>
                <w:rStyle w:val="Hyperlink"/>
                <w:noProof/>
              </w:rPr>
              <w:t>Hospitalization&amp; Rehospitalization Seasonality</w:t>
            </w:r>
            <w:r>
              <w:rPr>
                <w:noProof/>
                <w:webHidden/>
              </w:rPr>
              <w:tab/>
            </w:r>
            <w:r>
              <w:rPr>
                <w:noProof/>
                <w:webHidden/>
              </w:rPr>
              <w:fldChar w:fldCharType="begin"/>
            </w:r>
            <w:r>
              <w:rPr>
                <w:noProof/>
                <w:webHidden/>
              </w:rPr>
              <w:instrText xml:space="preserve"> PAGEREF _Toc379443648 \h </w:instrText>
            </w:r>
            <w:r>
              <w:rPr>
                <w:noProof/>
                <w:webHidden/>
              </w:rPr>
            </w:r>
            <w:r>
              <w:rPr>
                <w:noProof/>
                <w:webHidden/>
              </w:rPr>
              <w:fldChar w:fldCharType="separate"/>
            </w:r>
            <w:r w:rsidR="00AA581C">
              <w:rPr>
                <w:noProof/>
                <w:webHidden/>
              </w:rPr>
              <w:t>11</w:t>
            </w:r>
            <w:r>
              <w:rPr>
                <w:noProof/>
                <w:webHidden/>
              </w:rPr>
              <w:fldChar w:fldCharType="end"/>
            </w:r>
          </w:hyperlink>
        </w:p>
        <w:p w:rsidR="00E73808" w:rsidRDefault="00E73808">
          <w:pPr>
            <w:pStyle w:val="TOC1"/>
            <w:tabs>
              <w:tab w:val="right" w:leader="dot" w:pos="9350"/>
            </w:tabs>
            <w:rPr>
              <w:rFonts w:asciiTheme="minorHAnsi" w:eastAsiaTheme="minorEastAsia" w:hAnsiTheme="minorHAnsi" w:cstheme="minorBidi"/>
              <w:noProof/>
              <w:kern w:val="0"/>
              <w:sz w:val="22"/>
              <w:szCs w:val="22"/>
              <w:lang w:eastAsia="en-US" w:bidi="ar-SA"/>
            </w:rPr>
          </w:pPr>
          <w:hyperlink w:anchor="_Toc379443649" w:history="1">
            <w:r w:rsidRPr="00B01A4A">
              <w:rPr>
                <w:rStyle w:val="Hyperlink"/>
                <w:noProof/>
              </w:rPr>
              <w:t>1.6. Community Characteristics (Hospitalizations and Rehospitalizations)</w:t>
            </w:r>
            <w:r>
              <w:rPr>
                <w:noProof/>
                <w:webHidden/>
              </w:rPr>
              <w:tab/>
            </w:r>
            <w:r>
              <w:rPr>
                <w:noProof/>
                <w:webHidden/>
              </w:rPr>
              <w:fldChar w:fldCharType="begin"/>
            </w:r>
            <w:r>
              <w:rPr>
                <w:noProof/>
                <w:webHidden/>
              </w:rPr>
              <w:instrText xml:space="preserve"> PAGEREF _Toc379443649 \h </w:instrText>
            </w:r>
            <w:r>
              <w:rPr>
                <w:noProof/>
                <w:webHidden/>
              </w:rPr>
            </w:r>
            <w:r>
              <w:rPr>
                <w:noProof/>
                <w:webHidden/>
              </w:rPr>
              <w:fldChar w:fldCharType="separate"/>
            </w:r>
            <w:r w:rsidR="00AA581C">
              <w:rPr>
                <w:noProof/>
                <w:webHidden/>
              </w:rPr>
              <w:t>12</w:t>
            </w:r>
            <w:r>
              <w:rPr>
                <w:noProof/>
                <w:webHidden/>
              </w:rPr>
              <w:fldChar w:fldCharType="end"/>
            </w:r>
          </w:hyperlink>
        </w:p>
        <w:p w:rsidR="00E73808" w:rsidRDefault="00E73808">
          <w:pPr>
            <w:pStyle w:val="TOC1"/>
            <w:tabs>
              <w:tab w:val="right" w:leader="dot" w:pos="9350"/>
            </w:tabs>
            <w:rPr>
              <w:rFonts w:asciiTheme="minorHAnsi" w:eastAsiaTheme="minorEastAsia" w:hAnsiTheme="minorHAnsi" w:cstheme="minorBidi"/>
              <w:noProof/>
              <w:kern w:val="0"/>
              <w:sz w:val="22"/>
              <w:szCs w:val="22"/>
              <w:lang w:eastAsia="en-US" w:bidi="ar-SA"/>
            </w:rPr>
          </w:pPr>
          <w:hyperlink w:anchor="_Toc379443650" w:history="1">
            <w:r w:rsidRPr="00B01A4A">
              <w:rPr>
                <w:rStyle w:val="Hyperlink"/>
                <w:noProof/>
              </w:rPr>
              <w:t>Ad.1 - Workgroup/Expert Panel Details</w:t>
            </w:r>
            <w:r>
              <w:rPr>
                <w:noProof/>
                <w:webHidden/>
              </w:rPr>
              <w:tab/>
            </w:r>
            <w:r>
              <w:rPr>
                <w:noProof/>
                <w:webHidden/>
              </w:rPr>
              <w:fldChar w:fldCharType="begin"/>
            </w:r>
            <w:r>
              <w:rPr>
                <w:noProof/>
                <w:webHidden/>
              </w:rPr>
              <w:instrText xml:space="preserve"> PAGEREF _Toc379443650 \h </w:instrText>
            </w:r>
            <w:r>
              <w:rPr>
                <w:noProof/>
                <w:webHidden/>
              </w:rPr>
            </w:r>
            <w:r>
              <w:rPr>
                <w:noProof/>
                <w:webHidden/>
              </w:rPr>
              <w:fldChar w:fldCharType="separate"/>
            </w:r>
            <w:r w:rsidR="00AA581C">
              <w:rPr>
                <w:noProof/>
                <w:webHidden/>
              </w:rPr>
              <w:t>15</w:t>
            </w:r>
            <w:r>
              <w:rPr>
                <w:noProof/>
                <w:webHidden/>
              </w:rPr>
              <w:fldChar w:fldCharType="end"/>
            </w:r>
          </w:hyperlink>
        </w:p>
        <w:p w:rsidR="00A3714A" w:rsidRDefault="00C820DD">
          <w:r>
            <w:rPr>
              <w:b/>
              <w:bCs/>
              <w:noProof/>
            </w:rPr>
            <w:fldChar w:fldCharType="end"/>
          </w:r>
        </w:p>
      </w:sdtContent>
    </w:sdt>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11273D" w:rsidRDefault="0011273D" w:rsidP="004B6080">
      <w:pPr>
        <w:sectPr w:rsidR="0011273D" w:rsidSect="007760AA">
          <w:footerReference w:type="default" r:id="rId7"/>
          <w:pgSz w:w="12240" w:h="15840"/>
          <w:pgMar w:top="1440" w:right="1440" w:bottom="1440" w:left="1440" w:header="720" w:footer="720" w:gutter="0"/>
          <w:cols w:space="720"/>
          <w:docGrid w:linePitch="360"/>
        </w:sectPr>
      </w:pPr>
      <w:bookmarkStart w:id="1" w:name="_GoBack"/>
      <w:bookmarkEnd w:id="1"/>
    </w:p>
    <w:p w:rsidR="004A53BD" w:rsidRDefault="004A53BD" w:rsidP="004A53BD">
      <w:pPr>
        <w:pStyle w:val="IntenseQuote"/>
        <w:ind w:left="0"/>
        <w:outlineLvl w:val="0"/>
      </w:pPr>
      <w:bookmarkStart w:id="2" w:name="_Toc379443646"/>
      <w:r>
        <w:lastRenderedPageBreak/>
        <w:t xml:space="preserve">1b.2 Performance Scores Tables (Hospitalizations and </w:t>
      </w:r>
      <w:proofErr w:type="spellStart"/>
      <w:r>
        <w:t>Rehospitalizations</w:t>
      </w:r>
      <w:proofErr w:type="spellEnd"/>
      <w:r>
        <w:t>)</w:t>
      </w:r>
      <w:bookmarkEnd w:id="2"/>
    </w:p>
    <w:p w:rsidR="004A53BD" w:rsidRDefault="004A53BD" w:rsidP="004A53BD">
      <w:pPr>
        <w:adjustRightInd w:val="0"/>
        <w:spacing w:before="10" w:after="10"/>
        <w:jc w:val="center"/>
        <w:rPr>
          <w:b/>
          <w:bCs/>
          <w:i/>
          <w:iCs/>
          <w:color w:val="000000"/>
          <w:sz w:val="26"/>
          <w:szCs w:val="26"/>
        </w:rPr>
      </w:pPr>
      <w:r>
        <w:rPr>
          <w:b/>
          <w:bCs/>
          <w:i/>
          <w:iCs/>
          <w:color w:val="000000"/>
          <w:sz w:val="26"/>
          <w:szCs w:val="26"/>
        </w:rPr>
        <w:t>Number of Beneficiaries in Annual Measures (prorated based on days of eligibility)</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884"/>
        <w:gridCol w:w="710"/>
        <w:gridCol w:w="1391"/>
      </w:tblGrid>
      <w:tr w:rsidR="004A53BD" w:rsidRPr="00D760C4" w:rsidTr="002B4BFA">
        <w:tblPrEx>
          <w:tblCellMar>
            <w:top w:w="0" w:type="dxa"/>
            <w:bottom w:w="0" w:type="dxa"/>
          </w:tblCellMar>
        </w:tblPrEx>
        <w:trPr>
          <w:cantSplit/>
          <w:tblHeader/>
          <w:jc w:val="center"/>
        </w:trPr>
        <w:tc>
          <w:tcPr>
            <w:tcW w:w="2985" w:type="dxa"/>
            <w:gridSpan w:val="3"/>
            <w:tcBorders>
              <w:top w:val="single" w:sz="6" w:space="0" w:color="000000"/>
              <w:left w:val="single" w:sz="6"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center"/>
              <w:rPr>
                <w:b/>
                <w:bCs/>
                <w:color w:val="000000"/>
                <w:sz w:val="22"/>
                <w:szCs w:val="22"/>
              </w:rPr>
            </w:pPr>
            <w:bookmarkStart w:id="3" w:name="IDX"/>
            <w:bookmarkEnd w:id="3"/>
            <w:r w:rsidRPr="00D760C4">
              <w:rPr>
                <w:b/>
                <w:bCs/>
                <w:color w:val="000000"/>
                <w:sz w:val="22"/>
                <w:szCs w:val="22"/>
              </w:rPr>
              <w:t>BENES</w:t>
            </w:r>
          </w:p>
        </w:tc>
      </w:tr>
      <w:tr w:rsidR="004A53BD" w:rsidRPr="00D760C4" w:rsidTr="002B4BFA">
        <w:tblPrEx>
          <w:tblCellMar>
            <w:top w:w="0" w:type="dxa"/>
            <w:bottom w:w="0" w:type="dxa"/>
          </w:tblCellMar>
        </w:tblPrEx>
        <w:trPr>
          <w:cantSplit/>
          <w:tblHeader/>
          <w:jc w:val="center"/>
        </w:trPr>
        <w:tc>
          <w:tcPr>
            <w:tcW w:w="884" w:type="dxa"/>
            <w:tcBorders>
              <w:top w:val="nil"/>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Year</w:t>
            </w:r>
          </w:p>
        </w:tc>
        <w:tc>
          <w:tcPr>
            <w:tcW w:w="710"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 xml:space="preserve">N </w:t>
            </w:r>
          </w:p>
        </w:tc>
        <w:tc>
          <w:tcPr>
            <w:tcW w:w="1391" w:type="dxa"/>
            <w:tcBorders>
              <w:top w:val="nil"/>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Total</w:t>
            </w:r>
          </w:p>
        </w:tc>
      </w:tr>
      <w:tr w:rsidR="004A53BD" w:rsidRPr="00D760C4" w:rsidTr="002B4BFA">
        <w:tblPrEx>
          <w:tblCellMar>
            <w:top w:w="0" w:type="dxa"/>
            <w:bottom w:w="0" w:type="dxa"/>
          </w:tblCellMar>
        </w:tblPrEx>
        <w:trPr>
          <w:cantSplit/>
          <w:jc w:val="center"/>
        </w:trPr>
        <w:tc>
          <w:tcPr>
            <w:tcW w:w="884"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91"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15,560,653</w:t>
            </w:r>
          </w:p>
        </w:tc>
      </w:tr>
      <w:tr w:rsidR="004A53BD" w:rsidRPr="00D760C4" w:rsidTr="002B4BFA">
        <w:tblPrEx>
          <w:tblCellMar>
            <w:top w:w="0" w:type="dxa"/>
            <w:bottom w:w="0" w:type="dxa"/>
          </w:tblCellMar>
        </w:tblPrEx>
        <w:trPr>
          <w:cantSplit/>
          <w:jc w:val="center"/>
        </w:trPr>
        <w:tc>
          <w:tcPr>
            <w:tcW w:w="884"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91"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15,897,638</w:t>
            </w:r>
          </w:p>
        </w:tc>
      </w:tr>
      <w:tr w:rsidR="004A53BD" w:rsidRPr="00D760C4" w:rsidTr="002B4BFA">
        <w:tblPrEx>
          <w:tblCellMar>
            <w:top w:w="0" w:type="dxa"/>
            <w:bottom w:w="0" w:type="dxa"/>
          </w:tblCellMar>
        </w:tblPrEx>
        <w:trPr>
          <w:cantSplit/>
          <w:jc w:val="center"/>
        </w:trPr>
        <w:tc>
          <w:tcPr>
            <w:tcW w:w="884"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91"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16,047,291</w:t>
            </w:r>
          </w:p>
        </w:tc>
      </w:tr>
      <w:tr w:rsidR="004A53BD" w:rsidRPr="00D760C4" w:rsidTr="002B4BFA">
        <w:tblPrEx>
          <w:tblCellMar>
            <w:top w:w="0" w:type="dxa"/>
            <w:bottom w:w="0" w:type="dxa"/>
          </w:tblCellMar>
        </w:tblPrEx>
        <w:trPr>
          <w:cantSplit/>
          <w:jc w:val="center"/>
        </w:trPr>
        <w:tc>
          <w:tcPr>
            <w:tcW w:w="884"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w:t>
            </w:r>
          </w:p>
        </w:tc>
        <w:tc>
          <w:tcPr>
            <w:tcW w:w="71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91"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16,331,603</w:t>
            </w:r>
          </w:p>
        </w:tc>
      </w:tr>
    </w:tbl>
    <w:p w:rsidR="004A53BD" w:rsidRDefault="004A53BD" w:rsidP="004A53BD">
      <w:pPr>
        <w:adjustRightInd w:val="0"/>
        <w:rPr>
          <w:color w:val="000000"/>
        </w:rPr>
      </w:pPr>
    </w:p>
    <w:p w:rsidR="004A53BD" w:rsidRDefault="004A53BD" w:rsidP="004A53BD">
      <w:pPr>
        <w:adjustRightInd w:val="0"/>
        <w:rPr>
          <w:color w:val="000000"/>
        </w:rPr>
        <w:sectPr w:rsidR="004A53BD">
          <w:headerReference w:type="default" r:id="rId8"/>
          <w:pgSz w:w="12240" w:h="15840"/>
          <w:pgMar w:top="360" w:right="360" w:bottom="360" w:left="360" w:header="720" w:footer="360" w:gutter="0"/>
          <w:cols w:space="720"/>
        </w:sectPr>
      </w:pPr>
    </w:p>
    <w:p w:rsidR="004A53BD" w:rsidRDefault="004A53BD" w:rsidP="004A53BD">
      <w:pPr>
        <w:adjustRightInd w:val="0"/>
        <w:spacing w:before="10" w:after="10"/>
        <w:jc w:val="center"/>
        <w:rPr>
          <w:b/>
          <w:bCs/>
          <w:i/>
          <w:iCs/>
          <w:color w:val="000000"/>
          <w:sz w:val="26"/>
          <w:szCs w:val="26"/>
        </w:rPr>
      </w:pPr>
      <w:r>
        <w:rPr>
          <w:b/>
          <w:bCs/>
          <w:i/>
          <w:iCs/>
          <w:color w:val="000000"/>
          <w:sz w:val="26"/>
          <w:szCs w:val="26"/>
        </w:rPr>
        <w:lastRenderedPageBreak/>
        <w:t>Number of Beneficiaries in Quarterly Measures (prorated based on days of eligibility)</w:t>
      </w:r>
    </w:p>
    <w:p w:rsidR="004A53BD" w:rsidRDefault="004A53BD" w:rsidP="004A53BD">
      <w:pPr>
        <w:adjustRightInd w:val="0"/>
        <w:rPr>
          <w:b/>
          <w:bCs/>
          <w:i/>
          <w:iCs/>
          <w:color w:val="000000"/>
          <w:sz w:val="26"/>
          <w:szCs w:val="26"/>
        </w:rPr>
      </w:pPr>
    </w:p>
    <w:tbl>
      <w:tblPr>
        <w:tblW w:w="0" w:type="auto"/>
        <w:jc w:val="center"/>
        <w:tblInd w:w="-255" w:type="dxa"/>
        <w:tblLayout w:type="fixed"/>
        <w:tblCellMar>
          <w:left w:w="60" w:type="dxa"/>
          <w:right w:w="60" w:type="dxa"/>
        </w:tblCellMar>
        <w:tblLook w:val="0000"/>
      </w:tblPr>
      <w:tblGrid>
        <w:gridCol w:w="1139"/>
        <w:gridCol w:w="710"/>
        <w:gridCol w:w="1386"/>
      </w:tblGrid>
      <w:tr w:rsidR="004A53BD" w:rsidRPr="00D760C4" w:rsidTr="002B4BFA">
        <w:tblPrEx>
          <w:tblCellMar>
            <w:top w:w="0" w:type="dxa"/>
            <w:bottom w:w="0" w:type="dxa"/>
          </w:tblCellMar>
        </w:tblPrEx>
        <w:trPr>
          <w:cantSplit/>
          <w:tblHeader/>
          <w:jc w:val="center"/>
        </w:trPr>
        <w:tc>
          <w:tcPr>
            <w:tcW w:w="3235" w:type="dxa"/>
            <w:gridSpan w:val="3"/>
            <w:tcBorders>
              <w:top w:val="single" w:sz="6" w:space="0" w:color="000000"/>
              <w:left w:val="single" w:sz="6"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center"/>
              <w:rPr>
                <w:b/>
                <w:bCs/>
                <w:color w:val="000000"/>
                <w:sz w:val="22"/>
                <w:szCs w:val="22"/>
              </w:rPr>
            </w:pPr>
            <w:bookmarkStart w:id="4" w:name="IDX1"/>
            <w:bookmarkEnd w:id="4"/>
            <w:r w:rsidRPr="00D760C4">
              <w:rPr>
                <w:b/>
                <w:bCs/>
                <w:color w:val="000000"/>
                <w:sz w:val="22"/>
                <w:szCs w:val="22"/>
              </w:rPr>
              <w:t>BENES</w:t>
            </w:r>
          </w:p>
        </w:tc>
      </w:tr>
      <w:tr w:rsidR="004A53BD" w:rsidRPr="00D760C4" w:rsidTr="002B4BFA">
        <w:tblPrEx>
          <w:tblCellMar>
            <w:top w:w="0" w:type="dxa"/>
            <w:bottom w:w="0" w:type="dxa"/>
          </w:tblCellMar>
        </w:tblPrEx>
        <w:trPr>
          <w:cantSplit/>
          <w:tblHeader/>
          <w:jc w:val="center"/>
        </w:trPr>
        <w:tc>
          <w:tcPr>
            <w:tcW w:w="1139" w:type="dxa"/>
            <w:tcBorders>
              <w:top w:val="nil"/>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Quarter</w:t>
            </w:r>
          </w:p>
        </w:tc>
        <w:tc>
          <w:tcPr>
            <w:tcW w:w="710"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N</w:t>
            </w:r>
          </w:p>
        </w:tc>
        <w:tc>
          <w:tcPr>
            <w:tcW w:w="1386" w:type="dxa"/>
            <w:tcBorders>
              <w:top w:val="nil"/>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Total</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Q1</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15,517,079</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Q2</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15,504,212</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Q3</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15,575,137</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Q4</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15,644,639</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Q1</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15,840,706</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Q2</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15,843,446</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Q3</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15,912,880</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Q4</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15,991,711</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Q1</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15,896,419</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Q2</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15,966,300</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Q3</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16,086,526</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Q4</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16,235,764</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Q1</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16,147,317</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Q2</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16,274,320</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Q3</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16,398,715</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Q4</w:t>
            </w:r>
          </w:p>
        </w:tc>
        <w:tc>
          <w:tcPr>
            <w:tcW w:w="7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16,503,437</w:t>
            </w:r>
          </w:p>
        </w:tc>
      </w:tr>
      <w:tr w:rsidR="004A53BD" w:rsidRPr="00D760C4" w:rsidTr="002B4BFA">
        <w:tblPrEx>
          <w:tblCellMar>
            <w:top w:w="0" w:type="dxa"/>
            <w:bottom w:w="0" w:type="dxa"/>
          </w:tblCellMar>
        </w:tblPrEx>
        <w:trPr>
          <w:cantSplit/>
          <w:jc w:val="center"/>
        </w:trPr>
        <w:tc>
          <w:tcPr>
            <w:tcW w:w="1139"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2013 Q1</w:t>
            </w:r>
          </w:p>
        </w:tc>
        <w:tc>
          <w:tcPr>
            <w:tcW w:w="71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1386"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16,382,895</w:t>
            </w:r>
          </w:p>
        </w:tc>
      </w:tr>
    </w:tbl>
    <w:p w:rsidR="004A53BD" w:rsidRDefault="004A53BD" w:rsidP="004A53BD">
      <w:pPr>
        <w:adjustRightInd w:val="0"/>
        <w:rPr>
          <w:color w:val="000000"/>
        </w:rPr>
      </w:pPr>
    </w:p>
    <w:p w:rsidR="004A53BD" w:rsidRDefault="004A53BD" w:rsidP="004A53BD">
      <w:pPr>
        <w:adjustRightInd w:val="0"/>
        <w:rPr>
          <w:color w:val="000000"/>
        </w:rPr>
      </w:pPr>
    </w:p>
    <w:p w:rsidR="004A53BD" w:rsidRDefault="004A53BD" w:rsidP="004A53BD">
      <w:pPr>
        <w:adjustRightInd w:val="0"/>
        <w:jc w:val="center"/>
      </w:pPr>
    </w:p>
    <w:p w:rsidR="004A53BD" w:rsidRDefault="004A53BD" w:rsidP="004A53BD">
      <w:pPr>
        <w:adjustRightInd w:val="0"/>
        <w:rPr>
          <w:color w:val="000000"/>
        </w:rPr>
      </w:pPr>
    </w:p>
    <w:p w:rsidR="004A53BD" w:rsidRPr="000C42AB" w:rsidRDefault="004A53BD" w:rsidP="004A53BD">
      <w:pPr>
        <w:adjustRightInd w:val="0"/>
        <w:rPr>
          <w:b/>
          <w:color w:val="000000"/>
          <w:u w:val="single"/>
        </w:rPr>
        <w:sectPr w:rsidR="004A53BD" w:rsidRPr="000C42AB">
          <w:headerReference w:type="default" r:id="rId9"/>
          <w:type w:val="continuous"/>
          <w:pgSz w:w="12240" w:h="15840"/>
          <w:pgMar w:top="360" w:right="360" w:bottom="360" w:left="360" w:header="720" w:footer="360" w:gutter="0"/>
          <w:cols w:space="720"/>
        </w:sectPr>
      </w:pPr>
    </w:p>
    <w:p w:rsidR="004A53BD" w:rsidRDefault="004A53BD" w:rsidP="00851C46">
      <w:pPr>
        <w:adjustRightInd w:val="0"/>
        <w:spacing w:before="10" w:after="10"/>
        <w:jc w:val="center"/>
        <w:rPr>
          <w:b/>
          <w:bCs/>
          <w:i/>
          <w:iCs/>
          <w:color w:val="000000"/>
          <w:sz w:val="26"/>
          <w:szCs w:val="26"/>
        </w:rPr>
      </w:pPr>
      <w:r>
        <w:rPr>
          <w:b/>
          <w:bCs/>
          <w:i/>
          <w:iCs/>
          <w:color w:val="000000"/>
          <w:sz w:val="26"/>
          <w:szCs w:val="26"/>
        </w:rPr>
        <w:lastRenderedPageBreak/>
        <w:t>Community 2009 to 2012 Hospitalizations per 1000</w:t>
      </w:r>
    </w:p>
    <w:p w:rsidR="004A53BD" w:rsidRDefault="004A53BD" w:rsidP="004A53BD">
      <w:pPr>
        <w:adjustRightInd w:val="0"/>
        <w:rPr>
          <w:b/>
          <w:bCs/>
          <w:i/>
          <w:iCs/>
          <w:color w:val="000000"/>
          <w:sz w:val="26"/>
          <w:szCs w:val="26"/>
        </w:rPr>
      </w:pPr>
    </w:p>
    <w:tbl>
      <w:tblPr>
        <w:tblW w:w="0" w:type="auto"/>
        <w:jc w:val="center"/>
        <w:tblInd w:w="-281" w:type="dxa"/>
        <w:tblLayout w:type="fixed"/>
        <w:tblCellMar>
          <w:left w:w="60" w:type="dxa"/>
          <w:right w:w="60" w:type="dxa"/>
        </w:tblCellMar>
        <w:tblLook w:val="0000"/>
      </w:tblPr>
      <w:tblGrid>
        <w:gridCol w:w="630"/>
        <w:gridCol w:w="1440"/>
        <w:gridCol w:w="916"/>
        <w:gridCol w:w="879"/>
        <w:gridCol w:w="837"/>
        <w:gridCol w:w="810"/>
        <w:gridCol w:w="1080"/>
        <w:gridCol w:w="1080"/>
        <w:gridCol w:w="831"/>
      </w:tblGrid>
      <w:tr w:rsidR="004A53BD" w:rsidRPr="00D760C4" w:rsidTr="004A53BD">
        <w:tblPrEx>
          <w:tblCellMar>
            <w:top w:w="0" w:type="dxa"/>
            <w:bottom w:w="0" w:type="dxa"/>
          </w:tblCellMar>
        </w:tblPrEx>
        <w:trPr>
          <w:cantSplit/>
          <w:tblHeader/>
          <w:jc w:val="center"/>
        </w:trPr>
        <w:tc>
          <w:tcPr>
            <w:tcW w:w="630" w:type="dxa"/>
            <w:tcBorders>
              <w:top w:val="single" w:sz="6" w:space="0" w:color="000000"/>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bookmarkStart w:id="5" w:name="IDX2"/>
            <w:bookmarkEnd w:id="5"/>
            <w:r w:rsidRPr="00D760C4">
              <w:rPr>
                <w:b/>
                <w:bCs/>
                <w:color w:val="000000"/>
                <w:sz w:val="22"/>
                <w:szCs w:val="22"/>
              </w:rPr>
              <w:t>Year</w:t>
            </w:r>
          </w:p>
        </w:tc>
        <w:tc>
          <w:tcPr>
            <w:tcW w:w="144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Communities</w:t>
            </w:r>
          </w:p>
        </w:tc>
        <w:tc>
          <w:tcPr>
            <w:tcW w:w="916"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Mean</w:t>
            </w:r>
          </w:p>
        </w:tc>
        <w:tc>
          <w:tcPr>
            <w:tcW w:w="879"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Std Dev</w:t>
            </w:r>
          </w:p>
        </w:tc>
        <w:tc>
          <w:tcPr>
            <w:tcW w:w="837"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Min</w:t>
            </w:r>
          </w:p>
        </w:tc>
        <w:tc>
          <w:tcPr>
            <w:tcW w:w="81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Max</w:t>
            </w:r>
          </w:p>
        </w:tc>
        <w:tc>
          <w:tcPr>
            <w:tcW w:w="108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25th Percentile</w:t>
            </w:r>
          </w:p>
        </w:tc>
        <w:tc>
          <w:tcPr>
            <w:tcW w:w="108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75th Percentile</w:t>
            </w:r>
          </w:p>
        </w:tc>
        <w:tc>
          <w:tcPr>
            <w:tcW w:w="831" w:type="dxa"/>
            <w:tcBorders>
              <w:top w:val="single" w:sz="6" w:space="0" w:color="000000"/>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IQR</w:t>
            </w:r>
          </w:p>
        </w:tc>
      </w:tr>
      <w:tr w:rsidR="004A53BD" w:rsidRPr="00D760C4" w:rsidTr="004A53BD">
        <w:tblPrEx>
          <w:tblCellMar>
            <w:top w:w="0" w:type="dxa"/>
            <w:bottom w:w="0" w:type="dxa"/>
          </w:tblCellMar>
        </w:tblPrEx>
        <w:trPr>
          <w:cantSplit/>
          <w:jc w:val="center"/>
        </w:trPr>
        <w:tc>
          <w:tcPr>
            <w:tcW w:w="63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w:t>
            </w:r>
          </w:p>
        </w:tc>
        <w:tc>
          <w:tcPr>
            <w:tcW w:w="144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916"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311.85</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59.31</w:t>
            </w:r>
          </w:p>
        </w:tc>
        <w:tc>
          <w:tcPr>
            <w:tcW w:w="837"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159.33</w:t>
            </w:r>
          </w:p>
        </w:tc>
        <w:tc>
          <w:tcPr>
            <w:tcW w:w="8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537.29</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275.48</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347.82</w:t>
            </w:r>
          </w:p>
        </w:tc>
        <w:tc>
          <w:tcPr>
            <w:tcW w:w="831"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72.34</w:t>
            </w:r>
          </w:p>
        </w:tc>
      </w:tr>
      <w:tr w:rsidR="004A53BD" w:rsidRPr="00D760C4" w:rsidTr="004A53BD">
        <w:tblPrEx>
          <w:tblCellMar>
            <w:top w:w="0" w:type="dxa"/>
            <w:bottom w:w="0" w:type="dxa"/>
          </w:tblCellMar>
        </w:tblPrEx>
        <w:trPr>
          <w:cantSplit/>
          <w:jc w:val="center"/>
        </w:trPr>
        <w:tc>
          <w:tcPr>
            <w:tcW w:w="63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w:t>
            </w:r>
          </w:p>
        </w:tc>
        <w:tc>
          <w:tcPr>
            <w:tcW w:w="144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916"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307.98</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58.81</w:t>
            </w:r>
          </w:p>
        </w:tc>
        <w:tc>
          <w:tcPr>
            <w:tcW w:w="837"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157.60</w:t>
            </w:r>
          </w:p>
        </w:tc>
        <w:tc>
          <w:tcPr>
            <w:tcW w:w="8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497.61</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270.73</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345.56</w:t>
            </w:r>
          </w:p>
        </w:tc>
        <w:tc>
          <w:tcPr>
            <w:tcW w:w="831"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74.83</w:t>
            </w:r>
          </w:p>
        </w:tc>
      </w:tr>
      <w:tr w:rsidR="004A53BD" w:rsidRPr="00D760C4" w:rsidTr="004A53BD">
        <w:tblPrEx>
          <w:tblCellMar>
            <w:top w:w="0" w:type="dxa"/>
            <w:bottom w:w="0" w:type="dxa"/>
          </w:tblCellMar>
        </w:tblPrEx>
        <w:trPr>
          <w:cantSplit/>
          <w:jc w:val="center"/>
        </w:trPr>
        <w:tc>
          <w:tcPr>
            <w:tcW w:w="63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w:t>
            </w:r>
          </w:p>
        </w:tc>
        <w:tc>
          <w:tcPr>
            <w:tcW w:w="144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916"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301.63</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57.49</w:t>
            </w:r>
          </w:p>
        </w:tc>
        <w:tc>
          <w:tcPr>
            <w:tcW w:w="837"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153.75</w:t>
            </w:r>
          </w:p>
        </w:tc>
        <w:tc>
          <w:tcPr>
            <w:tcW w:w="8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494.10</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266.86</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338.05</w:t>
            </w:r>
          </w:p>
        </w:tc>
        <w:tc>
          <w:tcPr>
            <w:tcW w:w="831"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71.19</w:t>
            </w:r>
          </w:p>
        </w:tc>
      </w:tr>
      <w:tr w:rsidR="004A53BD" w:rsidRPr="00D760C4" w:rsidTr="004A53BD">
        <w:tblPrEx>
          <w:tblCellMar>
            <w:top w:w="0" w:type="dxa"/>
            <w:bottom w:w="0" w:type="dxa"/>
          </w:tblCellMar>
        </w:tblPrEx>
        <w:trPr>
          <w:cantSplit/>
          <w:jc w:val="center"/>
        </w:trPr>
        <w:tc>
          <w:tcPr>
            <w:tcW w:w="630"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w:t>
            </w:r>
          </w:p>
        </w:tc>
        <w:tc>
          <w:tcPr>
            <w:tcW w:w="144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916"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287.45</w:t>
            </w:r>
          </w:p>
        </w:tc>
        <w:tc>
          <w:tcPr>
            <w:tcW w:w="879"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54.73</w:t>
            </w:r>
          </w:p>
        </w:tc>
        <w:tc>
          <w:tcPr>
            <w:tcW w:w="837"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144.46</w:t>
            </w:r>
          </w:p>
        </w:tc>
        <w:tc>
          <w:tcPr>
            <w:tcW w:w="81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481.45</w:t>
            </w:r>
          </w:p>
        </w:tc>
        <w:tc>
          <w:tcPr>
            <w:tcW w:w="108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255.85</w:t>
            </w:r>
          </w:p>
        </w:tc>
        <w:tc>
          <w:tcPr>
            <w:tcW w:w="108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321.09</w:t>
            </w:r>
          </w:p>
        </w:tc>
        <w:tc>
          <w:tcPr>
            <w:tcW w:w="831"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65.24</w:t>
            </w:r>
          </w:p>
        </w:tc>
      </w:tr>
    </w:tbl>
    <w:p w:rsidR="004A53BD" w:rsidRDefault="004A53BD" w:rsidP="004A53BD">
      <w:pPr>
        <w:adjustRightInd w:val="0"/>
        <w:rPr>
          <w:color w:val="000000"/>
        </w:rPr>
      </w:pPr>
    </w:p>
    <w:p w:rsidR="004A53BD" w:rsidRDefault="004A53BD" w:rsidP="004A53BD">
      <w:pPr>
        <w:adjustRightInd w:val="0"/>
        <w:rPr>
          <w:color w:val="000000"/>
        </w:rPr>
        <w:sectPr w:rsidR="004A53BD">
          <w:headerReference w:type="default" r:id="rId10"/>
          <w:type w:val="continuous"/>
          <w:pgSz w:w="12240" w:h="15840"/>
          <w:pgMar w:top="360" w:right="360" w:bottom="360" w:left="360" w:header="720" w:footer="360" w:gutter="0"/>
          <w:cols w:space="720"/>
        </w:sectPr>
      </w:pPr>
    </w:p>
    <w:p w:rsidR="004A53BD" w:rsidRDefault="004A53BD" w:rsidP="004A53BD">
      <w:pPr>
        <w:adjustRightInd w:val="0"/>
        <w:spacing w:before="10" w:after="10"/>
        <w:jc w:val="center"/>
        <w:rPr>
          <w:b/>
          <w:bCs/>
          <w:i/>
          <w:iCs/>
          <w:color w:val="000000"/>
          <w:sz w:val="26"/>
          <w:szCs w:val="26"/>
        </w:rPr>
      </w:pPr>
      <w:r>
        <w:rPr>
          <w:b/>
          <w:bCs/>
          <w:i/>
          <w:iCs/>
          <w:color w:val="000000"/>
          <w:sz w:val="26"/>
          <w:szCs w:val="26"/>
        </w:rPr>
        <w:lastRenderedPageBreak/>
        <w:t>Deciles</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609"/>
        <w:gridCol w:w="1085"/>
        <w:gridCol w:w="1085"/>
        <w:gridCol w:w="1085"/>
        <w:gridCol w:w="1085"/>
        <w:gridCol w:w="1085"/>
        <w:gridCol w:w="1085"/>
        <w:gridCol w:w="1085"/>
        <w:gridCol w:w="1085"/>
        <w:gridCol w:w="1100"/>
      </w:tblGrid>
      <w:tr w:rsidR="004A53BD" w:rsidRPr="00D760C4" w:rsidTr="002B4BFA">
        <w:tblPrEx>
          <w:tblCellMar>
            <w:top w:w="0" w:type="dxa"/>
            <w:bottom w:w="0" w:type="dxa"/>
          </w:tblCellMar>
        </w:tblPrEx>
        <w:trPr>
          <w:cantSplit/>
          <w:tblHeader/>
          <w:jc w:val="center"/>
        </w:trPr>
        <w:tc>
          <w:tcPr>
            <w:tcW w:w="609" w:type="dxa"/>
            <w:tcBorders>
              <w:top w:val="single" w:sz="6" w:space="0" w:color="000000"/>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bookmarkStart w:id="6" w:name="IDX3"/>
            <w:bookmarkEnd w:id="6"/>
            <w:r w:rsidRPr="00D760C4">
              <w:rPr>
                <w:b/>
                <w:bCs/>
                <w:color w:val="000000"/>
                <w:sz w:val="22"/>
                <w:szCs w:val="22"/>
              </w:rPr>
              <w:t>Year</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10th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20th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30th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40th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50th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60th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70th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80th Percentile</w:t>
            </w:r>
          </w:p>
        </w:tc>
        <w:tc>
          <w:tcPr>
            <w:tcW w:w="1100" w:type="dxa"/>
            <w:tcBorders>
              <w:top w:val="single" w:sz="6" w:space="0" w:color="000000"/>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90th Percentile</w:t>
            </w:r>
          </w:p>
        </w:tc>
      </w:tr>
      <w:tr w:rsidR="004A53BD" w:rsidRPr="00D760C4" w:rsidTr="002B4BFA">
        <w:tblPrEx>
          <w:tblCellMar>
            <w:top w:w="0" w:type="dxa"/>
            <w:bottom w:w="0" w:type="dxa"/>
          </w:tblCellMar>
        </w:tblPrEx>
        <w:trPr>
          <w:cantSplit/>
          <w:jc w:val="center"/>
        </w:trPr>
        <w:tc>
          <w:tcPr>
            <w:tcW w:w="60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228.35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265.22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283.92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299.42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313.26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324.85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335.34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360.19</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382.40</w:t>
            </w:r>
          </w:p>
        </w:tc>
      </w:tr>
      <w:tr w:rsidR="004A53BD" w:rsidRPr="00D760C4" w:rsidTr="002B4BFA">
        <w:tblPrEx>
          <w:tblCellMar>
            <w:top w:w="0" w:type="dxa"/>
            <w:bottom w:w="0" w:type="dxa"/>
          </w:tblCellMar>
        </w:tblPrEx>
        <w:trPr>
          <w:cantSplit/>
          <w:jc w:val="center"/>
        </w:trPr>
        <w:tc>
          <w:tcPr>
            <w:tcW w:w="60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223.56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259.94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280.73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294.99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310.64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321.59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336.38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353.62</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380.88</w:t>
            </w:r>
          </w:p>
        </w:tc>
      </w:tr>
      <w:tr w:rsidR="004A53BD" w:rsidRPr="00D760C4" w:rsidTr="002B4BFA">
        <w:tblPrEx>
          <w:tblCellMar>
            <w:top w:w="0" w:type="dxa"/>
            <w:bottom w:w="0" w:type="dxa"/>
          </w:tblCellMar>
        </w:tblPrEx>
        <w:trPr>
          <w:cantSplit/>
          <w:jc w:val="center"/>
        </w:trPr>
        <w:tc>
          <w:tcPr>
            <w:tcW w:w="60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220.83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255.99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275.08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289.82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302.88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316.77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330.81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346.50</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371.45</w:t>
            </w:r>
          </w:p>
        </w:tc>
      </w:tr>
      <w:tr w:rsidR="004A53BD" w:rsidRPr="00D760C4" w:rsidTr="002B4BFA">
        <w:tblPrEx>
          <w:tblCellMar>
            <w:top w:w="0" w:type="dxa"/>
            <w:bottom w:w="0" w:type="dxa"/>
          </w:tblCellMar>
        </w:tblPrEx>
        <w:trPr>
          <w:cantSplit/>
          <w:jc w:val="center"/>
        </w:trPr>
        <w:tc>
          <w:tcPr>
            <w:tcW w:w="609"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212.54</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239.26</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265.05</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276.99</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287.96</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300.32</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316.32</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331.82</w:t>
            </w:r>
          </w:p>
        </w:tc>
        <w:tc>
          <w:tcPr>
            <w:tcW w:w="1100"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352.00</w:t>
            </w:r>
          </w:p>
        </w:tc>
      </w:tr>
    </w:tbl>
    <w:p w:rsidR="004A53BD" w:rsidRDefault="004A53BD" w:rsidP="004A53BD">
      <w:pPr>
        <w:adjustRightInd w:val="0"/>
        <w:rPr>
          <w:color w:val="000000"/>
        </w:rPr>
      </w:pPr>
    </w:p>
    <w:p w:rsidR="004A53BD" w:rsidRDefault="004A53BD" w:rsidP="004A53BD">
      <w:pPr>
        <w:adjustRightInd w:val="0"/>
        <w:rPr>
          <w:color w:val="000000"/>
        </w:rPr>
        <w:sectPr w:rsidR="004A53BD">
          <w:headerReference w:type="default" r:id="rId11"/>
          <w:type w:val="continuous"/>
          <w:pgSz w:w="12240" w:h="15840"/>
          <w:pgMar w:top="360" w:right="360" w:bottom="360" w:left="360" w:header="720" w:footer="360" w:gutter="0"/>
          <w:cols w:space="720"/>
        </w:sectPr>
      </w:pPr>
    </w:p>
    <w:p w:rsidR="004A53BD" w:rsidRDefault="004A53BD" w:rsidP="004A53BD">
      <w:pPr>
        <w:adjustRightInd w:val="0"/>
        <w:spacing w:before="10" w:after="10"/>
        <w:jc w:val="center"/>
        <w:rPr>
          <w:b/>
          <w:bCs/>
          <w:i/>
          <w:iCs/>
          <w:color w:val="000000"/>
          <w:sz w:val="26"/>
          <w:szCs w:val="26"/>
        </w:rPr>
      </w:pPr>
      <w:r>
        <w:rPr>
          <w:b/>
          <w:bCs/>
          <w:i/>
          <w:iCs/>
          <w:color w:val="000000"/>
          <w:sz w:val="26"/>
          <w:szCs w:val="26"/>
        </w:rPr>
        <w:lastRenderedPageBreak/>
        <w:t>Relative Improvement (2010 to 2012)</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377"/>
        <w:gridCol w:w="1086"/>
        <w:gridCol w:w="1125"/>
        <w:gridCol w:w="674"/>
        <w:gridCol w:w="978"/>
        <w:gridCol w:w="978"/>
        <w:gridCol w:w="993"/>
      </w:tblGrid>
      <w:tr w:rsidR="004A53BD" w:rsidRPr="00D760C4" w:rsidTr="002B4BFA">
        <w:tblPrEx>
          <w:tblCellMar>
            <w:top w:w="0" w:type="dxa"/>
            <w:bottom w:w="0" w:type="dxa"/>
          </w:tblCellMar>
        </w:tblPrEx>
        <w:trPr>
          <w:cantSplit/>
          <w:tblHeader/>
          <w:jc w:val="center"/>
        </w:trPr>
        <w:tc>
          <w:tcPr>
            <w:tcW w:w="6211" w:type="dxa"/>
            <w:gridSpan w:val="7"/>
            <w:tcBorders>
              <w:top w:val="single" w:sz="6" w:space="0" w:color="000000"/>
              <w:left w:val="single" w:sz="6"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center"/>
              <w:rPr>
                <w:b/>
                <w:bCs/>
                <w:color w:val="000000"/>
                <w:sz w:val="22"/>
                <w:szCs w:val="22"/>
              </w:rPr>
            </w:pPr>
            <w:bookmarkStart w:id="7" w:name="IDX4"/>
            <w:bookmarkEnd w:id="7"/>
            <w:r w:rsidRPr="00D760C4">
              <w:rPr>
                <w:b/>
                <w:bCs/>
                <w:color w:val="000000"/>
                <w:sz w:val="22"/>
                <w:szCs w:val="22"/>
              </w:rPr>
              <w:t xml:space="preserve">Analysis Variable : </w:t>
            </w:r>
            <w:proofErr w:type="spellStart"/>
            <w:r w:rsidRPr="00D760C4">
              <w:rPr>
                <w:b/>
                <w:bCs/>
                <w:color w:val="000000"/>
                <w:sz w:val="22"/>
                <w:szCs w:val="22"/>
              </w:rPr>
              <w:t>RIadm</w:t>
            </w:r>
            <w:proofErr w:type="spellEnd"/>
          </w:p>
        </w:tc>
      </w:tr>
      <w:tr w:rsidR="004A53BD" w:rsidRPr="00D760C4" w:rsidTr="002B4BFA">
        <w:tblPrEx>
          <w:tblCellMar>
            <w:top w:w="0" w:type="dxa"/>
            <w:bottom w:w="0" w:type="dxa"/>
          </w:tblCellMar>
        </w:tblPrEx>
        <w:trPr>
          <w:cantSplit/>
          <w:tblHeader/>
          <w:jc w:val="center"/>
        </w:trPr>
        <w:tc>
          <w:tcPr>
            <w:tcW w:w="377" w:type="dxa"/>
            <w:tcBorders>
              <w:top w:val="nil"/>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N</w:t>
            </w:r>
          </w:p>
        </w:tc>
        <w:tc>
          <w:tcPr>
            <w:tcW w:w="1086"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Minimum</w:t>
            </w:r>
          </w:p>
        </w:tc>
        <w:tc>
          <w:tcPr>
            <w:tcW w:w="1125"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Maximum</w:t>
            </w:r>
          </w:p>
        </w:tc>
        <w:tc>
          <w:tcPr>
            <w:tcW w:w="674"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Mean</w:t>
            </w:r>
          </w:p>
        </w:tc>
        <w:tc>
          <w:tcPr>
            <w:tcW w:w="978"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 xml:space="preserve">25th </w:t>
            </w:r>
            <w:proofErr w:type="spellStart"/>
            <w:r w:rsidRPr="00D760C4">
              <w:rPr>
                <w:b/>
                <w:bCs/>
                <w:color w:val="000000"/>
                <w:sz w:val="22"/>
                <w:szCs w:val="22"/>
              </w:rPr>
              <w:t>Pctl</w:t>
            </w:r>
            <w:proofErr w:type="spellEnd"/>
          </w:p>
        </w:tc>
        <w:tc>
          <w:tcPr>
            <w:tcW w:w="978"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 xml:space="preserve">50th </w:t>
            </w:r>
            <w:proofErr w:type="spellStart"/>
            <w:r w:rsidRPr="00D760C4">
              <w:rPr>
                <w:b/>
                <w:bCs/>
                <w:color w:val="000000"/>
                <w:sz w:val="22"/>
                <w:szCs w:val="22"/>
              </w:rPr>
              <w:t>Pctl</w:t>
            </w:r>
            <w:proofErr w:type="spellEnd"/>
          </w:p>
        </w:tc>
        <w:tc>
          <w:tcPr>
            <w:tcW w:w="993" w:type="dxa"/>
            <w:tcBorders>
              <w:top w:val="nil"/>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 xml:space="preserve">75th </w:t>
            </w:r>
            <w:proofErr w:type="spellStart"/>
            <w:r w:rsidRPr="00D760C4">
              <w:rPr>
                <w:b/>
                <w:bCs/>
                <w:color w:val="000000"/>
                <w:sz w:val="22"/>
                <w:szCs w:val="22"/>
              </w:rPr>
              <w:t>Pctl</w:t>
            </w:r>
            <w:proofErr w:type="spellEnd"/>
          </w:p>
        </w:tc>
      </w:tr>
      <w:tr w:rsidR="004A53BD" w:rsidRPr="00D760C4" w:rsidTr="002B4BFA">
        <w:tblPrEx>
          <w:tblCellMar>
            <w:top w:w="0" w:type="dxa"/>
            <w:bottom w:w="0" w:type="dxa"/>
          </w:tblCellMar>
        </w:tblPrEx>
        <w:trPr>
          <w:cantSplit/>
          <w:jc w:val="center"/>
        </w:trPr>
        <w:tc>
          <w:tcPr>
            <w:tcW w:w="377"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53</w:t>
            </w:r>
          </w:p>
        </w:tc>
        <w:tc>
          <w:tcPr>
            <w:tcW w:w="1086"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-0.50</w:t>
            </w:r>
          </w:p>
        </w:tc>
        <w:tc>
          <w:tcPr>
            <w:tcW w:w="112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11.81</w:t>
            </w:r>
          </w:p>
        </w:tc>
        <w:tc>
          <w:tcPr>
            <w:tcW w:w="674"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6.54</w:t>
            </w:r>
          </w:p>
        </w:tc>
        <w:tc>
          <w:tcPr>
            <w:tcW w:w="978"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5.54</w:t>
            </w:r>
          </w:p>
        </w:tc>
        <w:tc>
          <w:tcPr>
            <w:tcW w:w="978"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6.93</w:t>
            </w:r>
          </w:p>
        </w:tc>
        <w:tc>
          <w:tcPr>
            <w:tcW w:w="993"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8.07</w:t>
            </w:r>
          </w:p>
        </w:tc>
      </w:tr>
    </w:tbl>
    <w:p w:rsidR="004A53BD" w:rsidRDefault="004A53BD" w:rsidP="004A53BD">
      <w:pPr>
        <w:adjustRightInd w:val="0"/>
        <w:rPr>
          <w:color w:val="000000"/>
        </w:rPr>
      </w:pPr>
    </w:p>
    <w:p w:rsidR="004A53BD" w:rsidRDefault="004A53BD" w:rsidP="004A53BD">
      <w:pPr>
        <w:adjustRightInd w:val="0"/>
        <w:rPr>
          <w:color w:val="000000"/>
        </w:rPr>
      </w:pPr>
    </w:p>
    <w:p w:rsidR="004A53BD" w:rsidRDefault="004A53BD" w:rsidP="004A53BD">
      <w:pPr>
        <w:adjustRightInd w:val="0"/>
        <w:jc w:val="center"/>
      </w:pPr>
    </w:p>
    <w:p w:rsidR="004A53BD" w:rsidRDefault="004A53BD" w:rsidP="004A53BD">
      <w:pPr>
        <w:adjustRightInd w:val="0"/>
        <w:rPr>
          <w:color w:val="000000"/>
        </w:rPr>
      </w:pPr>
      <w:r>
        <w:rPr>
          <w:color w:val="000000"/>
        </w:rPr>
        <w:br w:type="page"/>
      </w:r>
    </w:p>
    <w:p w:rsidR="004A53BD" w:rsidRDefault="004A53BD" w:rsidP="004A53BD">
      <w:pPr>
        <w:adjustRightInd w:val="0"/>
        <w:rPr>
          <w:color w:val="000000"/>
        </w:rPr>
        <w:sectPr w:rsidR="004A53BD">
          <w:headerReference w:type="default" r:id="rId12"/>
          <w:type w:val="continuous"/>
          <w:pgSz w:w="12240" w:h="15840"/>
          <w:pgMar w:top="360" w:right="360" w:bottom="360" w:left="360" w:header="720" w:footer="360" w:gutter="0"/>
          <w:cols w:space="720"/>
        </w:sectPr>
      </w:pPr>
    </w:p>
    <w:p w:rsidR="004A53BD" w:rsidRDefault="004A53BD" w:rsidP="004A53BD">
      <w:pPr>
        <w:adjustRightInd w:val="0"/>
        <w:spacing w:before="10" w:after="10"/>
        <w:jc w:val="center"/>
        <w:rPr>
          <w:b/>
          <w:bCs/>
          <w:i/>
          <w:iCs/>
          <w:color w:val="000000"/>
          <w:sz w:val="26"/>
          <w:szCs w:val="26"/>
        </w:rPr>
      </w:pPr>
      <w:r>
        <w:rPr>
          <w:b/>
          <w:bCs/>
          <w:i/>
          <w:iCs/>
          <w:color w:val="000000"/>
          <w:sz w:val="26"/>
          <w:szCs w:val="26"/>
        </w:rPr>
        <w:lastRenderedPageBreak/>
        <w:t>Community Quarterly Hospitalizations per 1000</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920"/>
        <w:gridCol w:w="1410"/>
        <w:gridCol w:w="674"/>
        <w:gridCol w:w="879"/>
        <w:gridCol w:w="708"/>
        <w:gridCol w:w="933"/>
        <w:gridCol w:w="1170"/>
        <w:gridCol w:w="1080"/>
        <w:gridCol w:w="754"/>
      </w:tblGrid>
      <w:tr w:rsidR="004A53BD" w:rsidRPr="00D760C4" w:rsidTr="004A53BD">
        <w:tblPrEx>
          <w:tblCellMar>
            <w:top w:w="0" w:type="dxa"/>
            <w:bottom w:w="0" w:type="dxa"/>
          </w:tblCellMar>
        </w:tblPrEx>
        <w:trPr>
          <w:cantSplit/>
          <w:tblHeader/>
          <w:jc w:val="center"/>
        </w:trPr>
        <w:tc>
          <w:tcPr>
            <w:tcW w:w="920" w:type="dxa"/>
            <w:tcBorders>
              <w:top w:val="single" w:sz="6" w:space="0" w:color="000000"/>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bookmarkStart w:id="8" w:name="IDX5"/>
            <w:bookmarkEnd w:id="8"/>
            <w:r w:rsidRPr="00D760C4">
              <w:rPr>
                <w:b/>
                <w:bCs/>
                <w:color w:val="000000"/>
                <w:sz w:val="22"/>
                <w:szCs w:val="22"/>
              </w:rPr>
              <w:t>Quarter</w:t>
            </w:r>
          </w:p>
        </w:tc>
        <w:tc>
          <w:tcPr>
            <w:tcW w:w="141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Communities</w:t>
            </w:r>
          </w:p>
        </w:tc>
        <w:tc>
          <w:tcPr>
            <w:tcW w:w="674"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Mean</w:t>
            </w:r>
          </w:p>
        </w:tc>
        <w:tc>
          <w:tcPr>
            <w:tcW w:w="879"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Std Dev</w:t>
            </w:r>
          </w:p>
        </w:tc>
        <w:tc>
          <w:tcPr>
            <w:tcW w:w="708"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Min</w:t>
            </w:r>
          </w:p>
        </w:tc>
        <w:tc>
          <w:tcPr>
            <w:tcW w:w="933"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Max</w:t>
            </w:r>
          </w:p>
        </w:tc>
        <w:tc>
          <w:tcPr>
            <w:tcW w:w="117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25th Percentile</w:t>
            </w:r>
          </w:p>
        </w:tc>
        <w:tc>
          <w:tcPr>
            <w:tcW w:w="108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75th Percentile</w:t>
            </w:r>
          </w:p>
        </w:tc>
        <w:tc>
          <w:tcPr>
            <w:tcW w:w="754" w:type="dxa"/>
            <w:tcBorders>
              <w:top w:val="single" w:sz="6" w:space="0" w:color="000000"/>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IQR</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Q1</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81.17</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15.25</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39.68</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134.38</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71.08</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90.72</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19.65</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Q2</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78.88</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15.36</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40.00</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133.13</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69.28</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87.87</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18.59</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Q3</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75.53</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14.82</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37.75</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134.99</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66.53</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84.61</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18.08</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Q4</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76.29</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14.63</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40.78</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134.82</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67.10</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84.71</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17.61</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Q1</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79.29</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15.33</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37.09</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132.89</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69.70</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89.16</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19.47</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Q2</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77.57</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14.73</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38.37</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125.86</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68.35</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86.98</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18.63</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Q3</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75.25</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15.01</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39.77</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121.35</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65.66</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84.35</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18.69</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Q4</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75.90</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14.52</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36.46</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122.37</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66.96</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85.42</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18.46</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Q1</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79.51</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15.13</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38.65</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127.05</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69.81</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88.95</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19.14</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Q2</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76.27</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14.39</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38.40</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125.20</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66.80</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85.69</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18.88</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Q3</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73.07</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14.53</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37.37</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123.24</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64.07</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82.32</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18.24</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Q4</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72.88</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14.16</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32.31</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118.67</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64.08</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81.58</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17.50</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Q1</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76.67</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14.71</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37.63</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126.76</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67.32</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86.17</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18.85</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Q2</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71.56</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13.52</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34.95</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122.92</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62.57</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80.03</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17.46</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Q3</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68.89</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13.86</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35.55</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119.31</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59.27</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77.52</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18.25</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Q4</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70.43</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13.38</w:t>
            </w:r>
          </w:p>
        </w:tc>
        <w:tc>
          <w:tcPr>
            <w:tcW w:w="708"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36.32</w:t>
            </w:r>
          </w:p>
        </w:tc>
        <w:tc>
          <w:tcPr>
            <w:tcW w:w="933"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113.84</w:t>
            </w:r>
          </w:p>
        </w:tc>
        <w:tc>
          <w:tcPr>
            <w:tcW w:w="117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62.58</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78.95</w:t>
            </w:r>
          </w:p>
        </w:tc>
        <w:tc>
          <w:tcPr>
            <w:tcW w:w="754"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16.37</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2013 Q1</w:t>
            </w:r>
          </w:p>
        </w:tc>
        <w:tc>
          <w:tcPr>
            <w:tcW w:w="141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72.87</w:t>
            </w:r>
          </w:p>
        </w:tc>
        <w:tc>
          <w:tcPr>
            <w:tcW w:w="879"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13.31</w:t>
            </w:r>
          </w:p>
        </w:tc>
        <w:tc>
          <w:tcPr>
            <w:tcW w:w="708"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34.61</w:t>
            </w:r>
          </w:p>
        </w:tc>
        <w:tc>
          <w:tcPr>
            <w:tcW w:w="933"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117.31</w:t>
            </w:r>
          </w:p>
        </w:tc>
        <w:tc>
          <w:tcPr>
            <w:tcW w:w="117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64.47</w:t>
            </w:r>
          </w:p>
        </w:tc>
        <w:tc>
          <w:tcPr>
            <w:tcW w:w="108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81.69</w:t>
            </w:r>
          </w:p>
        </w:tc>
        <w:tc>
          <w:tcPr>
            <w:tcW w:w="754"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17.22</w:t>
            </w:r>
          </w:p>
        </w:tc>
      </w:tr>
    </w:tbl>
    <w:p w:rsidR="004A53BD" w:rsidRDefault="004A53BD" w:rsidP="004A53BD">
      <w:pPr>
        <w:adjustRightInd w:val="0"/>
        <w:rPr>
          <w:color w:val="000000"/>
        </w:rPr>
      </w:pPr>
    </w:p>
    <w:p w:rsidR="004A53BD" w:rsidRDefault="004A53BD" w:rsidP="004A53BD">
      <w:pPr>
        <w:adjustRightInd w:val="0"/>
        <w:jc w:val="center"/>
      </w:pPr>
    </w:p>
    <w:p w:rsidR="004A53BD" w:rsidRDefault="004A53BD" w:rsidP="00851C46">
      <w:pPr>
        <w:adjustRightInd w:val="0"/>
        <w:jc w:val="center"/>
        <w:rPr>
          <w:color w:val="000000"/>
        </w:rPr>
        <w:sectPr w:rsidR="004A53BD">
          <w:headerReference w:type="default" r:id="rId13"/>
          <w:type w:val="continuous"/>
          <w:pgSz w:w="12240" w:h="15840"/>
          <w:pgMar w:top="360" w:right="360" w:bottom="360" w:left="360" w:header="720" w:footer="360" w:gutter="0"/>
          <w:cols w:space="720"/>
        </w:sectPr>
      </w:pPr>
    </w:p>
    <w:p w:rsidR="004A53BD" w:rsidRDefault="004A53BD" w:rsidP="00851C46">
      <w:pPr>
        <w:adjustRightInd w:val="0"/>
        <w:spacing w:before="10" w:after="10"/>
        <w:jc w:val="center"/>
        <w:rPr>
          <w:b/>
          <w:bCs/>
          <w:i/>
          <w:iCs/>
          <w:color w:val="000000"/>
          <w:sz w:val="26"/>
          <w:szCs w:val="26"/>
        </w:rPr>
      </w:pPr>
      <w:r>
        <w:rPr>
          <w:b/>
          <w:bCs/>
          <w:i/>
          <w:iCs/>
          <w:color w:val="000000"/>
          <w:sz w:val="26"/>
          <w:szCs w:val="26"/>
        </w:rPr>
        <w:lastRenderedPageBreak/>
        <w:t>Deciles</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920"/>
        <w:gridCol w:w="1085"/>
        <w:gridCol w:w="1085"/>
        <w:gridCol w:w="1085"/>
        <w:gridCol w:w="1085"/>
        <w:gridCol w:w="1085"/>
        <w:gridCol w:w="1085"/>
        <w:gridCol w:w="1085"/>
        <w:gridCol w:w="1085"/>
        <w:gridCol w:w="1100"/>
      </w:tblGrid>
      <w:tr w:rsidR="004A53BD" w:rsidRPr="00D760C4" w:rsidTr="002B4BFA">
        <w:tblPrEx>
          <w:tblCellMar>
            <w:top w:w="0" w:type="dxa"/>
            <w:bottom w:w="0" w:type="dxa"/>
          </w:tblCellMar>
        </w:tblPrEx>
        <w:trPr>
          <w:cantSplit/>
          <w:tblHeader/>
          <w:jc w:val="center"/>
        </w:trPr>
        <w:tc>
          <w:tcPr>
            <w:tcW w:w="920" w:type="dxa"/>
            <w:tcBorders>
              <w:top w:val="single" w:sz="6" w:space="0" w:color="000000"/>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bookmarkStart w:id="9" w:name="IDX6"/>
            <w:bookmarkEnd w:id="9"/>
            <w:r w:rsidRPr="00D760C4">
              <w:rPr>
                <w:b/>
                <w:bCs/>
                <w:color w:val="000000"/>
                <w:sz w:val="22"/>
                <w:szCs w:val="22"/>
              </w:rPr>
              <w:t>Quarter</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10th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20th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30th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40th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50th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60th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70th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80th Percentile</w:t>
            </w:r>
          </w:p>
        </w:tc>
        <w:tc>
          <w:tcPr>
            <w:tcW w:w="1100" w:type="dxa"/>
            <w:tcBorders>
              <w:top w:val="single" w:sz="6" w:space="0" w:color="000000"/>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90th Percentile</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60.33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68.72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74.52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78.76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81.71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84.49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88.58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93.18</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100.76</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57.38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65.65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72.38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75.45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79.12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82.36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85.90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90.41</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98.50</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55.42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63.39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68.55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72.51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75.65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78.57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82.07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87.63</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92.29</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56.03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64.32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68.92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73.35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77.32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79.49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82.74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87.48</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93.30</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57.83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66.86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71.93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75.64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79.70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82.85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86.61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91.96</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98.33</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56.20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65.33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70.91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74.61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78.34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80.80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85.14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88.90</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95.84</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54.88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62.62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67.97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71.80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76.08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78.63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81.63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86.12</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95.22</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55.15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63.64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69.58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73.06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77.18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79.76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82.88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87.62</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92.43</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58.37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66.93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72.41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76.40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79.56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83.28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87.16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90.83</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98.49</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55.70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63.80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69.53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73.18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77.38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80.10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83.31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87.94</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93.94</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53.45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59.53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66.06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69.71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73.60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76.95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80.91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84.09</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90.20</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52.60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59.85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67.28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70.34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73.29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76.66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79.24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84.21</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89.66</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56.64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63.26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70.28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74.29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76.90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80.22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84.39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88.27</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93.45</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53.51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59.51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65.51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69.13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71.57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74.37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77.92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82.61</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87.29</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50.70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56.45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63.33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66.17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68.75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71.85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75.45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80.05</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86.00</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52.24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59.82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65.26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68.02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70.82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73.88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77.06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81.97</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86.36</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2013 Q1</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53.91</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61.72</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67.16</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70.94</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73.65</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76.62</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79.74</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83.67</w:t>
            </w:r>
          </w:p>
        </w:tc>
        <w:tc>
          <w:tcPr>
            <w:tcW w:w="1100"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88.80</w:t>
            </w:r>
          </w:p>
        </w:tc>
      </w:tr>
    </w:tbl>
    <w:p w:rsidR="004A53BD" w:rsidRDefault="004A53BD" w:rsidP="004A53BD">
      <w:pPr>
        <w:adjustRightInd w:val="0"/>
        <w:rPr>
          <w:color w:val="000000"/>
        </w:rPr>
      </w:pPr>
    </w:p>
    <w:p w:rsidR="004A53BD" w:rsidRDefault="004A53BD" w:rsidP="004A53BD">
      <w:pPr>
        <w:adjustRightInd w:val="0"/>
        <w:jc w:val="center"/>
      </w:pPr>
    </w:p>
    <w:p w:rsidR="004A53BD" w:rsidRDefault="004A53BD" w:rsidP="00851C46">
      <w:pPr>
        <w:adjustRightInd w:val="0"/>
        <w:jc w:val="center"/>
        <w:rPr>
          <w:b/>
          <w:bCs/>
          <w:i/>
          <w:iCs/>
          <w:color w:val="000000"/>
          <w:sz w:val="26"/>
          <w:szCs w:val="26"/>
        </w:rPr>
      </w:pPr>
      <w:r>
        <w:rPr>
          <w:color w:val="000000"/>
        </w:rPr>
        <w:br w:type="page"/>
      </w:r>
      <w:r>
        <w:rPr>
          <w:b/>
          <w:bCs/>
          <w:i/>
          <w:iCs/>
          <w:color w:val="000000"/>
          <w:sz w:val="26"/>
          <w:szCs w:val="26"/>
        </w:rPr>
        <w:lastRenderedPageBreak/>
        <w:t xml:space="preserve">Community 2009 to 2012 </w:t>
      </w:r>
      <w:proofErr w:type="spellStart"/>
      <w:r>
        <w:rPr>
          <w:b/>
          <w:bCs/>
          <w:i/>
          <w:iCs/>
          <w:color w:val="000000"/>
          <w:sz w:val="26"/>
          <w:szCs w:val="26"/>
        </w:rPr>
        <w:t>Rehospitalizations</w:t>
      </w:r>
      <w:proofErr w:type="spellEnd"/>
      <w:r>
        <w:rPr>
          <w:b/>
          <w:bCs/>
          <w:i/>
          <w:iCs/>
          <w:color w:val="000000"/>
          <w:sz w:val="26"/>
          <w:szCs w:val="26"/>
        </w:rPr>
        <w:t xml:space="preserve"> per 1000</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609"/>
        <w:gridCol w:w="1410"/>
        <w:gridCol w:w="674"/>
        <w:gridCol w:w="879"/>
        <w:gridCol w:w="671"/>
        <w:gridCol w:w="810"/>
        <w:gridCol w:w="1080"/>
        <w:gridCol w:w="1080"/>
        <w:gridCol w:w="913"/>
      </w:tblGrid>
      <w:tr w:rsidR="004A53BD" w:rsidRPr="00D760C4" w:rsidTr="004A53BD">
        <w:tblPrEx>
          <w:tblCellMar>
            <w:top w:w="0" w:type="dxa"/>
            <w:bottom w:w="0" w:type="dxa"/>
          </w:tblCellMar>
        </w:tblPrEx>
        <w:trPr>
          <w:cantSplit/>
          <w:tblHeader/>
          <w:jc w:val="center"/>
        </w:trPr>
        <w:tc>
          <w:tcPr>
            <w:tcW w:w="609" w:type="dxa"/>
            <w:tcBorders>
              <w:top w:val="single" w:sz="6" w:space="0" w:color="000000"/>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bookmarkStart w:id="10" w:name="IDX7"/>
            <w:bookmarkEnd w:id="10"/>
            <w:r w:rsidRPr="00D760C4">
              <w:rPr>
                <w:b/>
                <w:bCs/>
                <w:color w:val="000000"/>
                <w:sz w:val="22"/>
                <w:szCs w:val="22"/>
              </w:rPr>
              <w:t>Year</w:t>
            </w:r>
          </w:p>
        </w:tc>
        <w:tc>
          <w:tcPr>
            <w:tcW w:w="141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Communities</w:t>
            </w:r>
          </w:p>
        </w:tc>
        <w:tc>
          <w:tcPr>
            <w:tcW w:w="674"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Mean</w:t>
            </w:r>
          </w:p>
        </w:tc>
        <w:tc>
          <w:tcPr>
            <w:tcW w:w="879"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Std Dev</w:t>
            </w:r>
          </w:p>
        </w:tc>
        <w:tc>
          <w:tcPr>
            <w:tcW w:w="671"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Min</w:t>
            </w:r>
          </w:p>
        </w:tc>
        <w:tc>
          <w:tcPr>
            <w:tcW w:w="81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Max</w:t>
            </w:r>
          </w:p>
        </w:tc>
        <w:tc>
          <w:tcPr>
            <w:tcW w:w="108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25th Percentile</w:t>
            </w:r>
          </w:p>
        </w:tc>
        <w:tc>
          <w:tcPr>
            <w:tcW w:w="108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75th Percentile</w:t>
            </w:r>
          </w:p>
        </w:tc>
        <w:tc>
          <w:tcPr>
            <w:tcW w:w="913" w:type="dxa"/>
            <w:tcBorders>
              <w:top w:val="single" w:sz="6" w:space="0" w:color="000000"/>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IQR</w:t>
            </w:r>
          </w:p>
        </w:tc>
      </w:tr>
      <w:tr w:rsidR="004A53BD" w:rsidRPr="00D760C4" w:rsidTr="004A53BD">
        <w:tblPrEx>
          <w:tblCellMar>
            <w:top w:w="0" w:type="dxa"/>
            <w:bottom w:w="0" w:type="dxa"/>
          </w:tblCellMar>
        </w:tblPrEx>
        <w:trPr>
          <w:cantSplit/>
          <w:jc w:val="center"/>
        </w:trPr>
        <w:tc>
          <w:tcPr>
            <w:tcW w:w="60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57.44</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18.81</w:t>
            </w:r>
          </w:p>
        </w:tc>
        <w:tc>
          <w:tcPr>
            <w:tcW w:w="671"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22.78</w:t>
            </w:r>
          </w:p>
        </w:tc>
        <w:tc>
          <w:tcPr>
            <w:tcW w:w="8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136.08</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45.61</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67.12</w:t>
            </w:r>
          </w:p>
        </w:tc>
        <w:tc>
          <w:tcPr>
            <w:tcW w:w="913"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21.51</w:t>
            </w:r>
          </w:p>
        </w:tc>
      </w:tr>
      <w:tr w:rsidR="004A53BD" w:rsidRPr="00D760C4" w:rsidTr="004A53BD">
        <w:tblPrEx>
          <w:tblCellMar>
            <w:top w:w="0" w:type="dxa"/>
            <w:bottom w:w="0" w:type="dxa"/>
          </w:tblCellMar>
        </w:tblPrEx>
        <w:trPr>
          <w:cantSplit/>
          <w:jc w:val="center"/>
        </w:trPr>
        <w:tc>
          <w:tcPr>
            <w:tcW w:w="60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56.72</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18.70</w:t>
            </w:r>
          </w:p>
        </w:tc>
        <w:tc>
          <w:tcPr>
            <w:tcW w:w="671"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18.65</w:t>
            </w:r>
          </w:p>
        </w:tc>
        <w:tc>
          <w:tcPr>
            <w:tcW w:w="8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127.06</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43.56</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66.80</w:t>
            </w:r>
          </w:p>
        </w:tc>
        <w:tc>
          <w:tcPr>
            <w:tcW w:w="913"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23.24</w:t>
            </w:r>
          </w:p>
        </w:tc>
      </w:tr>
      <w:tr w:rsidR="004A53BD" w:rsidRPr="00D760C4" w:rsidTr="004A53BD">
        <w:tblPrEx>
          <w:tblCellMar>
            <w:top w:w="0" w:type="dxa"/>
            <w:bottom w:w="0" w:type="dxa"/>
          </w:tblCellMar>
        </w:tblPrEx>
        <w:trPr>
          <w:cantSplit/>
          <w:jc w:val="center"/>
        </w:trPr>
        <w:tc>
          <w:tcPr>
            <w:tcW w:w="60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55.10</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18.00</w:t>
            </w:r>
          </w:p>
        </w:tc>
        <w:tc>
          <w:tcPr>
            <w:tcW w:w="671"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24.38</w:t>
            </w:r>
          </w:p>
        </w:tc>
        <w:tc>
          <w:tcPr>
            <w:tcW w:w="8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128.88</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42.21</w:t>
            </w:r>
          </w:p>
        </w:tc>
        <w:tc>
          <w:tcPr>
            <w:tcW w:w="108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64.68</w:t>
            </w:r>
          </w:p>
        </w:tc>
        <w:tc>
          <w:tcPr>
            <w:tcW w:w="913"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22.47</w:t>
            </w:r>
          </w:p>
        </w:tc>
      </w:tr>
      <w:tr w:rsidR="004A53BD" w:rsidRPr="00D760C4" w:rsidTr="004A53BD">
        <w:tblPrEx>
          <w:tblCellMar>
            <w:top w:w="0" w:type="dxa"/>
            <w:bottom w:w="0" w:type="dxa"/>
          </w:tblCellMar>
        </w:tblPrEx>
        <w:trPr>
          <w:cantSplit/>
          <w:jc w:val="center"/>
        </w:trPr>
        <w:tc>
          <w:tcPr>
            <w:tcW w:w="609"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w:t>
            </w:r>
          </w:p>
        </w:tc>
        <w:tc>
          <w:tcPr>
            <w:tcW w:w="141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51.19</w:t>
            </w:r>
          </w:p>
        </w:tc>
        <w:tc>
          <w:tcPr>
            <w:tcW w:w="879"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16.74</w:t>
            </w:r>
          </w:p>
        </w:tc>
        <w:tc>
          <w:tcPr>
            <w:tcW w:w="671"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21.50</w:t>
            </w:r>
          </w:p>
        </w:tc>
        <w:tc>
          <w:tcPr>
            <w:tcW w:w="81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123.41</w:t>
            </w:r>
          </w:p>
        </w:tc>
        <w:tc>
          <w:tcPr>
            <w:tcW w:w="108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40.35</w:t>
            </w:r>
          </w:p>
        </w:tc>
        <w:tc>
          <w:tcPr>
            <w:tcW w:w="108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60.28</w:t>
            </w:r>
          </w:p>
        </w:tc>
        <w:tc>
          <w:tcPr>
            <w:tcW w:w="913"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19.93</w:t>
            </w:r>
          </w:p>
        </w:tc>
      </w:tr>
    </w:tbl>
    <w:p w:rsidR="004A53BD" w:rsidRDefault="004A53BD" w:rsidP="004A53BD">
      <w:pPr>
        <w:adjustRightInd w:val="0"/>
      </w:pPr>
    </w:p>
    <w:p w:rsidR="004A53BD" w:rsidRDefault="004A53BD" w:rsidP="004A53BD">
      <w:pPr>
        <w:adjustRightInd w:val="0"/>
        <w:rPr>
          <w:color w:val="000000"/>
        </w:rPr>
        <w:sectPr w:rsidR="004A53BD">
          <w:headerReference w:type="default" r:id="rId14"/>
          <w:type w:val="continuous"/>
          <w:pgSz w:w="12240" w:h="15840"/>
          <w:pgMar w:top="360" w:right="360" w:bottom="360" w:left="360" w:header="720" w:footer="360" w:gutter="0"/>
          <w:cols w:space="720"/>
        </w:sectPr>
      </w:pPr>
    </w:p>
    <w:p w:rsidR="004A53BD" w:rsidRDefault="004A53BD" w:rsidP="004A53BD">
      <w:pPr>
        <w:adjustRightInd w:val="0"/>
        <w:spacing w:before="10" w:after="10"/>
        <w:jc w:val="center"/>
        <w:rPr>
          <w:b/>
          <w:bCs/>
          <w:i/>
          <w:iCs/>
          <w:color w:val="000000"/>
          <w:sz w:val="26"/>
          <w:szCs w:val="26"/>
        </w:rPr>
      </w:pPr>
      <w:r>
        <w:rPr>
          <w:b/>
          <w:bCs/>
          <w:i/>
          <w:iCs/>
          <w:color w:val="000000"/>
          <w:sz w:val="26"/>
          <w:szCs w:val="26"/>
        </w:rPr>
        <w:lastRenderedPageBreak/>
        <w:t>Deciles</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609"/>
        <w:gridCol w:w="1085"/>
        <w:gridCol w:w="1085"/>
        <w:gridCol w:w="1085"/>
        <w:gridCol w:w="1085"/>
        <w:gridCol w:w="1085"/>
        <w:gridCol w:w="1085"/>
        <w:gridCol w:w="1085"/>
        <w:gridCol w:w="1085"/>
        <w:gridCol w:w="1100"/>
      </w:tblGrid>
      <w:tr w:rsidR="004A53BD" w:rsidRPr="00D760C4" w:rsidTr="002B4BFA">
        <w:tblPrEx>
          <w:tblCellMar>
            <w:top w:w="0" w:type="dxa"/>
            <w:bottom w:w="0" w:type="dxa"/>
          </w:tblCellMar>
        </w:tblPrEx>
        <w:trPr>
          <w:cantSplit/>
          <w:tblHeader/>
          <w:jc w:val="center"/>
        </w:trPr>
        <w:tc>
          <w:tcPr>
            <w:tcW w:w="609" w:type="dxa"/>
            <w:tcBorders>
              <w:top w:val="single" w:sz="6" w:space="0" w:color="000000"/>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bookmarkStart w:id="11" w:name="IDX8"/>
            <w:bookmarkEnd w:id="11"/>
            <w:r w:rsidRPr="00D760C4">
              <w:rPr>
                <w:b/>
                <w:bCs/>
                <w:color w:val="000000"/>
                <w:sz w:val="22"/>
                <w:szCs w:val="22"/>
              </w:rPr>
              <w:t>Year</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10th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20th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30th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40th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50th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60th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70th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80th Percentile</w:t>
            </w:r>
          </w:p>
        </w:tc>
        <w:tc>
          <w:tcPr>
            <w:tcW w:w="1100" w:type="dxa"/>
            <w:tcBorders>
              <w:top w:val="single" w:sz="6" w:space="0" w:color="000000"/>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90th Percentile</w:t>
            </w:r>
          </w:p>
        </w:tc>
      </w:tr>
      <w:tr w:rsidR="004A53BD" w:rsidRPr="00D760C4" w:rsidTr="002B4BFA">
        <w:tblPrEx>
          <w:tblCellMar>
            <w:top w:w="0" w:type="dxa"/>
            <w:bottom w:w="0" w:type="dxa"/>
          </w:tblCellMar>
        </w:tblPrEx>
        <w:trPr>
          <w:cantSplit/>
          <w:jc w:val="center"/>
        </w:trPr>
        <w:tc>
          <w:tcPr>
            <w:tcW w:w="60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34.21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42.12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47.26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51.71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56.14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59.04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64.73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70.75</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78.56</w:t>
            </w:r>
          </w:p>
        </w:tc>
      </w:tr>
      <w:tr w:rsidR="004A53BD" w:rsidRPr="00D760C4" w:rsidTr="002B4BFA">
        <w:tblPrEx>
          <w:tblCellMar>
            <w:top w:w="0" w:type="dxa"/>
            <w:bottom w:w="0" w:type="dxa"/>
          </w:tblCellMar>
        </w:tblPrEx>
        <w:trPr>
          <w:cantSplit/>
          <w:jc w:val="center"/>
        </w:trPr>
        <w:tc>
          <w:tcPr>
            <w:tcW w:w="60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32.54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41.56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46.97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51.11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56.54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59.64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63.84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69.60</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78.31</w:t>
            </w:r>
          </w:p>
        </w:tc>
      </w:tr>
      <w:tr w:rsidR="004A53BD" w:rsidRPr="00D760C4" w:rsidTr="002B4BFA">
        <w:tblPrEx>
          <w:tblCellMar>
            <w:top w:w="0" w:type="dxa"/>
            <w:bottom w:w="0" w:type="dxa"/>
          </w:tblCellMar>
        </w:tblPrEx>
        <w:trPr>
          <w:cantSplit/>
          <w:jc w:val="center"/>
        </w:trPr>
        <w:tc>
          <w:tcPr>
            <w:tcW w:w="609"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32.25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39.07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46.43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49.61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54.26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57.92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62.03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68.33</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77.01</w:t>
            </w:r>
          </w:p>
        </w:tc>
      </w:tr>
      <w:tr w:rsidR="004A53BD" w:rsidRPr="00D760C4" w:rsidTr="002B4BFA">
        <w:tblPrEx>
          <w:tblCellMar>
            <w:top w:w="0" w:type="dxa"/>
            <w:bottom w:w="0" w:type="dxa"/>
          </w:tblCellMar>
        </w:tblPrEx>
        <w:trPr>
          <w:cantSplit/>
          <w:jc w:val="center"/>
        </w:trPr>
        <w:tc>
          <w:tcPr>
            <w:tcW w:w="609"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29.54</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37.43</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43.39</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45.97</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49.19</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53.89</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57.46</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63.77</w:t>
            </w:r>
          </w:p>
        </w:tc>
        <w:tc>
          <w:tcPr>
            <w:tcW w:w="1100"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70.03</w:t>
            </w:r>
          </w:p>
        </w:tc>
      </w:tr>
    </w:tbl>
    <w:p w:rsidR="004A53BD" w:rsidRDefault="004A53BD" w:rsidP="004A53BD">
      <w:pPr>
        <w:adjustRightInd w:val="0"/>
        <w:rPr>
          <w:color w:val="000000"/>
        </w:rPr>
      </w:pPr>
    </w:p>
    <w:p w:rsidR="004A53BD" w:rsidRDefault="004A53BD" w:rsidP="004A53BD">
      <w:pPr>
        <w:adjustRightInd w:val="0"/>
        <w:rPr>
          <w:color w:val="000000"/>
        </w:rPr>
        <w:sectPr w:rsidR="004A53BD">
          <w:headerReference w:type="default" r:id="rId15"/>
          <w:type w:val="continuous"/>
          <w:pgSz w:w="12240" w:h="15840"/>
          <w:pgMar w:top="360" w:right="360" w:bottom="360" w:left="360" w:header="720" w:footer="360" w:gutter="0"/>
          <w:cols w:space="720"/>
        </w:sectPr>
      </w:pPr>
    </w:p>
    <w:p w:rsidR="004A53BD" w:rsidRDefault="004A53BD" w:rsidP="004A53BD">
      <w:pPr>
        <w:adjustRightInd w:val="0"/>
        <w:spacing w:before="10" w:after="10"/>
        <w:jc w:val="center"/>
        <w:rPr>
          <w:b/>
          <w:bCs/>
          <w:i/>
          <w:iCs/>
          <w:color w:val="000000"/>
          <w:sz w:val="26"/>
          <w:szCs w:val="26"/>
        </w:rPr>
      </w:pPr>
      <w:r>
        <w:rPr>
          <w:b/>
          <w:bCs/>
          <w:i/>
          <w:iCs/>
          <w:color w:val="000000"/>
          <w:sz w:val="26"/>
          <w:szCs w:val="26"/>
        </w:rPr>
        <w:lastRenderedPageBreak/>
        <w:t>Relative Improvement (2010 to 2012)</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405"/>
        <w:gridCol w:w="1086"/>
        <w:gridCol w:w="1125"/>
        <w:gridCol w:w="674"/>
        <w:gridCol w:w="978"/>
        <w:gridCol w:w="978"/>
        <w:gridCol w:w="993"/>
      </w:tblGrid>
      <w:tr w:rsidR="004A53BD" w:rsidRPr="00D760C4" w:rsidTr="002B4BFA">
        <w:tblPrEx>
          <w:tblCellMar>
            <w:top w:w="0" w:type="dxa"/>
            <w:bottom w:w="0" w:type="dxa"/>
          </w:tblCellMar>
        </w:tblPrEx>
        <w:trPr>
          <w:cantSplit/>
          <w:tblHeader/>
          <w:jc w:val="center"/>
        </w:trPr>
        <w:tc>
          <w:tcPr>
            <w:tcW w:w="6239" w:type="dxa"/>
            <w:gridSpan w:val="7"/>
            <w:tcBorders>
              <w:top w:val="single" w:sz="6" w:space="0" w:color="000000"/>
              <w:left w:val="single" w:sz="6"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center"/>
              <w:rPr>
                <w:b/>
                <w:bCs/>
                <w:color w:val="000000"/>
                <w:sz w:val="22"/>
                <w:szCs w:val="22"/>
              </w:rPr>
            </w:pPr>
            <w:bookmarkStart w:id="12" w:name="IDX9"/>
            <w:bookmarkEnd w:id="12"/>
            <w:r w:rsidRPr="00D760C4">
              <w:rPr>
                <w:b/>
                <w:bCs/>
                <w:color w:val="000000"/>
                <w:sz w:val="22"/>
                <w:szCs w:val="22"/>
              </w:rPr>
              <w:t xml:space="preserve">Analysis Variable : </w:t>
            </w:r>
            <w:proofErr w:type="spellStart"/>
            <w:r w:rsidRPr="00D760C4">
              <w:rPr>
                <w:b/>
                <w:bCs/>
                <w:color w:val="000000"/>
                <w:sz w:val="22"/>
                <w:szCs w:val="22"/>
              </w:rPr>
              <w:t>RIreadm</w:t>
            </w:r>
            <w:proofErr w:type="spellEnd"/>
          </w:p>
        </w:tc>
      </w:tr>
      <w:tr w:rsidR="004A53BD" w:rsidRPr="00D760C4" w:rsidTr="002B4BFA">
        <w:tblPrEx>
          <w:tblCellMar>
            <w:top w:w="0" w:type="dxa"/>
            <w:bottom w:w="0" w:type="dxa"/>
          </w:tblCellMar>
        </w:tblPrEx>
        <w:trPr>
          <w:cantSplit/>
          <w:tblHeader/>
          <w:jc w:val="center"/>
        </w:trPr>
        <w:tc>
          <w:tcPr>
            <w:tcW w:w="405" w:type="dxa"/>
            <w:tcBorders>
              <w:top w:val="nil"/>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N</w:t>
            </w:r>
          </w:p>
        </w:tc>
        <w:tc>
          <w:tcPr>
            <w:tcW w:w="1086"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Minimum</w:t>
            </w:r>
          </w:p>
        </w:tc>
        <w:tc>
          <w:tcPr>
            <w:tcW w:w="1125"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Maximum</w:t>
            </w:r>
          </w:p>
        </w:tc>
        <w:tc>
          <w:tcPr>
            <w:tcW w:w="674"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Mean</w:t>
            </w:r>
          </w:p>
        </w:tc>
        <w:tc>
          <w:tcPr>
            <w:tcW w:w="978"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 xml:space="preserve">25th </w:t>
            </w:r>
            <w:proofErr w:type="spellStart"/>
            <w:r w:rsidRPr="00D760C4">
              <w:rPr>
                <w:b/>
                <w:bCs/>
                <w:color w:val="000000"/>
                <w:sz w:val="22"/>
                <w:szCs w:val="22"/>
              </w:rPr>
              <w:t>Pctl</w:t>
            </w:r>
            <w:proofErr w:type="spellEnd"/>
          </w:p>
        </w:tc>
        <w:tc>
          <w:tcPr>
            <w:tcW w:w="978" w:type="dxa"/>
            <w:tcBorders>
              <w:top w:val="nil"/>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 xml:space="preserve">50th </w:t>
            </w:r>
            <w:proofErr w:type="spellStart"/>
            <w:r w:rsidRPr="00D760C4">
              <w:rPr>
                <w:b/>
                <w:bCs/>
                <w:color w:val="000000"/>
                <w:sz w:val="22"/>
                <w:szCs w:val="22"/>
              </w:rPr>
              <w:t>Pctl</w:t>
            </w:r>
            <w:proofErr w:type="spellEnd"/>
          </w:p>
        </w:tc>
        <w:tc>
          <w:tcPr>
            <w:tcW w:w="993" w:type="dxa"/>
            <w:tcBorders>
              <w:top w:val="nil"/>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 xml:space="preserve">75th </w:t>
            </w:r>
            <w:proofErr w:type="spellStart"/>
            <w:r w:rsidRPr="00D760C4">
              <w:rPr>
                <w:b/>
                <w:bCs/>
                <w:color w:val="000000"/>
                <w:sz w:val="22"/>
                <w:szCs w:val="22"/>
              </w:rPr>
              <w:t>Pctl</w:t>
            </w:r>
            <w:proofErr w:type="spellEnd"/>
          </w:p>
        </w:tc>
      </w:tr>
      <w:tr w:rsidR="004A53BD" w:rsidRPr="00D760C4" w:rsidTr="002B4BFA">
        <w:tblPrEx>
          <w:tblCellMar>
            <w:top w:w="0" w:type="dxa"/>
            <w:bottom w:w="0" w:type="dxa"/>
          </w:tblCellMar>
        </w:tblPrEx>
        <w:trPr>
          <w:cantSplit/>
          <w:jc w:val="center"/>
        </w:trPr>
        <w:tc>
          <w:tcPr>
            <w:tcW w:w="405"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53</w:t>
            </w:r>
          </w:p>
        </w:tc>
        <w:tc>
          <w:tcPr>
            <w:tcW w:w="1086"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-2.42</w:t>
            </w:r>
          </w:p>
        </w:tc>
        <w:tc>
          <w:tcPr>
            <w:tcW w:w="112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16.45</w:t>
            </w:r>
          </w:p>
        </w:tc>
        <w:tc>
          <w:tcPr>
            <w:tcW w:w="674"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8.83</w:t>
            </w:r>
          </w:p>
        </w:tc>
        <w:tc>
          <w:tcPr>
            <w:tcW w:w="978"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6.47</w:t>
            </w:r>
          </w:p>
        </w:tc>
        <w:tc>
          <w:tcPr>
            <w:tcW w:w="978"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9.17</w:t>
            </w:r>
          </w:p>
        </w:tc>
        <w:tc>
          <w:tcPr>
            <w:tcW w:w="993"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11.91</w:t>
            </w:r>
          </w:p>
        </w:tc>
      </w:tr>
    </w:tbl>
    <w:p w:rsidR="004A53BD" w:rsidRDefault="004A53BD" w:rsidP="004A53BD">
      <w:pPr>
        <w:adjustRightInd w:val="0"/>
        <w:rPr>
          <w:color w:val="000000"/>
        </w:rPr>
      </w:pPr>
    </w:p>
    <w:p w:rsidR="004A53BD" w:rsidRDefault="004A53BD" w:rsidP="004A53BD">
      <w:pPr>
        <w:adjustRightInd w:val="0"/>
        <w:rPr>
          <w:color w:val="000000"/>
        </w:rPr>
      </w:pPr>
    </w:p>
    <w:p w:rsidR="004A53BD" w:rsidRDefault="004A53BD" w:rsidP="004A53BD">
      <w:pPr>
        <w:adjustRightInd w:val="0"/>
        <w:jc w:val="center"/>
      </w:pPr>
    </w:p>
    <w:p w:rsidR="004A53BD" w:rsidRDefault="004A53BD" w:rsidP="004A53BD">
      <w:pPr>
        <w:adjustRightInd w:val="0"/>
        <w:rPr>
          <w:color w:val="000000"/>
        </w:rPr>
      </w:pPr>
      <w:r>
        <w:rPr>
          <w:color w:val="000000"/>
        </w:rPr>
        <w:br w:type="page"/>
      </w:r>
    </w:p>
    <w:p w:rsidR="004A53BD" w:rsidRDefault="004A53BD" w:rsidP="004A53BD">
      <w:pPr>
        <w:adjustRightInd w:val="0"/>
        <w:rPr>
          <w:color w:val="000000"/>
        </w:rPr>
        <w:sectPr w:rsidR="004A53BD">
          <w:headerReference w:type="default" r:id="rId16"/>
          <w:type w:val="continuous"/>
          <w:pgSz w:w="12240" w:h="15840"/>
          <w:pgMar w:top="360" w:right="360" w:bottom="360" w:left="360" w:header="720" w:footer="360" w:gutter="0"/>
          <w:cols w:space="720"/>
        </w:sectPr>
      </w:pPr>
    </w:p>
    <w:p w:rsidR="004A53BD" w:rsidRDefault="004A53BD" w:rsidP="004A53BD">
      <w:pPr>
        <w:adjustRightInd w:val="0"/>
        <w:spacing w:before="10" w:after="10"/>
        <w:jc w:val="center"/>
        <w:rPr>
          <w:b/>
          <w:bCs/>
          <w:i/>
          <w:iCs/>
          <w:color w:val="000000"/>
          <w:sz w:val="26"/>
          <w:szCs w:val="26"/>
        </w:rPr>
      </w:pPr>
      <w:r>
        <w:rPr>
          <w:b/>
          <w:bCs/>
          <w:i/>
          <w:iCs/>
          <w:color w:val="000000"/>
          <w:sz w:val="26"/>
          <w:szCs w:val="26"/>
        </w:rPr>
        <w:lastRenderedPageBreak/>
        <w:t xml:space="preserve">Community Quarterly </w:t>
      </w:r>
      <w:proofErr w:type="spellStart"/>
      <w:r>
        <w:rPr>
          <w:b/>
          <w:bCs/>
          <w:i/>
          <w:iCs/>
          <w:color w:val="000000"/>
          <w:sz w:val="26"/>
          <w:szCs w:val="26"/>
        </w:rPr>
        <w:t>Rehospitalizations</w:t>
      </w:r>
      <w:proofErr w:type="spellEnd"/>
      <w:r>
        <w:rPr>
          <w:b/>
          <w:bCs/>
          <w:i/>
          <w:iCs/>
          <w:color w:val="000000"/>
          <w:sz w:val="26"/>
          <w:szCs w:val="26"/>
        </w:rPr>
        <w:t xml:space="preserve"> per 1000</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920"/>
        <w:gridCol w:w="1410"/>
        <w:gridCol w:w="674"/>
        <w:gridCol w:w="879"/>
        <w:gridCol w:w="704"/>
        <w:gridCol w:w="720"/>
        <w:gridCol w:w="1620"/>
        <w:gridCol w:w="1530"/>
        <w:gridCol w:w="716"/>
      </w:tblGrid>
      <w:tr w:rsidR="004A53BD" w:rsidRPr="00D760C4" w:rsidTr="004A53BD">
        <w:tblPrEx>
          <w:tblCellMar>
            <w:top w:w="0" w:type="dxa"/>
            <w:bottom w:w="0" w:type="dxa"/>
          </w:tblCellMar>
        </w:tblPrEx>
        <w:trPr>
          <w:cantSplit/>
          <w:tblHeader/>
          <w:jc w:val="center"/>
        </w:trPr>
        <w:tc>
          <w:tcPr>
            <w:tcW w:w="920" w:type="dxa"/>
            <w:tcBorders>
              <w:top w:val="single" w:sz="6" w:space="0" w:color="000000"/>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bookmarkStart w:id="13" w:name="IDX10"/>
            <w:bookmarkEnd w:id="13"/>
            <w:r w:rsidRPr="00D760C4">
              <w:rPr>
                <w:b/>
                <w:bCs/>
                <w:color w:val="000000"/>
                <w:sz w:val="22"/>
                <w:szCs w:val="22"/>
              </w:rPr>
              <w:t>Quarter</w:t>
            </w:r>
          </w:p>
        </w:tc>
        <w:tc>
          <w:tcPr>
            <w:tcW w:w="141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Communities</w:t>
            </w:r>
          </w:p>
        </w:tc>
        <w:tc>
          <w:tcPr>
            <w:tcW w:w="674"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Mean</w:t>
            </w:r>
          </w:p>
        </w:tc>
        <w:tc>
          <w:tcPr>
            <w:tcW w:w="879"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Std Dev</w:t>
            </w:r>
          </w:p>
        </w:tc>
        <w:tc>
          <w:tcPr>
            <w:tcW w:w="704"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Min</w:t>
            </w:r>
          </w:p>
        </w:tc>
        <w:tc>
          <w:tcPr>
            <w:tcW w:w="72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Max</w:t>
            </w:r>
          </w:p>
        </w:tc>
        <w:tc>
          <w:tcPr>
            <w:tcW w:w="162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25th Percentile</w:t>
            </w:r>
          </w:p>
        </w:tc>
        <w:tc>
          <w:tcPr>
            <w:tcW w:w="1530"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75th Percentile</w:t>
            </w:r>
          </w:p>
        </w:tc>
        <w:tc>
          <w:tcPr>
            <w:tcW w:w="716" w:type="dxa"/>
            <w:tcBorders>
              <w:top w:val="single" w:sz="6" w:space="0" w:color="000000"/>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IQR</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Q1</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15.02</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4.92</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6.08</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36.85</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11.65</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17.67</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6.02</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Q2</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14.56</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4.86</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5.23</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33.81</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11.63</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16.98</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5.35</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Q3</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13.88</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4.81</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3.94</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35.05</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10.62</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16.42</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5.80</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Q4</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13.98</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4.69</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4.85</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35.35</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10.78</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16.30</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5.53</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Q1</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14.56</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4.88</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5.26</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33.89</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11.43</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17.32</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5.90</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Q2</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14.24</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4.73</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5.39</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32.46</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10.99</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16.87</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5.88</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Q3</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14.02</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4.88</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2.71</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34.18</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10.78</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16.52</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5.74</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Q4</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13.91</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4.66</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4.22</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30.30</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10.58</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16.39</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5.81</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Q1</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14.66</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4.86</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5.11</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32.80</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11.44</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17.43</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5.99</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Q2</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13.90</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4.53</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5.18</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32.57</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10.74</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16.41</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5.67</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Q3</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13.36</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4.56</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4.76</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32.82</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10.19</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16.01</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5.82</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Q4</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13.20</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4.49</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4.83</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30.70</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10.13</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15.67</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5.54</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Q1</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13.73</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4.63</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4.71</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33.30</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10.97</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16.43</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5.46</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Q2</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12.78</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4.24</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4.78</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32.15</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10.07</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14.89</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4.82</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Q3</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12.30</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4.21</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4.42</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30.47</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9.35</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14.63</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5.28</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Q4</w:t>
            </w:r>
          </w:p>
        </w:tc>
        <w:tc>
          <w:tcPr>
            <w:tcW w:w="141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12.39</w:t>
            </w:r>
          </w:p>
        </w:tc>
        <w:tc>
          <w:tcPr>
            <w:tcW w:w="879"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4.02</w:t>
            </w:r>
          </w:p>
        </w:tc>
        <w:tc>
          <w:tcPr>
            <w:tcW w:w="704"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4.14</w:t>
            </w:r>
          </w:p>
        </w:tc>
        <w:tc>
          <w:tcPr>
            <w:tcW w:w="7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30.70</w:t>
            </w:r>
          </w:p>
        </w:tc>
        <w:tc>
          <w:tcPr>
            <w:tcW w:w="162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9.56</w:t>
            </w:r>
          </w:p>
        </w:tc>
        <w:tc>
          <w:tcPr>
            <w:tcW w:w="1530"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14.82</w:t>
            </w:r>
          </w:p>
        </w:tc>
        <w:tc>
          <w:tcPr>
            <w:tcW w:w="716"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5.26</w:t>
            </w:r>
          </w:p>
        </w:tc>
      </w:tr>
      <w:tr w:rsidR="004A53BD" w:rsidRPr="00D760C4" w:rsidTr="004A53BD">
        <w:tblPrEx>
          <w:tblCellMar>
            <w:top w:w="0" w:type="dxa"/>
            <w:bottom w:w="0" w:type="dxa"/>
          </w:tblCellMar>
        </w:tblPrEx>
        <w:trPr>
          <w:cantSplit/>
          <w:jc w:val="center"/>
        </w:trPr>
        <w:tc>
          <w:tcPr>
            <w:tcW w:w="920"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2013 Q1</w:t>
            </w:r>
          </w:p>
        </w:tc>
        <w:tc>
          <w:tcPr>
            <w:tcW w:w="141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327</w:t>
            </w:r>
          </w:p>
        </w:tc>
        <w:tc>
          <w:tcPr>
            <w:tcW w:w="674"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12.56</w:t>
            </w:r>
          </w:p>
        </w:tc>
        <w:tc>
          <w:tcPr>
            <w:tcW w:w="879"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3.98</w:t>
            </w:r>
          </w:p>
        </w:tc>
        <w:tc>
          <w:tcPr>
            <w:tcW w:w="704"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4.00</w:t>
            </w:r>
          </w:p>
        </w:tc>
        <w:tc>
          <w:tcPr>
            <w:tcW w:w="72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28.17</w:t>
            </w:r>
          </w:p>
        </w:tc>
        <w:tc>
          <w:tcPr>
            <w:tcW w:w="162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9.58</w:t>
            </w:r>
          </w:p>
        </w:tc>
        <w:tc>
          <w:tcPr>
            <w:tcW w:w="1530"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14.87</w:t>
            </w:r>
          </w:p>
        </w:tc>
        <w:tc>
          <w:tcPr>
            <w:tcW w:w="716"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5.29</w:t>
            </w:r>
          </w:p>
        </w:tc>
      </w:tr>
    </w:tbl>
    <w:p w:rsidR="004A53BD" w:rsidRDefault="004A53BD" w:rsidP="004A53BD">
      <w:pPr>
        <w:adjustRightInd w:val="0"/>
        <w:rPr>
          <w:color w:val="000000"/>
        </w:rPr>
      </w:pPr>
    </w:p>
    <w:p w:rsidR="004A53BD" w:rsidRDefault="004A53BD" w:rsidP="004A53BD">
      <w:pPr>
        <w:adjustRightInd w:val="0"/>
        <w:jc w:val="center"/>
      </w:pPr>
    </w:p>
    <w:p w:rsidR="004A53BD" w:rsidRDefault="004A53BD" w:rsidP="004A53BD">
      <w:pPr>
        <w:adjustRightInd w:val="0"/>
        <w:jc w:val="center"/>
        <w:rPr>
          <w:color w:val="000000"/>
        </w:rPr>
      </w:pPr>
      <w:r>
        <w:rPr>
          <w:color w:val="000000"/>
        </w:rPr>
        <w:br w:type="page"/>
      </w:r>
    </w:p>
    <w:p w:rsidR="004A53BD" w:rsidRDefault="004A53BD" w:rsidP="004A53BD">
      <w:pPr>
        <w:adjustRightInd w:val="0"/>
        <w:rPr>
          <w:color w:val="000000"/>
        </w:rPr>
        <w:sectPr w:rsidR="004A53BD">
          <w:headerReference w:type="default" r:id="rId17"/>
          <w:type w:val="continuous"/>
          <w:pgSz w:w="12240" w:h="15840"/>
          <w:pgMar w:top="360" w:right="360" w:bottom="360" w:left="360" w:header="720" w:footer="360" w:gutter="0"/>
          <w:cols w:space="720"/>
        </w:sectPr>
      </w:pPr>
    </w:p>
    <w:p w:rsidR="004A53BD" w:rsidRDefault="004A53BD" w:rsidP="004A53BD">
      <w:pPr>
        <w:adjustRightInd w:val="0"/>
        <w:spacing w:before="10" w:after="10"/>
        <w:jc w:val="center"/>
        <w:rPr>
          <w:b/>
          <w:bCs/>
          <w:i/>
          <w:iCs/>
          <w:color w:val="000000"/>
          <w:sz w:val="26"/>
          <w:szCs w:val="26"/>
        </w:rPr>
      </w:pPr>
      <w:r>
        <w:rPr>
          <w:b/>
          <w:bCs/>
          <w:i/>
          <w:iCs/>
          <w:color w:val="000000"/>
          <w:sz w:val="26"/>
          <w:szCs w:val="26"/>
        </w:rPr>
        <w:lastRenderedPageBreak/>
        <w:t>Deciles</w:t>
      </w:r>
    </w:p>
    <w:p w:rsidR="004A53BD" w:rsidRDefault="004A53BD" w:rsidP="004A53BD">
      <w:pPr>
        <w:adjustRightInd w:val="0"/>
        <w:rPr>
          <w:b/>
          <w:bCs/>
          <w:i/>
          <w:iCs/>
          <w:color w:val="000000"/>
          <w:sz w:val="26"/>
          <w:szCs w:val="26"/>
        </w:rPr>
      </w:pPr>
    </w:p>
    <w:tbl>
      <w:tblPr>
        <w:tblW w:w="0" w:type="auto"/>
        <w:jc w:val="center"/>
        <w:tblLayout w:type="fixed"/>
        <w:tblCellMar>
          <w:left w:w="60" w:type="dxa"/>
          <w:right w:w="60" w:type="dxa"/>
        </w:tblCellMar>
        <w:tblLook w:val="0000"/>
      </w:tblPr>
      <w:tblGrid>
        <w:gridCol w:w="920"/>
        <w:gridCol w:w="1085"/>
        <w:gridCol w:w="1085"/>
        <w:gridCol w:w="1085"/>
        <w:gridCol w:w="1085"/>
        <w:gridCol w:w="1085"/>
        <w:gridCol w:w="1085"/>
        <w:gridCol w:w="1085"/>
        <w:gridCol w:w="1085"/>
        <w:gridCol w:w="1100"/>
      </w:tblGrid>
      <w:tr w:rsidR="004A53BD" w:rsidRPr="00D760C4" w:rsidTr="002B4BFA">
        <w:tblPrEx>
          <w:tblCellMar>
            <w:top w:w="0" w:type="dxa"/>
            <w:bottom w:w="0" w:type="dxa"/>
          </w:tblCellMar>
        </w:tblPrEx>
        <w:trPr>
          <w:cantSplit/>
          <w:tblHeader/>
          <w:jc w:val="center"/>
        </w:trPr>
        <w:tc>
          <w:tcPr>
            <w:tcW w:w="920" w:type="dxa"/>
            <w:tcBorders>
              <w:top w:val="single" w:sz="6" w:space="0" w:color="000000"/>
              <w:left w:val="single" w:sz="6"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bookmarkStart w:id="14" w:name="IDX11"/>
            <w:bookmarkEnd w:id="14"/>
            <w:r w:rsidRPr="00D760C4">
              <w:rPr>
                <w:b/>
                <w:bCs/>
                <w:color w:val="000000"/>
                <w:sz w:val="22"/>
                <w:szCs w:val="22"/>
              </w:rPr>
              <w:t>Quarter</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10th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20th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30th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40th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50th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60th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70th Percentile</w:t>
            </w:r>
          </w:p>
        </w:tc>
        <w:tc>
          <w:tcPr>
            <w:tcW w:w="1085" w:type="dxa"/>
            <w:tcBorders>
              <w:top w:val="single" w:sz="6" w:space="0" w:color="000000"/>
              <w:left w:val="single" w:sz="2" w:space="0" w:color="000000"/>
              <w:bottom w:val="single" w:sz="2" w:space="0" w:color="000000"/>
              <w:right w:val="nil"/>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80th Percentile</w:t>
            </w:r>
          </w:p>
        </w:tc>
        <w:tc>
          <w:tcPr>
            <w:tcW w:w="1100" w:type="dxa"/>
            <w:tcBorders>
              <w:top w:val="single" w:sz="6" w:space="0" w:color="000000"/>
              <w:left w:val="single" w:sz="2" w:space="0" w:color="000000"/>
              <w:bottom w:val="single" w:sz="2" w:space="0" w:color="000000"/>
              <w:right w:val="single" w:sz="6" w:space="0" w:color="000000"/>
            </w:tcBorders>
            <w:shd w:val="clear" w:color="auto" w:fill="BBBBBB"/>
            <w:vAlign w:val="bottom"/>
          </w:tcPr>
          <w:p w:rsidR="004A53BD" w:rsidRPr="00D760C4" w:rsidRDefault="004A53BD" w:rsidP="002B4BFA">
            <w:pPr>
              <w:adjustRightInd w:val="0"/>
              <w:spacing w:before="60" w:after="60"/>
              <w:jc w:val="right"/>
              <w:rPr>
                <w:b/>
                <w:bCs/>
                <w:color w:val="000000"/>
                <w:sz w:val="22"/>
                <w:szCs w:val="22"/>
              </w:rPr>
            </w:pPr>
            <w:r w:rsidRPr="00D760C4">
              <w:rPr>
                <w:b/>
                <w:bCs/>
                <w:color w:val="000000"/>
                <w:sz w:val="22"/>
                <w:szCs w:val="22"/>
              </w:rPr>
              <w:t>90th Percentile</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8.93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10.94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12.33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13.70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14.70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15.70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16.96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18.53</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20.65</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8.68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10.39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12.13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13.12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14.16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15.15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16.22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18.00</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20.27</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8.13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10.05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11.38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12.37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13.46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14.47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15.74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17.48</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18.95</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2009 Q4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8.21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10.23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11.20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12.52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13.83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14.69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15.76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17.03</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19.33</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8.40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10.54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12.04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13.23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14.32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15.26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16.55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18.02</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20.05</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8.08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10.37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11.99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13.09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14.12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14.92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16.16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17.19</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19.82</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7.89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10.08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11.37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12.62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13.62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14.50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15.87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17.34</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19.74</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2010 Q4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8.08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9.92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11.46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12.76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13.71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14.65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15.57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16.89</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19.91</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8.34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10.54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11.98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13.27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14.21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15.46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16.59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18.04</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20.96</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8.12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9.91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11.71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12.53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13.74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14.73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15.74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17.33</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19.33</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7.43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9.56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11.20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12.25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13.06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13.88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15.22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16.67</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18.67</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2011 Q4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7.54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9.06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10.85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11.98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12.89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13.97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14.76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16.42</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18.52</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7.73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9.90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11.48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12.41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13.33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14.35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15.46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17.18</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18.83</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7.66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9.35</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10.66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11.41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12.28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13.43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14.32</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15.76</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17.77</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7.07</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8.51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10.06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11.14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11.88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12.73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14.03</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15.39</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17.36</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2012 Q4</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7.10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8.98</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10.39</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11.31</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12.30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13.00</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14.06</w:t>
            </w:r>
          </w:p>
        </w:tc>
        <w:tc>
          <w:tcPr>
            <w:tcW w:w="1085" w:type="dxa"/>
            <w:tcBorders>
              <w:top w:val="nil"/>
              <w:left w:val="single" w:sz="2" w:space="0" w:color="000000"/>
              <w:bottom w:val="single" w:sz="2"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15.57</w:t>
            </w:r>
          </w:p>
        </w:tc>
        <w:tc>
          <w:tcPr>
            <w:tcW w:w="1100" w:type="dxa"/>
            <w:tcBorders>
              <w:top w:val="nil"/>
              <w:left w:val="single" w:sz="2" w:space="0" w:color="000000"/>
              <w:bottom w:val="single" w:sz="2"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16.90</w:t>
            </w:r>
          </w:p>
        </w:tc>
      </w:tr>
      <w:tr w:rsidR="004A53BD" w:rsidRPr="00D760C4" w:rsidTr="002B4BFA">
        <w:tblPrEx>
          <w:tblCellMar>
            <w:top w:w="0" w:type="dxa"/>
            <w:bottom w:w="0" w:type="dxa"/>
          </w:tblCellMar>
        </w:tblPrEx>
        <w:trPr>
          <w:cantSplit/>
          <w:jc w:val="center"/>
        </w:trPr>
        <w:tc>
          <w:tcPr>
            <w:tcW w:w="920" w:type="dxa"/>
            <w:tcBorders>
              <w:top w:val="nil"/>
              <w:left w:val="single" w:sz="6"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2013 Q1</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7.39</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9.13</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10.51</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11.64</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12.56</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13.37</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14.28</w:t>
            </w:r>
          </w:p>
        </w:tc>
        <w:tc>
          <w:tcPr>
            <w:tcW w:w="1085" w:type="dxa"/>
            <w:tcBorders>
              <w:top w:val="nil"/>
              <w:left w:val="single" w:sz="2" w:space="0" w:color="000000"/>
              <w:bottom w:val="single" w:sz="6" w:space="0" w:color="000000"/>
              <w:right w:val="nil"/>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15.47</w:t>
            </w:r>
          </w:p>
        </w:tc>
        <w:tc>
          <w:tcPr>
            <w:tcW w:w="1100" w:type="dxa"/>
            <w:tcBorders>
              <w:top w:val="nil"/>
              <w:left w:val="single" w:sz="2" w:space="0" w:color="000000"/>
              <w:bottom w:val="single" w:sz="6" w:space="0" w:color="000000"/>
              <w:right w:val="single" w:sz="6" w:space="0" w:color="000000"/>
            </w:tcBorders>
            <w:shd w:val="clear" w:color="auto" w:fill="FFFFFF"/>
          </w:tcPr>
          <w:p w:rsidR="004A53BD" w:rsidRPr="00D760C4" w:rsidRDefault="004A53BD" w:rsidP="002B4BFA">
            <w:pPr>
              <w:adjustRightInd w:val="0"/>
              <w:spacing w:before="60" w:after="60"/>
              <w:jc w:val="right"/>
              <w:rPr>
                <w:color w:val="000000"/>
              </w:rPr>
            </w:pPr>
            <w:r w:rsidRPr="00D760C4">
              <w:rPr>
                <w:color w:val="000000"/>
              </w:rPr>
              <w:t>17.46</w:t>
            </w:r>
          </w:p>
        </w:tc>
      </w:tr>
    </w:tbl>
    <w:p w:rsidR="002151B1" w:rsidRDefault="002151B1" w:rsidP="006F3AC3">
      <w:pPr>
        <w:pStyle w:val="IntenseQuote"/>
        <w:ind w:left="0"/>
        <w:outlineLvl w:val="0"/>
      </w:pPr>
      <w:bookmarkStart w:id="15" w:name="_Toc379443647"/>
      <w:r>
        <w:lastRenderedPageBreak/>
        <w:t xml:space="preserve">S.14 </w:t>
      </w:r>
      <w:r w:rsidR="00502C70">
        <w:t xml:space="preserve">&amp; S.15a </w:t>
      </w:r>
      <w:r>
        <w:t>Additional Seasonal Adjustment</w:t>
      </w:r>
      <w:r w:rsidR="00A3714A">
        <w:t xml:space="preserve"> Information</w:t>
      </w:r>
      <w:bookmarkEnd w:id="15"/>
    </w:p>
    <w:p w:rsidR="00557AB3" w:rsidRDefault="00557AB3" w:rsidP="004B6080">
      <w:pPr>
        <w:rPr>
          <w:rFonts w:ascii="Calibri" w:hAnsi="Calibri" w:cs="Calibri"/>
          <w:color w:val="000000"/>
        </w:rPr>
      </w:pPr>
      <w:r w:rsidRPr="00FD5899">
        <w:rPr>
          <w:rFonts w:ascii="Calibri" w:hAnsi="Calibri" w:cs="Calibri"/>
          <w:color w:val="000000"/>
        </w:rPr>
        <w:t>The quarterly denominator (eligible beneficiaries) for the observed measure is consistent across the quarters. However, admissions and readmissions show seasonal effects. These effects could be due to a variety of issues, including more hospitalizations in winter months, number of days in the quarter, and major holidays in the quarter (lower ‘elective’ admissions). Therefore, comparisons using the observed measure should be made using the same quarter of the year (e.g., Q1 2009 to Q1 2010). To compare other quarters or consider trends, the seasonally adjusted metrics should be used.</w:t>
      </w:r>
      <w:r>
        <w:rPr>
          <w:rFonts w:ascii="Calibri" w:hAnsi="Calibri" w:cs="Calibri"/>
          <w:color w:val="000000"/>
        </w:rPr>
        <w:t xml:space="preserve"> See the tables below.</w:t>
      </w:r>
    </w:p>
    <w:p w:rsidR="00557AB3" w:rsidRDefault="00557AB3" w:rsidP="004B6080">
      <w:pPr>
        <w:rPr>
          <w:rFonts w:ascii="Calibri" w:hAnsi="Calibri" w:cs="Calibri"/>
          <w:color w:val="000000"/>
        </w:rPr>
      </w:pPr>
      <w:r w:rsidRPr="00FD5899">
        <w:rPr>
          <w:rFonts w:ascii="Calibri" w:hAnsi="Calibri" w:cs="Calibri"/>
          <w:color w:val="000000"/>
        </w:rPr>
        <w:t>To determine the seasonal effects, we computed quarterly rates for each of the quarters within a national inpatient file created from each QIO's most recent ASAT Abase file (excluding the most recent quarter due to claims maturation). We then calculated the average rate for each quarter of the year (e.g., the Q1 average was calculated as the average of all Q1 rates: Q1 2009, Q1 2010, Q1 2011, Q1 2012, and Q1 2013). The four quarter averages were then averaged to obtain the overall mean. Next, we subtracted the overall mean from the average rate for each quarter of the year to obtain the seasonal adjustments. Finally, we computed the seasonally adjusted rates as the observed rates minus the seasonal adjustments. The seasonal adjustments were computed separately for each cohort (national, state, statewide coalition, statewide engaged, and each community).</w:t>
      </w:r>
    </w:p>
    <w:p w:rsidR="00557AB3" w:rsidRDefault="00557AB3" w:rsidP="004B6080">
      <w:pPr>
        <w:rPr>
          <w:b/>
          <w:color w:val="FF0000"/>
        </w:rPr>
      </w:pPr>
    </w:p>
    <w:p w:rsidR="0011273D" w:rsidRDefault="0011273D" w:rsidP="004B6080">
      <w:pPr>
        <w:rPr>
          <w:b/>
          <w:color w:val="FF0000"/>
        </w:rPr>
      </w:pPr>
    </w:p>
    <w:p w:rsidR="0011273D" w:rsidRDefault="0011273D" w:rsidP="004B6080">
      <w:pPr>
        <w:rPr>
          <w:b/>
          <w:color w:val="FF0000"/>
        </w:rPr>
      </w:pPr>
    </w:p>
    <w:p w:rsidR="0011273D" w:rsidRDefault="0011273D" w:rsidP="004B6080">
      <w:pPr>
        <w:rPr>
          <w:b/>
          <w:color w:val="FF0000"/>
        </w:rPr>
      </w:pPr>
    </w:p>
    <w:p w:rsidR="0011273D" w:rsidRDefault="0011273D" w:rsidP="004B6080">
      <w:pPr>
        <w:rPr>
          <w:b/>
          <w:color w:val="FF0000"/>
        </w:rPr>
      </w:pPr>
    </w:p>
    <w:p w:rsidR="0011273D" w:rsidRDefault="0011273D" w:rsidP="004B6080">
      <w:pPr>
        <w:rPr>
          <w:b/>
          <w:color w:val="FF0000"/>
        </w:rPr>
      </w:pPr>
    </w:p>
    <w:p w:rsidR="00557AB3" w:rsidRDefault="00557AB3" w:rsidP="004B6080">
      <w:pPr>
        <w:rPr>
          <w:b/>
          <w:color w:val="FF0000"/>
        </w:rPr>
        <w:sectPr w:rsidR="00557AB3" w:rsidSect="00557AB3">
          <w:pgSz w:w="12240" w:h="15840"/>
          <w:pgMar w:top="1440" w:right="1440" w:bottom="1440" w:left="1440" w:header="720" w:footer="720" w:gutter="0"/>
          <w:cols w:space="720"/>
          <w:docGrid w:linePitch="360"/>
        </w:sectPr>
      </w:pPr>
    </w:p>
    <w:p w:rsidR="0011273D" w:rsidRDefault="0011273D" w:rsidP="00BF4E1B">
      <w:pPr>
        <w:pStyle w:val="Subtitle"/>
        <w:outlineLvl w:val="1"/>
      </w:pPr>
      <w:bookmarkStart w:id="16" w:name="_Toc379443648"/>
      <w:r>
        <w:lastRenderedPageBreak/>
        <w:t>Hospitalization&amp; Rehospitalization Seasonality</w:t>
      </w:r>
      <w:bookmarkEnd w:id="16"/>
    </w:p>
    <w:p w:rsidR="0011273D" w:rsidRPr="0011273D" w:rsidRDefault="0011273D" w:rsidP="0011273D">
      <w:r>
        <w:rPr>
          <w:noProof/>
          <w:lang w:eastAsia="en-US" w:bidi="ar-SA"/>
        </w:rPr>
        <w:drawing>
          <wp:anchor distT="0" distB="0" distL="114300" distR="114300" simplePos="0" relativeHeight="251658240" behindDoc="0" locked="0" layoutInCell="1" allowOverlap="1">
            <wp:simplePos x="0" y="0"/>
            <wp:positionH relativeFrom="column">
              <wp:posOffset>333375</wp:posOffset>
            </wp:positionH>
            <wp:positionV relativeFrom="paragraph">
              <wp:posOffset>17780</wp:posOffset>
            </wp:positionV>
            <wp:extent cx="4069080" cy="3105150"/>
            <wp:effectExtent l="0" t="0" r="7620" b="0"/>
            <wp:wrapNone/>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Pr>
          <w:noProof/>
          <w:lang w:eastAsia="en-US" w:bidi="ar-SA"/>
        </w:rPr>
        <w:drawing>
          <wp:anchor distT="0" distB="0" distL="114300" distR="114300" simplePos="0" relativeHeight="251659264" behindDoc="0" locked="0" layoutInCell="1" allowOverlap="1">
            <wp:simplePos x="0" y="0"/>
            <wp:positionH relativeFrom="column">
              <wp:posOffset>4991100</wp:posOffset>
            </wp:positionH>
            <wp:positionV relativeFrom="paragraph">
              <wp:posOffset>17780</wp:posOffset>
            </wp:positionV>
            <wp:extent cx="4069080" cy="3105150"/>
            <wp:effectExtent l="0" t="0" r="762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Pr>
        <w:pStyle w:val="Subtitle"/>
        <w:outlineLvl w:val="1"/>
      </w:pPr>
      <w:bookmarkStart w:id="17" w:name="_Toc379367845"/>
      <w:bookmarkStart w:id="18" w:name="_Toc379374627"/>
      <w:bookmarkStart w:id="19" w:name="_Toc379439584"/>
      <w:bookmarkStart w:id="20" w:name="_Toc379439615"/>
      <w:bookmarkStart w:id="21" w:name="_Toc379440935"/>
      <w:r>
        <w:rPr>
          <w:noProof/>
          <w:lang w:eastAsia="en-US" w:bidi="ar-SA"/>
        </w:rPr>
        <w:drawing>
          <wp:anchor distT="0" distB="0" distL="114300" distR="114300" simplePos="0" relativeHeight="251660288" behindDoc="0" locked="0" layoutInCell="1" allowOverlap="1">
            <wp:simplePos x="0" y="0"/>
            <wp:positionH relativeFrom="column">
              <wp:posOffset>333375</wp:posOffset>
            </wp:positionH>
            <wp:positionV relativeFrom="paragraph">
              <wp:posOffset>180975</wp:posOffset>
            </wp:positionV>
            <wp:extent cx="4069080" cy="3108960"/>
            <wp:effectExtent l="0" t="0" r="7620" b="0"/>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Pr>
          <w:noProof/>
          <w:lang w:eastAsia="en-US" w:bidi="ar-SA"/>
        </w:rPr>
        <w:drawing>
          <wp:anchor distT="0" distB="0" distL="114300" distR="114300" simplePos="0" relativeHeight="251661312" behindDoc="0" locked="0" layoutInCell="1" allowOverlap="1">
            <wp:simplePos x="0" y="0"/>
            <wp:positionH relativeFrom="column">
              <wp:posOffset>4991100</wp:posOffset>
            </wp:positionH>
            <wp:positionV relativeFrom="paragraph">
              <wp:posOffset>180975</wp:posOffset>
            </wp:positionV>
            <wp:extent cx="4069080" cy="3108960"/>
            <wp:effectExtent l="0" t="0" r="7620" b="0"/>
            <wp:wrapNone/>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bookmarkEnd w:id="17"/>
      <w:bookmarkEnd w:id="18"/>
      <w:bookmarkEnd w:id="19"/>
      <w:bookmarkEnd w:id="20"/>
      <w:bookmarkEnd w:id="21"/>
    </w:p>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11273D" w:rsidRDefault="0011273D" w:rsidP="0011273D"/>
    <w:p w:rsidR="00BF4E1B" w:rsidRDefault="00BF4E1B" w:rsidP="0011273D">
      <w:pPr>
        <w:sectPr w:rsidR="00BF4E1B" w:rsidSect="0011273D">
          <w:pgSz w:w="15840" w:h="12240" w:orient="landscape"/>
          <w:pgMar w:top="720" w:right="720" w:bottom="720" w:left="720" w:header="720" w:footer="720" w:gutter="0"/>
          <w:cols w:space="720"/>
          <w:docGrid w:linePitch="360"/>
        </w:sectPr>
      </w:pPr>
    </w:p>
    <w:p w:rsidR="0011273D" w:rsidRDefault="00BE0BD1" w:rsidP="00851C46">
      <w:pPr>
        <w:pStyle w:val="IntenseQuote"/>
        <w:ind w:left="0"/>
        <w:outlineLvl w:val="0"/>
      </w:pPr>
      <w:bookmarkStart w:id="22" w:name="_Toc379443649"/>
      <w:r>
        <w:lastRenderedPageBreak/>
        <w:t>1.</w:t>
      </w:r>
      <w:r w:rsidRPr="00A25024">
        <w:t xml:space="preserve">6. </w:t>
      </w:r>
      <w:r w:rsidR="007D6535">
        <w:t>Community Characteristics</w:t>
      </w:r>
      <w:r w:rsidR="0084149B">
        <w:t xml:space="preserve"> (Hospitalizations and </w:t>
      </w:r>
      <w:proofErr w:type="spellStart"/>
      <w:r w:rsidR="0084149B">
        <w:t>Rehospitalizations</w:t>
      </w:r>
      <w:proofErr w:type="spellEnd"/>
      <w:r w:rsidR="0084149B">
        <w:t>)</w:t>
      </w:r>
      <w:bookmarkEnd w:id="22"/>
    </w:p>
    <w:tbl>
      <w:tblPr>
        <w:tblW w:w="0" w:type="auto"/>
        <w:jc w:val="center"/>
        <w:tblLayout w:type="fixed"/>
        <w:tblCellMar>
          <w:left w:w="60" w:type="dxa"/>
          <w:right w:w="60" w:type="dxa"/>
        </w:tblCellMar>
        <w:tblLook w:val="0000"/>
      </w:tblPr>
      <w:tblGrid>
        <w:gridCol w:w="1108"/>
        <w:gridCol w:w="1726"/>
        <w:gridCol w:w="1086"/>
        <w:gridCol w:w="1085"/>
        <w:gridCol w:w="860"/>
        <w:gridCol w:w="1085"/>
        <w:gridCol w:w="2320"/>
      </w:tblGrid>
      <w:tr w:rsidR="00BE0BD1" w:rsidRPr="00BE0BD1" w:rsidTr="003053B1">
        <w:trPr>
          <w:cantSplit/>
          <w:tblHeader/>
          <w:jc w:val="center"/>
        </w:trPr>
        <w:tc>
          <w:tcPr>
            <w:tcW w:w="9270" w:type="dxa"/>
            <w:gridSpan w:val="7"/>
            <w:tcBorders>
              <w:top w:val="single" w:sz="6" w:space="0" w:color="000000"/>
              <w:left w:val="single" w:sz="2" w:space="0" w:color="000000"/>
              <w:bottom w:val="single" w:sz="2" w:space="0" w:color="000000"/>
              <w:right w:val="single" w:sz="6" w:space="0" w:color="000000"/>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Pr>
                <w:rFonts w:asciiTheme="minorHAnsi" w:hAnsiTheme="minorHAnsi"/>
                <w:b/>
                <w:bCs/>
                <w:i/>
                <w:iCs/>
                <w:color w:val="000000"/>
                <w:sz w:val="22"/>
                <w:szCs w:val="22"/>
              </w:rPr>
              <w:t>Hospitalizat</w:t>
            </w:r>
            <w:r w:rsidRPr="00BE0BD1">
              <w:rPr>
                <w:rFonts w:asciiTheme="minorHAnsi" w:hAnsiTheme="minorHAnsi"/>
                <w:b/>
                <w:bCs/>
                <w:i/>
                <w:iCs/>
                <w:color w:val="000000"/>
                <w:sz w:val="22"/>
                <w:szCs w:val="22"/>
              </w:rPr>
              <w:t>ions Per 1,000 Beneficiaries by Demographic Characteristics for 327 Communities (2012)</w:t>
            </w:r>
          </w:p>
        </w:tc>
      </w:tr>
      <w:tr w:rsidR="00BE0BD1" w:rsidRPr="00BE0BD1" w:rsidTr="003053B1">
        <w:trPr>
          <w:cantSplit/>
          <w:tblHeader/>
          <w:jc w:val="center"/>
        </w:trPr>
        <w:tc>
          <w:tcPr>
            <w:tcW w:w="1108"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Variable</w:t>
            </w:r>
          </w:p>
        </w:tc>
        <w:tc>
          <w:tcPr>
            <w:tcW w:w="1726"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Level</w:t>
            </w:r>
          </w:p>
        </w:tc>
        <w:tc>
          <w:tcPr>
            <w:tcW w:w="1086"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Minimum</w:t>
            </w:r>
          </w:p>
        </w:tc>
        <w:tc>
          <w:tcPr>
            <w:tcW w:w="1085"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25th Percentile</w:t>
            </w:r>
          </w:p>
        </w:tc>
        <w:tc>
          <w:tcPr>
            <w:tcW w:w="860"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Median</w:t>
            </w:r>
          </w:p>
        </w:tc>
        <w:tc>
          <w:tcPr>
            <w:tcW w:w="1085"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75th Percentile</w:t>
            </w:r>
          </w:p>
        </w:tc>
        <w:tc>
          <w:tcPr>
            <w:tcW w:w="2320" w:type="dxa"/>
            <w:tcBorders>
              <w:top w:val="single" w:sz="6" w:space="0" w:color="000000"/>
              <w:left w:val="single" w:sz="2" w:space="0" w:color="000000"/>
              <w:bottom w:val="single" w:sz="2" w:space="0" w:color="000000"/>
              <w:right w:val="single" w:sz="6" w:space="0" w:color="000000"/>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Maximum</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Sex</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Male</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138.34</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249.17</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285.52</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312.29</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459.26</w:t>
            </w:r>
          </w:p>
        </w:tc>
      </w:tr>
      <w:tr w:rsidR="00BE0BD1" w:rsidRPr="00BE0BD1" w:rsidTr="003053B1">
        <w:trPr>
          <w:cantSplit/>
          <w:jc w:val="center"/>
        </w:trPr>
        <w:tc>
          <w:tcPr>
            <w:tcW w:w="1108" w:type="dxa"/>
            <w:vMerge/>
            <w:tcBorders>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Female</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149.55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257.61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290.54</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332.12</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480.20</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Race</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White</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88.24</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249.45</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285.54</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315.75</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414.51</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Black</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281.51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345.48</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405.41</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928.57</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Hispanic</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190.91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250.00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326.64</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1000.00</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Asian</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142.77</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178.35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233.12</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647.06</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 xml:space="preserve">N </w:t>
            </w:r>
            <w:proofErr w:type="spellStart"/>
            <w:r w:rsidRPr="00BE0BD1">
              <w:rPr>
                <w:rFonts w:asciiTheme="minorHAnsi" w:hAnsiTheme="minorHAnsi"/>
                <w:color w:val="000000"/>
                <w:sz w:val="22"/>
                <w:szCs w:val="22"/>
              </w:rPr>
              <w:t>Amer</w:t>
            </w:r>
            <w:proofErr w:type="spellEnd"/>
            <w:r w:rsidRPr="00BE0BD1">
              <w:rPr>
                <w:rFonts w:asciiTheme="minorHAnsi" w:hAnsiTheme="minorHAnsi"/>
                <w:color w:val="000000"/>
                <w:sz w:val="22"/>
                <w:szCs w:val="22"/>
              </w:rPr>
              <w:t xml:space="preserve"> Native</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246.50</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346.29</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454.55</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1500.00</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Other</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157.09</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195.40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237.65</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625.00</w:t>
            </w:r>
          </w:p>
        </w:tc>
      </w:tr>
      <w:tr w:rsidR="00BE0BD1" w:rsidRPr="00BE0BD1" w:rsidTr="003053B1">
        <w:trPr>
          <w:cantSplit/>
          <w:jc w:val="center"/>
        </w:trPr>
        <w:tc>
          <w:tcPr>
            <w:tcW w:w="1108" w:type="dxa"/>
            <w:vMerge/>
            <w:tcBorders>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Unknown</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109.55</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144.52</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186.81</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400.00</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Age Group</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&lt; 50</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116.91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227.98</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277.51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333.75</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589.67</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50-64</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135.49</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288.39</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334.53</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380.88</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579.93</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65-69</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80.13</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142.63</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169.16</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195.12</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351.51</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70-74</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117.44</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196.10</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224.95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254.08</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407.76</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75-79</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166.41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258.71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296.85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331.93</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525.84</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80-84</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207.15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337.12</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373.11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418.13</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606.62</w:t>
            </w:r>
          </w:p>
        </w:tc>
      </w:tr>
      <w:tr w:rsidR="00BE0BD1" w:rsidRPr="00BE0BD1" w:rsidTr="003053B1">
        <w:trPr>
          <w:cantSplit/>
          <w:jc w:val="center"/>
        </w:trPr>
        <w:tc>
          <w:tcPr>
            <w:tcW w:w="1108" w:type="dxa"/>
            <w:vMerge/>
            <w:tcBorders>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&gt;= 85</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162.95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427.32</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479.43</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533.94</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735.82</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Dual</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Medicare only</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131.33</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219.74</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251.66</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276.54</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397.70</w:t>
            </w:r>
          </w:p>
        </w:tc>
      </w:tr>
      <w:tr w:rsidR="00BE0BD1" w:rsidRPr="00BE0BD1" w:rsidTr="003053B1">
        <w:trPr>
          <w:cantSplit/>
          <w:jc w:val="center"/>
        </w:trPr>
        <w:tc>
          <w:tcPr>
            <w:tcW w:w="1108" w:type="dxa"/>
            <w:vMerge/>
            <w:tcBorders>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Medicare/Medicaid</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232.32</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374.00</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436.49</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498.09</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698.82</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 xml:space="preserve">Urban </w:t>
            </w:r>
            <w:r w:rsidRPr="00BE0BD1">
              <w:rPr>
                <w:rFonts w:asciiTheme="minorHAnsi" w:hAnsiTheme="minorHAnsi"/>
                <w:color w:val="000000"/>
                <w:sz w:val="22"/>
                <w:szCs w:val="22"/>
              </w:rPr>
              <w:lastRenderedPageBreak/>
              <w:t>Type</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lastRenderedPageBreak/>
              <w:t>Urbanized Area</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146.91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259.29</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290.41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323.17</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470.96</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Urban Cluster</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140.43</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251.82</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288.03</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324.22</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441.15</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Non-Urban Area</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129.21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226.88</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277.33</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311.06</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429.46</w:t>
            </w:r>
          </w:p>
        </w:tc>
      </w:tr>
      <w:tr w:rsidR="00BE0BD1" w:rsidRPr="00BE0BD1" w:rsidTr="003053B1">
        <w:trPr>
          <w:cantSplit/>
          <w:jc w:val="center"/>
        </w:trPr>
        <w:tc>
          <w:tcPr>
            <w:tcW w:w="1108" w:type="dxa"/>
            <w:vMerge/>
            <w:tcBorders>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UTD</w:t>
            </w:r>
          </w:p>
        </w:tc>
        <w:tc>
          <w:tcPr>
            <w:tcW w:w="1086"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860"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666.67</w:t>
            </w:r>
          </w:p>
        </w:tc>
        <w:tc>
          <w:tcPr>
            <w:tcW w:w="2320" w:type="dxa"/>
            <w:tcBorders>
              <w:top w:val="nil"/>
              <w:left w:val="single" w:sz="2" w:space="0" w:color="000000"/>
              <w:bottom w:val="single" w:sz="6"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2000.00</w:t>
            </w:r>
          </w:p>
        </w:tc>
      </w:tr>
      <w:tr w:rsidR="00851C46" w:rsidRPr="00BE0BD1" w:rsidTr="00851C46">
        <w:trPr>
          <w:cantSplit/>
          <w:tblHeader/>
          <w:jc w:val="center"/>
        </w:trPr>
        <w:tc>
          <w:tcPr>
            <w:tcW w:w="9270" w:type="dxa"/>
            <w:gridSpan w:val="7"/>
            <w:tcBorders>
              <w:top w:val="single" w:sz="6" w:space="0" w:color="000000"/>
              <w:left w:val="single" w:sz="2" w:space="0" w:color="000000"/>
              <w:bottom w:val="single" w:sz="2" w:space="0" w:color="000000"/>
              <w:right w:val="single" w:sz="6" w:space="0" w:color="000000"/>
            </w:tcBorders>
            <w:shd w:val="clear" w:color="auto" w:fill="000000" w:themeFill="text1"/>
            <w:vAlign w:val="center"/>
          </w:tcPr>
          <w:p w:rsidR="00851C46" w:rsidRPr="00BE0BD1" w:rsidRDefault="00851C46" w:rsidP="00BE0BD1">
            <w:pPr>
              <w:keepNext/>
              <w:adjustRightInd w:val="0"/>
              <w:spacing w:before="60" w:after="60"/>
              <w:jc w:val="center"/>
              <w:rPr>
                <w:rFonts w:asciiTheme="minorHAnsi" w:hAnsiTheme="minorHAnsi"/>
                <w:b/>
                <w:bCs/>
                <w:i/>
                <w:iCs/>
                <w:color w:val="000000"/>
                <w:sz w:val="22"/>
                <w:szCs w:val="22"/>
              </w:rPr>
            </w:pPr>
          </w:p>
        </w:tc>
      </w:tr>
      <w:tr w:rsidR="00BE0BD1" w:rsidRPr="00BE0BD1" w:rsidTr="003053B1">
        <w:trPr>
          <w:cantSplit/>
          <w:tblHeader/>
          <w:jc w:val="center"/>
        </w:trPr>
        <w:tc>
          <w:tcPr>
            <w:tcW w:w="9270" w:type="dxa"/>
            <w:gridSpan w:val="7"/>
            <w:tcBorders>
              <w:top w:val="single" w:sz="6" w:space="0" w:color="000000"/>
              <w:left w:val="single" w:sz="2" w:space="0" w:color="000000"/>
              <w:bottom w:val="single" w:sz="2" w:space="0" w:color="000000"/>
              <w:right w:val="single" w:sz="6" w:space="0" w:color="000000"/>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proofErr w:type="spellStart"/>
            <w:r w:rsidRPr="00BE0BD1">
              <w:rPr>
                <w:rFonts w:asciiTheme="minorHAnsi" w:hAnsiTheme="minorHAnsi"/>
                <w:b/>
                <w:bCs/>
                <w:i/>
                <w:iCs/>
                <w:color w:val="000000"/>
                <w:sz w:val="22"/>
                <w:szCs w:val="22"/>
              </w:rPr>
              <w:t>Rehospitalizations</w:t>
            </w:r>
            <w:proofErr w:type="spellEnd"/>
            <w:r w:rsidRPr="00BE0BD1">
              <w:rPr>
                <w:rFonts w:asciiTheme="minorHAnsi" w:hAnsiTheme="minorHAnsi"/>
                <w:b/>
                <w:bCs/>
                <w:i/>
                <w:iCs/>
                <w:color w:val="000000"/>
                <w:sz w:val="22"/>
                <w:szCs w:val="22"/>
              </w:rPr>
              <w:t xml:space="preserve"> Per 1,000 Beneficiaries by Demographic Characteristics for 327 Communities (2012)</w:t>
            </w:r>
          </w:p>
        </w:tc>
      </w:tr>
      <w:tr w:rsidR="00BE0BD1" w:rsidRPr="00BE0BD1" w:rsidTr="003053B1">
        <w:trPr>
          <w:cantSplit/>
          <w:tblHeader/>
          <w:jc w:val="center"/>
        </w:trPr>
        <w:tc>
          <w:tcPr>
            <w:tcW w:w="1108"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Variable</w:t>
            </w:r>
          </w:p>
        </w:tc>
        <w:tc>
          <w:tcPr>
            <w:tcW w:w="1726"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Level</w:t>
            </w:r>
          </w:p>
        </w:tc>
        <w:tc>
          <w:tcPr>
            <w:tcW w:w="1086"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Minimum</w:t>
            </w:r>
          </w:p>
        </w:tc>
        <w:tc>
          <w:tcPr>
            <w:tcW w:w="1085"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25th Percentile</w:t>
            </w:r>
          </w:p>
        </w:tc>
        <w:tc>
          <w:tcPr>
            <w:tcW w:w="860"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Median</w:t>
            </w:r>
          </w:p>
        </w:tc>
        <w:tc>
          <w:tcPr>
            <w:tcW w:w="1085" w:type="dxa"/>
            <w:tcBorders>
              <w:top w:val="single" w:sz="6" w:space="0" w:color="000000"/>
              <w:left w:val="single" w:sz="2" w:space="0" w:color="000000"/>
              <w:bottom w:val="single" w:sz="2" w:space="0" w:color="000000"/>
              <w:right w:val="nil"/>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75th Percentile</w:t>
            </w:r>
          </w:p>
        </w:tc>
        <w:tc>
          <w:tcPr>
            <w:tcW w:w="2320" w:type="dxa"/>
            <w:tcBorders>
              <w:top w:val="single" w:sz="6" w:space="0" w:color="000000"/>
              <w:left w:val="single" w:sz="2" w:space="0" w:color="000000"/>
              <w:bottom w:val="single" w:sz="2" w:space="0" w:color="000000"/>
              <w:right w:val="single" w:sz="6" w:space="0" w:color="000000"/>
            </w:tcBorders>
            <w:shd w:val="clear" w:color="auto" w:fill="BBBBBB"/>
            <w:vAlign w:val="center"/>
          </w:tcPr>
          <w:p w:rsidR="00BE0BD1" w:rsidRPr="00BE0BD1" w:rsidRDefault="00BE0BD1" w:rsidP="00BE0BD1">
            <w:pPr>
              <w:keepNext/>
              <w:adjustRightInd w:val="0"/>
              <w:spacing w:before="60" w:after="60"/>
              <w:jc w:val="center"/>
              <w:rPr>
                <w:rFonts w:asciiTheme="minorHAnsi" w:hAnsiTheme="minorHAnsi"/>
                <w:b/>
                <w:bCs/>
                <w:color w:val="000000"/>
              </w:rPr>
            </w:pPr>
            <w:r w:rsidRPr="00BE0BD1">
              <w:rPr>
                <w:rFonts w:asciiTheme="minorHAnsi" w:hAnsiTheme="minorHAnsi"/>
                <w:b/>
                <w:bCs/>
                <w:color w:val="000000"/>
                <w:sz w:val="22"/>
                <w:szCs w:val="22"/>
              </w:rPr>
              <w:t>Maximum</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Sex</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Male</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15.38</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41.27</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51.90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61.61</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128.48</w:t>
            </w:r>
          </w:p>
        </w:tc>
      </w:tr>
      <w:tr w:rsidR="00BE0BD1" w:rsidRPr="00BE0BD1" w:rsidTr="003053B1">
        <w:trPr>
          <w:cantSplit/>
          <w:jc w:val="center"/>
        </w:trPr>
        <w:tc>
          <w:tcPr>
            <w:tcW w:w="1108" w:type="dxa"/>
            <w:vMerge/>
            <w:tcBorders>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Female</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17.35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38.31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47.94</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59.14</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125.29</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Race</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White</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14.71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38.81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47.48</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56.56</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103.49</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Black</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49.91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74.29</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93.88</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333.33</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Hispanic</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20.50</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41.27</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65.83</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363.64</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Asian</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12.66</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26.87</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40.77</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352.94</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 xml:space="preserve">N </w:t>
            </w:r>
            <w:proofErr w:type="spellStart"/>
            <w:r w:rsidRPr="00BE0BD1">
              <w:rPr>
                <w:rFonts w:asciiTheme="minorHAnsi" w:hAnsiTheme="minorHAnsi"/>
                <w:color w:val="000000"/>
                <w:sz w:val="22"/>
                <w:szCs w:val="22"/>
              </w:rPr>
              <w:t>Amer</w:t>
            </w:r>
            <w:proofErr w:type="spellEnd"/>
            <w:r w:rsidRPr="00BE0BD1">
              <w:rPr>
                <w:rFonts w:asciiTheme="minorHAnsi" w:hAnsiTheme="minorHAnsi"/>
                <w:color w:val="000000"/>
                <w:sz w:val="22"/>
                <w:szCs w:val="22"/>
              </w:rPr>
              <w:t xml:space="preserve"> Native</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54.79</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100.00</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600.00</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Other</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20.41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32.52</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47.21</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250.00</w:t>
            </w:r>
          </w:p>
        </w:tc>
      </w:tr>
      <w:tr w:rsidR="00BE0BD1" w:rsidRPr="00BE0BD1" w:rsidTr="003053B1">
        <w:trPr>
          <w:cantSplit/>
          <w:jc w:val="center"/>
        </w:trPr>
        <w:tc>
          <w:tcPr>
            <w:tcW w:w="1108" w:type="dxa"/>
            <w:vMerge/>
            <w:tcBorders>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Unknown</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9.71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20.35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32.52</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244.90</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Age Group</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&lt; 50</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44.79</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62.02</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83.52</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238.75</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50-64</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9.01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54.02</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68.76</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84.34</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159.40</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65-69</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7.18</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21.52</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26.85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33.43</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87.52</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70-74</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4.89</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29.59</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36.59</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44.59</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100.26</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75-79</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20.98</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39.15</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49.16</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58.80</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134.40</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80-84</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22.50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51.07</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62.65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75.41</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162.60</w:t>
            </w:r>
          </w:p>
        </w:tc>
      </w:tr>
      <w:tr w:rsidR="00BE0BD1" w:rsidRPr="00BE0BD1" w:rsidTr="003053B1">
        <w:trPr>
          <w:cantSplit/>
          <w:jc w:val="center"/>
        </w:trPr>
        <w:tc>
          <w:tcPr>
            <w:tcW w:w="1108" w:type="dxa"/>
            <w:vMerge/>
            <w:tcBorders>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&gt;= 85</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24.74</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60.31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76.17</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95.36</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184.28</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Dual</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Medicare only</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17.04</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32.80</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39.51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46.55</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94.21</w:t>
            </w:r>
          </w:p>
        </w:tc>
      </w:tr>
      <w:tr w:rsidR="00BE0BD1" w:rsidRPr="00BE0BD1" w:rsidTr="003053B1">
        <w:trPr>
          <w:cantSplit/>
          <w:jc w:val="center"/>
        </w:trPr>
        <w:tc>
          <w:tcPr>
            <w:tcW w:w="1108" w:type="dxa"/>
            <w:vMerge/>
            <w:tcBorders>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Medicare/Medicaid</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28.81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70.63</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92.35</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110.91</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203.26</w:t>
            </w:r>
          </w:p>
        </w:tc>
      </w:tr>
      <w:tr w:rsidR="00BE0BD1" w:rsidRPr="00BE0BD1" w:rsidTr="003053B1">
        <w:trPr>
          <w:cantSplit/>
          <w:jc w:val="center"/>
        </w:trPr>
        <w:tc>
          <w:tcPr>
            <w:tcW w:w="1108" w:type="dxa"/>
            <w:vMerge w:val="restart"/>
            <w:tcBorders>
              <w:top w:val="nil"/>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Urban Type</w:t>
            </w: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Urbanized Area</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18.87</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41.38</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50.80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60.77</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120.64</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Urban Cluster</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11.11</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36.98</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48.27</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59.04</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111.93</w:t>
            </w:r>
          </w:p>
        </w:tc>
      </w:tr>
      <w:tr w:rsidR="00BE0BD1" w:rsidRPr="00BE0BD1" w:rsidTr="003053B1">
        <w:trPr>
          <w:cantSplit/>
          <w:jc w:val="center"/>
        </w:trPr>
        <w:tc>
          <w:tcPr>
            <w:tcW w:w="1108" w:type="dxa"/>
            <w:vMerge/>
            <w:tcBorders>
              <w:left w:val="single" w:sz="2"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Non-Urban Area</w:t>
            </w:r>
          </w:p>
        </w:tc>
        <w:tc>
          <w:tcPr>
            <w:tcW w:w="1086"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33.71</w:t>
            </w:r>
          </w:p>
        </w:tc>
        <w:tc>
          <w:tcPr>
            <w:tcW w:w="860"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44.23</w:t>
            </w:r>
          </w:p>
        </w:tc>
        <w:tc>
          <w:tcPr>
            <w:tcW w:w="1085" w:type="dxa"/>
            <w:tcBorders>
              <w:top w:val="nil"/>
              <w:left w:val="single" w:sz="2" w:space="0" w:color="000000"/>
              <w:bottom w:val="single" w:sz="2" w:space="0" w:color="000000"/>
              <w:right w:val="nil"/>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55.05</w:t>
            </w:r>
          </w:p>
        </w:tc>
        <w:tc>
          <w:tcPr>
            <w:tcW w:w="2320" w:type="dxa"/>
            <w:tcBorders>
              <w:top w:val="nil"/>
              <w:left w:val="single" w:sz="2" w:space="0" w:color="000000"/>
              <w:bottom w:val="single" w:sz="2" w:space="0" w:color="000000"/>
              <w:right w:val="single" w:sz="6" w:space="0" w:color="000000"/>
            </w:tcBorders>
            <w:shd w:val="clear" w:color="auto" w:fill="FFFFFF"/>
            <w:vAlign w:val="center"/>
          </w:tcPr>
          <w:p w:rsidR="00BE0BD1" w:rsidRPr="00BE0BD1" w:rsidRDefault="00BE0BD1" w:rsidP="00BE0BD1">
            <w:pPr>
              <w:keepNext/>
              <w:adjustRightInd w:val="0"/>
              <w:spacing w:before="60" w:after="60"/>
              <w:jc w:val="center"/>
              <w:rPr>
                <w:rFonts w:asciiTheme="minorHAnsi" w:hAnsiTheme="minorHAnsi"/>
                <w:color w:val="000000"/>
              </w:rPr>
            </w:pPr>
            <w:r w:rsidRPr="00BE0BD1">
              <w:rPr>
                <w:rFonts w:asciiTheme="minorHAnsi" w:hAnsiTheme="minorHAnsi"/>
                <w:color w:val="000000"/>
                <w:sz w:val="22"/>
                <w:szCs w:val="22"/>
              </w:rPr>
              <w:t>105.26</w:t>
            </w:r>
          </w:p>
        </w:tc>
      </w:tr>
      <w:tr w:rsidR="00BE0BD1" w:rsidRPr="00BE0BD1" w:rsidTr="003053B1">
        <w:trPr>
          <w:cantSplit/>
          <w:jc w:val="center"/>
        </w:trPr>
        <w:tc>
          <w:tcPr>
            <w:tcW w:w="1108" w:type="dxa"/>
            <w:vMerge/>
            <w:tcBorders>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p>
        </w:tc>
        <w:tc>
          <w:tcPr>
            <w:tcW w:w="1726"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UTD</w:t>
            </w:r>
          </w:p>
        </w:tc>
        <w:tc>
          <w:tcPr>
            <w:tcW w:w="1086"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860"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1085" w:type="dxa"/>
            <w:tcBorders>
              <w:top w:val="nil"/>
              <w:left w:val="single" w:sz="2" w:space="0" w:color="000000"/>
              <w:bottom w:val="single" w:sz="6" w:space="0" w:color="000000"/>
              <w:right w:val="nil"/>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0.00</w:t>
            </w:r>
          </w:p>
        </w:tc>
        <w:tc>
          <w:tcPr>
            <w:tcW w:w="2320" w:type="dxa"/>
            <w:tcBorders>
              <w:top w:val="nil"/>
              <w:left w:val="single" w:sz="2" w:space="0" w:color="000000"/>
              <w:bottom w:val="single" w:sz="6" w:space="0" w:color="000000"/>
              <w:right w:val="single" w:sz="6" w:space="0" w:color="000000"/>
            </w:tcBorders>
            <w:shd w:val="clear" w:color="auto" w:fill="FFFFFF"/>
            <w:vAlign w:val="center"/>
          </w:tcPr>
          <w:p w:rsidR="00BE0BD1" w:rsidRPr="00BE0BD1" w:rsidRDefault="00BE0BD1" w:rsidP="00BE0BD1">
            <w:pPr>
              <w:adjustRightInd w:val="0"/>
              <w:spacing w:before="60" w:after="60"/>
              <w:jc w:val="center"/>
              <w:rPr>
                <w:rFonts w:asciiTheme="minorHAnsi" w:hAnsiTheme="minorHAnsi"/>
                <w:color w:val="000000"/>
              </w:rPr>
            </w:pPr>
            <w:r w:rsidRPr="00BE0BD1">
              <w:rPr>
                <w:rFonts w:asciiTheme="minorHAnsi" w:hAnsiTheme="minorHAnsi"/>
                <w:color w:val="000000"/>
                <w:sz w:val="22"/>
                <w:szCs w:val="22"/>
              </w:rPr>
              <w:t>1000.00</w:t>
            </w:r>
          </w:p>
        </w:tc>
      </w:tr>
    </w:tbl>
    <w:p w:rsidR="00BE0BD1" w:rsidRPr="00BE0BD1" w:rsidRDefault="00BE0BD1" w:rsidP="00BE0BD1"/>
    <w:p w:rsidR="00502C70" w:rsidRDefault="00502C70" w:rsidP="00BF4E1B">
      <w:pPr>
        <w:pStyle w:val="IntenseQuote"/>
        <w:outlineLvl w:val="0"/>
      </w:pPr>
    </w:p>
    <w:p w:rsidR="009A4C76" w:rsidRDefault="009A4C76" w:rsidP="009A4C76"/>
    <w:p w:rsidR="009A4C76" w:rsidRDefault="009A4C76" w:rsidP="009A4C76"/>
    <w:p w:rsidR="009A4C76" w:rsidRDefault="009A4C76" w:rsidP="009A4C76"/>
    <w:p w:rsidR="009A4C76" w:rsidRDefault="009A4C76" w:rsidP="009A4C76"/>
    <w:p w:rsidR="009A4C76" w:rsidRDefault="009A4C76" w:rsidP="009A4C76"/>
    <w:p w:rsidR="009A4C76" w:rsidRDefault="009A4C76" w:rsidP="009A4C76"/>
    <w:p w:rsidR="009A4C76" w:rsidRDefault="009A4C76" w:rsidP="009A4C76"/>
    <w:p w:rsidR="009A4C76" w:rsidRDefault="009A4C76" w:rsidP="009A4C76"/>
    <w:p w:rsidR="009A4C76" w:rsidRDefault="009A4C76" w:rsidP="009A4C76"/>
    <w:p w:rsidR="00851C46" w:rsidRDefault="00851C46" w:rsidP="00851C46">
      <w:pPr>
        <w:pStyle w:val="IntenseQuote"/>
        <w:ind w:left="0"/>
        <w:outlineLvl w:val="0"/>
        <w:rPr>
          <w:b w:val="0"/>
          <w:bCs w:val="0"/>
          <w:i w:val="0"/>
          <w:iCs w:val="0"/>
          <w:color w:val="auto"/>
          <w:szCs w:val="24"/>
        </w:rPr>
      </w:pPr>
      <w:bookmarkStart w:id="23" w:name="_Toc379443650"/>
    </w:p>
    <w:p w:rsidR="0011273D" w:rsidRPr="004B6080" w:rsidRDefault="004B6080" w:rsidP="00851C46">
      <w:pPr>
        <w:pStyle w:val="IntenseQuote"/>
        <w:ind w:left="0"/>
        <w:outlineLvl w:val="0"/>
      </w:pPr>
      <w:r w:rsidRPr="004B6080">
        <w:lastRenderedPageBreak/>
        <w:t>Ad.1 - Workgroup/Expert Panel</w:t>
      </w:r>
      <w:r w:rsidR="00A3714A">
        <w:t xml:space="preserve"> Details</w:t>
      </w:r>
      <w:bookmarkEnd w:id="23"/>
    </w:p>
    <w:tbl>
      <w:tblPr>
        <w:tblW w:w="0" w:type="auto"/>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90"/>
        <w:gridCol w:w="3786"/>
        <w:gridCol w:w="613"/>
        <w:gridCol w:w="630"/>
        <w:gridCol w:w="630"/>
        <w:gridCol w:w="720"/>
        <w:gridCol w:w="2172"/>
      </w:tblGrid>
      <w:tr w:rsidR="004B6080" w:rsidTr="00A3714A">
        <w:trPr>
          <w:cantSplit/>
          <w:trHeight w:val="144"/>
          <w:tblHeader/>
        </w:trPr>
        <w:tc>
          <w:tcPr>
            <w:tcW w:w="3590" w:type="dxa"/>
            <w:vMerge w:val="restart"/>
            <w:shd w:val="clear" w:color="auto" w:fill="003366"/>
            <w:vAlign w:val="center"/>
          </w:tcPr>
          <w:p w:rsidR="004B6080" w:rsidRDefault="004B6080" w:rsidP="007F28E7">
            <w:pPr>
              <w:pStyle w:val="BodyText2"/>
              <w:jc w:val="center"/>
              <w:rPr>
                <w:rFonts w:ascii="Arial Bold" w:hAnsi="Arial Bold" w:cs="Arial"/>
                <w:color w:val="FFFFFF"/>
                <w:sz w:val="20"/>
              </w:rPr>
            </w:pPr>
            <w:r>
              <w:rPr>
                <w:rFonts w:ascii="Arial Bold" w:hAnsi="Arial Bold"/>
                <w:bCs w:val="0"/>
                <w:color w:val="FFFFFF"/>
                <w:sz w:val="20"/>
              </w:rPr>
              <w:t>Name and Credentials</w:t>
            </w:r>
          </w:p>
        </w:tc>
        <w:tc>
          <w:tcPr>
            <w:tcW w:w="3786" w:type="dxa"/>
            <w:vMerge w:val="restart"/>
            <w:shd w:val="clear" w:color="auto" w:fill="003366"/>
            <w:vAlign w:val="center"/>
          </w:tcPr>
          <w:p w:rsidR="004B6080" w:rsidRDefault="004B6080" w:rsidP="007F28E7">
            <w:pPr>
              <w:pStyle w:val="BodyText2"/>
              <w:jc w:val="center"/>
              <w:rPr>
                <w:rFonts w:ascii="Arial Bold" w:hAnsi="Arial Bold"/>
                <w:bCs w:val="0"/>
                <w:color w:val="FFFFFF"/>
                <w:sz w:val="20"/>
              </w:rPr>
            </w:pPr>
            <w:r>
              <w:rPr>
                <w:rFonts w:ascii="Arial Bold" w:hAnsi="Arial Bold"/>
                <w:bCs w:val="0"/>
                <w:color w:val="FFFFFF"/>
                <w:sz w:val="20"/>
              </w:rPr>
              <w:t>Organizational Affiliation</w:t>
            </w:r>
          </w:p>
          <w:p w:rsidR="004B6080" w:rsidRDefault="004B6080" w:rsidP="007F28E7">
            <w:pPr>
              <w:pStyle w:val="BodyText2"/>
              <w:jc w:val="center"/>
              <w:rPr>
                <w:rFonts w:ascii="Arial Bold" w:hAnsi="Arial Bold" w:cs="Arial"/>
                <w:color w:val="FFFFFF"/>
                <w:sz w:val="20"/>
              </w:rPr>
            </w:pPr>
            <w:r>
              <w:rPr>
                <w:rFonts w:ascii="Arial Bold" w:hAnsi="Arial Bold"/>
                <w:bCs w:val="0"/>
                <w:color w:val="FFFFFF"/>
                <w:sz w:val="20"/>
              </w:rPr>
              <w:t>City, State</w:t>
            </w:r>
          </w:p>
        </w:tc>
        <w:tc>
          <w:tcPr>
            <w:tcW w:w="4765" w:type="dxa"/>
            <w:gridSpan w:val="5"/>
            <w:tcBorders>
              <w:bottom w:val="single" w:sz="4" w:space="0" w:color="auto"/>
            </w:tcBorders>
            <w:shd w:val="clear" w:color="auto" w:fill="003366"/>
            <w:vAlign w:val="center"/>
          </w:tcPr>
          <w:p w:rsidR="004B6080" w:rsidRDefault="004B6080" w:rsidP="007F28E7">
            <w:pPr>
              <w:pStyle w:val="BodyText2"/>
              <w:jc w:val="center"/>
              <w:rPr>
                <w:rFonts w:ascii="Arial Bold" w:hAnsi="Arial Bold" w:cs="Arial"/>
                <w:color w:val="FFFFFF"/>
                <w:sz w:val="20"/>
              </w:rPr>
            </w:pPr>
            <w:r>
              <w:rPr>
                <w:rFonts w:ascii="Arial Bold" w:hAnsi="Arial Bold"/>
                <w:bCs w:val="0"/>
                <w:color w:val="FFFFFF"/>
                <w:sz w:val="20"/>
              </w:rPr>
              <w:t>Areas of Expertise</w:t>
            </w:r>
          </w:p>
        </w:tc>
      </w:tr>
      <w:tr w:rsidR="004B6080" w:rsidTr="00A3714A">
        <w:trPr>
          <w:cantSplit/>
          <w:trHeight w:val="1522"/>
          <w:tblHeader/>
        </w:trPr>
        <w:tc>
          <w:tcPr>
            <w:tcW w:w="3590" w:type="dxa"/>
            <w:vMerge/>
            <w:tcBorders>
              <w:bottom w:val="single" w:sz="4" w:space="0" w:color="auto"/>
            </w:tcBorders>
            <w:shd w:val="clear" w:color="auto" w:fill="E6E6E6"/>
            <w:vAlign w:val="center"/>
          </w:tcPr>
          <w:p w:rsidR="004B6080" w:rsidRDefault="004B6080" w:rsidP="007F28E7">
            <w:pPr>
              <w:pStyle w:val="BodyText2"/>
              <w:jc w:val="center"/>
              <w:rPr>
                <w:rFonts w:ascii="Arial Bold" w:hAnsi="Arial Bold" w:cs="Arial"/>
                <w:color w:val="FFFFFF"/>
                <w:sz w:val="20"/>
              </w:rPr>
            </w:pPr>
          </w:p>
        </w:tc>
        <w:tc>
          <w:tcPr>
            <w:tcW w:w="3786" w:type="dxa"/>
            <w:vMerge/>
            <w:tcBorders>
              <w:bottom w:val="single" w:sz="4" w:space="0" w:color="auto"/>
            </w:tcBorders>
            <w:shd w:val="clear" w:color="auto" w:fill="E6E6E6"/>
            <w:vAlign w:val="center"/>
          </w:tcPr>
          <w:p w:rsidR="004B6080" w:rsidRDefault="004B6080" w:rsidP="007F28E7">
            <w:pPr>
              <w:pStyle w:val="BodyText2"/>
              <w:jc w:val="center"/>
              <w:rPr>
                <w:rFonts w:ascii="Arial Bold" w:hAnsi="Arial Bold" w:cs="Arial"/>
                <w:color w:val="FFFFFF"/>
                <w:sz w:val="20"/>
              </w:rPr>
            </w:pPr>
          </w:p>
        </w:tc>
        <w:tc>
          <w:tcPr>
            <w:tcW w:w="613" w:type="dxa"/>
            <w:tcBorders>
              <w:bottom w:val="single" w:sz="4" w:space="0" w:color="auto"/>
            </w:tcBorders>
            <w:shd w:val="clear" w:color="auto" w:fill="003366"/>
            <w:textDirection w:val="btLr"/>
            <w:vAlign w:val="center"/>
          </w:tcPr>
          <w:p w:rsidR="004B6080" w:rsidRDefault="004B6080" w:rsidP="007F28E7">
            <w:pPr>
              <w:pStyle w:val="BodyText2"/>
              <w:ind w:left="113" w:right="113"/>
              <w:jc w:val="center"/>
              <w:rPr>
                <w:rFonts w:ascii="Arial Bold" w:hAnsi="Arial Bold"/>
                <w:color w:val="FFFFFF"/>
                <w:sz w:val="20"/>
              </w:rPr>
            </w:pPr>
            <w:r>
              <w:rPr>
                <w:rFonts w:ascii="Arial Bold" w:hAnsi="Arial Bold"/>
                <w:color w:val="FFFFFF"/>
                <w:sz w:val="20"/>
              </w:rPr>
              <w:t>Subject Matter</w:t>
            </w:r>
          </w:p>
        </w:tc>
        <w:tc>
          <w:tcPr>
            <w:tcW w:w="630" w:type="dxa"/>
            <w:tcBorders>
              <w:bottom w:val="single" w:sz="4" w:space="0" w:color="auto"/>
            </w:tcBorders>
            <w:shd w:val="clear" w:color="auto" w:fill="003366"/>
            <w:textDirection w:val="btLr"/>
            <w:vAlign w:val="center"/>
          </w:tcPr>
          <w:p w:rsidR="004B6080" w:rsidRDefault="004B6080" w:rsidP="007F28E7">
            <w:pPr>
              <w:pStyle w:val="BodyText2"/>
              <w:ind w:left="113" w:right="113"/>
              <w:jc w:val="center"/>
              <w:rPr>
                <w:rFonts w:ascii="Arial Bold" w:hAnsi="Arial Bold"/>
                <w:color w:val="FFFFFF"/>
                <w:sz w:val="20"/>
              </w:rPr>
            </w:pPr>
            <w:r>
              <w:rPr>
                <w:rFonts w:ascii="Arial Bold" w:hAnsi="Arial Bold"/>
                <w:color w:val="FFFFFF"/>
                <w:sz w:val="20"/>
              </w:rPr>
              <w:t>Measurement Methods</w:t>
            </w:r>
          </w:p>
        </w:tc>
        <w:tc>
          <w:tcPr>
            <w:tcW w:w="630" w:type="dxa"/>
            <w:tcBorders>
              <w:bottom w:val="single" w:sz="4" w:space="0" w:color="auto"/>
            </w:tcBorders>
            <w:shd w:val="clear" w:color="auto" w:fill="003366"/>
            <w:textDirection w:val="btLr"/>
            <w:vAlign w:val="center"/>
          </w:tcPr>
          <w:p w:rsidR="004B6080" w:rsidRDefault="004B6080" w:rsidP="007F28E7">
            <w:pPr>
              <w:pStyle w:val="BodyText2"/>
              <w:ind w:left="113" w:right="113"/>
              <w:jc w:val="center"/>
              <w:rPr>
                <w:rFonts w:ascii="Arial Bold" w:hAnsi="Arial Bold"/>
                <w:color w:val="FFFFFF"/>
                <w:sz w:val="20"/>
              </w:rPr>
            </w:pPr>
            <w:r>
              <w:rPr>
                <w:rFonts w:ascii="Arial Bold" w:hAnsi="Arial Bold"/>
                <w:color w:val="FFFFFF"/>
                <w:sz w:val="20"/>
              </w:rPr>
              <w:t>Quality Improvement</w:t>
            </w:r>
          </w:p>
        </w:tc>
        <w:tc>
          <w:tcPr>
            <w:tcW w:w="720" w:type="dxa"/>
            <w:tcBorders>
              <w:bottom w:val="single" w:sz="4" w:space="0" w:color="auto"/>
            </w:tcBorders>
            <w:shd w:val="clear" w:color="auto" w:fill="003366"/>
            <w:textDirection w:val="btLr"/>
            <w:vAlign w:val="center"/>
          </w:tcPr>
          <w:p w:rsidR="004B6080" w:rsidRDefault="004B6080" w:rsidP="007F28E7">
            <w:pPr>
              <w:pStyle w:val="BodyText2"/>
              <w:ind w:left="113" w:right="113"/>
              <w:jc w:val="center"/>
              <w:rPr>
                <w:rFonts w:ascii="Arial Bold" w:hAnsi="Arial Bold"/>
                <w:color w:val="FFFFFF"/>
                <w:sz w:val="20"/>
              </w:rPr>
            </w:pPr>
            <w:r>
              <w:rPr>
                <w:rFonts w:ascii="Arial Bold" w:hAnsi="Arial Bold"/>
                <w:color w:val="FFFFFF"/>
                <w:sz w:val="20"/>
              </w:rPr>
              <w:t>Quality Health Care Disparities</w:t>
            </w:r>
          </w:p>
        </w:tc>
        <w:tc>
          <w:tcPr>
            <w:tcW w:w="2172" w:type="dxa"/>
            <w:tcBorders>
              <w:bottom w:val="single" w:sz="4" w:space="0" w:color="auto"/>
            </w:tcBorders>
            <w:shd w:val="clear" w:color="auto" w:fill="003366"/>
            <w:textDirection w:val="btLr"/>
            <w:vAlign w:val="center"/>
          </w:tcPr>
          <w:p w:rsidR="004B6080" w:rsidRDefault="004B6080" w:rsidP="007F28E7">
            <w:pPr>
              <w:pStyle w:val="BodyText2"/>
              <w:ind w:left="113" w:right="113"/>
              <w:jc w:val="center"/>
              <w:rPr>
                <w:rFonts w:ascii="Arial Bold" w:hAnsi="Arial Bold"/>
                <w:color w:val="FFFFFF"/>
                <w:sz w:val="20"/>
              </w:rPr>
            </w:pPr>
            <w:r>
              <w:rPr>
                <w:rFonts w:ascii="Arial Bold" w:hAnsi="Arial Bold"/>
                <w:color w:val="FFFFFF"/>
                <w:sz w:val="20"/>
              </w:rPr>
              <w:t>Stakeholder Perspective*</w:t>
            </w:r>
          </w:p>
        </w:tc>
      </w:tr>
      <w:tr w:rsidR="004B6080" w:rsidTr="00A3714A">
        <w:trPr>
          <w:cantSplit/>
        </w:trPr>
        <w:tc>
          <w:tcPr>
            <w:tcW w:w="3590"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Mark </w:t>
            </w:r>
            <w:proofErr w:type="spellStart"/>
            <w:r>
              <w:rPr>
                <w:rFonts w:ascii="Times New Roman" w:hAnsi="Times New Roman"/>
                <w:b w:val="0"/>
                <w:bCs w:val="0"/>
                <w:sz w:val="20"/>
              </w:rPr>
              <w:t>Antman</w:t>
            </w:r>
            <w:proofErr w:type="spellEnd"/>
            <w:r>
              <w:rPr>
                <w:rFonts w:ascii="Times New Roman" w:hAnsi="Times New Roman"/>
                <w:b w:val="0"/>
                <w:bCs w:val="0"/>
                <w:sz w:val="20"/>
              </w:rPr>
              <w:t>, DDS</w:t>
            </w:r>
          </w:p>
        </w:tc>
        <w:tc>
          <w:tcPr>
            <w:tcW w:w="3786"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American Medical Association</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Physician Consortium for Performance Improvement</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Chicago, Il </w:t>
            </w:r>
          </w:p>
        </w:tc>
        <w:tc>
          <w:tcPr>
            <w:tcW w:w="613" w:type="dxa"/>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vAlign w:val="center"/>
          </w:tcPr>
          <w:p w:rsidR="004B6080" w:rsidRPr="006F1C2E" w:rsidRDefault="004B6080" w:rsidP="007F28E7">
            <w:pPr>
              <w:pStyle w:val="BodyText2"/>
              <w:jc w:val="center"/>
              <w:rPr>
                <w:rFonts w:cs="Arial"/>
                <w:b w:val="0"/>
                <w:bCs w:val="0"/>
                <w:sz w:val="20"/>
              </w:rPr>
            </w:pPr>
          </w:p>
        </w:tc>
        <w:tc>
          <w:tcPr>
            <w:tcW w:w="630" w:type="dxa"/>
            <w:vAlign w:val="center"/>
          </w:tcPr>
          <w:p w:rsidR="004B6080" w:rsidRPr="006F1C2E" w:rsidRDefault="004B6080" w:rsidP="007F28E7">
            <w:pPr>
              <w:pStyle w:val="BodyText2"/>
              <w:jc w:val="center"/>
              <w:rPr>
                <w:rFonts w:cs="Arial"/>
                <w:b w:val="0"/>
                <w:bCs w:val="0"/>
                <w:sz w:val="20"/>
              </w:rPr>
            </w:pPr>
          </w:p>
        </w:tc>
        <w:tc>
          <w:tcPr>
            <w:tcW w:w="720" w:type="dxa"/>
            <w:vAlign w:val="center"/>
          </w:tcPr>
          <w:p w:rsidR="004B6080" w:rsidRPr="006F1C2E" w:rsidRDefault="004B6080" w:rsidP="007F28E7">
            <w:pPr>
              <w:pStyle w:val="BodyText2"/>
              <w:jc w:val="center"/>
              <w:rPr>
                <w:rFonts w:cs="Arial"/>
                <w:b w:val="0"/>
                <w:bCs w:val="0"/>
                <w:sz w:val="20"/>
              </w:rPr>
            </w:pPr>
          </w:p>
        </w:tc>
        <w:tc>
          <w:tcPr>
            <w:tcW w:w="2172" w:type="dxa"/>
            <w:vAlign w:val="center"/>
          </w:tcPr>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Alicia I. </w:t>
            </w:r>
            <w:proofErr w:type="spellStart"/>
            <w:r>
              <w:rPr>
                <w:rFonts w:ascii="Times New Roman" w:hAnsi="Times New Roman"/>
                <w:b w:val="0"/>
                <w:bCs w:val="0"/>
                <w:sz w:val="20"/>
              </w:rPr>
              <w:t>Arbaje</w:t>
            </w:r>
            <w:proofErr w:type="spellEnd"/>
            <w:r>
              <w:rPr>
                <w:rFonts w:ascii="Times New Roman" w:hAnsi="Times New Roman"/>
                <w:b w:val="0"/>
                <w:bCs w:val="0"/>
                <w:sz w:val="20"/>
              </w:rPr>
              <w:t>, MD, MPH</w:t>
            </w:r>
          </w:p>
        </w:tc>
        <w:tc>
          <w:tcPr>
            <w:tcW w:w="3786"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John Hopkins </w:t>
            </w:r>
            <w:proofErr w:type="spellStart"/>
            <w:r>
              <w:rPr>
                <w:rFonts w:ascii="Times New Roman" w:hAnsi="Times New Roman"/>
                <w:b w:val="0"/>
                <w:bCs w:val="0"/>
                <w:sz w:val="20"/>
              </w:rPr>
              <w:t>Bayview</w:t>
            </w:r>
            <w:proofErr w:type="spellEnd"/>
            <w:r>
              <w:rPr>
                <w:rFonts w:ascii="Times New Roman" w:hAnsi="Times New Roman"/>
                <w:b w:val="0"/>
                <w:bCs w:val="0"/>
                <w:sz w:val="20"/>
              </w:rPr>
              <w:t xml:space="preserve"> Medical Center</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Baltimore, MD</w:t>
            </w:r>
          </w:p>
        </w:tc>
        <w:tc>
          <w:tcPr>
            <w:tcW w:w="613" w:type="dxa"/>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vAlign w:val="center"/>
          </w:tcPr>
          <w:p w:rsidR="004B6080" w:rsidRPr="006F1C2E" w:rsidRDefault="004B6080" w:rsidP="007F28E7">
            <w:pPr>
              <w:pStyle w:val="BodyText2"/>
              <w:jc w:val="center"/>
              <w:rPr>
                <w:rFonts w:cs="Arial"/>
                <w:b w:val="0"/>
                <w:bCs w:val="0"/>
                <w:sz w:val="20"/>
              </w:rPr>
            </w:pPr>
          </w:p>
        </w:tc>
        <w:tc>
          <w:tcPr>
            <w:tcW w:w="720" w:type="dxa"/>
            <w:vAlign w:val="center"/>
          </w:tcPr>
          <w:p w:rsidR="004B6080" w:rsidRPr="006F1C2E" w:rsidRDefault="004B6080" w:rsidP="007F28E7">
            <w:pPr>
              <w:pStyle w:val="BodyText2"/>
              <w:jc w:val="center"/>
              <w:rPr>
                <w:rFonts w:cs="Arial"/>
                <w:b w:val="0"/>
                <w:bCs w:val="0"/>
                <w:sz w:val="20"/>
              </w:rPr>
            </w:pPr>
          </w:p>
        </w:tc>
        <w:tc>
          <w:tcPr>
            <w:tcW w:w="2172" w:type="dxa"/>
            <w:vAlign w:val="center"/>
          </w:tcPr>
          <w:p w:rsidR="004B6080" w:rsidRPr="006F1C2E" w:rsidRDefault="004B6080" w:rsidP="007F28E7">
            <w:pPr>
              <w:pStyle w:val="BodyText2"/>
              <w:jc w:val="center"/>
              <w:rPr>
                <w:rFonts w:cs="Arial"/>
                <w:b w:val="0"/>
                <w:bCs w:val="0"/>
                <w:sz w:val="20"/>
              </w:rPr>
            </w:pPr>
            <w:r w:rsidRPr="006F1C2E">
              <w:rPr>
                <w:rFonts w:cs="Arial"/>
                <w:sz w:val="20"/>
              </w:rPr>
              <w:t>researcher</w:t>
            </w:r>
          </w:p>
        </w:tc>
      </w:tr>
      <w:tr w:rsidR="004B6080" w:rsidTr="00A3714A">
        <w:trPr>
          <w:cantSplit/>
        </w:trPr>
        <w:tc>
          <w:tcPr>
            <w:tcW w:w="3590"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Bruce S. </w:t>
            </w:r>
            <w:proofErr w:type="spellStart"/>
            <w:r>
              <w:rPr>
                <w:rFonts w:ascii="Times New Roman" w:hAnsi="Times New Roman"/>
                <w:b w:val="0"/>
                <w:bCs w:val="0"/>
                <w:sz w:val="20"/>
              </w:rPr>
              <w:t>Auerbach</w:t>
            </w:r>
            <w:proofErr w:type="spellEnd"/>
            <w:r>
              <w:rPr>
                <w:rFonts w:ascii="Times New Roman" w:hAnsi="Times New Roman"/>
                <w:b w:val="0"/>
                <w:bCs w:val="0"/>
                <w:sz w:val="20"/>
              </w:rPr>
              <w:t>, MD, FACEP</w:t>
            </w:r>
          </w:p>
        </w:tc>
        <w:tc>
          <w:tcPr>
            <w:tcW w:w="3786"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Sturdy Memorial Hospital</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Attleboro, MA</w:t>
            </w:r>
          </w:p>
        </w:tc>
        <w:tc>
          <w:tcPr>
            <w:tcW w:w="613" w:type="dxa"/>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vAlign w:val="center"/>
          </w:tcPr>
          <w:p w:rsidR="004B6080" w:rsidRPr="006F1C2E" w:rsidRDefault="004B6080" w:rsidP="007F28E7">
            <w:pPr>
              <w:pStyle w:val="BodyText2"/>
              <w:jc w:val="center"/>
              <w:rPr>
                <w:rFonts w:cs="Arial"/>
                <w:b w:val="0"/>
                <w:bCs w:val="0"/>
                <w:sz w:val="20"/>
              </w:rPr>
            </w:pPr>
          </w:p>
        </w:tc>
        <w:tc>
          <w:tcPr>
            <w:tcW w:w="630" w:type="dxa"/>
            <w:vAlign w:val="center"/>
          </w:tcPr>
          <w:p w:rsidR="004B6080" w:rsidRPr="006F1C2E" w:rsidRDefault="004B6080" w:rsidP="007F28E7">
            <w:pPr>
              <w:pStyle w:val="BodyText2"/>
              <w:jc w:val="center"/>
              <w:rPr>
                <w:rFonts w:cs="Arial"/>
                <w:b w:val="0"/>
                <w:bCs w:val="0"/>
                <w:sz w:val="20"/>
              </w:rPr>
            </w:pPr>
          </w:p>
        </w:tc>
        <w:tc>
          <w:tcPr>
            <w:tcW w:w="720" w:type="dxa"/>
            <w:vAlign w:val="center"/>
          </w:tcPr>
          <w:p w:rsidR="004B6080" w:rsidRPr="006F1C2E" w:rsidRDefault="004B6080" w:rsidP="007F28E7">
            <w:pPr>
              <w:pStyle w:val="BodyText2"/>
              <w:jc w:val="center"/>
              <w:rPr>
                <w:rFonts w:cs="Arial"/>
                <w:b w:val="0"/>
                <w:bCs w:val="0"/>
                <w:sz w:val="20"/>
              </w:rPr>
            </w:pPr>
          </w:p>
        </w:tc>
        <w:tc>
          <w:tcPr>
            <w:tcW w:w="2172" w:type="dxa"/>
            <w:vAlign w:val="center"/>
          </w:tcPr>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Douglas L. </w:t>
            </w:r>
            <w:proofErr w:type="spellStart"/>
            <w:r>
              <w:rPr>
                <w:rFonts w:ascii="Times New Roman" w:hAnsi="Times New Roman"/>
                <w:b w:val="0"/>
                <w:bCs w:val="0"/>
                <w:sz w:val="20"/>
              </w:rPr>
              <w:t>Bechard</w:t>
            </w:r>
            <w:proofErr w:type="spellEnd"/>
            <w:r>
              <w:rPr>
                <w:rFonts w:ascii="Times New Roman" w:hAnsi="Times New Roman"/>
                <w:b w:val="0"/>
                <w:bCs w:val="0"/>
                <w:sz w:val="20"/>
              </w:rPr>
              <w:t>, MD</w:t>
            </w:r>
          </w:p>
        </w:tc>
        <w:tc>
          <w:tcPr>
            <w:tcW w:w="3786"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Adventist Health Systems</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Altamonte Springs, FL</w:t>
            </w:r>
          </w:p>
        </w:tc>
        <w:tc>
          <w:tcPr>
            <w:tcW w:w="613" w:type="dxa"/>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vAlign w:val="center"/>
          </w:tcPr>
          <w:p w:rsidR="004B6080" w:rsidRPr="006F1C2E" w:rsidRDefault="004B6080" w:rsidP="007F28E7">
            <w:pPr>
              <w:pStyle w:val="BodyText2"/>
              <w:jc w:val="center"/>
              <w:rPr>
                <w:rFonts w:cs="Arial"/>
                <w:b w:val="0"/>
                <w:bCs w:val="0"/>
                <w:sz w:val="20"/>
              </w:rPr>
            </w:pPr>
          </w:p>
        </w:tc>
        <w:tc>
          <w:tcPr>
            <w:tcW w:w="630" w:type="dxa"/>
            <w:vAlign w:val="center"/>
          </w:tcPr>
          <w:p w:rsidR="004B6080" w:rsidRPr="006F1C2E" w:rsidRDefault="004B6080" w:rsidP="007F28E7">
            <w:pPr>
              <w:pStyle w:val="BodyText2"/>
              <w:jc w:val="center"/>
              <w:rPr>
                <w:rFonts w:cs="Arial"/>
                <w:b w:val="0"/>
                <w:bCs w:val="0"/>
                <w:sz w:val="20"/>
              </w:rPr>
            </w:pPr>
          </w:p>
        </w:tc>
        <w:tc>
          <w:tcPr>
            <w:tcW w:w="720" w:type="dxa"/>
            <w:vAlign w:val="center"/>
          </w:tcPr>
          <w:p w:rsidR="004B6080" w:rsidRPr="006F1C2E" w:rsidRDefault="004B6080" w:rsidP="007F28E7">
            <w:pPr>
              <w:pStyle w:val="BodyText2"/>
              <w:jc w:val="center"/>
              <w:rPr>
                <w:rFonts w:cs="Arial"/>
                <w:b w:val="0"/>
                <w:bCs w:val="0"/>
                <w:sz w:val="20"/>
              </w:rPr>
            </w:pPr>
          </w:p>
        </w:tc>
        <w:tc>
          <w:tcPr>
            <w:tcW w:w="2172" w:type="dxa"/>
            <w:vAlign w:val="center"/>
          </w:tcPr>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Judith S. Black, MD, MHA</w:t>
            </w:r>
          </w:p>
        </w:tc>
        <w:tc>
          <w:tcPr>
            <w:tcW w:w="3786"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Highmark, Inc.</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Pittsburg, PA</w:t>
            </w:r>
          </w:p>
        </w:tc>
        <w:tc>
          <w:tcPr>
            <w:tcW w:w="613" w:type="dxa"/>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vAlign w:val="center"/>
          </w:tcPr>
          <w:p w:rsidR="004B6080" w:rsidRPr="006F1C2E" w:rsidRDefault="004B6080" w:rsidP="007F28E7">
            <w:pPr>
              <w:pStyle w:val="BodyText2"/>
              <w:jc w:val="center"/>
              <w:rPr>
                <w:rFonts w:cs="Arial"/>
                <w:b w:val="0"/>
                <w:bCs w:val="0"/>
                <w:sz w:val="20"/>
              </w:rPr>
            </w:pPr>
          </w:p>
        </w:tc>
        <w:tc>
          <w:tcPr>
            <w:tcW w:w="630" w:type="dxa"/>
            <w:vAlign w:val="center"/>
          </w:tcPr>
          <w:p w:rsidR="004B6080" w:rsidRPr="006F1C2E" w:rsidRDefault="004B6080" w:rsidP="007F28E7">
            <w:pPr>
              <w:pStyle w:val="BodyText2"/>
              <w:jc w:val="center"/>
              <w:rPr>
                <w:rFonts w:cs="Arial"/>
                <w:b w:val="0"/>
                <w:bCs w:val="0"/>
                <w:sz w:val="20"/>
              </w:rPr>
            </w:pPr>
          </w:p>
        </w:tc>
        <w:tc>
          <w:tcPr>
            <w:tcW w:w="720" w:type="dxa"/>
            <w:vAlign w:val="center"/>
          </w:tcPr>
          <w:p w:rsidR="004B6080" w:rsidRPr="006F1C2E" w:rsidRDefault="004B6080" w:rsidP="007F28E7">
            <w:pPr>
              <w:pStyle w:val="BodyText2"/>
              <w:jc w:val="center"/>
              <w:rPr>
                <w:rFonts w:cs="Arial"/>
                <w:b w:val="0"/>
                <w:bCs w:val="0"/>
                <w:sz w:val="20"/>
              </w:rPr>
            </w:pPr>
          </w:p>
        </w:tc>
        <w:tc>
          <w:tcPr>
            <w:tcW w:w="2172" w:type="dxa"/>
            <w:vAlign w:val="center"/>
          </w:tcPr>
          <w:p w:rsidR="004B6080" w:rsidRPr="006F1C2E" w:rsidRDefault="004B6080" w:rsidP="007F28E7">
            <w:pPr>
              <w:pStyle w:val="BodyText2"/>
              <w:jc w:val="center"/>
              <w:rPr>
                <w:rFonts w:cs="Arial"/>
                <w:sz w:val="20"/>
              </w:rPr>
            </w:pPr>
            <w:r w:rsidRPr="006F1C2E">
              <w:rPr>
                <w:rFonts w:cs="Arial"/>
                <w:sz w:val="20"/>
              </w:rPr>
              <w:t>payer</w:t>
            </w:r>
          </w:p>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Kathryn H. Bowles, PhD, RN, FAAN</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University of Pennsylvania, School of Nursing</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Philadelphia, PA</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researcher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Donald Casey, Jr, MD, MPH, MBA, FACP</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Atlantic Health</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Morristown, NJ</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sz w:val="20"/>
              </w:rPr>
            </w:pPr>
            <w:r w:rsidRPr="006F1C2E">
              <w:rPr>
                <w:rFonts w:cs="Arial"/>
                <w:sz w:val="20"/>
              </w:rPr>
              <w:t>payer</w:t>
            </w:r>
          </w:p>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Sandra L. </w:t>
            </w:r>
            <w:proofErr w:type="spellStart"/>
            <w:r>
              <w:rPr>
                <w:rFonts w:ascii="Times New Roman" w:hAnsi="Times New Roman"/>
                <w:b w:val="0"/>
                <w:bCs w:val="0"/>
                <w:sz w:val="20"/>
              </w:rPr>
              <w:t>Fitzler</w:t>
            </w:r>
            <w:proofErr w:type="spellEnd"/>
            <w:r>
              <w:rPr>
                <w:rFonts w:ascii="Times New Roman" w:hAnsi="Times New Roman"/>
                <w:b w:val="0"/>
                <w:bCs w:val="0"/>
                <w:sz w:val="20"/>
              </w:rPr>
              <w:t>, BSN</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American Health Care Association</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Washington, DC</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Stephen F. Jencks, MD, MPH</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Consultant in Healthcare Safety and Quality</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Baltimore, MD</w:t>
            </w:r>
          </w:p>
        </w:tc>
        <w:tc>
          <w:tcPr>
            <w:tcW w:w="613"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sz w:val="20"/>
              </w:rPr>
            </w:pPr>
            <w:r w:rsidRPr="006F1C2E">
              <w:rPr>
                <w:rFonts w:cs="Arial"/>
                <w:sz w:val="20"/>
              </w:rPr>
              <w:t>researcher</w:t>
            </w:r>
          </w:p>
          <w:p w:rsidR="004B6080" w:rsidRPr="006F1C2E" w:rsidRDefault="004B6080" w:rsidP="007F28E7">
            <w:pPr>
              <w:pStyle w:val="BodyText2"/>
              <w:jc w:val="center"/>
              <w:rPr>
                <w:rFonts w:cs="Arial"/>
                <w:b w:val="0"/>
                <w:bCs w:val="0"/>
                <w:sz w:val="20"/>
              </w:rPr>
            </w:pPr>
            <w:r w:rsidRPr="006F1C2E">
              <w:rPr>
                <w:rFonts w:cs="Arial"/>
                <w:sz w:val="20"/>
              </w:rPr>
              <w:t>consumer/patient</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Amy J. Kind, MD</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University of Wisconsin Department of Medicine</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Madison, WI</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health disparities expert</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lastRenderedPageBreak/>
              <w:t>Eugene Kroch, PhD</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Premier, Inc.</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Philadelphia, PA</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sz w:val="20"/>
              </w:rPr>
            </w:pPr>
            <w:r w:rsidRPr="006F1C2E">
              <w:rPr>
                <w:rFonts w:cs="Arial"/>
                <w:sz w:val="20"/>
              </w:rPr>
              <w:t>researcher</w:t>
            </w:r>
          </w:p>
          <w:p w:rsidR="004B6080" w:rsidRPr="006F1C2E" w:rsidRDefault="004B6080" w:rsidP="007F28E7">
            <w:pPr>
              <w:pStyle w:val="BodyText2"/>
              <w:jc w:val="center"/>
              <w:rPr>
                <w:rFonts w:cs="Arial"/>
                <w:b w:val="0"/>
                <w:bCs w:val="0"/>
                <w:sz w:val="20"/>
              </w:rPr>
            </w:pP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Margaret Leonard, MS, RN-BC, FNP</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Case Management Society of America</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Little Rock, AR</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James </w:t>
            </w:r>
            <w:proofErr w:type="spellStart"/>
            <w:r>
              <w:rPr>
                <w:rFonts w:ascii="Times New Roman" w:hAnsi="Times New Roman"/>
                <w:b w:val="0"/>
                <w:bCs w:val="0"/>
                <w:sz w:val="20"/>
              </w:rPr>
              <w:t>Lett</w:t>
            </w:r>
            <w:proofErr w:type="spellEnd"/>
            <w:r>
              <w:rPr>
                <w:rFonts w:ascii="Times New Roman" w:hAnsi="Times New Roman"/>
                <w:b w:val="0"/>
                <w:bCs w:val="0"/>
                <w:sz w:val="20"/>
              </w:rPr>
              <w:t>, MD, CMD</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American Medical Directors Association</w:t>
            </w:r>
          </w:p>
          <w:p w:rsidR="004B6080" w:rsidRPr="00601F81" w:rsidRDefault="004B6080" w:rsidP="007F28E7">
            <w:pPr>
              <w:pStyle w:val="BodyText2"/>
              <w:spacing w:before="0" w:after="0"/>
              <w:rPr>
                <w:rFonts w:ascii="Times New Roman" w:hAnsi="Times New Roman"/>
                <w:b w:val="0"/>
                <w:bCs w:val="0"/>
                <w:sz w:val="20"/>
              </w:rPr>
            </w:pPr>
            <w:r w:rsidRPr="00601F81">
              <w:rPr>
                <w:rFonts w:ascii="Times New Roman" w:hAnsi="Times New Roman"/>
                <w:b w:val="0"/>
                <w:sz w:val="20"/>
              </w:rPr>
              <w:t>Carmichael, CA</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sz w:val="20"/>
              </w:rPr>
            </w:pPr>
            <w:r w:rsidRPr="006F1C2E">
              <w:rPr>
                <w:rFonts w:cs="Arial"/>
                <w:sz w:val="20"/>
              </w:rPr>
              <w:t>health care provider/practitioner</w:t>
            </w:r>
          </w:p>
          <w:p w:rsidR="004B6080" w:rsidRPr="006F1C2E" w:rsidRDefault="004B6080" w:rsidP="007F28E7">
            <w:pPr>
              <w:pStyle w:val="BodyText2"/>
              <w:jc w:val="center"/>
              <w:rPr>
                <w:rFonts w:cs="Arial"/>
                <w:b w:val="0"/>
                <w:bCs w:val="0"/>
                <w:sz w:val="20"/>
              </w:rPr>
            </w:pPr>
            <w:r w:rsidRPr="006F1C2E">
              <w:rPr>
                <w:rFonts w:cs="Arial"/>
                <w:sz w:val="20"/>
              </w:rPr>
              <w:t>consumer/patient</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Joanne D. Lynn, MD, MA, MS</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Department of Health, Washington, DC</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Chevy Chase, MD</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sz w:val="20"/>
              </w:rPr>
            </w:pPr>
            <w:r w:rsidRPr="006F1C2E">
              <w:rPr>
                <w:rFonts w:cs="Arial"/>
                <w:sz w:val="20"/>
              </w:rPr>
              <w:t>health care provider/practitioner</w:t>
            </w:r>
          </w:p>
          <w:p w:rsidR="004B6080" w:rsidRPr="006F1C2E" w:rsidRDefault="004B6080" w:rsidP="007F28E7">
            <w:pPr>
              <w:pStyle w:val="BodyText2"/>
              <w:jc w:val="center"/>
              <w:rPr>
                <w:rFonts w:cs="Arial"/>
                <w:b w:val="0"/>
                <w:bCs w:val="0"/>
                <w:sz w:val="20"/>
              </w:rPr>
            </w:pPr>
            <w:r w:rsidRPr="006F1C2E">
              <w:rPr>
                <w:rFonts w:cs="Arial"/>
                <w:sz w:val="20"/>
              </w:rPr>
              <w:t>consumer/patient</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Trudy </w:t>
            </w:r>
            <w:proofErr w:type="spellStart"/>
            <w:r>
              <w:rPr>
                <w:rFonts w:ascii="Times New Roman" w:hAnsi="Times New Roman"/>
                <w:b w:val="0"/>
                <w:bCs w:val="0"/>
                <w:sz w:val="20"/>
              </w:rPr>
              <w:t>Mallinson</w:t>
            </w:r>
            <w:proofErr w:type="spellEnd"/>
            <w:r>
              <w:rPr>
                <w:rFonts w:ascii="Times New Roman" w:hAnsi="Times New Roman"/>
                <w:b w:val="0"/>
                <w:bCs w:val="0"/>
                <w:sz w:val="20"/>
              </w:rPr>
              <w:t>, PhD, OTR/L, NZROT</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Rehabilitation Institute of Chicago</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Chicago, IL</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Tasha Mears, RN, BSN</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proofErr w:type="spellStart"/>
            <w:r>
              <w:rPr>
                <w:rFonts w:ascii="Times New Roman" w:hAnsi="Times New Roman"/>
                <w:b w:val="0"/>
                <w:bCs w:val="0"/>
                <w:sz w:val="20"/>
              </w:rPr>
              <w:t>Amedisys</w:t>
            </w:r>
            <w:proofErr w:type="spellEnd"/>
            <w:r>
              <w:rPr>
                <w:rFonts w:ascii="Times New Roman" w:hAnsi="Times New Roman"/>
                <w:b w:val="0"/>
                <w:bCs w:val="0"/>
                <w:sz w:val="20"/>
              </w:rPr>
              <w:t xml:space="preserve"> Home Health Services</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Baton Rouge, LA</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Terri Morris-Nichols, RN, BHA, CPHQ</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proofErr w:type="spellStart"/>
            <w:r>
              <w:rPr>
                <w:rFonts w:ascii="Times New Roman" w:hAnsi="Times New Roman"/>
                <w:b w:val="0"/>
                <w:bCs w:val="0"/>
                <w:sz w:val="20"/>
              </w:rPr>
              <w:t>PeaceHealth</w:t>
            </w:r>
            <w:proofErr w:type="spellEnd"/>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Long View, WA</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 xml:space="preserve">Mary </w:t>
            </w:r>
            <w:proofErr w:type="spellStart"/>
            <w:r>
              <w:rPr>
                <w:rFonts w:ascii="Times New Roman" w:hAnsi="Times New Roman"/>
                <w:b w:val="0"/>
                <w:bCs w:val="0"/>
                <w:sz w:val="20"/>
              </w:rPr>
              <w:t>Perloe</w:t>
            </w:r>
            <w:proofErr w:type="spellEnd"/>
            <w:r>
              <w:rPr>
                <w:rFonts w:ascii="Times New Roman" w:hAnsi="Times New Roman"/>
                <w:b w:val="0"/>
                <w:bCs w:val="0"/>
                <w:sz w:val="20"/>
              </w:rPr>
              <w:t xml:space="preserve">, RN, NP </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Georgia Medical Care Foundation</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Atlanta, GA</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consumer/patient</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Mark Potter, MD</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University of Illinois at Chicago</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Chicago, IL</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health care provider/practitioner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John s. Rumsfeld, MD, PhD, FACC, FAHA, FACP</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VA Cardiovascular Assessment Reporting and Tracking (CART) System,  American College of Cardiology National Cardiovascular Data Registries (NCDR), Institute for Health Research, Kaiser Permanente Colorado, VA Ischemic Heart Disease Quality Enhancement Research Initiative, (IHD-QUERI)</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Denver, CO</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researcher</w:t>
            </w:r>
          </w:p>
        </w:tc>
      </w:tr>
      <w:tr w:rsidR="004B6080" w:rsidTr="00A3714A">
        <w:trPr>
          <w:cantSplit/>
        </w:trPr>
        <w:tc>
          <w:tcPr>
            <w:tcW w:w="3590"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lastRenderedPageBreak/>
              <w:t>Mark V. Williams, MD</w:t>
            </w:r>
          </w:p>
        </w:tc>
        <w:tc>
          <w:tcPr>
            <w:tcW w:w="3786" w:type="dxa"/>
            <w:tcBorders>
              <w:bottom w:val="single" w:sz="4" w:space="0" w:color="auto"/>
            </w:tcBorders>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Northwestern University Feinberg School of Medicine</w:t>
            </w:r>
          </w:p>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Chicago, Il</w:t>
            </w:r>
          </w:p>
        </w:tc>
        <w:tc>
          <w:tcPr>
            <w:tcW w:w="613" w:type="dxa"/>
            <w:tcBorders>
              <w:bottom w:val="single" w:sz="4" w:space="0" w:color="auto"/>
            </w:tcBorders>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720" w:type="dxa"/>
            <w:tcBorders>
              <w:bottom w:val="single" w:sz="4" w:space="0" w:color="auto"/>
            </w:tcBorders>
            <w:vAlign w:val="center"/>
          </w:tcPr>
          <w:p w:rsidR="004B6080" w:rsidRPr="006F1C2E" w:rsidRDefault="004B6080" w:rsidP="007F28E7">
            <w:pPr>
              <w:pStyle w:val="BodyText2"/>
              <w:jc w:val="center"/>
              <w:rPr>
                <w:rFonts w:cs="Arial"/>
                <w:b w:val="0"/>
                <w:bCs w:val="0"/>
                <w:sz w:val="20"/>
              </w:rPr>
            </w:pPr>
          </w:p>
        </w:tc>
        <w:tc>
          <w:tcPr>
            <w:tcW w:w="2172" w:type="dxa"/>
            <w:tcBorders>
              <w:bottom w:val="single" w:sz="4" w:space="0" w:color="auto"/>
            </w:tcBorders>
            <w:vAlign w:val="center"/>
          </w:tcPr>
          <w:p w:rsidR="004B6080" w:rsidRPr="006F1C2E" w:rsidRDefault="004B6080" w:rsidP="007F28E7">
            <w:pPr>
              <w:pStyle w:val="BodyText2"/>
              <w:jc w:val="center"/>
              <w:rPr>
                <w:rFonts w:cs="Arial"/>
                <w:b w:val="0"/>
                <w:bCs w:val="0"/>
                <w:sz w:val="20"/>
              </w:rPr>
            </w:pPr>
            <w:r w:rsidRPr="006F1C2E">
              <w:rPr>
                <w:rFonts w:cs="Arial"/>
                <w:sz w:val="20"/>
              </w:rPr>
              <w:t>researcher</w:t>
            </w:r>
          </w:p>
        </w:tc>
      </w:tr>
      <w:tr w:rsidR="004B6080" w:rsidTr="00A3714A">
        <w:trPr>
          <w:cantSplit/>
        </w:trPr>
        <w:tc>
          <w:tcPr>
            <w:tcW w:w="3590" w:type="dxa"/>
            <w:shd w:val="clear" w:color="auto" w:fill="CCCCCC"/>
            <w:vAlign w:val="center"/>
          </w:tcPr>
          <w:p w:rsidR="004B6080" w:rsidRDefault="004B6080" w:rsidP="007F28E7">
            <w:pPr>
              <w:pStyle w:val="BodyText2"/>
              <w:spacing w:before="0" w:after="0"/>
              <w:rPr>
                <w:rFonts w:cs="Arial"/>
                <w:sz w:val="20"/>
              </w:rPr>
            </w:pPr>
            <w:r>
              <w:rPr>
                <w:rFonts w:cs="Arial"/>
                <w:sz w:val="20"/>
              </w:rPr>
              <w:t>Contractor Staff</w:t>
            </w:r>
          </w:p>
        </w:tc>
        <w:tc>
          <w:tcPr>
            <w:tcW w:w="3786" w:type="dxa"/>
            <w:shd w:val="clear" w:color="auto" w:fill="CCCCCC"/>
            <w:vAlign w:val="center"/>
          </w:tcPr>
          <w:p w:rsidR="004B6080" w:rsidRDefault="004B6080" w:rsidP="007F28E7">
            <w:pPr>
              <w:pStyle w:val="BodyText2"/>
              <w:spacing w:before="0" w:after="0"/>
              <w:rPr>
                <w:rFonts w:ascii="Times New Roman" w:hAnsi="Times New Roman"/>
                <w:sz w:val="20"/>
              </w:rPr>
            </w:pPr>
          </w:p>
        </w:tc>
        <w:tc>
          <w:tcPr>
            <w:tcW w:w="613" w:type="dxa"/>
            <w:shd w:val="clear" w:color="auto" w:fill="CCCCCC"/>
            <w:vAlign w:val="center"/>
          </w:tcPr>
          <w:p w:rsidR="004B6080" w:rsidRDefault="004B6080" w:rsidP="007F28E7">
            <w:pPr>
              <w:pStyle w:val="BodyText2"/>
              <w:jc w:val="center"/>
              <w:rPr>
                <w:rFonts w:ascii="Times New Roman" w:hAnsi="Times New Roman"/>
                <w:sz w:val="20"/>
              </w:rPr>
            </w:pPr>
          </w:p>
        </w:tc>
        <w:tc>
          <w:tcPr>
            <w:tcW w:w="630" w:type="dxa"/>
            <w:shd w:val="clear" w:color="auto" w:fill="CCCCCC"/>
            <w:vAlign w:val="center"/>
          </w:tcPr>
          <w:p w:rsidR="004B6080" w:rsidRDefault="004B6080" w:rsidP="007F28E7">
            <w:pPr>
              <w:pStyle w:val="BodyText2"/>
              <w:jc w:val="center"/>
              <w:rPr>
                <w:rFonts w:ascii="Times New Roman" w:hAnsi="Times New Roman"/>
                <w:sz w:val="20"/>
              </w:rPr>
            </w:pPr>
          </w:p>
        </w:tc>
        <w:tc>
          <w:tcPr>
            <w:tcW w:w="630" w:type="dxa"/>
            <w:shd w:val="clear" w:color="auto" w:fill="CCCCCC"/>
            <w:vAlign w:val="center"/>
          </w:tcPr>
          <w:p w:rsidR="004B6080" w:rsidRDefault="004B6080" w:rsidP="007F28E7">
            <w:pPr>
              <w:pStyle w:val="BodyText2"/>
              <w:jc w:val="center"/>
              <w:rPr>
                <w:rFonts w:ascii="Times New Roman" w:hAnsi="Times New Roman"/>
                <w:sz w:val="20"/>
              </w:rPr>
            </w:pPr>
          </w:p>
        </w:tc>
        <w:tc>
          <w:tcPr>
            <w:tcW w:w="720" w:type="dxa"/>
            <w:shd w:val="clear" w:color="auto" w:fill="CCCCCC"/>
            <w:vAlign w:val="center"/>
          </w:tcPr>
          <w:p w:rsidR="004B6080" w:rsidRDefault="004B6080" w:rsidP="007F28E7">
            <w:pPr>
              <w:pStyle w:val="BodyText2"/>
              <w:jc w:val="center"/>
              <w:rPr>
                <w:rFonts w:ascii="Times New Roman" w:hAnsi="Times New Roman"/>
                <w:sz w:val="20"/>
              </w:rPr>
            </w:pPr>
          </w:p>
        </w:tc>
        <w:tc>
          <w:tcPr>
            <w:tcW w:w="2172" w:type="dxa"/>
            <w:shd w:val="clear" w:color="auto" w:fill="CCCCCC"/>
            <w:vAlign w:val="center"/>
          </w:tcPr>
          <w:p w:rsidR="004B6080" w:rsidRDefault="004B6080" w:rsidP="007F28E7">
            <w:pPr>
              <w:pStyle w:val="BodyText2"/>
              <w:jc w:val="center"/>
              <w:rPr>
                <w:rFonts w:ascii="Times New Roman" w:hAnsi="Times New Roman"/>
                <w:b w:val="0"/>
                <w:bCs w:val="0"/>
                <w:sz w:val="20"/>
              </w:rPr>
            </w:pPr>
          </w:p>
        </w:tc>
      </w:tr>
      <w:tr w:rsidR="004B6080" w:rsidTr="00A3714A">
        <w:trPr>
          <w:cantSplit/>
        </w:trPr>
        <w:tc>
          <w:tcPr>
            <w:tcW w:w="3590"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David Goodman, MD, MS</w:t>
            </w:r>
          </w:p>
        </w:tc>
        <w:tc>
          <w:tcPr>
            <w:tcW w:w="3786" w:type="dxa"/>
            <w:vAlign w:val="center"/>
          </w:tcPr>
          <w:p w:rsidR="004B6080" w:rsidRDefault="004B6080" w:rsidP="007F28E7">
            <w:pPr>
              <w:pStyle w:val="BodyText2"/>
              <w:spacing w:before="0" w:after="0"/>
              <w:rPr>
                <w:rFonts w:ascii="Times New Roman" w:hAnsi="Times New Roman"/>
                <w:b w:val="0"/>
                <w:bCs w:val="0"/>
                <w:sz w:val="20"/>
              </w:rPr>
            </w:pPr>
            <w:r>
              <w:rPr>
                <w:rFonts w:ascii="Times New Roman" w:hAnsi="Times New Roman"/>
                <w:b w:val="0"/>
                <w:bCs w:val="0"/>
                <w:sz w:val="20"/>
              </w:rPr>
              <w:t>The Dartmouth Institute of Health Policy and Clinical Practice, Dartmouth Medical School</w:t>
            </w:r>
          </w:p>
          <w:p w:rsidR="004B6080" w:rsidRPr="00044699" w:rsidRDefault="004B6080" w:rsidP="007F28E7">
            <w:pPr>
              <w:pStyle w:val="BodyText2"/>
              <w:spacing w:before="0" w:after="0"/>
              <w:rPr>
                <w:rFonts w:ascii="Times New Roman" w:hAnsi="Times New Roman"/>
                <w:b w:val="0"/>
                <w:bCs w:val="0"/>
                <w:sz w:val="20"/>
              </w:rPr>
            </w:pPr>
            <w:r w:rsidRPr="00044699">
              <w:rPr>
                <w:rFonts w:ascii="Times New Roman" w:hAnsi="Times New Roman"/>
                <w:b w:val="0"/>
                <w:sz w:val="20"/>
              </w:rPr>
              <w:t>Lebanon, N</w:t>
            </w:r>
            <w:r>
              <w:rPr>
                <w:rFonts w:ascii="Times New Roman" w:hAnsi="Times New Roman"/>
                <w:b w:val="0"/>
                <w:sz w:val="20"/>
              </w:rPr>
              <w:t>H</w:t>
            </w:r>
          </w:p>
          <w:p w:rsidR="004B6080" w:rsidRDefault="004B6080" w:rsidP="007F28E7">
            <w:pPr>
              <w:pStyle w:val="BodyText2"/>
              <w:spacing w:before="0" w:after="0"/>
              <w:rPr>
                <w:rFonts w:ascii="Times New Roman" w:hAnsi="Times New Roman"/>
                <w:b w:val="0"/>
                <w:bCs w:val="0"/>
                <w:sz w:val="20"/>
              </w:rPr>
            </w:pPr>
          </w:p>
        </w:tc>
        <w:tc>
          <w:tcPr>
            <w:tcW w:w="613" w:type="dxa"/>
            <w:vAlign w:val="center"/>
          </w:tcPr>
          <w:p w:rsidR="004B6080" w:rsidRPr="006F1C2E" w:rsidRDefault="004B6080" w:rsidP="007F28E7">
            <w:pPr>
              <w:jc w:val="center"/>
              <w:rPr>
                <w:rFonts w:ascii="Arial" w:hAnsi="Arial" w:cs="Arial"/>
                <w:sz w:val="20"/>
                <w:szCs w:val="20"/>
              </w:rPr>
            </w:pPr>
            <w:r w:rsidRPr="006F1C2E">
              <w:rPr>
                <w:rFonts w:ascii="Arial" w:hAnsi="Arial" w:cs="Arial"/>
                <w:sz w:val="20"/>
                <w:szCs w:val="20"/>
              </w:rPr>
              <w:t>X</w:t>
            </w:r>
          </w:p>
        </w:tc>
        <w:tc>
          <w:tcPr>
            <w:tcW w:w="630" w:type="dxa"/>
            <w:vAlign w:val="center"/>
          </w:tcPr>
          <w:p w:rsidR="004B6080" w:rsidRPr="006F1C2E" w:rsidRDefault="004B6080" w:rsidP="007F28E7">
            <w:pPr>
              <w:pStyle w:val="BodyText2"/>
              <w:jc w:val="center"/>
              <w:rPr>
                <w:rFonts w:cs="Arial"/>
                <w:b w:val="0"/>
                <w:bCs w:val="0"/>
                <w:sz w:val="20"/>
              </w:rPr>
            </w:pPr>
            <w:r w:rsidRPr="006F1C2E">
              <w:rPr>
                <w:rFonts w:cs="Arial"/>
                <w:b w:val="0"/>
                <w:bCs w:val="0"/>
                <w:sz w:val="20"/>
              </w:rPr>
              <w:t>X</w:t>
            </w:r>
          </w:p>
        </w:tc>
        <w:tc>
          <w:tcPr>
            <w:tcW w:w="630" w:type="dxa"/>
            <w:vAlign w:val="center"/>
          </w:tcPr>
          <w:p w:rsidR="004B6080" w:rsidRPr="006F1C2E" w:rsidRDefault="004B6080" w:rsidP="007F28E7">
            <w:pPr>
              <w:jc w:val="center"/>
              <w:rPr>
                <w:rFonts w:ascii="Arial" w:hAnsi="Arial" w:cs="Arial"/>
                <w:sz w:val="20"/>
                <w:szCs w:val="20"/>
              </w:rPr>
            </w:pPr>
          </w:p>
        </w:tc>
        <w:tc>
          <w:tcPr>
            <w:tcW w:w="720" w:type="dxa"/>
            <w:vAlign w:val="center"/>
          </w:tcPr>
          <w:p w:rsidR="004B6080" w:rsidRPr="006F1C2E" w:rsidRDefault="004B6080" w:rsidP="007F28E7">
            <w:pPr>
              <w:pStyle w:val="BodyText2"/>
              <w:jc w:val="center"/>
              <w:rPr>
                <w:rFonts w:cs="Arial"/>
                <w:b w:val="0"/>
                <w:bCs w:val="0"/>
                <w:sz w:val="20"/>
              </w:rPr>
            </w:pPr>
          </w:p>
        </w:tc>
        <w:tc>
          <w:tcPr>
            <w:tcW w:w="2172" w:type="dxa"/>
            <w:vAlign w:val="center"/>
          </w:tcPr>
          <w:p w:rsidR="004B6080" w:rsidRPr="006F1C2E" w:rsidRDefault="004B6080" w:rsidP="007F28E7">
            <w:pPr>
              <w:pStyle w:val="BodyText2"/>
              <w:jc w:val="center"/>
              <w:rPr>
                <w:rFonts w:cs="Arial"/>
                <w:b w:val="0"/>
                <w:bCs w:val="0"/>
                <w:sz w:val="20"/>
              </w:rPr>
            </w:pPr>
            <w:r w:rsidRPr="006F1C2E">
              <w:rPr>
                <w:rFonts w:cs="Arial"/>
                <w:sz w:val="20"/>
              </w:rPr>
              <w:t>researcher</w:t>
            </w:r>
          </w:p>
        </w:tc>
      </w:tr>
    </w:tbl>
    <w:p w:rsidR="0023151C" w:rsidRDefault="0023151C">
      <w:pPr>
        <w:rPr>
          <w:strike/>
        </w:rPr>
      </w:pPr>
    </w:p>
    <w:p w:rsidR="0023151C" w:rsidRDefault="0023151C">
      <w:pPr>
        <w:rPr>
          <w:strike/>
        </w:rPr>
      </w:pPr>
    </w:p>
    <w:p w:rsidR="0023151C" w:rsidRDefault="0023151C">
      <w:pPr>
        <w:rPr>
          <w:strike/>
        </w:rPr>
      </w:pPr>
    </w:p>
    <w:p w:rsidR="0023151C" w:rsidRDefault="0023151C">
      <w:pPr>
        <w:rPr>
          <w:strike/>
        </w:rPr>
      </w:pPr>
    </w:p>
    <w:p w:rsidR="0023151C" w:rsidRPr="00D04A9E" w:rsidRDefault="0023151C">
      <w:pPr>
        <w:rPr>
          <w:strike/>
        </w:rPr>
      </w:pPr>
    </w:p>
    <w:sectPr w:rsidR="0023151C" w:rsidRPr="00D04A9E" w:rsidSect="0011273D">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C46" w:rsidRDefault="00851C46" w:rsidP="00851C46">
      <w:pPr>
        <w:spacing w:after="0"/>
      </w:pPr>
      <w:r>
        <w:separator/>
      </w:r>
    </w:p>
  </w:endnote>
  <w:endnote w:type="continuationSeparator" w:id="0">
    <w:p w:rsidR="00851C46" w:rsidRDefault="00851C46" w:rsidP="00851C4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old">
    <w:altName w:val="Arial Unicode MS"/>
    <w:panose1 w:val="00000000000000000000"/>
    <w:charset w:val="00"/>
    <w:family w:val="roman"/>
    <w:notTrueType/>
    <w:pitch w:val="default"/>
    <w:sig w:usb0="01003A77" w:usb1="00000000" w:usb2="00550000" w:usb3="0069006E" w:csb0="00650077" w:csb1="00730072"/>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875378"/>
      <w:docPartObj>
        <w:docPartGallery w:val="Page Numbers (Bottom of Page)"/>
        <w:docPartUnique/>
      </w:docPartObj>
    </w:sdtPr>
    <w:sdtContent>
      <w:p w:rsidR="00851C46" w:rsidRDefault="00851C46">
        <w:pPr>
          <w:pStyle w:val="Footer"/>
          <w:jc w:val="right"/>
        </w:pPr>
        <w:fldSimple w:instr=" PAGE   \* MERGEFORMAT ">
          <w:r w:rsidR="00AA581C">
            <w:rPr>
              <w:noProof/>
            </w:rPr>
            <w:t>2</w:t>
          </w:r>
        </w:fldSimple>
      </w:p>
    </w:sdtContent>
  </w:sdt>
  <w:p w:rsidR="00851C46" w:rsidRDefault="00851C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C46" w:rsidRDefault="00851C46" w:rsidP="00851C46">
      <w:pPr>
        <w:spacing w:after="0"/>
      </w:pPr>
      <w:r>
        <w:separator/>
      </w:r>
    </w:p>
  </w:footnote>
  <w:footnote w:type="continuationSeparator" w:id="0">
    <w:p w:rsidR="00851C46" w:rsidRDefault="00851C46" w:rsidP="00851C4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A95" w:rsidRDefault="00AA581C">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E3251"/>
    <w:rsid w:val="0011273D"/>
    <w:rsid w:val="00126A55"/>
    <w:rsid w:val="002151B1"/>
    <w:rsid w:val="00220874"/>
    <w:rsid w:val="00224388"/>
    <w:rsid w:val="002270F1"/>
    <w:rsid w:val="0023151C"/>
    <w:rsid w:val="002E3251"/>
    <w:rsid w:val="003053B1"/>
    <w:rsid w:val="00467521"/>
    <w:rsid w:val="004A53BD"/>
    <w:rsid w:val="004B6080"/>
    <w:rsid w:val="00502C70"/>
    <w:rsid w:val="00557AB3"/>
    <w:rsid w:val="005A0A55"/>
    <w:rsid w:val="005A379C"/>
    <w:rsid w:val="006A03C1"/>
    <w:rsid w:val="006F3AC3"/>
    <w:rsid w:val="006F7792"/>
    <w:rsid w:val="007760AA"/>
    <w:rsid w:val="007D6535"/>
    <w:rsid w:val="0084149B"/>
    <w:rsid w:val="00851C46"/>
    <w:rsid w:val="009715D8"/>
    <w:rsid w:val="009A4C76"/>
    <w:rsid w:val="00A22BF0"/>
    <w:rsid w:val="00A3714A"/>
    <w:rsid w:val="00AA581C"/>
    <w:rsid w:val="00B7749A"/>
    <w:rsid w:val="00B97911"/>
    <w:rsid w:val="00BE0BD1"/>
    <w:rsid w:val="00BF4E1B"/>
    <w:rsid w:val="00C62204"/>
    <w:rsid w:val="00C820DD"/>
    <w:rsid w:val="00CA3A82"/>
    <w:rsid w:val="00CE4249"/>
    <w:rsid w:val="00D04A9E"/>
    <w:rsid w:val="00DD5C46"/>
    <w:rsid w:val="00DE5A1B"/>
    <w:rsid w:val="00E10E6C"/>
    <w:rsid w:val="00E73808"/>
    <w:rsid w:val="00F0509C"/>
    <w:rsid w:val="00F97C0E"/>
    <w:rsid w:val="00FB40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9C"/>
    <w:pPr>
      <w:suppressAutoHyphens/>
      <w:spacing w:after="12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A3714A"/>
    <w:pPr>
      <w:keepNext/>
      <w:keepLines/>
      <w:spacing w:before="480" w:after="0"/>
      <w:outlineLvl w:val="0"/>
    </w:pPr>
    <w:rPr>
      <w:rFonts w:asciiTheme="majorHAnsi" w:eastAsiaTheme="majorEastAsia" w:hAnsiTheme="majorHAnsi"/>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4B6080"/>
    <w:pPr>
      <w:pBdr>
        <w:bottom w:val="single" w:sz="4" w:space="4" w:color="4F81BD" w:themeColor="accent1"/>
      </w:pBdr>
      <w:spacing w:before="200" w:after="280"/>
      <w:ind w:left="936" w:right="936"/>
    </w:pPr>
    <w:rPr>
      <w:b/>
      <w:bCs/>
      <w:i/>
      <w:iCs/>
      <w:color w:val="4F81BD" w:themeColor="accent1"/>
      <w:szCs w:val="21"/>
    </w:rPr>
  </w:style>
  <w:style w:type="character" w:customStyle="1" w:styleId="IntenseQuoteChar">
    <w:name w:val="Intense Quote Char"/>
    <w:basedOn w:val="DefaultParagraphFont"/>
    <w:link w:val="IntenseQuote"/>
    <w:uiPriority w:val="30"/>
    <w:rsid w:val="004B6080"/>
    <w:rPr>
      <w:rFonts w:ascii="Times New Roman" w:eastAsia="Arial Unicode MS" w:hAnsi="Times New Roman" w:cs="Mangal"/>
      <w:b/>
      <w:bCs/>
      <w:i/>
      <w:iCs/>
      <w:color w:val="4F81BD" w:themeColor="accent1"/>
      <w:kern w:val="1"/>
      <w:sz w:val="24"/>
      <w:szCs w:val="21"/>
      <w:lang w:eastAsia="hi-IN" w:bidi="hi-IN"/>
    </w:rPr>
  </w:style>
  <w:style w:type="paragraph" w:styleId="BodyText2">
    <w:name w:val="Body Text 2"/>
    <w:basedOn w:val="Normal"/>
    <w:link w:val="BodyText2Char"/>
    <w:semiHidden/>
    <w:rsid w:val="004B6080"/>
    <w:pPr>
      <w:suppressAutoHyphens w:val="0"/>
      <w:spacing w:before="60" w:after="60"/>
    </w:pPr>
    <w:rPr>
      <w:rFonts w:ascii="Arial" w:eastAsia="Times New Roman" w:hAnsi="Arial" w:cs="Times New Roman"/>
      <w:b/>
      <w:bCs/>
      <w:kern w:val="0"/>
      <w:sz w:val="28"/>
      <w:szCs w:val="20"/>
      <w:lang w:eastAsia="en-US" w:bidi="ar-SA"/>
    </w:rPr>
  </w:style>
  <w:style w:type="character" w:customStyle="1" w:styleId="BodyText2Char">
    <w:name w:val="Body Text 2 Char"/>
    <w:basedOn w:val="DefaultParagraphFont"/>
    <w:link w:val="BodyText2"/>
    <w:semiHidden/>
    <w:rsid w:val="004B6080"/>
    <w:rPr>
      <w:rFonts w:ascii="Arial" w:eastAsia="Times New Roman" w:hAnsi="Arial" w:cs="Times New Roman"/>
      <w:b/>
      <w:bCs/>
      <w:sz w:val="28"/>
      <w:szCs w:val="20"/>
    </w:rPr>
  </w:style>
  <w:style w:type="character" w:customStyle="1" w:styleId="Heading1Char">
    <w:name w:val="Heading 1 Char"/>
    <w:basedOn w:val="DefaultParagraphFont"/>
    <w:link w:val="Heading1"/>
    <w:uiPriority w:val="9"/>
    <w:rsid w:val="00A3714A"/>
    <w:rPr>
      <w:rFonts w:asciiTheme="majorHAnsi" w:eastAsiaTheme="majorEastAsia" w:hAnsiTheme="majorHAnsi" w:cs="Mangal"/>
      <w:b/>
      <w:bCs/>
      <w:color w:val="365F91" w:themeColor="accent1" w:themeShade="BF"/>
      <w:kern w:val="1"/>
      <w:sz w:val="28"/>
      <w:szCs w:val="25"/>
      <w:lang w:eastAsia="hi-IN" w:bidi="hi-IN"/>
    </w:rPr>
  </w:style>
  <w:style w:type="paragraph" w:styleId="TOCHeading">
    <w:name w:val="TOC Heading"/>
    <w:basedOn w:val="Heading1"/>
    <w:next w:val="Normal"/>
    <w:uiPriority w:val="39"/>
    <w:semiHidden/>
    <w:unhideWhenUsed/>
    <w:qFormat/>
    <w:rsid w:val="00A3714A"/>
    <w:pPr>
      <w:suppressAutoHyphens w:val="0"/>
      <w:spacing w:line="276" w:lineRule="auto"/>
      <w:outlineLvl w:val="9"/>
    </w:pPr>
    <w:rPr>
      <w:rFonts w:cstheme="majorBidi"/>
      <w:kern w:val="0"/>
      <w:szCs w:val="28"/>
      <w:lang w:eastAsia="ja-JP" w:bidi="ar-SA"/>
    </w:rPr>
  </w:style>
  <w:style w:type="paragraph" w:styleId="BalloonText">
    <w:name w:val="Balloon Text"/>
    <w:basedOn w:val="Normal"/>
    <w:link w:val="BalloonTextChar"/>
    <w:uiPriority w:val="99"/>
    <w:semiHidden/>
    <w:unhideWhenUsed/>
    <w:rsid w:val="00A3714A"/>
    <w:pPr>
      <w:spacing w:after="0"/>
    </w:pPr>
    <w:rPr>
      <w:rFonts w:ascii="Tahoma" w:hAnsi="Tahoma"/>
      <w:sz w:val="16"/>
      <w:szCs w:val="14"/>
    </w:rPr>
  </w:style>
  <w:style w:type="character" w:customStyle="1" w:styleId="BalloonTextChar">
    <w:name w:val="Balloon Text Char"/>
    <w:basedOn w:val="DefaultParagraphFont"/>
    <w:link w:val="BalloonText"/>
    <w:uiPriority w:val="99"/>
    <w:semiHidden/>
    <w:rsid w:val="00A3714A"/>
    <w:rPr>
      <w:rFonts w:ascii="Tahoma" w:eastAsia="Arial Unicode MS" w:hAnsi="Tahoma" w:cs="Mangal"/>
      <w:kern w:val="1"/>
      <w:sz w:val="16"/>
      <w:szCs w:val="14"/>
      <w:lang w:eastAsia="hi-IN" w:bidi="hi-IN"/>
    </w:rPr>
  </w:style>
  <w:style w:type="paragraph" w:styleId="TOC1">
    <w:name w:val="toc 1"/>
    <w:basedOn w:val="Normal"/>
    <w:next w:val="Normal"/>
    <w:autoRedefine/>
    <w:uiPriority w:val="39"/>
    <w:unhideWhenUsed/>
    <w:rsid w:val="00A3714A"/>
    <w:pPr>
      <w:spacing w:after="100"/>
    </w:pPr>
    <w:rPr>
      <w:szCs w:val="21"/>
    </w:rPr>
  </w:style>
  <w:style w:type="character" w:styleId="Hyperlink">
    <w:name w:val="Hyperlink"/>
    <w:basedOn w:val="DefaultParagraphFont"/>
    <w:uiPriority w:val="99"/>
    <w:unhideWhenUsed/>
    <w:rsid w:val="00A3714A"/>
    <w:rPr>
      <w:color w:val="0000FF" w:themeColor="hyperlink"/>
      <w:u w:val="single"/>
    </w:rPr>
  </w:style>
  <w:style w:type="paragraph" w:styleId="Subtitle">
    <w:name w:val="Subtitle"/>
    <w:basedOn w:val="Normal"/>
    <w:next w:val="Normal"/>
    <w:link w:val="SubtitleChar"/>
    <w:uiPriority w:val="11"/>
    <w:qFormat/>
    <w:rsid w:val="0011273D"/>
    <w:pPr>
      <w:numPr>
        <w:ilvl w:val="1"/>
      </w:numPr>
    </w:pPr>
    <w:rPr>
      <w:rFonts w:asciiTheme="majorHAnsi" w:eastAsiaTheme="majorEastAsia" w:hAnsiTheme="majorHAnsi"/>
      <w:i/>
      <w:iCs/>
      <w:color w:val="4F81BD" w:themeColor="accent1"/>
      <w:spacing w:val="15"/>
      <w:szCs w:val="21"/>
    </w:rPr>
  </w:style>
  <w:style w:type="character" w:customStyle="1" w:styleId="SubtitleChar">
    <w:name w:val="Subtitle Char"/>
    <w:basedOn w:val="DefaultParagraphFont"/>
    <w:link w:val="Subtitle"/>
    <w:uiPriority w:val="11"/>
    <w:rsid w:val="0011273D"/>
    <w:rPr>
      <w:rFonts w:asciiTheme="majorHAnsi" w:eastAsiaTheme="majorEastAsia" w:hAnsiTheme="majorHAnsi" w:cs="Mangal"/>
      <w:i/>
      <w:iCs/>
      <w:color w:val="4F81BD" w:themeColor="accent1"/>
      <w:spacing w:val="15"/>
      <w:kern w:val="1"/>
      <w:sz w:val="24"/>
      <w:szCs w:val="21"/>
      <w:lang w:eastAsia="hi-IN" w:bidi="hi-IN"/>
    </w:rPr>
  </w:style>
  <w:style w:type="paragraph" w:styleId="TOC2">
    <w:name w:val="toc 2"/>
    <w:basedOn w:val="Normal"/>
    <w:next w:val="Normal"/>
    <w:autoRedefine/>
    <w:uiPriority w:val="39"/>
    <w:unhideWhenUsed/>
    <w:rsid w:val="00224388"/>
    <w:pPr>
      <w:spacing w:after="100"/>
      <w:ind w:left="240"/>
    </w:pPr>
    <w:rPr>
      <w:szCs w:val="21"/>
    </w:rPr>
  </w:style>
  <w:style w:type="paragraph" w:styleId="Header">
    <w:name w:val="header"/>
    <w:basedOn w:val="Normal"/>
    <w:link w:val="HeaderChar"/>
    <w:uiPriority w:val="99"/>
    <w:semiHidden/>
    <w:unhideWhenUsed/>
    <w:rsid w:val="00851C46"/>
    <w:pPr>
      <w:tabs>
        <w:tab w:val="center" w:pos="4680"/>
        <w:tab w:val="right" w:pos="9360"/>
      </w:tabs>
      <w:spacing w:after="0"/>
    </w:pPr>
    <w:rPr>
      <w:szCs w:val="21"/>
    </w:rPr>
  </w:style>
  <w:style w:type="character" w:customStyle="1" w:styleId="HeaderChar">
    <w:name w:val="Header Char"/>
    <w:basedOn w:val="DefaultParagraphFont"/>
    <w:link w:val="Header"/>
    <w:uiPriority w:val="99"/>
    <w:semiHidden/>
    <w:rsid w:val="00851C46"/>
    <w:rPr>
      <w:rFonts w:ascii="Times New Roman" w:eastAsia="Arial Unicode MS" w:hAnsi="Times New Roman" w:cs="Mangal"/>
      <w:kern w:val="1"/>
      <w:sz w:val="24"/>
      <w:szCs w:val="21"/>
      <w:lang w:eastAsia="hi-IN" w:bidi="hi-IN"/>
    </w:rPr>
  </w:style>
  <w:style w:type="paragraph" w:styleId="Footer">
    <w:name w:val="footer"/>
    <w:basedOn w:val="Normal"/>
    <w:link w:val="FooterChar"/>
    <w:uiPriority w:val="99"/>
    <w:unhideWhenUsed/>
    <w:rsid w:val="00851C46"/>
    <w:pPr>
      <w:tabs>
        <w:tab w:val="center" w:pos="4680"/>
        <w:tab w:val="right" w:pos="9360"/>
      </w:tabs>
      <w:spacing w:after="0"/>
    </w:pPr>
    <w:rPr>
      <w:szCs w:val="21"/>
    </w:rPr>
  </w:style>
  <w:style w:type="character" w:customStyle="1" w:styleId="FooterChar">
    <w:name w:val="Footer Char"/>
    <w:basedOn w:val="DefaultParagraphFont"/>
    <w:link w:val="Footer"/>
    <w:uiPriority w:val="99"/>
    <w:rsid w:val="00851C46"/>
    <w:rPr>
      <w:rFonts w:ascii="Times New Roman" w:eastAsia="Arial Unicode MS" w:hAnsi="Times New Roman" w:cs="Mangal"/>
      <w:kern w:val="1"/>
      <w:sz w:val="24"/>
      <w:szCs w:val="2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501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chart" Target="charts/chart1.xml"/><Relationship Id="rId3" Type="http://schemas.openxmlformats.org/officeDocument/2006/relationships/settings" Target="settings.xml"/><Relationship Id="rId21" Type="http://schemas.openxmlformats.org/officeDocument/2006/relationships/chart" Target="charts/chart4.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Temp\NQF%20submission\quarterlygraphsshowingseasonalit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Temp\NQF%20submission\quarterlygraphsshowingseasonalit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Temp\NQF%20submission\quarterlygraphsshowingseasonalit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Temp\NQF%20submission\quarterlygraphsshowingseasonalit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Hospitalizations per 1,000 Beneficiaries</a:t>
            </a:r>
          </a:p>
          <a:p>
            <a:pPr>
              <a:defRPr/>
            </a:pPr>
            <a:r>
              <a:rPr lang="en-US"/>
              <a:t>(Average</a:t>
            </a:r>
            <a:r>
              <a:rPr lang="en-US" baseline="0"/>
              <a:t> of 53 States/Territories)</a:t>
            </a:r>
            <a:endParaRPr lang="en-US"/>
          </a:p>
        </c:rich>
      </c:tx>
      <c:layout>
        <c:manualLayout>
          <c:xMode val="edge"/>
          <c:yMode val="edge"/>
          <c:x val="0.10529013929438596"/>
          <c:y val="1.6359918200408999E-2"/>
        </c:manualLayout>
      </c:layout>
    </c:title>
    <c:plotArea>
      <c:layout/>
      <c:lineChart>
        <c:grouping val="standard"/>
        <c:ser>
          <c:idx val="0"/>
          <c:order val="0"/>
          <c:tx>
            <c:strRef>
              <c:f>Sheet2!$I$2</c:f>
              <c:strCache>
                <c:ptCount val="1"/>
                <c:pt idx="0">
                  <c:v>Mean</c:v>
                </c:pt>
              </c:strCache>
            </c:strRef>
          </c:tx>
          <c:cat>
            <c:strRef>
              <c:f>Sheet2!$H$3:$H$19</c:f>
              <c:strCache>
                <c:ptCount val="17"/>
                <c:pt idx="0">
                  <c:v>2009 Q1</c:v>
                </c:pt>
                <c:pt idx="1">
                  <c:v>2009 Q2</c:v>
                </c:pt>
                <c:pt idx="2">
                  <c:v>2009 Q3</c:v>
                </c:pt>
                <c:pt idx="3">
                  <c:v>2009 Q4</c:v>
                </c:pt>
                <c:pt idx="4">
                  <c:v>2010 Q1</c:v>
                </c:pt>
                <c:pt idx="5">
                  <c:v>2010 Q2</c:v>
                </c:pt>
                <c:pt idx="6">
                  <c:v>2010 Q3</c:v>
                </c:pt>
                <c:pt idx="7">
                  <c:v>2010 Q4</c:v>
                </c:pt>
                <c:pt idx="8">
                  <c:v>2011 Q1</c:v>
                </c:pt>
                <c:pt idx="9">
                  <c:v>2011 Q2</c:v>
                </c:pt>
                <c:pt idx="10">
                  <c:v>2011 Q3</c:v>
                </c:pt>
                <c:pt idx="11">
                  <c:v>2011 Q4</c:v>
                </c:pt>
                <c:pt idx="12">
                  <c:v>2012 Q1</c:v>
                </c:pt>
                <c:pt idx="13">
                  <c:v>2012 Q2</c:v>
                </c:pt>
                <c:pt idx="14">
                  <c:v>2012 Q3</c:v>
                </c:pt>
                <c:pt idx="15">
                  <c:v>2012 Q4</c:v>
                </c:pt>
                <c:pt idx="16">
                  <c:v>2013 Q1</c:v>
                </c:pt>
              </c:strCache>
            </c:strRef>
          </c:cat>
          <c:val>
            <c:numRef>
              <c:f>Sheet2!$I$3:$I$19</c:f>
              <c:numCache>
                <c:formatCode>General</c:formatCode>
                <c:ptCount val="17"/>
                <c:pt idx="0">
                  <c:v>77.48</c:v>
                </c:pt>
                <c:pt idx="1">
                  <c:v>75.56</c:v>
                </c:pt>
                <c:pt idx="2">
                  <c:v>72.099999999999994</c:v>
                </c:pt>
                <c:pt idx="3">
                  <c:v>72.66</c:v>
                </c:pt>
                <c:pt idx="4">
                  <c:v>75.400000000000006</c:v>
                </c:pt>
                <c:pt idx="5">
                  <c:v>73.959999999999994</c:v>
                </c:pt>
                <c:pt idx="6">
                  <c:v>71.459999999999994</c:v>
                </c:pt>
                <c:pt idx="7">
                  <c:v>72.290000000000006</c:v>
                </c:pt>
                <c:pt idx="8">
                  <c:v>75.59</c:v>
                </c:pt>
                <c:pt idx="9">
                  <c:v>72.709999999999994</c:v>
                </c:pt>
                <c:pt idx="10">
                  <c:v>69.28</c:v>
                </c:pt>
                <c:pt idx="11">
                  <c:v>69.47</c:v>
                </c:pt>
                <c:pt idx="12">
                  <c:v>73.11999999999999</c:v>
                </c:pt>
                <c:pt idx="13">
                  <c:v>68.149999999999991</c:v>
                </c:pt>
                <c:pt idx="14">
                  <c:v>65.56</c:v>
                </c:pt>
                <c:pt idx="15">
                  <c:v>66.84</c:v>
                </c:pt>
                <c:pt idx="16">
                  <c:v>69.569999999999993</c:v>
                </c:pt>
              </c:numCache>
            </c:numRef>
          </c:val>
          <c:smooth val="1"/>
        </c:ser>
        <c:dLbls/>
        <c:marker val="1"/>
        <c:axId val="111083520"/>
        <c:axId val="111085056"/>
      </c:lineChart>
      <c:catAx>
        <c:axId val="111083520"/>
        <c:scaling>
          <c:orientation val="minMax"/>
        </c:scaling>
        <c:axPos val="b"/>
        <c:tickLblPos val="nextTo"/>
        <c:txPr>
          <a:bodyPr rot="-2700000"/>
          <a:lstStyle/>
          <a:p>
            <a:pPr>
              <a:defRPr/>
            </a:pPr>
            <a:endParaRPr lang="en-US"/>
          </a:p>
        </c:txPr>
        <c:crossAx val="111085056"/>
        <c:crosses val="autoZero"/>
        <c:auto val="1"/>
        <c:lblAlgn val="ctr"/>
        <c:lblOffset val="100"/>
      </c:catAx>
      <c:valAx>
        <c:axId val="111085056"/>
        <c:scaling>
          <c:orientation val="minMax"/>
        </c:scaling>
        <c:axPos val="l"/>
        <c:majorGridlines/>
        <c:numFmt formatCode="General" sourceLinked="1"/>
        <c:tickLblPos val="nextTo"/>
        <c:crossAx val="111083520"/>
        <c:crosses val="autoZero"/>
        <c:crossBetween val="midCat"/>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Hospitalizations per 1,000 Beneficiaries</a:t>
            </a:r>
          </a:p>
          <a:p>
            <a:pPr>
              <a:defRPr/>
            </a:pPr>
            <a:r>
              <a:rPr lang="en-US"/>
              <a:t>(Average</a:t>
            </a:r>
            <a:r>
              <a:rPr lang="en-US" baseline="0"/>
              <a:t> of 327 Communities)</a:t>
            </a:r>
            <a:endParaRPr lang="en-US"/>
          </a:p>
        </c:rich>
      </c:tx>
      <c:layout/>
    </c:title>
    <c:plotArea>
      <c:layout/>
      <c:lineChart>
        <c:grouping val="stacked"/>
        <c:ser>
          <c:idx val="0"/>
          <c:order val="0"/>
          <c:tx>
            <c:strRef>
              <c:f>Sheet2!$B$2</c:f>
              <c:strCache>
                <c:ptCount val="1"/>
                <c:pt idx="0">
                  <c:v>Mean</c:v>
                </c:pt>
              </c:strCache>
            </c:strRef>
          </c:tx>
          <c:cat>
            <c:strRef>
              <c:f>Sheet2!$A$3:$A$19</c:f>
              <c:strCache>
                <c:ptCount val="17"/>
                <c:pt idx="0">
                  <c:v>2009 Q1</c:v>
                </c:pt>
                <c:pt idx="1">
                  <c:v>2009 Q2</c:v>
                </c:pt>
                <c:pt idx="2">
                  <c:v>2009 Q3</c:v>
                </c:pt>
                <c:pt idx="3">
                  <c:v>2009 Q4</c:v>
                </c:pt>
                <c:pt idx="4">
                  <c:v>2010 Q1</c:v>
                </c:pt>
                <c:pt idx="5">
                  <c:v>2010 Q2</c:v>
                </c:pt>
                <c:pt idx="6">
                  <c:v>2010 Q3</c:v>
                </c:pt>
                <c:pt idx="7">
                  <c:v>2010 Q4</c:v>
                </c:pt>
                <c:pt idx="8">
                  <c:v>2011 Q1</c:v>
                </c:pt>
                <c:pt idx="9">
                  <c:v>2011 Q2</c:v>
                </c:pt>
                <c:pt idx="10">
                  <c:v>2011 Q3</c:v>
                </c:pt>
                <c:pt idx="11">
                  <c:v>2011 Q4</c:v>
                </c:pt>
                <c:pt idx="12">
                  <c:v>2012 Q1</c:v>
                </c:pt>
                <c:pt idx="13">
                  <c:v>2012 Q2</c:v>
                </c:pt>
                <c:pt idx="14">
                  <c:v>2012 Q3</c:v>
                </c:pt>
                <c:pt idx="15">
                  <c:v>2012 Q4</c:v>
                </c:pt>
                <c:pt idx="16">
                  <c:v>2013 Q1</c:v>
                </c:pt>
              </c:strCache>
            </c:strRef>
          </c:cat>
          <c:val>
            <c:numRef>
              <c:f>Sheet2!$B$3:$B$19</c:f>
              <c:numCache>
                <c:formatCode>General</c:formatCode>
                <c:ptCount val="17"/>
                <c:pt idx="0">
                  <c:v>81.169999999999987</c:v>
                </c:pt>
                <c:pt idx="1">
                  <c:v>78.88</c:v>
                </c:pt>
                <c:pt idx="2">
                  <c:v>75.53</c:v>
                </c:pt>
                <c:pt idx="3">
                  <c:v>76.290000000000006</c:v>
                </c:pt>
                <c:pt idx="4">
                  <c:v>79.290000000000006</c:v>
                </c:pt>
                <c:pt idx="5">
                  <c:v>77.569999999999993</c:v>
                </c:pt>
                <c:pt idx="6">
                  <c:v>75.25</c:v>
                </c:pt>
                <c:pt idx="7">
                  <c:v>75.900000000000006</c:v>
                </c:pt>
                <c:pt idx="8">
                  <c:v>79.510000000000005</c:v>
                </c:pt>
                <c:pt idx="9">
                  <c:v>76.27</c:v>
                </c:pt>
                <c:pt idx="10">
                  <c:v>73.069999999999993</c:v>
                </c:pt>
                <c:pt idx="11">
                  <c:v>72.88</c:v>
                </c:pt>
                <c:pt idx="12">
                  <c:v>76.669999999999987</c:v>
                </c:pt>
                <c:pt idx="13">
                  <c:v>71.56</c:v>
                </c:pt>
                <c:pt idx="14">
                  <c:v>68.89</c:v>
                </c:pt>
                <c:pt idx="15">
                  <c:v>70.430000000000007</c:v>
                </c:pt>
                <c:pt idx="16">
                  <c:v>72.86999999999999</c:v>
                </c:pt>
              </c:numCache>
            </c:numRef>
          </c:val>
          <c:smooth val="1"/>
        </c:ser>
        <c:dLbls/>
        <c:marker val="1"/>
        <c:axId val="154312064"/>
        <c:axId val="155354240"/>
      </c:lineChart>
      <c:catAx>
        <c:axId val="154312064"/>
        <c:scaling>
          <c:orientation val="minMax"/>
        </c:scaling>
        <c:axPos val="b"/>
        <c:tickLblPos val="nextTo"/>
        <c:txPr>
          <a:bodyPr rot="-2700000" vert="horz"/>
          <a:lstStyle/>
          <a:p>
            <a:pPr>
              <a:defRPr/>
            </a:pPr>
            <a:endParaRPr lang="en-US"/>
          </a:p>
        </c:txPr>
        <c:crossAx val="155354240"/>
        <c:crosses val="autoZero"/>
        <c:auto val="1"/>
        <c:lblAlgn val="ctr"/>
        <c:lblOffset val="100"/>
      </c:catAx>
      <c:valAx>
        <c:axId val="155354240"/>
        <c:scaling>
          <c:orientation val="minMax"/>
          <c:min val="64"/>
        </c:scaling>
        <c:axPos val="l"/>
        <c:majorGridlines/>
        <c:numFmt formatCode="General" sourceLinked="1"/>
        <c:tickLblPos val="nextTo"/>
        <c:crossAx val="154312064"/>
        <c:crosses val="autoZero"/>
        <c:crossBetween val="midCat"/>
      </c:valAx>
    </c:plotArea>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Rehospitalizations per 1,000 Beneficiaries</a:t>
            </a:r>
          </a:p>
          <a:p>
            <a:pPr>
              <a:defRPr/>
            </a:pPr>
            <a:r>
              <a:rPr lang="en-US"/>
              <a:t>(Average of 53 States/Territories)</a:t>
            </a:r>
          </a:p>
        </c:rich>
      </c:tx>
      <c:layout/>
    </c:title>
    <c:plotArea>
      <c:layout/>
      <c:lineChart>
        <c:grouping val="standard"/>
        <c:ser>
          <c:idx val="0"/>
          <c:order val="0"/>
          <c:tx>
            <c:strRef>
              <c:f>Sheet2!$L$2</c:f>
              <c:strCache>
                <c:ptCount val="1"/>
                <c:pt idx="0">
                  <c:v>Mean</c:v>
                </c:pt>
              </c:strCache>
            </c:strRef>
          </c:tx>
          <c:cat>
            <c:strRef>
              <c:f>Sheet2!$K$3:$K$19</c:f>
              <c:strCache>
                <c:ptCount val="17"/>
                <c:pt idx="0">
                  <c:v>2009 Q1</c:v>
                </c:pt>
                <c:pt idx="1">
                  <c:v>2009 Q2</c:v>
                </c:pt>
                <c:pt idx="2">
                  <c:v>2009 Q3</c:v>
                </c:pt>
                <c:pt idx="3">
                  <c:v>2009 Q4</c:v>
                </c:pt>
                <c:pt idx="4">
                  <c:v>2010 Q1</c:v>
                </c:pt>
                <c:pt idx="5">
                  <c:v>2010 Q2</c:v>
                </c:pt>
                <c:pt idx="6">
                  <c:v>2010 Q3</c:v>
                </c:pt>
                <c:pt idx="7">
                  <c:v>2010 Q4</c:v>
                </c:pt>
                <c:pt idx="8">
                  <c:v>2011 Q1</c:v>
                </c:pt>
                <c:pt idx="9">
                  <c:v>2011 Q2</c:v>
                </c:pt>
                <c:pt idx="10">
                  <c:v>2011 Q3</c:v>
                </c:pt>
                <c:pt idx="11">
                  <c:v>2011 Q4</c:v>
                </c:pt>
                <c:pt idx="12">
                  <c:v>2012 Q1</c:v>
                </c:pt>
                <c:pt idx="13">
                  <c:v>2012 Q2</c:v>
                </c:pt>
                <c:pt idx="14">
                  <c:v>2012 Q3</c:v>
                </c:pt>
                <c:pt idx="15">
                  <c:v>2012 Q4</c:v>
                </c:pt>
                <c:pt idx="16">
                  <c:v>2013 Q1</c:v>
                </c:pt>
              </c:strCache>
            </c:strRef>
          </c:cat>
          <c:val>
            <c:numRef>
              <c:f>Sheet2!$L$3:$L$19</c:f>
              <c:numCache>
                <c:formatCode>General</c:formatCode>
                <c:ptCount val="17"/>
                <c:pt idx="0">
                  <c:v>13.9</c:v>
                </c:pt>
                <c:pt idx="1">
                  <c:v>13.49</c:v>
                </c:pt>
                <c:pt idx="2">
                  <c:v>12.870000000000001</c:v>
                </c:pt>
                <c:pt idx="3">
                  <c:v>12.850000000000001</c:v>
                </c:pt>
                <c:pt idx="4">
                  <c:v>13.4</c:v>
                </c:pt>
                <c:pt idx="5">
                  <c:v>13.19</c:v>
                </c:pt>
                <c:pt idx="6">
                  <c:v>12.81</c:v>
                </c:pt>
                <c:pt idx="7">
                  <c:v>12.84</c:v>
                </c:pt>
                <c:pt idx="8">
                  <c:v>13.53</c:v>
                </c:pt>
                <c:pt idx="9">
                  <c:v>12.870000000000001</c:v>
                </c:pt>
                <c:pt idx="10">
                  <c:v>12.33</c:v>
                </c:pt>
                <c:pt idx="11">
                  <c:v>12.31</c:v>
                </c:pt>
                <c:pt idx="12">
                  <c:v>12.81</c:v>
                </c:pt>
                <c:pt idx="13">
                  <c:v>11.860000000000001</c:v>
                </c:pt>
                <c:pt idx="14">
                  <c:v>11.350000000000001</c:v>
                </c:pt>
                <c:pt idx="15">
                  <c:v>11.44</c:v>
                </c:pt>
                <c:pt idx="16">
                  <c:v>11.67</c:v>
                </c:pt>
              </c:numCache>
            </c:numRef>
          </c:val>
          <c:smooth val="1"/>
        </c:ser>
        <c:dLbls/>
        <c:marker val="1"/>
        <c:axId val="155378432"/>
        <c:axId val="155379968"/>
      </c:lineChart>
      <c:catAx>
        <c:axId val="155378432"/>
        <c:scaling>
          <c:orientation val="minMax"/>
        </c:scaling>
        <c:axPos val="b"/>
        <c:tickLblPos val="nextTo"/>
        <c:txPr>
          <a:bodyPr rot="-2700000"/>
          <a:lstStyle/>
          <a:p>
            <a:pPr>
              <a:defRPr/>
            </a:pPr>
            <a:endParaRPr lang="en-US"/>
          </a:p>
        </c:txPr>
        <c:crossAx val="155379968"/>
        <c:crosses val="autoZero"/>
        <c:auto val="1"/>
        <c:lblAlgn val="ctr"/>
        <c:lblOffset val="100"/>
      </c:catAx>
      <c:valAx>
        <c:axId val="155379968"/>
        <c:scaling>
          <c:orientation val="minMax"/>
          <c:min val="8"/>
        </c:scaling>
        <c:axPos val="l"/>
        <c:majorGridlines/>
        <c:numFmt formatCode="General" sourceLinked="1"/>
        <c:tickLblPos val="nextTo"/>
        <c:crossAx val="155378432"/>
        <c:crosses val="autoZero"/>
        <c:crossBetween val="midCat"/>
      </c:val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Rehospitalizations per 1,000 Beneficiaries</a:t>
            </a:r>
          </a:p>
          <a:p>
            <a:pPr>
              <a:defRPr/>
            </a:pPr>
            <a:r>
              <a:rPr lang="en-US"/>
              <a:t>(Average of 327 Communities)</a:t>
            </a:r>
          </a:p>
        </c:rich>
      </c:tx>
      <c:layout/>
    </c:title>
    <c:plotArea>
      <c:layout/>
      <c:lineChart>
        <c:grouping val="standard"/>
        <c:ser>
          <c:idx val="0"/>
          <c:order val="0"/>
          <c:tx>
            <c:strRef>
              <c:f>Sheet2!$E$2</c:f>
              <c:strCache>
                <c:ptCount val="1"/>
                <c:pt idx="0">
                  <c:v>Mean</c:v>
                </c:pt>
              </c:strCache>
            </c:strRef>
          </c:tx>
          <c:cat>
            <c:strRef>
              <c:f>Sheet2!$D$3:$D$19</c:f>
              <c:strCache>
                <c:ptCount val="17"/>
                <c:pt idx="0">
                  <c:v>2009 Q1</c:v>
                </c:pt>
                <c:pt idx="1">
                  <c:v>2009 Q2</c:v>
                </c:pt>
                <c:pt idx="2">
                  <c:v>2009 Q3</c:v>
                </c:pt>
                <c:pt idx="3">
                  <c:v>2009 Q4</c:v>
                </c:pt>
                <c:pt idx="4">
                  <c:v>2010 Q1</c:v>
                </c:pt>
                <c:pt idx="5">
                  <c:v>2010 Q2</c:v>
                </c:pt>
                <c:pt idx="6">
                  <c:v>2010 Q3</c:v>
                </c:pt>
                <c:pt idx="7">
                  <c:v>2010 Q4</c:v>
                </c:pt>
                <c:pt idx="8">
                  <c:v>2011 Q1</c:v>
                </c:pt>
                <c:pt idx="9">
                  <c:v>2011 Q2</c:v>
                </c:pt>
                <c:pt idx="10">
                  <c:v>2011 Q3</c:v>
                </c:pt>
                <c:pt idx="11">
                  <c:v>2011 Q4</c:v>
                </c:pt>
                <c:pt idx="12">
                  <c:v>2012 Q1</c:v>
                </c:pt>
                <c:pt idx="13">
                  <c:v>2012 Q2</c:v>
                </c:pt>
                <c:pt idx="14">
                  <c:v>2012 Q3</c:v>
                </c:pt>
                <c:pt idx="15">
                  <c:v>2012 Q4</c:v>
                </c:pt>
                <c:pt idx="16">
                  <c:v>2013 Q1</c:v>
                </c:pt>
              </c:strCache>
            </c:strRef>
          </c:cat>
          <c:val>
            <c:numRef>
              <c:f>Sheet2!$E$3:$E$19</c:f>
              <c:numCache>
                <c:formatCode>General</c:formatCode>
                <c:ptCount val="17"/>
                <c:pt idx="0">
                  <c:v>15.02</c:v>
                </c:pt>
                <c:pt idx="1">
                  <c:v>14.56</c:v>
                </c:pt>
                <c:pt idx="2">
                  <c:v>13.88</c:v>
                </c:pt>
                <c:pt idx="3">
                  <c:v>13.98</c:v>
                </c:pt>
                <c:pt idx="4">
                  <c:v>14.56</c:v>
                </c:pt>
                <c:pt idx="5">
                  <c:v>14.239999999999998</c:v>
                </c:pt>
                <c:pt idx="6">
                  <c:v>14.02</c:v>
                </c:pt>
                <c:pt idx="7">
                  <c:v>13.91</c:v>
                </c:pt>
                <c:pt idx="8">
                  <c:v>14.66</c:v>
                </c:pt>
                <c:pt idx="9">
                  <c:v>13.9</c:v>
                </c:pt>
                <c:pt idx="10">
                  <c:v>13.360000000000001</c:v>
                </c:pt>
                <c:pt idx="11">
                  <c:v>13.2</c:v>
                </c:pt>
                <c:pt idx="12">
                  <c:v>13.729999999999999</c:v>
                </c:pt>
                <c:pt idx="13">
                  <c:v>12.78</c:v>
                </c:pt>
                <c:pt idx="14">
                  <c:v>12.3</c:v>
                </c:pt>
                <c:pt idx="15">
                  <c:v>12.39</c:v>
                </c:pt>
                <c:pt idx="16">
                  <c:v>12.56</c:v>
                </c:pt>
              </c:numCache>
            </c:numRef>
          </c:val>
          <c:smooth val="1"/>
        </c:ser>
        <c:dLbls/>
        <c:marker val="1"/>
        <c:axId val="155678592"/>
        <c:axId val="155680128"/>
      </c:lineChart>
      <c:catAx>
        <c:axId val="155678592"/>
        <c:scaling>
          <c:orientation val="minMax"/>
        </c:scaling>
        <c:axPos val="b"/>
        <c:tickLblPos val="nextTo"/>
        <c:txPr>
          <a:bodyPr rot="-2700000"/>
          <a:lstStyle/>
          <a:p>
            <a:pPr>
              <a:defRPr/>
            </a:pPr>
            <a:endParaRPr lang="en-US"/>
          </a:p>
        </c:txPr>
        <c:crossAx val="155680128"/>
        <c:crosses val="autoZero"/>
        <c:auto val="1"/>
        <c:lblAlgn val="ctr"/>
        <c:lblOffset val="100"/>
      </c:catAx>
      <c:valAx>
        <c:axId val="155680128"/>
        <c:scaling>
          <c:orientation val="minMax"/>
          <c:min val="10"/>
        </c:scaling>
        <c:axPos val="l"/>
        <c:majorGridlines/>
        <c:numFmt formatCode="General" sourceLinked="1"/>
        <c:tickLblPos val="nextTo"/>
        <c:crossAx val="155678592"/>
        <c:crosses val="autoZero"/>
        <c:crossBetween val="midCat"/>
      </c:valAx>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B66DC-3F49-4ED5-8F71-ADE328332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17</Pages>
  <Words>2220</Words>
  <Characters>12658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cfmc</Company>
  <LinksUpToDate>false</LinksUpToDate>
  <CharactersWithSpaces>14849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Shenita R. Freeman</dc:creator>
  <cp:keywords/>
  <dc:description/>
  <cp:lastModifiedBy>Shenita R. Freeman</cp:lastModifiedBy>
  <cp:revision>33</cp:revision>
  <dcterms:created xsi:type="dcterms:W3CDTF">2014-02-04T17:39:00Z</dcterms:created>
  <dcterms:modified xsi:type="dcterms:W3CDTF">2014-02-06T16:55:00Z</dcterms:modified>
</cp:coreProperties>
</file>