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60AC5" w:rsidRPr="00960AC5">
            <w:rPr>
              <w:rFonts w:ascii="Calibri" w:eastAsia="Arial Unicode MS" w:hAnsi="Calibri" w:cs="Mangal"/>
              <w:color w:val="0000FF"/>
              <w:kern w:val="1"/>
              <w:lang w:eastAsia="hi-IN" w:bidi="hi-IN"/>
            </w:rPr>
            <w:t xml:space="preserve">30-day </w:t>
          </w:r>
          <w:proofErr w:type="spellStart"/>
          <w:r w:rsidR="00960AC5" w:rsidRPr="00960AC5">
            <w:rPr>
              <w:rFonts w:ascii="Calibri" w:eastAsia="Arial Unicode MS" w:hAnsi="Calibri" w:cs="Mangal"/>
              <w:color w:val="0000FF"/>
              <w:kern w:val="1"/>
              <w:lang w:eastAsia="hi-IN" w:bidi="hi-IN"/>
            </w:rPr>
            <w:t>Rehospitalizations</w:t>
          </w:r>
          <w:proofErr w:type="spellEnd"/>
          <w:r w:rsidR="00960AC5" w:rsidRPr="00960AC5">
            <w:rPr>
              <w:rFonts w:ascii="Calibri" w:eastAsia="Arial Unicode MS" w:hAnsi="Calibri" w:cs="Mangal"/>
              <w:color w:val="0000FF"/>
              <w:kern w:val="1"/>
              <w:lang w:eastAsia="hi-IN" w:bidi="hi-IN"/>
            </w:rPr>
            <w:t xml:space="preserve"> per 1000 Medicare fee-for-service (FFS) Beneficiaries</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960AC5">
            <w:rPr>
              <w:rStyle w:val="Style2"/>
            </w:rPr>
            <w:t>2/5/2014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CE6A0C" w:rsidP="005857F8">
      <w:pPr>
        <w:ind w:left="720" w:hanging="432"/>
        <w:rPr>
          <w:rStyle w:val="Style2"/>
          <w:rFonts w:cstheme="minorHAnsi"/>
        </w:rPr>
      </w:pPr>
      <w:sdt>
        <w:sdtPr>
          <w:rPr>
            <w:bCs/>
            <w:color w:val="0000FF"/>
            <w:u w:val="single"/>
          </w:rPr>
          <w:id w:val="1077707841"/>
        </w:sdtPr>
        <w:sdtEndPr/>
        <w:sdtContent>
          <w:sdt>
            <w:sdtPr>
              <w:rPr>
                <w:bCs/>
                <w:color w:val="0000FF"/>
                <w:u w:val="single"/>
              </w:rPr>
              <w:id w:val="89955283"/>
            </w:sdtPr>
            <w:sdtEndPr/>
            <w:sdtContent>
              <w:r w:rsidR="00960AC5">
                <w:rPr>
                  <w:rFonts w:ascii="MS Gothic" w:eastAsia="MS Gothic" w:hAnsi="MS Gothic" w:hint="eastAsia"/>
                  <w:bCs/>
                  <w:color w:val="0000FF"/>
                </w:rPr>
                <w:t>☒</w:t>
              </w:r>
            </w:sdtContent>
          </w:sdt>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CE6A0C" w:rsidP="005857F8">
      <w:pPr>
        <w:ind w:left="720" w:hanging="432"/>
        <w:rPr>
          <w:b/>
          <w:bCs/>
        </w:rPr>
      </w:pPr>
      <w:sdt>
        <w:sdtPr>
          <w:rPr>
            <w:bCs/>
            <w:color w:val="0000FF"/>
          </w:rPr>
          <w:id w:val="-1541041819"/>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CE6A0C" w:rsidP="005857F8">
      <w:pPr>
        <w:ind w:left="720" w:hanging="432"/>
        <w:rPr>
          <w:bCs/>
        </w:rPr>
      </w:pPr>
      <w:sdt>
        <w:sdtPr>
          <w:rPr>
            <w:bCs/>
            <w:color w:val="0000FF"/>
          </w:rPr>
          <w:id w:val="130951877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CE6A0C" w:rsidP="00015986">
      <w:pPr>
        <w:ind w:left="432" w:hanging="432"/>
        <w:rPr>
          <w:bCs/>
        </w:rPr>
      </w:pPr>
      <w:sdt>
        <w:sdtPr>
          <w:rPr>
            <w:bCs/>
            <w:color w:val="0000FF"/>
          </w:rPr>
          <w:id w:val="-153572768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CE6A0C" w:rsidP="00015986">
      <w:pPr>
        <w:ind w:left="432" w:hanging="432"/>
        <w:rPr>
          <w:bCs/>
        </w:rPr>
      </w:pPr>
      <w:sdt>
        <w:sdtPr>
          <w:rPr>
            <w:bCs/>
            <w:color w:val="0000FF"/>
          </w:rPr>
          <w:id w:val="1676770628"/>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CE6A0C" w:rsidP="00015986">
      <w:pPr>
        <w:ind w:left="432" w:hanging="432"/>
        <w:rPr>
          <w:bCs/>
        </w:rPr>
      </w:pPr>
      <w:sdt>
        <w:sdtPr>
          <w:rPr>
            <w:bCs/>
            <w:color w:val="0000FF"/>
          </w:rPr>
          <w:id w:val="171940562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proofErr w:type="gramStart"/>
      <w:r w:rsidR="00E41417" w:rsidRPr="003B1CC5">
        <w:rPr>
          <w:bCs/>
        </w:rPr>
        <w:t>O</w:t>
      </w:r>
      <w:r w:rsidR="00496AF8" w:rsidRPr="003B1CC5">
        <w:rPr>
          <w:bCs/>
        </w:rPr>
        <w:t>ther</w:t>
      </w:r>
      <w:proofErr w:type="gramEnd"/>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960AC5" w:rsidRPr="003B1CC5" w:rsidRDefault="00960AC5" w:rsidP="002B06BD">
      <w:pPr>
        <w:ind w:left="432" w:hanging="432"/>
        <w:rPr>
          <w:iCs/>
        </w:rPr>
      </w:pP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 xml:space="preserve">30-day </w:t>
      </w:r>
      <w:proofErr w:type="spellStart"/>
      <w:r w:rsidRPr="00960AC5">
        <w:rPr>
          <w:rFonts w:ascii="Calibri" w:eastAsia="Arial Unicode MS" w:hAnsi="Calibri" w:cs="Mangal"/>
          <w:color w:val="0000FF"/>
          <w:kern w:val="1"/>
          <w:lang w:eastAsia="hi-IN" w:bidi="hi-IN"/>
        </w:rPr>
        <w:t>rehospitalizations</w:t>
      </w:r>
      <w:proofErr w:type="spellEnd"/>
      <w:r w:rsidRPr="00960AC5">
        <w:rPr>
          <w:rFonts w:ascii="Calibri" w:eastAsia="Arial Unicode MS" w:hAnsi="Calibri" w:cs="Mangal"/>
          <w:color w:val="0000FF"/>
          <w:kern w:val="1"/>
          <w:lang w:eastAsia="hi-IN" w:bidi="hi-IN"/>
        </w:rPr>
        <w:t xml:space="preserve"> (readmissions) of Medicare fee-for-service (FFS) beneficiaries, the health outcomes that this measure addresses, are related to the health care services that individuals receive (or do not receive) in their communities.</w:t>
      </w:r>
      <w:r w:rsidRPr="00A95C6C">
        <w:rPr>
          <w:rFonts w:ascii="Calibri" w:eastAsia="Arial Unicode MS" w:hAnsi="Calibri" w:cs="Mangal"/>
          <w:color w:val="0000FF"/>
          <w:kern w:val="1"/>
          <w:vertAlign w:val="superscript"/>
          <w:lang w:eastAsia="hi-IN" w:bidi="hi-IN"/>
        </w:rPr>
        <w:t xml:space="preserve">1,2  </w:t>
      </w:r>
      <w:r w:rsidRPr="00960AC5">
        <w:rPr>
          <w:rFonts w:ascii="Calibri" w:eastAsia="Arial Unicode MS" w:hAnsi="Calibri" w:cs="Mangal"/>
          <w:color w:val="0000FF"/>
          <w:kern w:val="1"/>
          <w:lang w:eastAsia="hi-IN" w:bidi="hi-IN"/>
        </w:rPr>
        <w:t>People with chronic health conditions and/or their caregivers need to be actively engaged in helping to keep these conditions under control rather than solely being dependent on physicians and other health care providers as passive recipients of treatment.</w:t>
      </w:r>
      <w:r w:rsidRPr="00A95C6C">
        <w:rPr>
          <w:rFonts w:ascii="Calibri" w:eastAsia="Arial Unicode MS" w:hAnsi="Calibri" w:cs="Mangal"/>
          <w:color w:val="0000FF"/>
          <w:kern w:val="1"/>
          <w:vertAlign w:val="superscript"/>
          <w:lang w:eastAsia="hi-IN" w:bidi="hi-IN"/>
        </w:rPr>
        <w:t>3</w:t>
      </w:r>
      <w:r w:rsidRPr="00960AC5">
        <w:rPr>
          <w:rFonts w:ascii="Calibri" w:eastAsia="Arial Unicode MS" w:hAnsi="Calibri" w:cs="Mangal"/>
          <w:color w:val="0000FF"/>
          <w:kern w:val="1"/>
          <w:lang w:eastAsia="hi-IN" w:bidi="hi-IN"/>
        </w:rPr>
        <w:t xml:space="preserve">  Medicare beneficiaries often suffer from multiple chronic conditions since they are elderly (over age 65) or disabled.  Furthermore, in most cases the disease processes that underlie chronic conditions are going to worsen over time and the patient is going to suffer more from their manifestations.</w:t>
      </w:r>
      <w:r w:rsidRPr="00A95C6C">
        <w:rPr>
          <w:rFonts w:ascii="Calibri" w:eastAsia="Arial Unicode MS" w:hAnsi="Calibri" w:cs="Mangal"/>
          <w:color w:val="0000FF"/>
          <w:kern w:val="1"/>
          <w:vertAlign w:val="superscript"/>
          <w:lang w:eastAsia="hi-IN" w:bidi="hi-IN"/>
        </w:rPr>
        <w:t>4</w:t>
      </w: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If the services provided by health care providers, as well as social support services, in a community do not address the ongoing care needs of Medicare beneficiaries, they are more likely to suffer from short-term and long-term complications of their chronic conditions and more likely to be readmitted to the hospital.</w:t>
      </w:r>
      <w:r w:rsidRPr="00A95C6C">
        <w:rPr>
          <w:rFonts w:ascii="Calibri" w:eastAsia="Arial Unicode MS" w:hAnsi="Calibri" w:cs="Mangal"/>
          <w:color w:val="0000FF"/>
          <w:kern w:val="1"/>
          <w:vertAlign w:val="superscript"/>
          <w:lang w:eastAsia="hi-IN" w:bidi="hi-IN"/>
        </w:rPr>
        <w:t>5</w:t>
      </w:r>
      <w:r w:rsidRPr="00960AC5">
        <w:rPr>
          <w:rFonts w:ascii="Calibri" w:eastAsia="Arial Unicode MS" w:hAnsi="Calibri" w:cs="Mangal"/>
          <w:color w:val="0000FF"/>
          <w:kern w:val="1"/>
          <w:lang w:eastAsia="hi-IN" w:bidi="hi-IN"/>
        </w:rPr>
        <w:t xml:space="preserve">  For example, appropriate medication may be prescribed for a patient with congestive heart failure, but if that patient (and/or his/her caregiver) cannot afford to purchase the medication, or does not have a way to get to the pharmacy to pick up the medication, or has not been effectively educated about warning signs of worsening disease to look out for, that patient may end up being hospitalized for a problem that was preventable. </w:t>
      </w: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Medicare FFS patient with chronic condition(s)</w:t>
      </w:r>
    </w:p>
    <w:p w:rsidR="00960AC5" w:rsidRPr="00960AC5" w:rsidRDefault="00960AC5" w:rsidP="00960AC5">
      <w:pPr>
        <w:ind w:left="720" w:firstLine="72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w:t>
      </w: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Patient not effectively educated about nor engaged in managing his/her condition(s); lack of systems in the health care system in community to help patients manage their conditions, including through coordination of care from different providers</w:t>
      </w:r>
    </w:p>
    <w:p w:rsidR="00960AC5" w:rsidRPr="00960AC5" w:rsidRDefault="00960AC5" w:rsidP="00960AC5">
      <w:pPr>
        <w:ind w:left="720" w:firstLine="72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w:t>
      </w: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Patient suffers from complications from his/her condition(s) leading to an acute exacerbation</w:t>
      </w:r>
    </w:p>
    <w:p w:rsidR="00960AC5" w:rsidRPr="00960AC5" w:rsidRDefault="00960AC5" w:rsidP="00960AC5">
      <w:pPr>
        <w:ind w:left="720" w:firstLine="72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w:t>
      </w:r>
    </w:p>
    <w:p w:rsidR="00960AC5" w:rsidRPr="00960AC5" w:rsidRDefault="00960AC5" w:rsidP="00960AC5">
      <w:pPr>
        <w:ind w:left="0" w:firstLine="0"/>
        <w:rPr>
          <w:rFonts w:ascii="Calibri" w:eastAsia="Arial Unicode MS" w:hAnsi="Calibri" w:cs="Mangal"/>
          <w:color w:val="0000FF"/>
          <w:kern w:val="1"/>
          <w:lang w:eastAsia="hi-IN" w:bidi="hi-IN"/>
        </w:rPr>
      </w:pPr>
      <w:r w:rsidRPr="00960AC5">
        <w:rPr>
          <w:rFonts w:ascii="Calibri" w:eastAsia="Arial Unicode MS" w:hAnsi="Calibri" w:cs="Mangal"/>
          <w:color w:val="0000FF"/>
          <w:kern w:val="1"/>
          <w:lang w:eastAsia="hi-IN" w:bidi="hi-IN"/>
        </w:rPr>
        <w:t xml:space="preserve">Patient requires </w:t>
      </w:r>
      <w:proofErr w:type="spellStart"/>
      <w:r w:rsidRPr="00960AC5">
        <w:rPr>
          <w:rFonts w:ascii="Calibri" w:eastAsia="Arial Unicode MS" w:hAnsi="Calibri" w:cs="Mangal"/>
          <w:color w:val="0000FF"/>
          <w:kern w:val="1"/>
          <w:lang w:eastAsia="hi-IN" w:bidi="hi-IN"/>
        </w:rPr>
        <w:t>rehospitalization</w:t>
      </w:r>
      <w:proofErr w:type="spellEnd"/>
      <w:r w:rsidRPr="00960AC5">
        <w:rPr>
          <w:rFonts w:ascii="Calibri" w:eastAsia="Arial Unicode MS" w:hAnsi="Calibri" w:cs="Mangal"/>
          <w:color w:val="0000FF"/>
          <w:kern w:val="1"/>
          <w:lang w:eastAsia="hi-IN" w:bidi="hi-IN"/>
        </w:rPr>
        <w:t xml:space="preserve"> to a hospital</w:t>
      </w: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ascii="Calibri" w:eastAsia="Arial Unicode MS" w:hAnsi="Calibri" w:cs="Mangal"/>
          <w:color w:val="0000FF"/>
          <w:kern w:val="1"/>
          <w:lang w:eastAsia="hi-IN" w:bidi="hi-IN"/>
        </w:rPr>
      </w:pPr>
    </w:p>
    <w:p w:rsidR="00960AC5" w:rsidRPr="00960AC5" w:rsidRDefault="00960AC5" w:rsidP="00960AC5">
      <w:pPr>
        <w:ind w:left="0" w:firstLine="0"/>
        <w:rPr>
          <w:rFonts w:cs="Arial"/>
        </w:rPr>
      </w:pPr>
      <w:r w:rsidRPr="00960AC5">
        <w:rPr>
          <w:rFonts w:ascii="Calibri" w:eastAsia="Arial Unicode MS" w:hAnsi="Calibri" w:cs="Mangal"/>
          <w:color w:val="0000FF"/>
          <w:kern w:val="1"/>
          <w:lang w:eastAsia="hi-IN" w:bidi="hi-IN"/>
        </w:rPr>
        <w:t xml:space="preserve">It has been shown that many </w:t>
      </w:r>
      <w:proofErr w:type="spellStart"/>
      <w:r w:rsidRPr="00960AC5">
        <w:rPr>
          <w:rFonts w:ascii="Calibri" w:eastAsia="Arial Unicode MS" w:hAnsi="Calibri" w:cs="Mangal"/>
          <w:color w:val="0000FF"/>
          <w:kern w:val="1"/>
          <w:lang w:eastAsia="hi-IN" w:bidi="hi-IN"/>
        </w:rPr>
        <w:t>rehospitalizations</w:t>
      </w:r>
      <w:proofErr w:type="spellEnd"/>
      <w:r w:rsidRPr="00960AC5">
        <w:rPr>
          <w:rFonts w:ascii="Calibri" w:eastAsia="Arial Unicode MS" w:hAnsi="Calibri" w:cs="Mangal"/>
          <w:color w:val="0000FF"/>
          <w:kern w:val="1"/>
          <w:lang w:eastAsia="hi-IN" w:bidi="hi-IN"/>
        </w:rPr>
        <w:t xml:space="preserve"> are preventable if patients/caregivers are well-informed about their conditions and what they need to do to manage them as well as are receiving support from health care and social service providers.</w:t>
      </w:r>
      <w:r w:rsidRPr="00A95C6C">
        <w:rPr>
          <w:rFonts w:ascii="Calibri" w:eastAsia="Arial Unicode MS" w:hAnsi="Calibri" w:cs="Mangal"/>
          <w:color w:val="0000FF"/>
          <w:kern w:val="1"/>
          <w:vertAlign w:val="superscript"/>
          <w:lang w:eastAsia="hi-IN" w:bidi="hi-IN"/>
        </w:rPr>
        <w:t>6</w:t>
      </w:r>
      <w:r w:rsidRPr="00960AC5">
        <w:rPr>
          <w:rFonts w:ascii="Calibri" w:eastAsia="Arial Unicode MS" w:hAnsi="Calibri" w:cs="Mangal"/>
          <w:color w:val="0000FF"/>
          <w:kern w:val="1"/>
          <w:lang w:eastAsia="hi-IN" w:bidi="hi-IN"/>
        </w:rPr>
        <w:t xml:space="preserve">  Some </w:t>
      </w:r>
      <w:proofErr w:type="spellStart"/>
      <w:r w:rsidRPr="00960AC5">
        <w:rPr>
          <w:rFonts w:ascii="Calibri" w:eastAsia="Arial Unicode MS" w:hAnsi="Calibri" w:cs="Mangal"/>
          <w:color w:val="0000FF"/>
          <w:kern w:val="1"/>
          <w:lang w:eastAsia="hi-IN" w:bidi="hi-IN"/>
        </w:rPr>
        <w:t>rehospitalizations</w:t>
      </w:r>
      <w:proofErr w:type="spellEnd"/>
      <w:r w:rsidRPr="00960AC5">
        <w:rPr>
          <w:rFonts w:ascii="Calibri" w:eastAsia="Arial Unicode MS" w:hAnsi="Calibri" w:cs="Mangal"/>
          <w:color w:val="0000FF"/>
          <w:kern w:val="1"/>
          <w:lang w:eastAsia="hi-IN" w:bidi="hi-IN"/>
        </w:rPr>
        <w:t xml:space="preserve"> may be caused by events that occurred while the patient was hospitalized during the index admission, such as care that does not meet standards, or inadequate education of patients and/or their caregivers about managing their conditions, or other inadequate preparation for discharge.  However, many other </w:t>
      </w:r>
      <w:proofErr w:type="spellStart"/>
      <w:r w:rsidRPr="00960AC5">
        <w:rPr>
          <w:rFonts w:ascii="Calibri" w:eastAsia="Arial Unicode MS" w:hAnsi="Calibri" w:cs="Mangal"/>
          <w:color w:val="0000FF"/>
          <w:kern w:val="1"/>
          <w:lang w:eastAsia="hi-IN" w:bidi="hi-IN"/>
        </w:rPr>
        <w:t>rehospitalizations</w:t>
      </w:r>
      <w:proofErr w:type="spellEnd"/>
      <w:r w:rsidRPr="00960AC5">
        <w:rPr>
          <w:rFonts w:ascii="Calibri" w:eastAsia="Arial Unicode MS" w:hAnsi="Calibri" w:cs="Mangal"/>
          <w:color w:val="0000FF"/>
          <w:kern w:val="1"/>
          <w:lang w:eastAsia="hi-IN" w:bidi="hi-IN"/>
        </w:rPr>
        <w:t xml:space="preserve"> are caused by events that occur after the patient has been discharged, such as poor communication between the providers in different health care settings (e.g. between the hospital and a nursing home), lack of standard processes for assuring that patients receive good follow-up care (e.g. lack of a process for medication reconciliation to assure that patients and other healthcare providers have been accurately informed about the medications that they should be taking once that have been discharged), and poor patient education or “activation” (e.g. the patient and/or caregivers understand what they need to do to for the patient to remain as healthy as possible and are motivated to be involved in managing his/her condition).</w:t>
      </w:r>
      <w:r w:rsidRPr="00A95C6C">
        <w:rPr>
          <w:rFonts w:ascii="Calibri" w:eastAsia="Arial Unicode MS" w:hAnsi="Calibri" w:cs="Mangal"/>
          <w:color w:val="0000FF"/>
          <w:kern w:val="1"/>
          <w:vertAlign w:val="superscript"/>
          <w:lang w:eastAsia="hi-IN" w:bidi="hi-IN"/>
        </w:rPr>
        <w:t>7</w:t>
      </w:r>
      <w:r w:rsidRPr="00960AC5">
        <w:rPr>
          <w:rFonts w:ascii="Calibri" w:eastAsia="Arial Unicode MS" w:hAnsi="Calibri" w:cs="Mangal"/>
          <w:color w:val="0000FF"/>
          <w:kern w:val="1"/>
          <w:lang w:eastAsia="hi-IN" w:bidi="hi-IN"/>
        </w:rPr>
        <w:t xml:space="preserve">  In order to reduce these avoidable </w:t>
      </w:r>
      <w:proofErr w:type="spellStart"/>
      <w:r w:rsidRPr="00960AC5">
        <w:rPr>
          <w:rFonts w:ascii="Calibri" w:eastAsia="Arial Unicode MS" w:hAnsi="Calibri" w:cs="Mangal"/>
          <w:color w:val="0000FF"/>
          <w:kern w:val="1"/>
          <w:lang w:eastAsia="hi-IN" w:bidi="hi-IN"/>
        </w:rPr>
        <w:t>rehospitalizations</w:t>
      </w:r>
      <w:proofErr w:type="spellEnd"/>
      <w:r w:rsidRPr="00960AC5">
        <w:rPr>
          <w:rFonts w:ascii="Calibri" w:eastAsia="Arial Unicode MS" w:hAnsi="Calibri" w:cs="Mangal"/>
          <w:color w:val="0000FF"/>
          <w:kern w:val="1"/>
          <w:lang w:eastAsia="hi-IN" w:bidi="hi-IN"/>
        </w:rPr>
        <w:t>, many providers and other stakeholders in the community need to be involved in efforts to provide good transitions of care.</w:t>
      </w:r>
      <w:r w:rsidRPr="00A95C6C">
        <w:rPr>
          <w:rFonts w:ascii="Calibri" w:eastAsia="Arial Unicode MS" w:hAnsi="Calibri" w:cs="Mangal"/>
          <w:color w:val="0000FF"/>
          <w:kern w:val="1"/>
          <w:vertAlign w:val="superscript"/>
          <w:lang w:eastAsia="hi-IN" w:bidi="hi-IN"/>
        </w:rPr>
        <w:t>8</w:t>
      </w:r>
      <w:r w:rsidRPr="00960AC5">
        <w:rPr>
          <w:rFonts w:ascii="Calibri" w:eastAsia="Arial Unicode MS" w:hAnsi="Calibri" w:cs="Mangal"/>
          <w:color w:val="0000FF"/>
          <w:kern w:val="1"/>
          <w:lang w:eastAsia="hi-IN" w:bidi="hi-IN"/>
        </w:rPr>
        <w:t xml:space="preserve">  Therefore it is appropriate to measure rates of </w:t>
      </w:r>
      <w:proofErr w:type="spellStart"/>
      <w:r w:rsidRPr="00960AC5">
        <w:rPr>
          <w:rFonts w:ascii="Calibri" w:eastAsia="Arial Unicode MS" w:hAnsi="Calibri" w:cs="Mangal"/>
          <w:color w:val="0000FF"/>
          <w:kern w:val="1"/>
          <w:lang w:eastAsia="hi-IN" w:bidi="hi-IN"/>
        </w:rPr>
        <w:t>rehospitalization</w:t>
      </w:r>
      <w:proofErr w:type="spellEnd"/>
      <w:r w:rsidRPr="00960AC5">
        <w:rPr>
          <w:rFonts w:ascii="Calibri" w:eastAsia="Arial Unicode MS" w:hAnsi="Calibri" w:cs="Mangal"/>
          <w:color w:val="0000FF"/>
          <w:kern w:val="1"/>
          <w:lang w:eastAsia="hi-IN" w:bidi="hi-IN"/>
        </w:rPr>
        <w:t xml:space="preserve"> for a geographic area, such as a state or a community, rather than at the hospital level.</w:t>
      </w:r>
      <w:r w:rsidRPr="00960AC5">
        <w:rPr>
          <w:rFonts w:cs="Arial"/>
        </w:rPr>
        <w:t xml:space="preserve">  </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960AC5" w:rsidRDefault="00925F11" w:rsidP="002E2177">
      <w:pPr>
        <w:ind w:left="0" w:firstLine="0"/>
        <w:rPr>
          <w:b/>
          <w:iCs/>
          <w:caps/>
        </w:rPr>
      </w:pPr>
      <w:r w:rsidRPr="003B1CC5">
        <w:rPr>
          <w:b/>
          <w:iCs/>
          <w:caps/>
        </w:rPr>
        <w:t>__</w:t>
      </w:r>
    </w:p>
    <w:p w:rsidR="00960AC5" w:rsidRPr="004E1028" w:rsidRDefault="00960AC5" w:rsidP="00960AC5">
      <w:pPr>
        <w:ind w:left="0" w:firstLine="0"/>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By determining the incidence of </w:t>
      </w:r>
      <w:proofErr w:type="spellStart"/>
      <w:r w:rsidRPr="004E1028">
        <w:rPr>
          <w:rFonts w:ascii="Calibri" w:eastAsia="Arial Unicode MS" w:hAnsi="Calibri" w:cs="Mangal"/>
          <w:color w:val="0000FF"/>
          <w:kern w:val="1"/>
          <w:lang w:eastAsia="hi-IN" w:bidi="hi-IN"/>
        </w:rPr>
        <w:t>rehospitalizations</w:t>
      </w:r>
      <w:proofErr w:type="spellEnd"/>
      <w:r w:rsidRPr="004E1028">
        <w:rPr>
          <w:rFonts w:ascii="Calibri" w:eastAsia="Arial Unicode MS" w:hAnsi="Calibri" w:cs="Mangal"/>
          <w:color w:val="0000FF"/>
          <w:kern w:val="1"/>
          <w:lang w:eastAsia="hi-IN" w:bidi="hi-IN"/>
        </w:rPr>
        <w:t xml:space="preserve"> per 1,000 Medicare FFS beneficiaries in a defined geographic area over time, these measures can help communities track the effectiveness of interventions that are implemented and readjust their efforts if they are not effective in reducing </w:t>
      </w:r>
      <w:proofErr w:type="spellStart"/>
      <w:r w:rsidRPr="004E1028">
        <w:rPr>
          <w:rFonts w:ascii="Calibri" w:eastAsia="Arial Unicode MS" w:hAnsi="Calibri" w:cs="Mangal"/>
          <w:color w:val="0000FF"/>
          <w:kern w:val="1"/>
          <w:lang w:eastAsia="hi-IN" w:bidi="hi-IN"/>
        </w:rPr>
        <w:t>rehospitalizations</w:t>
      </w:r>
      <w:proofErr w:type="spellEnd"/>
      <w:r w:rsidRPr="004E1028">
        <w:rPr>
          <w:rFonts w:ascii="Calibri" w:eastAsia="Arial Unicode MS" w:hAnsi="Calibri" w:cs="Mangal"/>
          <w:color w:val="0000FF"/>
          <w:kern w:val="1"/>
          <w:lang w:eastAsia="hi-IN" w:bidi="hi-IN"/>
        </w:rPr>
        <w:t xml:space="preserve"> and hospitalizations.</w:t>
      </w:r>
    </w:p>
    <w:p w:rsidR="00960AC5" w:rsidRPr="004E1028" w:rsidRDefault="00960AC5" w:rsidP="00960AC5">
      <w:pPr>
        <w:ind w:left="0" w:firstLine="0"/>
        <w:rPr>
          <w:rFonts w:ascii="Calibri" w:eastAsia="Arial Unicode MS" w:hAnsi="Calibri" w:cs="Mangal"/>
          <w:color w:val="0000FF"/>
          <w:kern w:val="1"/>
          <w:lang w:eastAsia="hi-IN" w:bidi="hi-IN"/>
        </w:rPr>
      </w:pPr>
    </w:p>
    <w:p w:rsidR="00960AC5" w:rsidRPr="004E1028" w:rsidRDefault="00960AC5" w:rsidP="00960AC5">
      <w:pPr>
        <w:ind w:left="0" w:firstLine="0"/>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Many different interventions have been shown to be effective in reducing rates of </w:t>
      </w:r>
      <w:proofErr w:type="spellStart"/>
      <w:r w:rsidRPr="004E1028">
        <w:rPr>
          <w:rFonts w:ascii="Calibri" w:eastAsia="Arial Unicode MS" w:hAnsi="Calibri" w:cs="Mangal"/>
          <w:color w:val="0000FF"/>
          <w:kern w:val="1"/>
          <w:lang w:eastAsia="hi-IN" w:bidi="hi-IN"/>
        </w:rPr>
        <w:t>rehospitalization</w:t>
      </w:r>
      <w:proofErr w:type="spellEnd"/>
      <w:r w:rsidRPr="004E1028">
        <w:rPr>
          <w:rFonts w:ascii="Calibri" w:eastAsia="Arial Unicode MS" w:hAnsi="Calibri" w:cs="Mangal"/>
          <w:color w:val="0000FF"/>
          <w:kern w:val="1"/>
          <w:lang w:eastAsia="hi-IN" w:bidi="hi-IN"/>
        </w:rPr>
        <w:t xml:space="preserve"> for Medicare FFS patients.  These may include effectively educating patients and their caregivers about the importance of managing their chronic conditions and how to do so, arranging for timely and appropriate follow-up of patients after they are discharged, transmitting key information about the patient to receiving providers, and when applicable, educating patients or their caregivers about options for end-of-life care.</w:t>
      </w:r>
      <w:r w:rsidRPr="00CE6A0C">
        <w:rPr>
          <w:rFonts w:ascii="Calibri" w:eastAsia="Arial Unicode MS" w:hAnsi="Calibri" w:cs="Mangal"/>
          <w:color w:val="0000FF"/>
          <w:kern w:val="1"/>
          <w:vertAlign w:val="superscript"/>
          <w:lang w:eastAsia="hi-IN" w:bidi="hi-IN"/>
        </w:rPr>
        <w:t>9</w:t>
      </w:r>
      <w:bookmarkStart w:id="5" w:name="_GoBack"/>
      <w:bookmarkEnd w:id="5"/>
    </w:p>
    <w:p w:rsidR="00960AC5" w:rsidRPr="004E1028" w:rsidRDefault="00960AC5" w:rsidP="00960AC5">
      <w:pPr>
        <w:ind w:left="0" w:firstLine="0"/>
        <w:rPr>
          <w:rFonts w:ascii="Calibri" w:eastAsia="Arial Unicode MS" w:hAnsi="Calibri" w:cs="Mangal"/>
          <w:color w:val="0000FF"/>
          <w:kern w:val="1"/>
          <w:lang w:eastAsia="hi-IN" w:bidi="hi-IN"/>
        </w:rPr>
      </w:pPr>
    </w:p>
    <w:p w:rsidR="00960AC5" w:rsidRPr="004E1028" w:rsidRDefault="00960AC5" w:rsidP="00960AC5">
      <w:pPr>
        <w:ind w:left="0" w:firstLine="0"/>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For example, it has been shown that providing “care transitions coaches” to help patients with chronic diseases such as congestive heart failure during the time period after they have been discharged from the hospital can reduce </w:t>
      </w:r>
      <w:proofErr w:type="spellStart"/>
      <w:r w:rsidRPr="004E1028">
        <w:rPr>
          <w:rFonts w:ascii="Calibri" w:eastAsia="Arial Unicode MS" w:hAnsi="Calibri" w:cs="Mangal"/>
          <w:color w:val="0000FF"/>
          <w:kern w:val="1"/>
          <w:lang w:eastAsia="hi-IN" w:bidi="hi-IN"/>
        </w:rPr>
        <w:t>rehospitalizations</w:t>
      </w:r>
      <w:proofErr w:type="spellEnd"/>
      <w:r w:rsidRPr="004E1028">
        <w:rPr>
          <w:rFonts w:ascii="Calibri" w:eastAsia="Arial Unicode MS" w:hAnsi="Calibri" w:cs="Mangal"/>
          <w:color w:val="0000FF"/>
          <w:kern w:val="1"/>
          <w:lang w:eastAsia="hi-IN" w:bidi="hi-IN"/>
        </w:rPr>
        <w:t xml:space="preserve"> within 30 days after discharge by over 30%.</w:t>
      </w:r>
      <w:r w:rsidRPr="00CE6A0C">
        <w:rPr>
          <w:rFonts w:ascii="Calibri" w:eastAsia="Arial Unicode MS" w:hAnsi="Calibri" w:cs="Mangal"/>
          <w:color w:val="0000FF"/>
          <w:kern w:val="1"/>
          <w:vertAlign w:val="superscript"/>
          <w:lang w:eastAsia="hi-IN" w:bidi="hi-IN"/>
        </w:rPr>
        <w:t>10</w:t>
      </w:r>
      <w:r w:rsidRPr="004E1028">
        <w:rPr>
          <w:rFonts w:ascii="Calibri" w:eastAsia="Arial Unicode MS" w:hAnsi="Calibri" w:cs="Mangal"/>
          <w:color w:val="0000FF"/>
          <w:kern w:val="1"/>
          <w:lang w:eastAsia="hi-IN" w:bidi="hi-IN"/>
        </w:rPr>
        <w:t xml:space="preserve">  These coaches visit patients in their homes (or in nursing facilities) shortly after discharge from the hospital to help patients become more involved in their own care through understanding their medications, knowing warning signs of worsening of their chronic conditions, making a follow-up appointment with their primary care provider, and creating their own personal health record.  The coaches then make follow-up telephone calls to their patients to provide additional support in the next few weeks after discharge.</w:t>
      </w:r>
    </w:p>
    <w:p w:rsidR="00960AC5" w:rsidRPr="004E1028" w:rsidRDefault="00960AC5" w:rsidP="00960AC5">
      <w:pPr>
        <w:ind w:left="0" w:firstLine="0"/>
        <w:rPr>
          <w:rFonts w:ascii="Calibri" w:eastAsia="Arial Unicode MS" w:hAnsi="Calibri" w:cs="Mangal"/>
          <w:color w:val="0000FF"/>
          <w:kern w:val="1"/>
          <w:lang w:eastAsia="hi-IN" w:bidi="hi-IN"/>
        </w:rPr>
      </w:pPr>
    </w:p>
    <w:p w:rsidR="00960AC5" w:rsidRPr="004E1028" w:rsidRDefault="00960AC5" w:rsidP="00960AC5">
      <w:pPr>
        <w:ind w:left="0" w:firstLine="0"/>
        <w:contextualSpacing/>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1 Brock, J, Mitchell, J, Irby K, Stevens B, Archibald T, </w:t>
      </w:r>
      <w:proofErr w:type="spellStart"/>
      <w:r w:rsidRPr="004E1028">
        <w:rPr>
          <w:rFonts w:ascii="Calibri" w:eastAsia="Arial Unicode MS" w:hAnsi="Calibri" w:cs="Mangal"/>
          <w:color w:val="0000FF"/>
          <w:kern w:val="1"/>
          <w:lang w:eastAsia="hi-IN" w:bidi="hi-IN"/>
        </w:rPr>
        <w:t>Goroski</w:t>
      </w:r>
      <w:proofErr w:type="spellEnd"/>
      <w:r w:rsidRPr="004E1028">
        <w:rPr>
          <w:rFonts w:ascii="Calibri" w:eastAsia="Arial Unicode MS" w:hAnsi="Calibri" w:cs="Mangal"/>
          <w:color w:val="0000FF"/>
          <w:kern w:val="1"/>
          <w:lang w:eastAsia="hi-IN" w:bidi="hi-IN"/>
        </w:rPr>
        <w:t xml:space="preserve">, A, Lynn J. Association between quality improvement for care transitions in communities and </w:t>
      </w:r>
      <w:proofErr w:type="spellStart"/>
      <w:r w:rsidRPr="004E1028">
        <w:rPr>
          <w:rFonts w:ascii="Calibri" w:eastAsia="Arial Unicode MS" w:hAnsi="Calibri" w:cs="Mangal"/>
          <w:color w:val="0000FF"/>
          <w:kern w:val="1"/>
          <w:lang w:eastAsia="hi-IN" w:bidi="hi-IN"/>
        </w:rPr>
        <w:t>rehospitalizations</w:t>
      </w:r>
      <w:proofErr w:type="spellEnd"/>
      <w:r w:rsidRPr="004E1028">
        <w:rPr>
          <w:rFonts w:ascii="Calibri" w:eastAsia="Arial Unicode MS" w:hAnsi="Calibri" w:cs="Mangal"/>
          <w:color w:val="0000FF"/>
          <w:kern w:val="1"/>
          <w:lang w:eastAsia="hi-IN" w:bidi="hi-IN"/>
        </w:rPr>
        <w:t xml:space="preserve"> among Medicare beneficiaries. </w:t>
      </w:r>
      <w:r w:rsidRPr="004E1028">
        <w:rPr>
          <w:rFonts w:ascii="Calibri" w:eastAsia="Arial Unicode MS" w:hAnsi="Calibri" w:cs="Mangal"/>
          <w:color w:val="0000FF"/>
          <w:kern w:val="1"/>
          <w:lang w:eastAsia="hi-IN" w:bidi="hi-IN"/>
        </w:rPr>
        <w:lastRenderedPageBreak/>
        <w:t>JAMA, Jan 23</w:t>
      </w:r>
      <w:proofErr w:type="gramStart"/>
      <w:r w:rsidRPr="004E1028">
        <w:rPr>
          <w:rFonts w:ascii="Calibri" w:eastAsia="Arial Unicode MS" w:hAnsi="Calibri" w:cs="Mangal"/>
          <w:color w:val="0000FF"/>
          <w:kern w:val="1"/>
          <w:lang w:eastAsia="hi-IN" w:bidi="hi-IN"/>
        </w:rPr>
        <w:t>;309</w:t>
      </w:r>
      <w:proofErr w:type="gramEnd"/>
      <w:r w:rsidRPr="004E1028">
        <w:rPr>
          <w:rFonts w:ascii="Calibri" w:eastAsia="Arial Unicode MS" w:hAnsi="Calibri" w:cs="Mangal"/>
          <w:color w:val="0000FF"/>
          <w:kern w:val="1"/>
          <w:lang w:eastAsia="hi-IN" w:bidi="hi-IN"/>
        </w:rPr>
        <w:t xml:space="preserve">(4):381-91. Available from: </w:t>
      </w:r>
      <w:hyperlink r:id="rId15" w:history="1">
        <w:r w:rsidRPr="004E1028">
          <w:rPr>
            <w:rFonts w:ascii="Calibri" w:eastAsia="Arial Unicode MS" w:hAnsi="Calibri" w:cs="Mangal"/>
            <w:color w:val="0000FF"/>
            <w:kern w:val="1"/>
            <w:lang w:eastAsia="hi-IN" w:bidi="hi-IN"/>
          </w:rPr>
          <w:t>http://jama.jamanetwork.com/article.aspx?articleid=1558278</w:t>
        </w:r>
      </w:hyperlink>
    </w:p>
    <w:p w:rsidR="00960AC5" w:rsidRPr="004E1028" w:rsidRDefault="00960AC5" w:rsidP="00960AC5">
      <w:pPr>
        <w:ind w:left="0" w:firstLine="0"/>
        <w:contextualSpacing/>
        <w:rPr>
          <w:rFonts w:ascii="Calibri" w:eastAsia="Arial Unicode MS" w:hAnsi="Calibri" w:cs="Mangal"/>
          <w:color w:val="0000FF"/>
          <w:kern w:val="1"/>
          <w:lang w:eastAsia="hi-IN" w:bidi="hi-IN"/>
        </w:rPr>
      </w:pPr>
    </w:p>
    <w:p w:rsidR="00960AC5" w:rsidRPr="004E1028" w:rsidRDefault="00960AC5" w:rsidP="00960AC5">
      <w:pPr>
        <w:shd w:val="clear" w:color="auto" w:fill="FFFFFF"/>
        <w:ind w:left="0" w:firstLine="0"/>
        <w:outlineLvl w:val="4"/>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2 Jackson, CT, </w:t>
      </w:r>
      <w:proofErr w:type="spellStart"/>
      <w:r w:rsidRPr="004E1028">
        <w:rPr>
          <w:rFonts w:ascii="Calibri" w:eastAsia="Arial Unicode MS" w:hAnsi="Calibri" w:cs="Mangal"/>
          <w:color w:val="0000FF"/>
          <w:kern w:val="1"/>
          <w:lang w:eastAsia="hi-IN" w:bidi="hi-IN"/>
        </w:rPr>
        <w:t>Trygstad</w:t>
      </w:r>
      <w:proofErr w:type="spellEnd"/>
      <w:r w:rsidRPr="004E1028">
        <w:rPr>
          <w:rFonts w:ascii="Calibri" w:eastAsia="Arial Unicode MS" w:hAnsi="Calibri" w:cs="Mangal"/>
          <w:color w:val="0000FF"/>
          <w:kern w:val="1"/>
          <w:lang w:eastAsia="hi-IN" w:bidi="hi-IN"/>
        </w:rPr>
        <w:t xml:space="preserve">, TK, </w:t>
      </w:r>
      <w:proofErr w:type="spellStart"/>
      <w:r w:rsidRPr="004E1028">
        <w:rPr>
          <w:rFonts w:ascii="Calibri" w:eastAsia="Arial Unicode MS" w:hAnsi="Calibri" w:cs="Mangal"/>
          <w:color w:val="0000FF"/>
          <w:kern w:val="1"/>
          <w:lang w:eastAsia="hi-IN" w:bidi="hi-IN"/>
        </w:rPr>
        <w:t>DeWalt</w:t>
      </w:r>
      <w:proofErr w:type="spellEnd"/>
      <w:r w:rsidRPr="004E1028">
        <w:rPr>
          <w:rFonts w:ascii="Calibri" w:eastAsia="Arial Unicode MS" w:hAnsi="Calibri" w:cs="Mangal"/>
          <w:color w:val="0000FF"/>
          <w:kern w:val="1"/>
          <w:lang w:eastAsia="hi-IN" w:bidi="hi-IN"/>
        </w:rPr>
        <w:t xml:space="preserve">, DA, </w:t>
      </w:r>
      <w:proofErr w:type="spellStart"/>
      <w:r w:rsidRPr="004E1028">
        <w:rPr>
          <w:rFonts w:ascii="Calibri" w:eastAsia="Arial Unicode MS" w:hAnsi="Calibri" w:cs="Mangal"/>
          <w:color w:val="0000FF"/>
          <w:kern w:val="1"/>
          <w:lang w:eastAsia="hi-IN" w:bidi="hi-IN"/>
        </w:rPr>
        <w:t>DuBard</w:t>
      </w:r>
      <w:proofErr w:type="spellEnd"/>
      <w:r w:rsidRPr="004E1028">
        <w:rPr>
          <w:rFonts w:ascii="Calibri" w:eastAsia="Arial Unicode MS" w:hAnsi="Calibri" w:cs="Mangal"/>
          <w:color w:val="0000FF"/>
          <w:kern w:val="1"/>
          <w:lang w:eastAsia="hi-IN" w:bidi="hi-IN"/>
        </w:rPr>
        <w:t xml:space="preserve">, CA. Transitional Care Cut Hospital Readmissions For North Carolina Medicaid Patients With Complex Chronic Conditions. Health </w:t>
      </w:r>
      <w:proofErr w:type="spellStart"/>
      <w:r w:rsidRPr="004E1028">
        <w:rPr>
          <w:rFonts w:ascii="Calibri" w:eastAsia="Arial Unicode MS" w:hAnsi="Calibri" w:cs="Mangal"/>
          <w:color w:val="0000FF"/>
          <w:kern w:val="1"/>
          <w:lang w:eastAsia="hi-IN" w:bidi="hi-IN"/>
        </w:rPr>
        <w:t>Aff</w:t>
      </w:r>
      <w:proofErr w:type="spellEnd"/>
      <w:r w:rsidRPr="004E1028">
        <w:rPr>
          <w:rFonts w:ascii="Calibri" w:eastAsia="Arial Unicode MS" w:hAnsi="Calibri" w:cs="Mangal"/>
          <w:color w:val="0000FF"/>
          <w:kern w:val="1"/>
          <w:lang w:eastAsia="hi-IN" w:bidi="hi-IN"/>
        </w:rPr>
        <w:t xml:space="preserve">, Aug 32:1407-1415.  Available from </w:t>
      </w:r>
      <w:hyperlink r:id="rId16" w:history="1">
        <w:r w:rsidRPr="004E1028">
          <w:rPr>
            <w:rFonts w:ascii="Calibri" w:eastAsia="Arial Unicode MS" w:hAnsi="Calibri" w:cs="Mangal"/>
            <w:color w:val="0000FF"/>
            <w:kern w:val="1"/>
            <w:lang w:eastAsia="hi-IN" w:bidi="hi-IN"/>
          </w:rPr>
          <w:t>http://content.healthaffairs.org/content/32/8/1407.abstract</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3 </w:t>
      </w:r>
      <w:proofErr w:type="gramStart"/>
      <w:r w:rsidRPr="004E1028">
        <w:rPr>
          <w:rFonts w:ascii="Calibri" w:eastAsia="Arial Unicode MS" w:hAnsi="Calibri" w:cs="Mangal"/>
          <w:color w:val="0000FF"/>
          <w:kern w:val="1"/>
          <w:sz w:val="22"/>
          <w:szCs w:val="22"/>
          <w:lang w:eastAsia="hi-IN" w:bidi="hi-IN"/>
        </w:rPr>
        <w:t xml:space="preserve">Von </w:t>
      </w:r>
      <w:proofErr w:type="spellStart"/>
      <w:r w:rsidRPr="004E1028">
        <w:rPr>
          <w:rFonts w:ascii="Calibri" w:eastAsia="Arial Unicode MS" w:hAnsi="Calibri" w:cs="Mangal"/>
          <w:color w:val="0000FF"/>
          <w:kern w:val="1"/>
          <w:sz w:val="22"/>
          <w:szCs w:val="22"/>
          <w:lang w:eastAsia="hi-IN" w:bidi="hi-IN"/>
        </w:rPr>
        <w:t>Korff</w:t>
      </w:r>
      <w:proofErr w:type="spellEnd"/>
      <w:r w:rsidRPr="004E1028">
        <w:rPr>
          <w:rFonts w:ascii="Calibri" w:eastAsia="Arial Unicode MS" w:hAnsi="Calibri" w:cs="Mangal"/>
          <w:color w:val="0000FF"/>
          <w:kern w:val="1"/>
          <w:sz w:val="22"/>
          <w:szCs w:val="22"/>
          <w:lang w:eastAsia="hi-IN" w:bidi="hi-IN"/>
        </w:rPr>
        <w:t xml:space="preserve">, M, </w:t>
      </w:r>
      <w:proofErr w:type="spellStart"/>
      <w:r w:rsidRPr="004E1028">
        <w:rPr>
          <w:rFonts w:ascii="Calibri" w:eastAsia="Arial Unicode MS" w:hAnsi="Calibri" w:cs="Mangal"/>
          <w:color w:val="0000FF"/>
          <w:kern w:val="1"/>
          <w:sz w:val="22"/>
          <w:szCs w:val="22"/>
          <w:lang w:eastAsia="hi-IN" w:bidi="hi-IN"/>
        </w:rPr>
        <w:t>Gruman</w:t>
      </w:r>
      <w:proofErr w:type="spellEnd"/>
      <w:r w:rsidRPr="004E1028">
        <w:rPr>
          <w:rFonts w:ascii="Calibri" w:eastAsia="Arial Unicode MS" w:hAnsi="Calibri" w:cs="Mangal"/>
          <w:color w:val="0000FF"/>
          <w:kern w:val="1"/>
          <w:sz w:val="22"/>
          <w:szCs w:val="22"/>
          <w:lang w:eastAsia="hi-IN" w:bidi="hi-IN"/>
        </w:rPr>
        <w:t>, J, Schaefer J, Curry, SJ, Wagner, EH.</w:t>
      </w:r>
      <w:proofErr w:type="gramEnd"/>
      <w:r w:rsidRPr="004E1028">
        <w:rPr>
          <w:rFonts w:ascii="Calibri" w:eastAsia="Arial Unicode MS" w:hAnsi="Calibri" w:cs="Mangal"/>
          <w:color w:val="0000FF"/>
          <w:kern w:val="1"/>
          <w:sz w:val="22"/>
          <w:szCs w:val="22"/>
          <w:lang w:eastAsia="hi-IN" w:bidi="hi-IN"/>
        </w:rPr>
        <w:t xml:space="preserve"> </w:t>
      </w:r>
      <w:proofErr w:type="gramStart"/>
      <w:r w:rsidRPr="004E1028">
        <w:rPr>
          <w:rFonts w:ascii="Calibri" w:eastAsia="Arial Unicode MS" w:hAnsi="Calibri" w:cs="Mangal"/>
          <w:color w:val="0000FF"/>
          <w:kern w:val="1"/>
          <w:sz w:val="22"/>
          <w:szCs w:val="22"/>
          <w:lang w:eastAsia="hi-IN" w:bidi="hi-IN"/>
        </w:rPr>
        <w:t>Collaborative management of chronic illness.</w:t>
      </w:r>
      <w:proofErr w:type="gramEnd"/>
      <w:r w:rsidRPr="004E1028">
        <w:rPr>
          <w:rFonts w:ascii="Calibri" w:eastAsia="Arial Unicode MS" w:hAnsi="Calibri" w:cs="Mangal"/>
          <w:color w:val="0000FF"/>
          <w:kern w:val="1"/>
          <w:sz w:val="22"/>
          <w:szCs w:val="22"/>
          <w:lang w:eastAsia="hi-IN" w:bidi="hi-IN"/>
        </w:rPr>
        <w:t xml:space="preserve"> Ann Intern Med. Dec 15</w:t>
      </w:r>
      <w:proofErr w:type="gramStart"/>
      <w:r w:rsidRPr="004E1028">
        <w:rPr>
          <w:rFonts w:ascii="Calibri" w:eastAsia="Arial Unicode MS" w:hAnsi="Calibri" w:cs="Mangal"/>
          <w:color w:val="0000FF"/>
          <w:kern w:val="1"/>
          <w:sz w:val="22"/>
          <w:szCs w:val="22"/>
          <w:lang w:eastAsia="hi-IN" w:bidi="hi-IN"/>
        </w:rPr>
        <w:t>;127</w:t>
      </w:r>
      <w:proofErr w:type="gramEnd"/>
      <w:r w:rsidRPr="004E1028">
        <w:rPr>
          <w:rFonts w:ascii="Calibri" w:eastAsia="Arial Unicode MS" w:hAnsi="Calibri" w:cs="Mangal"/>
          <w:color w:val="0000FF"/>
          <w:kern w:val="1"/>
          <w:sz w:val="22"/>
          <w:szCs w:val="22"/>
          <w:lang w:eastAsia="hi-IN" w:bidi="hi-IN"/>
        </w:rPr>
        <w:t xml:space="preserve">(12):1097-102. Available from: </w:t>
      </w:r>
      <w:hyperlink r:id="rId17" w:history="1">
        <w:r w:rsidRPr="004E1028">
          <w:rPr>
            <w:rFonts w:ascii="Calibri" w:eastAsia="Arial Unicode MS" w:hAnsi="Calibri" w:cs="Mangal"/>
            <w:color w:val="0000FF"/>
            <w:kern w:val="1"/>
            <w:sz w:val="22"/>
            <w:szCs w:val="22"/>
            <w:lang w:eastAsia="hi-IN" w:bidi="hi-IN"/>
          </w:rPr>
          <w:t>http://annals.org/article.aspx?articleid=711027</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4 </w:t>
      </w:r>
      <w:proofErr w:type="spellStart"/>
      <w:r w:rsidRPr="004E1028">
        <w:rPr>
          <w:rFonts w:ascii="Calibri" w:eastAsia="Arial Unicode MS" w:hAnsi="Calibri" w:cs="Mangal"/>
          <w:color w:val="0000FF"/>
          <w:kern w:val="1"/>
          <w:sz w:val="22"/>
          <w:szCs w:val="22"/>
          <w:lang w:eastAsia="hi-IN" w:bidi="hi-IN"/>
        </w:rPr>
        <w:t>Lunney</w:t>
      </w:r>
      <w:proofErr w:type="spellEnd"/>
      <w:r w:rsidRPr="004E1028">
        <w:rPr>
          <w:rFonts w:ascii="Calibri" w:eastAsia="Arial Unicode MS" w:hAnsi="Calibri" w:cs="Mangal"/>
          <w:color w:val="0000FF"/>
          <w:kern w:val="1"/>
          <w:sz w:val="22"/>
          <w:szCs w:val="22"/>
          <w:lang w:eastAsia="hi-IN" w:bidi="hi-IN"/>
        </w:rPr>
        <w:t xml:space="preserve">, JR, Lynn, J, Foley, DJ, Lipson, S, </w:t>
      </w:r>
      <w:proofErr w:type="spellStart"/>
      <w:r w:rsidRPr="004E1028">
        <w:rPr>
          <w:rFonts w:ascii="Calibri" w:eastAsia="Arial Unicode MS" w:hAnsi="Calibri" w:cs="Mangal"/>
          <w:color w:val="0000FF"/>
          <w:kern w:val="1"/>
          <w:sz w:val="22"/>
          <w:szCs w:val="22"/>
          <w:lang w:eastAsia="hi-IN" w:bidi="hi-IN"/>
        </w:rPr>
        <w:t>Guralnik</w:t>
      </w:r>
      <w:proofErr w:type="spellEnd"/>
      <w:r w:rsidRPr="004E1028">
        <w:rPr>
          <w:rFonts w:ascii="Calibri" w:eastAsia="Arial Unicode MS" w:hAnsi="Calibri" w:cs="Mangal"/>
          <w:color w:val="0000FF"/>
          <w:kern w:val="1"/>
          <w:sz w:val="22"/>
          <w:szCs w:val="22"/>
          <w:lang w:eastAsia="hi-IN" w:bidi="hi-IN"/>
        </w:rPr>
        <w:t xml:space="preserve">, JM. </w:t>
      </w:r>
      <w:proofErr w:type="gramStart"/>
      <w:r w:rsidRPr="004E1028">
        <w:rPr>
          <w:rFonts w:ascii="Calibri" w:eastAsia="Arial Unicode MS" w:hAnsi="Calibri" w:cs="Mangal"/>
          <w:color w:val="0000FF"/>
          <w:kern w:val="1"/>
          <w:sz w:val="22"/>
          <w:szCs w:val="22"/>
          <w:lang w:eastAsia="hi-IN" w:bidi="hi-IN"/>
        </w:rPr>
        <w:t>Patterns of functional decline at the end of life.</w:t>
      </w:r>
      <w:proofErr w:type="gramEnd"/>
      <w:r w:rsidRPr="004E1028">
        <w:rPr>
          <w:rFonts w:ascii="Calibri" w:eastAsia="Arial Unicode MS" w:hAnsi="Calibri" w:cs="Mangal"/>
          <w:color w:val="0000FF"/>
          <w:kern w:val="1"/>
          <w:sz w:val="22"/>
          <w:szCs w:val="22"/>
          <w:lang w:eastAsia="hi-IN" w:bidi="hi-IN"/>
        </w:rPr>
        <w:t xml:space="preserve"> JAMA, May 14</w:t>
      </w:r>
      <w:proofErr w:type="gramStart"/>
      <w:r w:rsidRPr="004E1028">
        <w:rPr>
          <w:rFonts w:ascii="Calibri" w:eastAsia="Arial Unicode MS" w:hAnsi="Calibri" w:cs="Mangal"/>
          <w:color w:val="0000FF"/>
          <w:kern w:val="1"/>
          <w:sz w:val="22"/>
          <w:szCs w:val="22"/>
          <w:lang w:eastAsia="hi-IN" w:bidi="hi-IN"/>
        </w:rPr>
        <w:t>;289</w:t>
      </w:r>
      <w:proofErr w:type="gramEnd"/>
      <w:r w:rsidRPr="004E1028">
        <w:rPr>
          <w:rFonts w:ascii="Calibri" w:eastAsia="Arial Unicode MS" w:hAnsi="Calibri" w:cs="Mangal"/>
          <w:color w:val="0000FF"/>
          <w:kern w:val="1"/>
          <w:sz w:val="22"/>
          <w:szCs w:val="22"/>
          <w:lang w:eastAsia="hi-IN" w:bidi="hi-IN"/>
        </w:rPr>
        <w:t xml:space="preserve">(18):2387-92. Available from: </w:t>
      </w:r>
      <w:hyperlink r:id="rId18" w:history="1">
        <w:r w:rsidRPr="004E1028">
          <w:rPr>
            <w:rFonts w:ascii="Calibri" w:eastAsia="Arial Unicode MS" w:hAnsi="Calibri" w:cs="Mangal"/>
            <w:color w:val="0000FF"/>
            <w:kern w:val="1"/>
            <w:sz w:val="22"/>
            <w:szCs w:val="22"/>
            <w:lang w:eastAsia="hi-IN" w:bidi="hi-IN"/>
          </w:rPr>
          <w:t>http://jama.jamanetwork.com/article.aspx?articleid=196538</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5 The Remington Report (September/October 2013). A Community-Based Approach to Improving Care Transitions and Reducing Hospital Readmissions: Updating the Evidence. </w:t>
      </w:r>
      <w:proofErr w:type="gramStart"/>
      <w:r w:rsidRPr="004E1028">
        <w:rPr>
          <w:rFonts w:ascii="Calibri" w:eastAsia="Arial Unicode MS" w:hAnsi="Calibri" w:cs="Mangal"/>
          <w:color w:val="0000FF"/>
          <w:kern w:val="1"/>
          <w:sz w:val="22"/>
          <w:szCs w:val="22"/>
          <w:lang w:eastAsia="hi-IN" w:bidi="hi-IN"/>
        </w:rPr>
        <w:t>The Remington Report.</w:t>
      </w:r>
      <w:proofErr w:type="gramEnd"/>
      <w:r w:rsidRPr="004E1028">
        <w:rPr>
          <w:rFonts w:ascii="Calibri" w:eastAsia="Arial Unicode MS" w:hAnsi="Calibri" w:cs="Mangal"/>
          <w:color w:val="0000FF"/>
          <w:kern w:val="1"/>
          <w:sz w:val="22"/>
          <w:szCs w:val="22"/>
          <w:lang w:eastAsia="hi-IN" w:bidi="hi-IN"/>
        </w:rPr>
        <w:t xml:space="preserve"> Available from: </w:t>
      </w:r>
      <w:hyperlink r:id="rId19" w:history="1">
        <w:r w:rsidRPr="004E1028">
          <w:rPr>
            <w:rFonts w:ascii="Calibri" w:eastAsia="Arial Unicode MS" w:hAnsi="Calibri" w:cs="Mangal"/>
            <w:color w:val="0000FF"/>
            <w:kern w:val="1"/>
            <w:sz w:val="22"/>
            <w:szCs w:val="22"/>
            <w:lang w:eastAsia="hi-IN" w:bidi="hi-IN"/>
          </w:rPr>
          <w:t>http://www.cfmc.org/integratingcare/files/Remington%20Report%20Sept%202013%20QIO%20Care%20Transitions.pdf</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roofErr w:type="gramStart"/>
      <w:r w:rsidRPr="004E1028">
        <w:rPr>
          <w:rFonts w:ascii="Calibri" w:eastAsia="Arial Unicode MS" w:hAnsi="Calibri" w:cs="Mangal"/>
          <w:color w:val="0000FF"/>
          <w:kern w:val="1"/>
          <w:sz w:val="22"/>
          <w:szCs w:val="22"/>
          <w:lang w:eastAsia="hi-IN" w:bidi="hi-IN"/>
        </w:rPr>
        <w:t xml:space="preserve">6 Mitchell, SE, Gardiner, PM, </w:t>
      </w:r>
      <w:proofErr w:type="spellStart"/>
      <w:r w:rsidRPr="004E1028">
        <w:rPr>
          <w:rFonts w:ascii="Calibri" w:eastAsia="Arial Unicode MS" w:hAnsi="Calibri" w:cs="Mangal"/>
          <w:color w:val="0000FF"/>
          <w:kern w:val="1"/>
          <w:sz w:val="22"/>
          <w:szCs w:val="22"/>
          <w:lang w:eastAsia="hi-IN" w:bidi="hi-IN"/>
        </w:rPr>
        <w:t>Sadikova</w:t>
      </w:r>
      <w:proofErr w:type="spellEnd"/>
      <w:r w:rsidRPr="004E1028">
        <w:rPr>
          <w:rFonts w:ascii="Calibri" w:eastAsia="Arial Unicode MS" w:hAnsi="Calibri" w:cs="Mangal"/>
          <w:color w:val="0000FF"/>
          <w:kern w:val="1"/>
          <w:sz w:val="22"/>
          <w:szCs w:val="22"/>
          <w:lang w:eastAsia="hi-IN" w:bidi="hi-IN"/>
        </w:rPr>
        <w:t xml:space="preserve">, E, Martin JM, Jack, BW, Hibbard, JH, </w:t>
      </w:r>
      <w:proofErr w:type="spellStart"/>
      <w:r w:rsidRPr="004E1028">
        <w:rPr>
          <w:rFonts w:ascii="Calibri" w:eastAsia="Arial Unicode MS" w:hAnsi="Calibri" w:cs="Mangal"/>
          <w:color w:val="0000FF"/>
          <w:kern w:val="1"/>
          <w:sz w:val="22"/>
          <w:szCs w:val="22"/>
          <w:lang w:eastAsia="hi-IN" w:bidi="hi-IN"/>
        </w:rPr>
        <w:t>Paasche-Orlow</w:t>
      </w:r>
      <w:proofErr w:type="spellEnd"/>
      <w:r w:rsidRPr="004E1028">
        <w:rPr>
          <w:rFonts w:ascii="Calibri" w:eastAsia="Arial Unicode MS" w:hAnsi="Calibri" w:cs="Mangal"/>
          <w:color w:val="0000FF"/>
          <w:kern w:val="1"/>
          <w:sz w:val="22"/>
          <w:szCs w:val="22"/>
          <w:lang w:eastAsia="hi-IN" w:bidi="hi-IN"/>
        </w:rPr>
        <w:t>, MK.</w:t>
      </w:r>
      <w:proofErr w:type="gramEnd"/>
      <w:r w:rsidRPr="004E1028">
        <w:rPr>
          <w:rFonts w:ascii="Calibri" w:eastAsia="Arial Unicode MS" w:hAnsi="Calibri" w:cs="Mangal"/>
          <w:color w:val="0000FF"/>
          <w:kern w:val="1"/>
          <w:sz w:val="22"/>
          <w:szCs w:val="22"/>
          <w:lang w:eastAsia="hi-IN" w:bidi="hi-IN"/>
        </w:rPr>
        <w:t xml:space="preserve">   Patient education/activation can prevent readmissions. J Gen Intern Med October 2013, DOI: 1525-1497</w:t>
      </w:r>
      <w:proofErr w:type="gramStart"/>
      <w:r w:rsidRPr="004E1028">
        <w:rPr>
          <w:rFonts w:ascii="Calibri" w:eastAsia="Arial Unicode MS" w:hAnsi="Calibri" w:cs="Mangal"/>
          <w:color w:val="0000FF"/>
          <w:kern w:val="1"/>
          <w:sz w:val="22"/>
          <w:szCs w:val="22"/>
          <w:lang w:eastAsia="hi-IN" w:bidi="hi-IN"/>
        </w:rPr>
        <w:t>,10.1007</w:t>
      </w:r>
      <w:proofErr w:type="gramEnd"/>
      <w:r w:rsidRPr="004E1028">
        <w:rPr>
          <w:rFonts w:ascii="Calibri" w:eastAsia="Arial Unicode MS" w:hAnsi="Calibri" w:cs="Mangal"/>
          <w:color w:val="0000FF"/>
          <w:kern w:val="1"/>
          <w:sz w:val="22"/>
          <w:szCs w:val="22"/>
          <w:lang w:eastAsia="hi-IN" w:bidi="hi-IN"/>
        </w:rPr>
        <w:t xml:space="preserve">/s11606-013-2647-2. Available from: </w:t>
      </w:r>
      <w:hyperlink r:id="rId20" w:history="1">
        <w:r w:rsidRPr="004E1028">
          <w:rPr>
            <w:rFonts w:ascii="Calibri" w:eastAsia="Arial Unicode MS" w:hAnsi="Calibri" w:cs="Mangal"/>
            <w:color w:val="0000FF"/>
            <w:kern w:val="1"/>
            <w:sz w:val="22"/>
            <w:szCs w:val="22"/>
            <w:lang w:eastAsia="hi-IN" w:bidi="hi-IN"/>
          </w:rPr>
          <w:t>http://link.springer.com/article/10.1007%2Fs11606-013-2647-2</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7 </w:t>
      </w:r>
      <w:proofErr w:type="gramStart"/>
      <w:r w:rsidRPr="004E1028">
        <w:rPr>
          <w:rFonts w:ascii="Calibri" w:eastAsia="Arial Unicode MS" w:hAnsi="Calibri" w:cs="Mangal"/>
          <w:color w:val="0000FF"/>
          <w:kern w:val="1"/>
          <w:sz w:val="22"/>
          <w:szCs w:val="22"/>
          <w:lang w:eastAsia="hi-IN" w:bidi="hi-IN"/>
        </w:rPr>
        <w:t>Integrating Care for Populations &amp; Communities National Coordinating Center, CFMC.</w:t>
      </w:r>
      <w:proofErr w:type="gramEnd"/>
      <w:r w:rsidRPr="004E1028">
        <w:rPr>
          <w:rFonts w:ascii="Calibri" w:eastAsia="Arial Unicode MS" w:hAnsi="Calibri" w:cs="Mangal"/>
          <w:color w:val="0000FF"/>
          <w:kern w:val="1"/>
          <w:sz w:val="22"/>
          <w:szCs w:val="22"/>
          <w:lang w:eastAsia="hi-IN" w:bidi="hi-IN"/>
        </w:rPr>
        <w:t xml:space="preserve"> </w:t>
      </w:r>
      <w:hyperlink r:id="rId21" w:history="1">
        <w:r w:rsidRPr="004E1028">
          <w:rPr>
            <w:rFonts w:ascii="Calibri" w:eastAsia="Arial Unicode MS" w:hAnsi="Calibri" w:cs="Mangal"/>
            <w:color w:val="0000FF"/>
            <w:kern w:val="1"/>
            <w:sz w:val="22"/>
            <w:szCs w:val="22"/>
            <w:lang w:eastAsia="hi-IN" w:bidi="hi-IN"/>
          </w:rPr>
          <w:t>http://www.cfmc.org/integratingcare/toolkit_rca.htm</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8 The Remington Report (September/October 2013). A Community-Based Approach to Improving Care Transitions and Reducing Hospital Readmissions: Updating the Evidence. </w:t>
      </w:r>
      <w:proofErr w:type="gramStart"/>
      <w:r w:rsidRPr="004E1028">
        <w:rPr>
          <w:rFonts w:ascii="Calibri" w:eastAsia="Arial Unicode MS" w:hAnsi="Calibri" w:cs="Mangal"/>
          <w:color w:val="0000FF"/>
          <w:kern w:val="1"/>
          <w:sz w:val="22"/>
          <w:szCs w:val="22"/>
          <w:lang w:eastAsia="hi-IN" w:bidi="hi-IN"/>
        </w:rPr>
        <w:t>The Remington Report.</w:t>
      </w:r>
      <w:proofErr w:type="gramEnd"/>
      <w:r w:rsidRPr="004E1028">
        <w:rPr>
          <w:rFonts w:ascii="Calibri" w:eastAsia="Arial Unicode MS" w:hAnsi="Calibri" w:cs="Mangal"/>
          <w:color w:val="0000FF"/>
          <w:kern w:val="1"/>
          <w:sz w:val="22"/>
          <w:szCs w:val="22"/>
          <w:lang w:eastAsia="hi-IN" w:bidi="hi-IN"/>
        </w:rPr>
        <w:t xml:space="preserve"> Available from: </w:t>
      </w:r>
      <w:hyperlink r:id="rId22" w:history="1">
        <w:r w:rsidRPr="004E1028">
          <w:rPr>
            <w:rFonts w:ascii="Calibri" w:eastAsia="Arial Unicode MS" w:hAnsi="Calibri" w:cs="Mangal"/>
            <w:color w:val="0000FF"/>
            <w:kern w:val="1"/>
            <w:sz w:val="22"/>
            <w:szCs w:val="22"/>
            <w:lang w:eastAsia="hi-IN" w:bidi="hi-IN"/>
          </w:rPr>
          <w:t>http://www.cfmc.org/integratingcare/files/Remington%20Report%20Sept%202013%20QIO%20Care%20Transitions.pdf</w:t>
        </w:r>
      </w:hyperlink>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p>
    <w:p w:rsidR="00960AC5" w:rsidRPr="004E1028" w:rsidRDefault="00960AC5" w:rsidP="00960AC5">
      <w:pPr>
        <w:pStyle w:val="EndnoteText"/>
        <w:contextualSpacing/>
        <w:rPr>
          <w:rFonts w:ascii="Calibri" w:eastAsia="Arial Unicode MS" w:hAnsi="Calibri" w:cs="Mangal"/>
          <w:color w:val="0000FF"/>
          <w:kern w:val="1"/>
          <w:sz w:val="22"/>
          <w:szCs w:val="22"/>
          <w:lang w:eastAsia="hi-IN" w:bidi="hi-IN"/>
        </w:rPr>
      </w:pPr>
      <w:r w:rsidRPr="004E1028">
        <w:rPr>
          <w:rFonts w:ascii="Calibri" w:eastAsia="Arial Unicode MS" w:hAnsi="Calibri" w:cs="Mangal"/>
          <w:color w:val="0000FF"/>
          <w:kern w:val="1"/>
          <w:sz w:val="22"/>
          <w:szCs w:val="22"/>
          <w:lang w:eastAsia="hi-IN" w:bidi="hi-IN"/>
        </w:rPr>
        <w:t xml:space="preserve">9 The Remington Report (September/October 2013). A Community-Based Approach to Improving Care Transitions and Reducing Hospital Readmissions: Updating the Evidence. </w:t>
      </w:r>
      <w:proofErr w:type="gramStart"/>
      <w:r w:rsidRPr="004E1028">
        <w:rPr>
          <w:rFonts w:ascii="Calibri" w:eastAsia="Arial Unicode MS" w:hAnsi="Calibri" w:cs="Mangal"/>
          <w:color w:val="0000FF"/>
          <w:kern w:val="1"/>
          <w:sz w:val="22"/>
          <w:szCs w:val="22"/>
          <w:lang w:eastAsia="hi-IN" w:bidi="hi-IN"/>
        </w:rPr>
        <w:t>The Remington Report.</w:t>
      </w:r>
      <w:proofErr w:type="gramEnd"/>
      <w:r w:rsidRPr="004E1028">
        <w:rPr>
          <w:rFonts w:ascii="Calibri" w:eastAsia="Arial Unicode MS" w:hAnsi="Calibri" w:cs="Mangal"/>
          <w:color w:val="0000FF"/>
          <w:kern w:val="1"/>
          <w:sz w:val="22"/>
          <w:szCs w:val="22"/>
          <w:lang w:eastAsia="hi-IN" w:bidi="hi-IN"/>
        </w:rPr>
        <w:t xml:space="preserve"> Available from: </w:t>
      </w:r>
      <w:hyperlink r:id="rId23" w:history="1">
        <w:r w:rsidRPr="004E1028">
          <w:rPr>
            <w:rFonts w:ascii="Calibri" w:eastAsia="Arial Unicode MS" w:hAnsi="Calibri" w:cs="Mangal"/>
            <w:color w:val="0000FF"/>
            <w:kern w:val="1"/>
            <w:sz w:val="22"/>
            <w:szCs w:val="22"/>
            <w:lang w:eastAsia="hi-IN" w:bidi="hi-IN"/>
          </w:rPr>
          <w:t>http://www.cfmc.org/integratingcare/files/Remington%20Report%20Sept%202013%20QIO%20Care%20Transitions.pdf</w:t>
        </w:r>
      </w:hyperlink>
    </w:p>
    <w:p w:rsidR="00960AC5" w:rsidRPr="004E1028" w:rsidRDefault="00960AC5" w:rsidP="00960AC5">
      <w:pPr>
        <w:ind w:left="0" w:firstLine="0"/>
        <w:contextualSpacing/>
        <w:rPr>
          <w:rFonts w:ascii="Calibri" w:eastAsia="Arial Unicode MS" w:hAnsi="Calibri" w:cs="Mangal"/>
          <w:color w:val="0000FF"/>
          <w:kern w:val="1"/>
          <w:lang w:eastAsia="hi-IN" w:bidi="hi-IN"/>
        </w:rPr>
      </w:pPr>
    </w:p>
    <w:p w:rsidR="00960AC5" w:rsidRPr="004E1028" w:rsidRDefault="00960AC5" w:rsidP="00960AC5">
      <w:pPr>
        <w:ind w:left="0" w:firstLine="0"/>
        <w:contextualSpacing/>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 xml:space="preserve">10 </w:t>
      </w:r>
      <w:proofErr w:type="gramStart"/>
      <w:r w:rsidRPr="004E1028">
        <w:rPr>
          <w:rFonts w:ascii="Calibri" w:eastAsia="Arial Unicode MS" w:hAnsi="Calibri" w:cs="Mangal"/>
          <w:color w:val="0000FF"/>
          <w:kern w:val="1"/>
          <w:lang w:eastAsia="hi-IN" w:bidi="hi-IN"/>
        </w:rPr>
        <w:t xml:space="preserve">Voss R, Gardner R, </w:t>
      </w:r>
      <w:proofErr w:type="spellStart"/>
      <w:r w:rsidRPr="004E1028">
        <w:rPr>
          <w:rFonts w:ascii="Calibri" w:eastAsia="Arial Unicode MS" w:hAnsi="Calibri" w:cs="Mangal"/>
          <w:color w:val="0000FF"/>
          <w:kern w:val="1"/>
          <w:lang w:eastAsia="hi-IN" w:bidi="hi-IN"/>
        </w:rPr>
        <w:t>Baier</w:t>
      </w:r>
      <w:proofErr w:type="spellEnd"/>
      <w:r w:rsidRPr="004E1028">
        <w:rPr>
          <w:rFonts w:ascii="Calibri" w:eastAsia="Arial Unicode MS" w:hAnsi="Calibri" w:cs="Mangal"/>
          <w:color w:val="0000FF"/>
          <w:kern w:val="1"/>
          <w:lang w:eastAsia="hi-IN" w:bidi="hi-IN"/>
        </w:rPr>
        <w:t xml:space="preserve"> R, Butterfield K, </w:t>
      </w:r>
      <w:proofErr w:type="spellStart"/>
      <w:r w:rsidRPr="004E1028">
        <w:rPr>
          <w:rFonts w:ascii="Calibri" w:eastAsia="Arial Unicode MS" w:hAnsi="Calibri" w:cs="Mangal"/>
          <w:color w:val="0000FF"/>
          <w:kern w:val="1"/>
          <w:lang w:eastAsia="hi-IN" w:bidi="hi-IN"/>
        </w:rPr>
        <w:t>Lehrman</w:t>
      </w:r>
      <w:proofErr w:type="spellEnd"/>
      <w:r w:rsidRPr="004E1028">
        <w:rPr>
          <w:rFonts w:ascii="Calibri" w:eastAsia="Arial Unicode MS" w:hAnsi="Calibri" w:cs="Mangal"/>
          <w:color w:val="0000FF"/>
          <w:kern w:val="1"/>
          <w:lang w:eastAsia="hi-IN" w:bidi="hi-IN"/>
        </w:rPr>
        <w:t xml:space="preserve"> S, </w:t>
      </w:r>
      <w:proofErr w:type="spellStart"/>
      <w:r w:rsidRPr="004E1028">
        <w:rPr>
          <w:rFonts w:ascii="Calibri" w:eastAsia="Arial Unicode MS" w:hAnsi="Calibri" w:cs="Mangal"/>
          <w:color w:val="0000FF"/>
          <w:kern w:val="1"/>
          <w:lang w:eastAsia="hi-IN" w:bidi="hi-IN"/>
        </w:rPr>
        <w:t>Gravenstein</w:t>
      </w:r>
      <w:proofErr w:type="spellEnd"/>
      <w:r w:rsidRPr="004E1028">
        <w:rPr>
          <w:rFonts w:ascii="Calibri" w:eastAsia="Arial Unicode MS" w:hAnsi="Calibri" w:cs="Mangal"/>
          <w:color w:val="0000FF"/>
          <w:kern w:val="1"/>
          <w:lang w:eastAsia="hi-IN" w:bidi="hi-IN"/>
        </w:rPr>
        <w:t xml:space="preserve"> S.</w:t>
      </w:r>
      <w:proofErr w:type="gramEnd"/>
      <w:r w:rsidRPr="004E1028">
        <w:rPr>
          <w:rFonts w:ascii="Calibri" w:eastAsia="Arial Unicode MS" w:hAnsi="Calibri" w:cs="Mangal"/>
          <w:color w:val="0000FF"/>
          <w:kern w:val="1"/>
          <w:lang w:eastAsia="hi-IN" w:bidi="hi-IN"/>
        </w:rPr>
        <w:t xml:space="preserve"> The care transitions intervention: translating from efficacy to effectiveness. </w:t>
      </w:r>
      <w:proofErr w:type="gramStart"/>
      <w:r w:rsidRPr="004E1028">
        <w:rPr>
          <w:rFonts w:ascii="Calibri" w:eastAsia="Arial Unicode MS" w:hAnsi="Calibri" w:cs="Mangal"/>
          <w:color w:val="0000FF"/>
          <w:kern w:val="1"/>
          <w:lang w:eastAsia="hi-IN" w:bidi="hi-IN"/>
        </w:rPr>
        <w:t>Archives of Internal Medicine [Internet].</w:t>
      </w:r>
      <w:proofErr w:type="gramEnd"/>
      <w:r w:rsidRPr="004E1028">
        <w:rPr>
          <w:rFonts w:ascii="Calibri" w:eastAsia="Arial Unicode MS" w:hAnsi="Calibri" w:cs="Mangal"/>
          <w:color w:val="0000FF"/>
          <w:kern w:val="1"/>
          <w:lang w:eastAsia="hi-IN" w:bidi="hi-IN"/>
        </w:rPr>
        <w:t xml:space="preserve"> 2011 Jul 25 [cited 2013 Dec 12]; 171(14):1232-1237. Available from: </w:t>
      </w:r>
      <w:hyperlink r:id="rId24" w:history="1">
        <w:r w:rsidRPr="004E1028">
          <w:rPr>
            <w:rFonts w:ascii="Calibri" w:eastAsia="Arial Unicode MS" w:hAnsi="Calibri" w:cs="Mangal"/>
            <w:color w:val="0000FF"/>
            <w:kern w:val="1"/>
            <w:lang w:eastAsia="hi-IN" w:bidi="hi-IN"/>
          </w:rPr>
          <w:t>http://archinte.jamanetwork.com/article.aspx?articleid=1105851</w:t>
        </w:r>
      </w:hyperlink>
    </w:p>
    <w:p w:rsidR="002B06BD" w:rsidRPr="004E1028" w:rsidRDefault="00925F11" w:rsidP="002E2177">
      <w:pPr>
        <w:ind w:left="0" w:firstLine="0"/>
        <w:rPr>
          <w:rFonts w:ascii="Calibri" w:eastAsia="Arial Unicode MS" w:hAnsi="Calibri" w:cs="Mangal"/>
          <w:color w:val="0000FF"/>
          <w:kern w:val="1"/>
          <w:lang w:eastAsia="hi-IN" w:bidi="hi-IN"/>
        </w:rPr>
      </w:pPr>
      <w:r w:rsidRPr="004E1028">
        <w:rPr>
          <w:rFonts w:ascii="Calibri" w:eastAsia="Arial Unicode MS" w:hAnsi="Calibri" w:cs="Mangal"/>
          <w:color w:val="0000FF"/>
          <w:kern w:val="1"/>
          <w:lang w:eastAsia="hi-IN" w:bidi="hi-IN"/>
        </w:rPr>
        <w:t>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lastRenderedPageBreak/>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CE6A0C" w:rsidP="002E2177">
      <w:pPr>
        <w:ind w:left="0" w:firstLine="0"/>
      </w:pPr>
      <w:sdt>
        <w:sdtPr>
          <w:rPr>
            <w:bCs/>
            <w:color w:val="0000FF"/>
          </w:rPr>
          <w:id w:val="-468508862"/>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CE6A0C" w:rsidP="002E2177">
      <w:pPr>
        <w:ind w:left="0" w:firstLine="0"/>
        <w:rPr>
          <w:b/>
          <w:i/>
        </w:rPr>
      </w:pPr>
      <w:sdt>
        <w:sdtPr>
          <w:rPr>
            <w:bCs/>
            <w:color w:val="0000FF"/>
          </w:rPr>
          <w:id w:val="-411317169"/>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CE6A0C" w:rsidP="002E2177">
      <w:pPr>
        <w:ind w:left="0" w:firstLine="0"/>
      </w:pPr>
      <w:sdt>
        <w:sdtPr>
          <w:rPr>
            <w:bCs/>
            <w:color w:val="0000FF"/>
            <w:u w:val="single"/>
          </w:rPr>
          <w:id w:val="1199589694"/>
        </w:sdtPr>
        <w:sdtEndPr/>
        <w:sdtContent>
          <w:r w:rsidR="007573F0" w:rsidRPr="003B1CC5">
            <w:rPr>
              <w:rFonts w:ascii="MS Gothic" w:eastAsia="MS Gothic" w:hAnsi="MS Gothic" w:cs="MS Gothic" w:hint="eastAsia"/>
              <w:bCs/>
              <w:color w:val="0000FF"/>
            </w:rPr>
            <w:t>☐</w:t>
          </w:r>
        </w:sdtContent>
      </w:sdt>
      <w:r w:rsidR="007573F0" w:rsidRPr="003B1CC5">
        <w:t xml:space="preserve"> </w:t>
      </w:r>
      <w:proofErr w:type="gramStart"/>
      <w:r w:rsidR="007573F0" w:rsidRPr="003B1CC5">
        <w:t>Other</w:t>
      </w:r>
      <w:proofErr w:type="gramEnd"/>
      <w:r w:rsidR="007573F0" w:rsidRPr="003B1CC5">
        <w:t xml:space="preserve">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CE6A0C" w:rsidP="002E2177">
      <w:pPr>
        <w:ind w:left="0" w:firstLine="0"/>
      </w:pPr>
      <w:sdt>
        <w:sdtPr>
          <w:rPr>
            <w:bCs/>
            <w:color w:val="0000FF"/>
            <w:u w:val="single"/>
          </w:rPr>
          <w:id w:val="302275832"/>
        </w:sdtPr>
        <w:sdtEndPr/>
        <w:sdtContent>
          <w:r w:rsidR="0015535B" w:rsidRPr="003B1CC5">
            <w:rPr>
              <w:rFonts w:ascii="MS Gothic" w:eastAsia="MS Gothic" w:hAnsi="MS Gothic" w:cs="MS Gothic" w:hint="eastAsia"/>
              <w:bCs/>
              <w:color w:val="0000FF"/>
            </w:rPr>
            <w:t>☐</w:t>
          </w:r>
        </w:sdtContent>
      </w:sdt>
      <w:r w:rsidR="00FD4D82" w:rsidRPr="003B1CC5">
        <w:t xml:space="preserve"> </w:t>
      </w:r>
      <w:proofErr w:type="gramStart"/>
      <w:r w:rsidR="00FD4D82" w:rsidRPr="003B1CC5">
        <w:t>Other</w:t>
      </w:r>
      <w:proofErr w:type="gramEnd"/>
      <w:r w:rsidR="00FD4D82" w:rsidRPr="003B1CC5">
        <w:t xml:space="preserve">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CE6A0C" w:rsidP="00FC32D3">
      <w:pPr>
        <w:ind w:left="720" w:hanging="432"/>
        <w:rPr>
          <w:b/>
        </w:rPr>
      </w:pPr>
      <w:sdt>
        <w:sdtPr>
          <w:rPr>
            <w:bCs/>
            <w:color w:val="0000FF"/>
          </w:rPr>
          <w:id w:val="-1346319738"/>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CE6A0C" w:rsidP="0098657F">
      <w:pPr>
        <w:ind w:left="1008" w:hanging="720"/>
      </w:pPr>
      <w:sdt>
        <w:sdtPr>
          <w:rPr>
            <w:bCs/>
            <w:color w:val="0000FF"/>
            <w:u w:val="single"/>
          </w:rPr>
          <w:id w:val="777454248"/>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lastRenderedPageBreak/>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rsidSect="000330EF">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EC1" w:rsidRDefault="004B7EC1" w:rsidP="007E37A5">
      <w:r>
        <w:separator/>
      </w:r>
    </w:p>
  </w:endnote>
  <w:endnote w:type="continuationSeparator" w:id="0">
    <w:p w:rsidR="004B7EC1" w:rsidRDefault="004B7EC1"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000330EF" w:rsidRPr="00395263">
      <w:fldChar w:fldCharType="begin"/>
    </w:r>
    <w:r w:rsidRPr="00395263">
      <w:instrText xml:space="preserve"> PAGE   \* MERGEFORMAT </w:instrText>
    </w:r>
    <w:r w:rsidR="000330EF" w:rsidRPr="00395263">
      <w:fldChar w:fldCharType="separate"/>
    </w:r>
    <w:r w:rsidR="00CE6A0C">
      <w:rPr>
        <w:noProof/>
      </w:rPr>
      <w:t>4</w:t>
    </w:r>
    <w:r w:rsidR="000330EF"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EC1" w:rsidRDefault="004B7EC1" w:rsidP="007E37A5">
      <w:r>
        <w:separator/>
      </w:r>
    </w:p>
  </w:footnote>
  <w:footnote w:type="continuationSeparator" w:id="0">
    <w:p w:rsidR="004B7EC1" w:rsidRDefault="004B7EC1"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496AF8"/>
    <w:rsid w:val="00015986"/>
    <w:rsid w:val="000160E6"/>
    <w:rsid w:val="00024526"/>
    <w:rsid w:val="00030F43"/>
    <w:rsid w:val="000330EF"/>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B7EC1"/>
    <w:rsid w:val="004D1DC7"/>
    <w:rsid w:val="004E1028"/>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0AC5"/>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C6C"/>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E6A0C"/>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unhideWhenUsed/>
    <w:rsid w:val="00960AC5"/>
    <w:pPr>
      <w:ind w:left="0" w:firstLine="0"/>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960AC5"/>
    <w:rPr>
      <w:rFonts w:ascii="Times New Roman" w:eastAsia="Times New Roman" w:hAnsi="Times New Roman" w:cs="Times New Roman"/>
      <w:sz w:val="20"/>
      <w:szCs w:val="20"/>
    </w:rPr>
  </w:style>
  <w:style w:type="character" w:styleId="EndnoteReference">
    <w:name w:val="endnote reference"/>
    <w:basedOn w:val="DefaultParagraphFont"/>
    <w:uiPriority w:val="99"/>
    <w:unhideWhenUsed/>
    <w:rsid w:val="00960AC5"/>
    <w:rPr>
      <w:vertAlign w:val="superscript"/>
    </w:rPr>
  </w:style>
  <w:style w:type="character" w:customStyle="1" w:styleId="cit-issue1">
    <w:name w:val="cit-issue1"/>
    <w:basedOn w:val="DefaultParagraphFont"/>
    <w:rsid w:val="00960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jama.jamanetwork.com/article.aspx?articleid=19653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fmc.org/integratingcare/toolkit_rca.htm"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annals.org/article.aspx?articleid=71102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ontent.healthaffairs.org/content/32/8/1407.abstract" TargetMode="External"/><Relationship Id="rId20" Type="http://schemas.openxmlformats.org/officeDocument/2006/relationships/hyperlink" Target="http://link.springer.com/article/10.1007%2Fs11606-013-2647-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yperlink" Target="http://archinte.jamanetwork.com/article.aspx?articleid=1105851" TargetMode="External"/><Relationship Id="rId5" Type="http://schemas.openxmlformats.org/officeDocument/2006/relationships/settings" Target="settings.xml"/><Relationship Id="rId15" Type="http://schemas.openxmlformats.org/officeDocument/2006/relationships/hyperlink" Target="http://jama.jamanetwork.com/article.aspx?articleid=1558278" TargetMode="External"/><Relationship Id="rId23" Type="http://schemas.openxmlformats.org/officeDocument/2006/relationships/hyperlink" Target="http://www.cfmc.org/integratingcare/files/Remington%20Report%20Sept%202013%20QIO%20Care%20Transitions.pdf" TargetMode="External"/><Relationship Id="rId28" Type="http://schemas.openxmlformats.org/officeDocument/2006/relationships/glossaryDocument" Target="glossary/document.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cfmc.org/integratingcare/files/Remington%20Report%20Sept%202013%20QIO%20Care%20Transitions.pdf"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www.cfmc.org/integratingcare/files/Remington%20Report%20Sept%202013%20QIO%20Care%20Transitions.pdf"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160241"/>
    <w:rsid w:val="002B5F47"/>
    <w:rsid w:val="003A1E4B"/>
    <w:rsid w:val="00455EB5"/>
    <w:rsid w:val="00461C1C"/>
    <w:rsid w:val="004E2027"/>
    <w:rsid w:val="005F21F3"/>
    <w:rsid w:val="008F6A9B"/>
    <w:rsid w:val="00963D51"/>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D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32475-DABC-42BA-8ACF-77AF293D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3075</Words>
  <Characters>17532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Freeman, Shenita</cp:lastModifiedBy>
  <cp:revision>7</cp:revision>
  <dcterms:created xsi:type="dcterms:W3CDTF">2013-08-20T21:03:00Z</dcterms:created>
  <dcterms:modified xsi:type="dcterms:W3CDTF">2014-02-05T17:54:00Z</dcterms:modified>
</cp:coreProperties>
</file>