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r w:rsidR="00830805" w:rsidRPr="004C22EC">
        <w:rPr>
          <w:iCs/>
        </w:rPr>
        <w:t>Hospital 30-Day All-Cause Risk-Standardized Readmission Rate (RSRR) following Vascular Procedures</w:t>
      </w:r>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p>
    <w:p w:rsidR="00496AF8" w:rsidRPr="00506B1C" w:rsidRDefault="00496AF8" w:rsidP="002E2177">
      <w:pPr>
        <w:ind w:left="0" w:firstLine="0"/>
        <w:rPr>
          <w:rStyle w:val="Style2"/>
          <w:color w:val="auto"/>
          <w:u w:val="none"/>
        </w:rPr>
      </w:pPr>
      <w:r w:rsidRPr="00B91F58">
        <w:rPr>
          <w:b/>
          <w:noProof/>
        </w:rPr>
        <w:t>Date of Submission</w:t>
      </w:r>
      <w:r w:rsidRPr="00DA7FA2">
        <w:rPr>
          <w:noProof/>
        </w:rPr>
        <w:t>:</w:t>
      </w:r>
      <w:r w:rsidRPr="00E51798">
        <w:rPr>
          <w:noProof/>
        </w:rPr>
        <w:t xml:space="preserve"> </w:t>
      </w:r>
      <w:r w:rsidRPr="00506B1C">
        <w:rPr>
          <w:noProof/>
        </w:rPr>
        <w:t xml:space="preserve"> </w:t>
      </w:r>
      <w:r w:rsidR="00506B1C" w:rsidRPr="00506B1C">
        <w:rPr>
          <w:rStyle w:val="Style2"/>
          <w:color w:val="auto"/>
          <w:u w:val="none"/>
        </w:rPr>
        <w:t>2/5/2014</w:t>
      </w:r>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792000" w:rsidRDefault="00496AF8" w:rsidP="002E2177">
      <w:pPr>
        <w:ind w:left="0" w:firstLine="0"/>
        <w:rPr>
          <w:bCs/>
          <w:i/>
        </w:rPr>
      </w:pPr>
      <w:r w:rsidRPr="00792000">
        <w:rPr>
          <w:b/>
          <w:bCs/>
          <w:color w:val="0000FF"/>
        </w:rPr>
        <w:lastRenderedPageBreak/>
        <w:t>1</w:t>
      </w:r>
      <w:r w:rsidR="00773485" w:rsidRPr="00792000">
        <w:rPr>
          <w:b/>
          <w:bCs/>
          <w:color w:val="0000FF"/>
        </w:rPr>
        <w:t>a</w:t>
      </w:r>
      <w:r w:rsidRPr="00792000">
        <w:rPr>
          <w:b/>
          <w:bCs/>
          <w:color w:val="0000FF"/>
        </w:rPr>
        <w:t>.1.</w:t>
      </w:r>
      <w:r w:rsidRPr="00792000">
        <w:rPr>
          <w:b/>
          <w:bCs/>
        </w:rPr>
        <w:t>This is a measure of</w:t>
      </w:r>
      <w:r w:rsidRPr="00792000">
        <w:rPr>
          <w:bCs/>
        </w:rPr>
        <w:t>:</w:t>
      </w:r>
      <w:r w:rsidR="00C26F1E">
        <w:rPr>
          <w:bCs/>
        </w:rPr>
        <w:t xml:space="preserve"> </w:t>
      </w:r>
    </w:p>
    <w:p w:rsidR="00496AF8" w:rsidRPr="00792000" w:rsidRDefault="00E41417" w:rsidP="00015986">
      <w:pPr>
        <w:ind w:left="432" w:hanging="432"/>
        <w:rPr>
          <w:rFonts w:ascii="Calibri" w:hAnsi="Calibri" w:cs="Calibri"/>
          <w:bCs/>
        </w:rPr>
      </w:pPr>
      <w:r w:rsidRPr="00792000">
        <w:rPr>
          <w:rFonts w:ascii="Calibri" w:hAnsi="Calibri" w:cs="Calibri"/>
          <w:bCs/>
        </w:rPr>
        <w:t>O</w:t>
      </w:r>
      <w:r w:rsidR="00496AF8" w:rsidRPr="00792000">
        <w:rPr>
          <w:rFonts w:ascii="Calibri" w:hAnsi="Calibri" w:cs="Calibri"/>
          <w:bCs/>
        </w:rPr>
        <w:t>utcome</w:t>
      </w:r>
    </w:p>
    <w:p w:rsidR="00496AF8" w:rsidRPr="00792000" w:rsidRDefault="006C5792" w:rsidP="005857F8">
      <w:pPr>
        <w:ind w:left="720" w:hanging="432"/>
        <w:rPr>
          <w:bCs/>
        </w:rPr>
      </w:pPr>
      <w:sdt>
        <w:sdtPr>
          <w:rPr>
            <w:bCs/>
            <w:color w:val="0000FF"/>
          </w:rPr>
          <w:id w:val="1077707841"/>
          <w14:checkbox>
            <w14:checked w14:val="1"/>
            <w14:checkedState w14:val="2612" w14:font="MS Gothic"/>
            <w14:uncheckedState w14:val="2610" w14:font="MS Gothic"/>
          </w14:checkbox>
        </w:sdtPr>
        <w:sdtEndPr/>
        <w:sdtContent>
          <w:r w:rsidR="001A3C65" w:rsidRPr="00792000">
            <w:rPr>
              <w:rFonts w:ascii="MS Gothic" w:eastAsia="MS Gothic" w:hAnsi="MS Gothic" w:hint="eastAsia"/>
              <w:bCs/>
              <w:color w:val="0000FF"/>
            </w:rPr>
            <w:t>☒</w:t>
          </w:r>
        </w:sdtContent>
      </w:sdt>
      <w:r w:rsidR="0015535B" w:rsidRPr="00792000">
        <w:rPr>
          <w:bCs/>
          <w:color w:val="0000FF"/>
        </w:rPr>
        <w:t xml:space="preserve"> </w:t>
      </w:r>
      <w:r w:rsidR="00E41417" w:rsidRPr="00792000">
        <w:rPr>
          <w:bCs/>
        </w:rPr>
        <w:t>H</w:t>
      </w:r>
      <w:r w:rsidR="00BE6373" w:rsidRPr="00792000">
        <w:rPr>
          <w:bCs/>
        </w:rPr>
        <w:t>ealth outc</w:t>
      </w:r>
      <w:r w:rsidR="00496AF8" w:rsidRPr="00792000">
        <w:rPr>
          <w:bCs/>
        </w:rPr>
        <w:t>ome</w:t>
      </w:r>
      <w:r w:rsidR="00B117D0" w:rsidRPr="00792000">
        <w:rPr>
          <w:bCs/>
        </w:rPr>
        <w:t xml:space="preserve">: </w:t>
      </w:r>
      <w:sdt>
        <w:sdtPr>
          <w:rPr>
            <w:rStyle w:val="Style2"/>
            <w:rFonts w:cstheme="minorHAnsi"/>
          </w:rPr>
          <w:id w:val="-768232283"/>
        </w:sdtPr>
        <w:sdtEndPr>
          <w:rPr>
            <w:rStyle w:val="DefaultParagraphFont"/>
            <w:rFonts w:cstheme="minorBidi"/>
            <w:color w:val="auto"/>
            <w:u w:val="none"/>
          </w:rPr>
        </w:sdtEndPr>
        <w:sdtContent>
          <w:r w:rsidR="00C26F1E">
            <w:rPr>
              <w:rStyle w:val="Style2"/>
              <w:rFonts w:cstheme="minorHAnsi"/>
            </w:rPr>
            <w:t>30-day readmission following vascular procedures</w:t>
          </w:r>
        </w:sdtContent>
      </w:sdt>
    </w:p>
    <w:p w:rsidR="00B117D0" w:rsidRPr="00792000" w:rsidRDefault="005857F8" w:rsidP="005857F8">
      <w:pPr>
        <w:ind w:left="720" w:firstLine="0"/>
        <w:rPr>
          <w:rFonts w:ascii="MS Gothic" w:eastAsia="MS Gothic" w:hAnsi="MS Gothic" w:cs="MS Gothic"/>
          <w:bCs/>
          <w:i/>
          <w:color w:val="0000FF"/>
        </w:rPr>
      </w:pPr>
      <w:r w:rsidRPr="00792000">
        <w:rPr>
          <w:bCs/>
          <w:i/>
        </w:rPr>
        <w:t>Health outcome includes p</w:t>
      </w:r>
      <w:r w:rsidR="00B117D0" w:rsidRPr="00792000">
        <w:rPr>
          <w:bCs/>
          <w:i/>
        </w:rPr>
        <w:t>atient-reported outcome</w:t>
      </w:r>
      <w:r w:rsidRPr="00792000">
        <w:rPr>
          <w:bCs/>
          <w:i/>
        </w:rPr>
        <w:t>s</w:t>
      </w:r>
      <w:r w:rsidR="00B117D0" w:rsidRPr="00792000">
        <w:rPr>
          <w:bCs/>
          <w:i/>
        </w:rPr>
        <w:t xml:space="preserve"> (PRO</w:t>
      </w:r>
      <w:r w:rsidRPr="00792000">
        <w:rPr>
          <w:bCs/>
          <w:i/>
        </w:rPr>
        <w:t>, i.e., HRQoL/functional status, symptom/burden, experience with care, health-related behaviors)</w:t>
      </w:r>
    </w:p>
    <w:p w:rsidR="00496AF8" w:rsidRPr="00792000" w:rsidRDefault="006C5792"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792000">
            <w:rPr>
              <w:rFonts w:ascii="MS Gothic" w:eastAsia="MS Gothic" w:hAnsi="MS Gothic" w:hint="eastAsia"/>
              <w:bCs/>
              <w:color w:val="0000FF"/>
            </w:rPr>
            <w:t>☐</w:t>
          </w:r>
        </w:sdtContent>
      </w:sdt>
      <w:r w:rsidR="0015535B" w:rsidRPr="00792000">
        <w:rPr>
          <w:bCs/>
        </w:rPr>
        <w:t xml:space="preserve"> </w:t>
      </w:r>
      <w:r w:rsidR="00E41417" w:rsidRPr="00792000">
        <w:rPr>
          <w:bCs/>
        </w:rPr>
        <w:t>I</w:t>
      </w:r>
      <w:r w:rsidR="00496AF8" w:rsidRPr="00792000">
        <w:rPr>
          <w:bCs/>
        </w:rPr>
        <w:t xml:space="preserve">ntermediate clinical outcome:  </w:t>
      </w:r>
      <w:sdt>
        <w:sdtPr>
          <w:rPr>
            <w:rStyle w:val="Style2"/>
            <w:rFonts w:cstheme="minorHAnsi"/>
          </w:rPr>
          <w:id w:val="322628782"/>
          <w:showingPlcHdr/>
        </w:sdtPr>
        <w:sdtEndPr>
          <w:rPr>
            <w:rStyle w:val="DefaultParagraphFont"/>
            <w:rFonts w:cstheme="minorBidi"/>
            <w:bCs/>
            <w:color w:val="auto"/>
            <w:u w:val="none"/>
          </w:rPr>
        </w:sdtEndPr>
        <w:sdtContent>
          <w:r w:rsidR="00496AF8" w:rsidRPr="00792000">
            <w:rPr>
              <w:rStyle w:val="PlaceholderText"/>
              <w:rFonts w:cstheme="minorHAnsi"/>
              <w:color w:val="A6A6A6" w:themeColor="background1" w:themeShade="A6"/>
            </w:rPr>
            <w:t>Click here to name the intermediate outcome</w:t>
          </w:r>
        </w:sdtContent>
      </w:sdt>
    </w:p>
    <w:p w:rsidR="00496AF8" w:rsidRPr="00792000" w:rsidRDefault="006C5792"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792000">
            <w:rPr>
              <w:rFonts w:ascii="MS Gothic" w:eastAsia="MS Gothic" w:hAnsi="MS Gothic" w:hint="eastAsia"/>
              <w:bCs/>
              <w:color w:val="0000FF"/>
            </w:rPr>
            <w:t>☐</w:t>
          </w:r>
        </w:sdtContent>
      </w:sdt>
      <w:r w:rsidR="0015535B" w:rsidRPr="00792000">
        <w:rPr>
          <w:bCs/>
        </w:rPr>
        <w:t xml:space="preserve"> </w:t>
      </w:r>
      <w:r w:rsidR="00E41417" w:rsidRPr="00792000">
        <w:rPr>
          <w:bCs/>
        </w:rPr>
        <w:t>P</w:t>
      </w:r>
      <w:r w:rsidR="00496AF8" w:rsidRPr="00792000">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792000">
            <w:rPr>
              <w:rStyle w:val="PlaceholderText"/>
              <w:rFonts w:cstheme="minorHAnsi"/>
              <w:color w:val="A6A6A6" w:themeColor="background1" w:themeShade="A6"/>
            </w:rPr>
            <w:t>Click here to name the process</w:t>
          </w:r>
        </w:sdtContent>
      </w:sdt>
    </w:p>
    <w:p w:rsidR="00496AF8" w:rsidRPr="00792000" w:rsidRDefault="006C579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792000">
            <w:rPr>
              <w:rFonts w:ascii="MS Gothic" w:eastAsia="MS Gothic" w:hAnsi="MS Gothic" w:hint="eastAsia"/>
              <w:bCs/>
              <w:color w:val="0000FF"/>
            </w:rPr>
            <w:t>☐</w:t>
          </w:r>
        </w:sdtContent>
      </w:sdt>
      <w:r w:rsidR="0015535B" w:rsidRPr="00792000">
        <w:rPr>
          <w:bCs/>
        </w:rPr>
        <w:t xml:space="preserve"> </w:t>
      </w:r>
      <w:r w:rsidR="00E41417" w:rsidRPr="00792000">
        <w:rPr>
          <w:bCs/>
        </w:rPr>
        <w:t>S</w:t>
      </w:r>
      <w:r w:rsidR="00496AF8" w:rsidRPr="00792000">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792000">
            <w:rPr>
              <w:rStyle w:val="PlaceholderText"/>
              <w:rFonts w:cstheme="minorHAnsi"/>
              <w:color w:val="A6A6A6" w:themeColor="background1" w:themeShade="A6"/>
            </w:rPr>
            <w:t>Click here to name the structure</w:t>
          </w:r>
        </w:sdtContent>
      </w:sdt>
    </w:p>
    <w:p w:rsidR="00496AF8" w:rsidRPr="00792000" w:rsidRDefault="006C579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792000">
            <w:rPr>
              <w:rFonts w:ascii="MS Gothic" w:eastAsia="MS Gothic" w:hAnsi="MS Gothic" w:hint="eastAsia"/>
              <w:bCs/>
              <w:color w:val="0000FF"/>
            </w:rPr>
            <w:t>☐</w:t>
          </w:r>
        </w:sdtContent>
      </w:sdt>
      <w:r w:rsidR="0015535B" w:rsidRPr="00792000">
        <w:rPr>
          <w:bCs/>
        </w:rPr>
        <w:t xml:space="preserve"> </w:t>
      </w:r>
      <w:r w:rsidR="00E41417" w:rsidRPr="00792000">
        <w:rPr>
          <w:bCs/>
        </w:rPr>
        <w:t>O</w:t>
      </w:r>
      <w:r w:rsidR="00496AF8" w:rsidRPr="00792000">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792000">
            <w:rPr>
              <w:rStyle w:val="PlaceholderText"/>
              <w:rFonts w:cstheme="minorHAnsi"/>
              <w:color w:val="A6A6A6" w:themeColor="background1" w:themeShade="A6"/>
            </w:rPr>
            <w:t>Click here to name what is being measured</w:t>
          </w:r>
        </w:sdtContent>
      </w:sdt>
    </w:p>
    <w:p w:rsidR="00496AF8" w:rsidRPr="00792000" w:rsidRDefault="00496AF8" w:rsidP="002E2177">
      <w:pPr>
        <w:ind w:left="0" w:firstLine="0"/>
        <w:rPr>
          <w:bCs/>
        </w:rPr>
      </w:pPr>
    </w:p>
    <w:p w:rsidR="00850C35" w:rsidRPr="00792000" w:rsidRDefault="00850C35" w:rsidP="002E2177">
      <w:pPr>
        <w:ind w:left="0" w:firstLine="0"/>
        <w:rPr>
          <w:b/>
          <w:bCs/>
        </w:rPr>
      </w:pPr>
    </w:p>
    <w:p w:rsidR="00496AF8" w:rsidRPr="00792000" w:rsidRDefault="00496AF8" w:rsidP="002E2177">
      <w:pPr>
        <w:ind w:left="0" w:firstLine="0"/>
        <w:rPr>
          <w:bCs/>
          <w:i/>
        </w:rPr>
      </w:pPr>
      <w:r w:rsidRPr="00792000">
        <w:rPr>
          <w:b/>
          <w:bCs/>
        </w:rPr>
        <w:t xml:space="preserve">HEALTH OUTCOME </w:t>
      </w:r>
      <w:r w:rsidR="005857F8" w:rsidRPr="00792000">
        <w:rPr>
          <w:b/>
          <w:bCs/>
        </w:rPr>
        <w:t xml:space="preserve">PERFORMANCE </w:t>
      </w:r>
      <w:r w:rsidRPr="00792000">
        <w:rPr>
          <w:b/>
          <w:bCs/>
        </w:rPr>
        <w:t xml:space="preserve">MEASURE </w:t>
      </w:r>
      <w:r w:rsidRPr="00792000">
        <w:rPr>
          <w:bCs/>
          <w:i/>
        </w:rPr>
        <w:t xml:space="preserve">If not </w:t>
      </w:r>
      <w:r w:rsidR="00132070" w:rsidRPr="00792000">
        <w:rPr>
          <w:bCs/>
          <w:i/>
        </w:rPr>
        <w:t xml:space="preserve">a health outcome, skip to </w:t>
      </w:r>
      <w:hyperlink w:anchor="Section1a3" w:history="1">
        <w:r w:rsidR="00132070" w:rsidRPr="00792000">
          <w:rPr>
            <w:rStyle w:val="Hyperlink"/>
            <w:bCs/>
            <w:i/>
          </w:rPr>
          <w:t>1</w:t>
        </w:r>
        <w:r w:rsidR="00837121" w:rsidRPr="00792000">
          <w:rPr>
            <w:rStyle w:val="Hyperlink"/>
            <w:bCs/>
            <w:i/>
          </w:rPr>
          <w:t>a</w:t>
        </w:r>
        <w:r w:rsidR="00132070" w:rsidRPr="00792000">
          <w:rPr>
            <w:rStyle w:val="Hyperlink"/>
            <w:bCs/>
            <w:i/>
          </w:rPr>
          <w:t>.3</w:t>
        </w:r>
      </w:hyperlink>
    </w:p>
    <w:p w:rsidR="002B06BD" w:rsidRDefault="002B06BD" w:rsidP="002B06BD">
      <w:pPr>
        <w:ind w:left="432" w:hanging="432"/>
        <w:rPr>
          <w:iCs/>
        </w:rPr>
      </w:pPr>
      <w:r w:rsidRPr="00792000">
        <w:rPr>
          <w:b/>
          <w:bCs/>
          <w:color w:val="0000FF"/>
        </w:rPr>
        <w:t>1a.2.</w:t>
      </w:r>
      <w:r w:rsidRPr="00792000">
        <w:rPr>
          <w:bCs/>
        </w:rPr>
        <w:t xml:space="preserve"> </w:t>
      </w:r>
      <w:r w:rsidRPr="00792000">
        <w:rPr>
          <w:b/>
          <w:iCs/>
        </w:rPr>
        <w:t xml:space="preserve">Briefly state or diagram the linkage between the health outcome </w:t>
      </w:r>
      <w:r w:rsidR="00AA5587" w:rsidRPr="00792000">
        <w:rPr>
          <w:b/>
          <w:iCs/>
        </w:rPr>
        <w:t>(</w:t>
      </w:r>
      <w:r w:rsidRPr="00792000">
        <w:rPr>
          <w:b/>
          <w:iCs/>
        </w:rPr>
        <w:t>or PRO</w:t>
      </w:r>
      <w:r w:rsidR="00AA5587" w:rsidRPr="00792000">
        <w:rPr>
          <w:b/>
          <w:iCs/>
        </w:rPr>
        <w:t>)</w:t>
      </w:r>
      <w:r w:rsidRPr="00792000">
        <w:rPr>
          <w:b/>
          <w:iCs/>
        </w:rPr>
        <w:t xml:space="preserve"> and </w:t>
      </w:r>
      <w:r w:rsidR="00CB06C9" w:rsidRPr="00792000">
        <w:rPr>
          <w:b/>
          <w:iCs/>
        </w:rPr>
        <w:t>the</w:t>
      </w:r>
      <w:r w:rsidRPr="00792000">
        <w:rPr>
          <w:b/>
          <w:iCs/>
        </w:rPr>
        <w:t xml:space="preserve"> healthcare</w:t>
      </w:r>
      <w:r w:rsidRPr="00C5180E">
        <w:rPr>
          <w:b/>
          <w:iCs/>
        </w:rPr>
        <w:t xml:space="preserv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2B06BD" w:rsidRDefault="002B06BD" w:rsidP="002E2177">
      <w:pPr>
        <w:ind w:left="432" w:hanging="432"/>
        <w:rPr>
          <w:color w:val="0000FF"/>
        </w:rPr>
      </w:pPr>
    </w:p>
    <w:p w:rsidR="00792000" w:rsidRDefault="00C26F1E" w:rsidP="002E2177">
      <w:pPr>
        <w:ind w:left="432" w:hanging="432"/>
        <w:rPr>
          <w:color w:val="0000FF"/>
        </w:rPr>
      </w:pPr>
      <w:r w:rsidRPr="00C26F1E">
        <w:rPr>
          <w:noProof/>
        </w:rPr>
        <w:drawing>
          <wp:inline distT="0" distB="0" distL="0" distR="0" wp14:anchorId="00BD427C" wp14:editId="77AC33FC">
            <wp:extent cx="5908675" cy="2595563"/>
            <wp:effectExtent l="19050" t="19050" r="15875" b="1460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08675" cy="2595563"/>
                    </a:xfrm>
                    <a:prstGeom prst="rect">
                      <a:avLst/>
                    </a:prstGeom>
                    <a:noFill/>
                    <a:ln w="9525">
                      <a:solidFill>
                        <a:schemeClr val="tx1"/>
                      </a:solidFill>
                      <a:miter lim="800000"/>
                      <a:headEnd/>
                      <a:tailEnd/>
                    </a:ln>
                    <a:effectLst/>
                    <a:extLst/>
                  </pic:spPr>
                </pic:pic>
              </a:graphicData>
            </a:graphic>
          </wp:inline>
        </w:drawing>
      </w:r>
    </w:p>
    <w:p w:rsidR="009653D8" w:rsidRDefault="009653D8" w:rsidP="002E2177">
      <w:pPr>
        <w:ind w:left="432" w:hanging="432"/>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DD503C" w:rsidRPr="00C56FB9" w:rsidRDefault="00DD503C" w:rsidP="009D4C45">
      <w:pPr>
        <w:ind w:left="0" w:firstLine="0"/>
        <w:rPr>
          <w:rFonts w:ascii="Trebuchet MS" w:hAnsi="Trebuchet MS"/>
          <w:bCs/>
          <w:sz w:val="20"/>
          <w:szCs w:val="20"/>
        </w:rPr>
      </w:pPr>
    </w:p>
    <w:p w:rsidR="00DD503C" w:rsidRPr="009D4C45" w:rsidRDefault="00DD503C" w:rsidP="009D4C45">
      <w:pPr>
        <w:pBdr>
          <w:top w:val="single" w:sz="4" w:space="1" w:color="auto"/>
          <w:left w:val="single" w:sz="4" w:space="4" w:color="auto"/>
          <w:bottom w:val="single" w:sz="4" w:space="1" w:color="auto"/>
          <w:right w:val="single" w:sz="4" w:space="4" w:color="auto"/>
        </w:pBdr>
        <w:ind w:left="0" w:firstLine="0"/>
        <w:rPr>
          <w:vertAlign w:val="superscript"/>
        </w:rPr>
      </w:pPr>
      <w:r w:rsidRPr="009D4C45">
        <w:t>Research on a variety of conditions and procedures has shown that readmission rates are influenced by the quality of care provided within the health system and, specifically, that interventions such as improved discharge planning, reconciling patient medications, and improving communications with outpatient providers can reduce readmission rates. A number of recent studies have demonstrated that improvements in care at the time of patient discharge can reduce 30-day readmission rates</w:t>
      </w:r>
      <w:r w:rsidR="00BD62D4" w:rsidRPr="009D4C45">
        <w:t xml:space="preserve"> by as much as 40% [1-1</w:t>
      </w:r>
      <w:r w:rsidR="00D04845" w:rsidRPr="009D4C45">
        <w:t>9</w:t>
      </w:r>
      <w:r w:rsidR="00BD62D4" w:rsidRPr="009D4C45">
        <w:t>].</w:t>
      </w:r>
    </w:p>
    <w:p w:rsidR="00DD503C" w:rsidRPr="009D4C45" w:rsidRDefault="00DD503C" w:rsidP="009D4C45">
      <w:pPr>
        <w:pBdr>
          <w:top w:val="single" w:sz="4" w:space="1" w:color="auto"/>
          <w:left w:val="single" w:sz="4" w:space="4" w:color="auto"/>
          <w:bottom w:val="single" w:sz="4" w:space="1" w:color="auto"/>
          <w:right w:val="single" w:sz="4" w:space="4" w:color="auto"/>
        </w:pBdr>
        <w:rPr>
          <w:color w:val="0000FF"/>
          <w:vertAlign w:val="superscript"/>
        </w:rPr>
      </w:pPr>
    </w:p>
    <w:p w:rsidR="00AE120D" w:rsidRPr="009D4C45" w:rsidRDefault="00AE120D" w:rsidP="009D4C45">
      <w:pPr>
        <w:pBdr>
          <w:top w:val="single" w:sz="4" w:space="1" w:color="auto"/>
          <w:left w:val="single" w:sz="4" w:space="4" w:color="auto"/>
          <w:bottom w:val="single" w:sz="4" w:space="1" w:color="auto"/>
          <w:right w:val="single" w:sz="4" w:space="4" w:color="auto"/>
        </w:pBdr>
        <w:ind w:left="0" w:firstLine="0"/>
        <w:rPr>
          <w:iCs/>
        </w:rPr>
      </w:pPr>
      <w:r w:rsidRPr="009D4C45">
        <w:rPr>
          <w:iCs/>
        </w:rPr>
        <w:t xml:space="preserve">The Project RED (Re-Engineered Discharge) intervention, </w:t>
      </w:r>
      <w:r w:rsidR="00C26F1E">
        <w:rPr>
          <w:iCs/>
        </w:rPr>
        <w:t xml:space="preserve">for example, </w:t>
      </w:r>
      <w:r w:rsidRPr="009D4C45">
        <w:rPr>
          <w:iCs/>
        </w:rPr>
        <w:t xml:space="preserve">assigned </w:t>
      </w:r>
      <w:r w:rsidR="00C26F1E">
        <w:rPr>
          <w:iCs/>
        </w:rPr>
        <w:t xml:space="preserve">a nurse </w:t>
      </w:r>
      <w:r w:rsidRPr="009D4C45">
        <w:rPr>
          <w:iCs/>
        </w:rPr>
        <w:t>to each patient as a discharge advocate</w:t>
      </w:r>
      <w:r w:rsidR="00C26F1E">
        <w:rPr>
          <w:iCs/>
        </w:rPr>
        <w:t>. The nurse was</w:t>
      </w:r>
      <w:r w:rsidR="00C26F1E" w:rsidRPr="009D4C45">
        <w:rPr>
          <w:iCs/>
        </w:rPr>
        <w:t xml:space="preserve"> </w:t>
      </w:r>
      <w:r w:rsidRPr="009D4C45">
        <w:rPr>
          <w:iCs/>
        </w:rPr>
        <w:t xml:space="preserve">responsible for patient education, follow-up, medication reconciliation, and preparing individualized discharge instructions </w:t>
      </w:r>
      <w:r w:rsidR="00C26F1E">
        <w:rPr>
          <w:iCs/>
        </w:rPr>
        <w:t>to send</w:t>
      </w:r>
      <w:r w:rsidR="00C26F1E" w:rsidRPr="009D4C45">
        <w:rPr>
          <w:iCs/>
        </w:rPr>
        <w:t xml:space="preserve"> </w:t>
      </w:r>
      <w:r w:rsidRPr="009D4C45">
        <w:rPr>
          <w:iCs/>
        </w:rPr>
        <w:t>to the patient’s primary care provider</w:t>
      </w:r>
      <w:r w:rsidR="00C26F1E">
        <w:rPr>
          <w:iCs/>
        </w:rPr>
        <w:t>.</w:t>
      </w:r>
      <w:r w:rsidRPr="009D4C45">
        <w:rPr>
          <w:iCs/>
        </w:rPr>
        <w:t xml:space="preserve"> </w:t>
      </w:r>
      <w:r w:rsidR="00C26F1E">
        <w:rPr>
          <w:iCs/>
        </w:rPr>
        <w:t>Pharmacists followed up</w:t>
      </w:r>
      <w:r w:rsidR="00907E7E">
        <w:rPr>
          <w:iCs/>
        </w:rPr>
        <w:t xml:space="preserve"> with patients</w:t>
      </w:r>
      <w:r w:rsidR="00C26F1E">
        <w:rPr>
          <w:iCs/>
        </w:rPr>
        <w:t xml:space="preserve"> by phone </w:t>
      </w:r>
      <w:r w:rsidRPr="009D4C45">
        <w:rPr>
          <w:iCs/>
        </w:rPr>
        <w:t>within 4 days of discharge</w:t>
      </w:r>
      <w:r w:rsidR="00C26F1E">
        <w:rPr>
          <w:iCs/>
        </w:rPr>
        <w:t xml:space="preserve"> to reinforce the discharge plan.</w:t>
      </w:r>
      <w:r w:rsidRPr="009D4C45">
        <w:rPr>
          <w:iCs/>
        </w:rPr>
        <w:t xml:space="preserve"> </w:t>
      </w:r>
      <w:r w:rsidR="00C26F1E">
        <w:rPr>
          <w:iCs/>
        </w:rPr>
        <w:t xml:space="preserve">Overall, this project </w:t>
      </w:r>
      <w:r w:rsidRPr="009D4C45">
        <w:rPr>
          <w:iCs/>
        </w:rPr>
        <w:t>demonstrated a 30% reduction in 30-day readmissions</w:t>
      </w:r>
      <w:r w:rsidR="00BD62D4" w:rsidRPr="009D4C45">
        <w:rPr>
          <w:iCs/>
        </w:rPr>
        <w:t xml:space="preserve"> [12]</w:t>
      </w:r>
      <w:r w:rsidRPr="009D4C45">
        <w:rPr>
          <w:iCs/>
        </w:rPr>
        <w:t xml:space="preserve">. </w:t>
      </w:r>
    </w:p>
    <w:p w:rsidR="00AE120D" w:rsidRPr="009D4C45" w:rsidRDefault="00AE120D" w:rsidP="009D4C45">
      <w:pPr>
        <w:pBdr>
          <w:top w:val="single" w:sz="4" w:space="1" w:color="auto"/>
          <w:left w:val="single" w:sz="4" w:space="4" w:color="auto"/>
          <w:bottom w:val="single" w:sz="4" w:space="1" w:color="auto"/>
          <w:right w:val="single" w:sz="4" w:space="4" w:color="auto"/>
        </w:pBdr>
        <w:ind w:left="0" w:firstLine="0"/>
        <w:rPr>
          <w:i/>
          <w:iCs/>
        </w:rPr>
      </w:pPr>
    </w:p>
    <w:p w:rsidR="00DD503C" w:rsidRPr="009D4C45" w:rsidRDefault="00DD503C" w:rsidP="009D4C45">
      <w:pPr>
        <w:pBdr>
          <w:top w:val="single" w:sz="4" w:space="1" w:color="auto"/>
          <w:left w:val="single" w:sz="4" w:space="4" w:color="auto"/>
          <w:bottom w:val="single" w:sz="4" w:space="1" w:color="auto"/>
          <w:right w:val="single" w:sz="4" w:space="4" w:color="auto"/>
        </w:pBdr>
      </w:pPr>
      <w:r w:rsidRPr="009D4C45">
        <w:lastRenderedPageBreak/>
        <w:t>References:</w:t>
      </w:r>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Naylor M</w:t>
      </w:r>
      <w:r w:rsidR="009B0DEF">
        <w:rPr>
          <w:noProof/>
        </w:rPr>
        <w:t>D</w:t>
      </w:r>
      <w:r w:rsidRPr="009653D8">
        <w:rPr>
          <w:noProof/>
        </w:rPr>
        <w:t xml:space="preserve">, Brooten D, Jones R, Lavizzo-Mourey R, Mezey M, Pauly M. Comprehensive discharge planning for the hospitalized elderly. A randomized clinical trial. </w:t>
      </w:r>
      <w:r w:rsidRPr="009653D8">
        <w:rPr>
          <w:i/>
          <w:noProof/>
        </w:rPr>
        <w:t xml:space="preserve">Ann Intern Med. </w:t>
      </w:r>
      <w:r w:rsidRPr="009653D8">
        <w:rPr>
          <w:noProof/>
        </w:rPr>
        <w:t>Jun 15 1994;120(12):999-1006.</w:t>
      </w:r>
      <w:bookmarkStart w:id="6" w:name="_ENREF_22"/>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Naylor MD, Brooten D, Campbell R, et al. Comprehensive discharge planning and home follow-up of hospitalized elders: a randomized clinical trial. </w:t>
      </w:r>
      <w:r w:rsidRPr="009653D8">
        <w:rPr>
          <w:i/>
          <w:noProof/>
        </w:rPr>
        <w:t xml:space="preserve">Jama. </w:t>
      </w:r>
      <w:r w:rsidRPr="009653D8">
        <w:rPr>
          <w:noProof/>
        </w:rPr>
        <w:t>Feb 17 1999;281(7):613-620.</w:t>
      </w:r>
      <w:bookmarkStart w:id="7" w:name="_ENREF_23"/>
      <w:bookmarkEnd w:id="6"/>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Krumholz HM, Amatruda J, Smith GL, et al. Randomized trial of an education and support intervention to prevent readmission of patients with heart failure. </w:t>
      </w:r>
      <w:r w:rsidRPr="009653D8">
        <w:rPr>
          <w:i/>
          <w:noProof/>
        </w:rPr>
        <w:t xml:space="preserve">J Am Coll Cardiol. </w:t>
      </w:r>
      <w:r w:rsidRPr="009653D8">
        <w:rPr>
          <w:noProof/>
        </w:rPr>
        <w:t>Jan 2 2002;39(1):83-89.</w:t>
      </w:r>
      <w:bookmarkStart w:id="8" w:name="_ENREF_24"/>
      <w:bookmarkEnd w:id="7"/>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van Walraven C, Seth R, Austin PC, Laupacis A. Effect of discharge summary availability during post-discharge visits on hospital readmission. </w:t>
      </w:r>
      <w:r w:rsidRPr="009653D8">
        <w:rPr>
          <w:i/>
          <w:noProof/>
        </w:rPr>
        <w:t xml:space="preserve">J Gen Intern Med. </w:t>
      </w:r>
      <w:r w:rsidRPr="009653D8">
        <w:rPr>
          <w:noProof/>
        </w:rPr>
        <w:t>Mar 2002;17(3):186-192.</w:t>
      </w:r>
      <w:bookmarkStart w:id="9" w:name="_ENREF_25"/>
      <w:bookmarkEnd w:id="8"/>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Conley RR, Kelly DL, Love RC, McMahon RP. Rehospitalization risk with second-generation and depot antipsychotics. </w:t>
      </w:r>
      <w:r w:rsidRPr="009653D8">
        <w:rPr>
          <w:i/>
          <w:noProof/>
        </w:rPr>
        <w:t xml:space="preserve">Ann Clin Psychiatry. </w:t>
      </w:r>
      <w:r w:rsidRPr="009653D8">
        <w:rPr>
          <w:noProof/>
        </w:rPr>
        <w:t>Mar 2003;15(1):23-31.</w:t>
      </w:r>
      <w:bookmarkStart w:id="10" w:name="_ENREF_26"/>
      <w:bookmarkEnd w:id="9"/>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Coleman EA, Smith JD, Frank JC, Min S-J, Parry C, Kramer AM. Preparing patients and caregivers to participate in care delivered across settings: the Care Transitions Intervention. </w:t>
      </w:r>
      <w:r w:rsidRPr="009653D8">
        <w:rPr>
          <w:i/>
          <w:noProof/>
        </w:rPr>
        <w:t xml:space="preserve">J Am Geriatr Soc. </w:t>
      </w:r>
      <w:r w:rsidRPr="009653D8">
        <w:rPr>
          <w:noProof/>
        </w:rPr>
        <w:t>Nov 2004;52(11):1817-1825.</w:t>
      </w:r>
      <w:bookmarkStart w:id="11" w:name="_ENREF_27"/>
      <w:bookmarkEnd w:id="10"/>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Phillips CO, Wright SM, Kern DE, Singa RM, Shepperd S, Rubin HR. Comprehensive discharge planning with postdischarge support for older patients with congestive heart failure: a meta-analysis. </w:t>
      </w:r>
      <w:r w:rsidRPr="009653D8">
        <w:rPr>
          <w:i/>
          <w:noProof/>
        </w:rPr>
        <w:t xml:space="preserve">JAMA. </w:t>
      </w:r>
      <w:r w:rsidRPr="009653D8">
        <w:rPr>
          <w:noProof/>
        </w:rPr>
        <w:t>Mar 17 2004;291(11):1358-1367.</w:t>
      </w:r>
      <w:bookmarkStart w:id="12" w:name="_ENREF_28"/>
      <w:bookmarkEnd w:id="11"/>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Jovicic A, Holroyd-Leduc JM, Straus SE. Effects of self-management intervention on health outcomes of patients with heart failure: a systematic review of randomized controlled trials. </w:t>
      </w:r>
      <w:r w:rsidRPr="009653D8">
        <w:rPr>
          <w:i/>
          <w:noProof/>
        </w:rPr>
        <w:t xml:space="preserve">BMC Cardiovasc Disord. </w:t>
      </w:r>
      <w:r w:rsidRPr="009653D8">
        <w:rPr>
          <w:noProof/>
        </w:rPr>
        <w:t>2006;6:43.</w:t>
      </w:r>
      <w:bookmarkStart w:id="13" w:name="_ENREF_29"/>
      <w:bookmarkEnd w:id="12"/>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Garasen H, Windspoll R, Johnsen R. Intermediate care at a community hospital as an alternative to prolonged general hospital care for elderly patients: a randomised controlled trial. </w:t>
      </w:r>
      <w:r w:rsidRPr="009653D8">
        <w:rPr>
          <w:i/>
          <w:noProof/>
        </w:rPr>
        <w:t xml:space="preserve">BMC Public Health. </w:t>
      </w:r>
      <w:r w:rsidRPr="009653D8">
        <w:rPr>
          <w:noProof/>
        </w:rPr>
        <w:t>2007;7:68.</w:t>
      </w:r>
      <w:bookmarkStart w:id="14" w:name="_ENREF_30"/>
      <w:bookmarkEnd w:id="13"/>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Mistiaen P, Francke AL, Poot E. Interventions aimed at reducing problems in adult patients discharged from hospital to home: a systematic meta-review. </w:t>
      </w:r>
      <w:r w:rsidRPr="009653D8">
        <w:rPr>
          <w:i/>
          <w:noProof/>
        </w:rPr>
        <w:t xml:space="preserve">BMC Health Serv Res. </w:t>
      </w:r>
      <w:r w:rsidRPr="009653D8">
        <w:rPr>
          <w:noProof/>
        </w:rPr>
        <w:t>2007;7:47.</w:t>
      </w:r>
      <w:bookmarkStart w:id="15" w:name="_ENREF_31"/>
      <w:bookmarkEnd w:id="14"/>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Courtney M, Edwards H, Chang A, Parker A, Finlayson K, Hamilton K. Fewer emergency readmissions and better quality of life for older adults at risk of hospital readmission: a randomized controlled trial to determine the effectiveness of a 24-week exercise and telephone follow-up program. </w:t>
      </w:r>
      <w:r w:rsidRPr="009653D8">
        <w:rPr>
          <w:i/>
          <w:noProof/>
        </w:rPr>
        <w:t xml:space="preserve">J Am Geriatr Soc. </w:t>
      </w:r>
      <w:r w:rsidRPr="009653D8">
        <w:rPr>
          <w:noProof/>
        </w:rPr>
        <w:t>Mar 2009;57(3):395-402.</w:t>
      </w:r>
      <w:bookmarkStart w:id="16" w:name="_ENREF_32"/>
      <w:bookmarkEnd w:id="15"/>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Jack BW, Chetty VK, Anthony D, et al. A reengineered hospital discharge program to decrease rehospitalization: a randomized trial. </w:t>
      </w:r>
      <w:r w:rsidRPr="009653D8">
        <w:rPr>
          <w:i/>
          <w:noProof/>
        </w:rPr>
        <w:t xml:space="preserve">Ann Intern Med. </w:t>
      </w:r>
      <w:r w:rsidRPr="009653D8">
        <w:rPr>
          <w:noProof/>
        </w:rPr>
        <w:t>Feb 3 2009;150(3):178-187.</w:t>
      </w:r>
      <w:bookmarkStart w:id="17" w:name="_ENREF_33"/>
      <w:bookmarkEnd w:id="16"/>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Koehler BE, Richter KM, Youngblood L, et al. Reduction of 30-day postdischarge hospital readmission or emergency department (ED) visit rates in high-risk elderly medical patients through delivery of a targeted care bundle. </w:t>
      </w:r>
      <w:r w:rsidRPr="009653D8">
        <w:rPr>
          <w:i/>
          <w:noProof/>
        </w:rPr>
        <w:t xml:space="preserve">Journal of Hospital Medicine. </w:t>
      </w:r>
      <w:r w:rsidRPr="009653D8">
        <w:rPr>
          <w:noProof/>
        </w:rPr>
        <w:t>Apr 2009;4(4):211-218.</w:t>
      </w:r>
      <w:bookmarkStart w:id="18" w:name="_ENREF_34"/>
      <w:bookmarkEnd w:id="17"/>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Weiss M, Yakusheva O, Bobay K. Nurse and patient perceptions of discharge readiness in relation to postdischarge utilization. </w:t>
      </w:r>
      <w:r w:rsidRPr="009653D8">
        <w:rPr>
          <w:i/>
          <w:noProof/>
        </w:rPr>
        <w:t xml:space="preserve">Med Care. </w:t>
      </w:r>
      <w:r w:rsidRPr="009653D8">
        <w:rPr>
          <w:noProof/>
        </w:rPr>
        <w:t>May 2010;48(5):482-486.</w:t>
      </w:r>
      <w:bookmarkStart w:id="19" w:name="_ENREF_35"/>
      <w:bookmarkEnd w:id="18"/>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vertAlign w:val="superscript"/>
        </w:rPr>
      </w:pPr>
      <w:r w:rsidRPr="009653D8">
        <w:rPr>
          <w:noProof/>
        </w:rPr>
        <w:t xml:space="preserve">Stauffer BD, Fullerton C, Fleming N, et al. Effectiveness and cost of a transitional care program for heart failure: a prospective study with concurrent controls. </w:t>
      </w:r>
      <w:r w:rsidRPr="009653D8">
        <w:rPr>
          <w:i/>
          <w:noProof/>
        </w:rPr>
        <w:t xml:space="preserve">Archives of Internal Medicine. </w:t>
      </w:r>
      <w:r w:rsidRPr="009653D8">
        <w:rPr>
          <w:noProof/>
        </w:rPr>
        <w:t>Jul 25 2011;171(14):1238-1243.</w:t>
      </w:r>
      <w:bookmarkStart w:id="20" w:name="_ENREF_36"/>
      <w:bookmarkEnd w:id="19"/>
    </w:p>
    <w:p w:rsidR="00BD62D4"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noProof/>
        </w:rPr>
      </w:pPr>
      <w:r w:rsidRPr="009653D8">
        <w:rPr>
          <w:noProof/>
        </w:rPr>
        <w:lastRenderedPageBreak/>
        <w:t xml:space="preserve">Voss R, Gardner R, Baier R, Butterfield K, Lehrman S, Gravenstein S. The care transitions intervention: translating from efficacy to effectiveness. </w:t>
      </w:r>
      <w:r w:rsidRPr="009653D8">
        <w:rPr>
          <w:i/>
          <w:noProof/>
        </w:rPr>
        <w:t xml:space="preserve">Archives of Internal Medicine. </w:t>
      </w:r>
      <w:r w:rsidRPr="009653D8">
        <w:rPr>
          <w:noProof/>
        </w:rPr>
        <w:t>Jul 25 2011;171(14):1232-1237.</w:t>
      </w:r>
      <w:bookmarkEnd w:id="20"/>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noProof/>
        </w:rPr>
      </w:pPr>
      <w:r w:rsidRPr="009653D8">
        <w:rPr>
          <w:iCs/>
        </w:rPr>
        <w:t>Jencks SF, Williams MV, Coleman EA. Rehospitalizations among patients in the Medicare fee-for-service program. New England Journal of Medicine 2009;360(14):1418-28.</w:t>
      </w:r>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iCs/>
        </w:rPr>
      </w:pPr>
      <w:r w:rsidRPr="009653D8">
        <w:rPr>
          <w:iCs/>
        </w:rPr>
        <w:t>Benbassat J, Taragin M. Hospital readmissions as a measure of quality of health care: advantages and limitations. Archives of Internal Medicine 2000;160(8):1074-81.</w:t>
      </w:r>
    </w:p>
    <w:p w:rsidR="00DD503C" w:rsidRPr="009653D8" w:rsidRDefault="00DD503C" w:rsidP="009D4C45">
      <w:pPr>
        <w:pStyle w:val="ListParagraph"/>
        <w:numPr>
          <w:ilvl w:val="0"/>
          <w:numId w:val="12"/>
        </w:numPr>
        <w:pBdr>
          <w:top w:val="single" w:sz="4" w:space="1" w:color="auto"/>
          <w:left w:val="single" w:sz="4" w:space="4" w:color="auto"/>
          <w:bottom w:val="single" w:sz="4" w:space="1" w:color="auto"/>
          <w:right w:val="single" w:sz="4" w:space="4" w:color="auto"/>
        </w:pBdr>
        <w:ind w:left="360"/>
        <w:rPr>
          <w:iCs/>
          <w:sz w:val="20"/>
        </w:rPr>
      </w:pPr>
      <w:r w:rsidRPr="009653D8">
        <w:rPr>
          <w:iCs/>
        </w:rPr>
        <w:t>Medicare Payment Advisory Commission (U.S.). Report to the Congress promoting greater efficiency in Medicare. Washington, DC: Medicare Payment Advisory Commission, 2007.</w:t>
      </w:r>
    </w:p>
    <w:p w:rsidR="00792000" w:rsidRPr="003F59A4" w:rsidRDefault="00792000" w:rsidP="009D4C45">
      <w:pPr>
        <w:rPr>
          <w:rFonts w:ascii="Trebuchet MS" w:hAnsi="Trebuchet MS" w:cs="Arial"/>
          <w:color w:val="0000FF"/>
          <w:sz w:val="20"/>
          <w:szCs w:val="20"/>
        </w:rPr>
      </w:pPr>
    </w:p>
    <w:p w:rsidR="00792000" w:rsidRPr="00E51798" w:rsidRDefault="00792000" w:rsidP="00AE120D">
      <w:pPr>
        <w:ind w:left="0" w:firstLine="0"/>
        <w:rPr>
          <w:iCs/>
        </w:rPr>
      </w:pPr>
    </w:p>
    <w:p w:rsidR="00496AF8" w:rsidRPr="00DA7FA2" w:rsidRDefault="00496AF8" w:rsidP="002E2177">
      <w:pPr>
        <w:ind w:left="0" w:firstLine="0"/>
        <w:rPr>
          <w:i/>
          <w:iCs/>
        </w:rPr>
      </w:pPr>
      <w:r w:rsidRPr="00792000">
        <w:rPr>
          <w:i/>
          <w:iCs/>
          <w:u w:val="single"/>
        </w:rPr>
        <w:t>Note</w:t>
      </w:r>
      <w:r w:rsidR="009B5BEA" w:rsidRPr="00792000">
        <w:rPr>
          <w:i/>
          <w:iCs/>
        </w:rPr>
        <w:t>:  F</w:t>
      </w:r>
      <w:r w:rsidRPr="00792000">
        <w:rPr>
          <w:i/>
          <w:iCs/>
        </w:rPr>
        <w:t xml:space="preserve">or health outcome </w:t>
      </w:r>
      <w:r w:rsidR="005857F8" w:rsidRPr="00792000">
        <w:rPr>
          <w:i/>
          <w:iCs/>
        </w:rPr>
        <w:t xml:space="preserve">performance </w:t>
      </w:r>
      <w:r w:rsidRPr="00792000">
        <w:rPr>
          <w:i/>
          <w:iCs/>
        </w:rPr>
        <w:t>measures, no further information is require</w:t>
      </w:r>
      <w:r w:rsidR="005857F8" w:rsidRPr="00792000">
        <w:rPr>
          <w:i/>
          <w:iCs/>
        </w:rPr>
        <w:t xml:space="preserve">d; however, you may provide evidence for any of the structures, processes, interventions, or service identified above. </w:t>
      </w:r>
    </w:p>
    <w:p w:rsidR="002B06BD" w:rsidRDefault="002B06BD" w:rsidP="002E2177">
      <w:pPr>
        <w:ind w:left="0" w:firstLine="0"/>
        <w:rPr>
          <w:b/>
          <w:iCs/>
          <w:caps/>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2E2177">
      <w:pPr>
        <w:ind w:left="0" w:firstLine="0"/>
        <w:rPr>
          <w:i/>
          <w:iCs/>
        </w:rPr>
      </w:pPr>
      <w:bookmarkStart w:id="21" w:name="Section1a3"/>
      <w:bookmarkEnd w:id="21"/>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7C1887" w:rsidRDefault="007C1887" w:rsidP="002E2177">
      <w:pPr>
        <w:ind w:left="0" w:firstLine="0"/>
      </w:pPr>
    </w:p>
    <w:p w:rsidR="00F27D11" w:rsidRDefault="00F27D11" w:rsidP="002E2177">
      <w:pPr>
        <w:ind w:left="0" w:firstLine="0"/>
      </w:pPr>
    </w:p>
    <w:p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6C5792"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6C5792"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6C5792"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6C5792"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FD4D82" w:rsidRDefault="00FD4D82" w:rsidP="002E2177">
      <w:pPr>
        <w:ind w:left="0" w:firstLine="0"/>
      </w:pPr>
    </w:p>
    <w:p w:rsidR="00201FF9" w:rsidRPr="00201FF9" w:rsidRDefault="00201FF9" w:rsidP="002E2177">
      <w:pPr>
        <w:ind w:left="0" w:firstLine="0"/>
        <w:rPr>
          <w:i/>
        </w:rPr>
      </w:pPr>
      <w:r w:rsidRPr="00792000">
        <w:rPr>
          <w:i/>
        </w:rPr>
        <w:t xml:space="preserve">Please complete the sections indicated </w:t>
      </w:r>
      <w:r w:rsidR="00030F43" w:rsidRPr="00792000">
        <w:rPr>
          <w:i/>
        </w:rPr>
        <w:t xml:space="preserve">above </w:t>
      </w:r>
      <w:r w:rsidRPr="00792000">
        <w:rPr>
          <w:i/>
        </w:rPr>
        <w:t xml:space="preserve">for the source of evidence. You may skip the </w:t>
      </w:r>
      <w:r w:rsidR="00030F43" w:rsidRPr="00792000">
        <w:rPr>
          <w:i/>
        </w:rPr>
        <w:t>section</w:t>
      </w:r>
      <w:r w:rsidRPr="00792000">
        <w:rPr>
          <w:i/>
        </w:rPr>
        <w:t>s that do not apply.</w:t>
      </w:r>
    </w:p>
    <w:p w:rsidR="00201FF9" w:rsidRDefault="00201FF9" w:rsidP="002E2177">
      <w:pPr>
        <w:ind w:left="0" w:firstLine="0"/>
        <w:rPr>
          <w:b/>
          <w:color w:val="0070C0"/>
        </w:rPr>
      </w:pPr>
    </w:p>
    <w:p w:rsidR="009B5BEA" w:rsidRPr="00FD4D82" w:rsidRDefault="00FD4D82" w:rsidP="002E2177">
      <w:pPr>
        <w:ind w:left="0" w:firstLine="0"/>
        <w:rPr>
          <w:b/>
        </w:rPr>
      </w:pPr>
      <w:bookmarkStart w:id="22" w:name="Section1a4"/>
      <w:bookmarkEnd w:id="22"/>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D53405" w:rsidRPr="00D53405" w:rsidRDefault="00D53405" w:rsidP="002E2177">
      <w:pPr>
        <w:ind w:left="0" w:firstLine="0"/>
        <w:rPr>
          <w:rFonts w:ascii="Arial" w:hAnsi="Arial" w:cs="Arial"/>
          <w:sz w:val="20"/>
          <w:szCs w:val="20"/>
        </w:rPr>
      </w:pPr>
    </w:p>
    <w:p w:rsidR="006F4B7F" w:rsidRDefault="006F4B7F" w:rsidP="002E2177">
      <w:pPr>
        <w:ind w:left="0" w:firstLine="0"/>
        <w:rPr>
          <w:color w:val="0000FF"/>
        </w:rPr>
      </w:pPr>
    </w:p>
    <w:p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496AF8" w:rsidRPr="000D649E" w:rsidRDefault="00496AF8" w:rsidP="002E2177">
      <w:pPr>
        <w:ind w:left="0" w:firstLine="0"/>
      </w:pPr>
    </w:p>
    <w:p w:rsidR="00496AF8" w:rsidRPr="00DA7FA2" w:rsidRDefault="00496AF8" w:rsidP="002E2177">
      <w:pPr>
        <w:ind w:left="0" w:firstLine="0"/>
      </w:pPr>
    </w:p>
    <w:p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8A45F3" w:rsidRDefault="008A45F3" w:rsidP="00265702">
      <w:pPr>
        <w:ind w:left="0" w:firstLine="0"/>
      </w:pPr>
    </w:p>
    <w:p w:rsidR="008A45F3" w:rsidRDefault="008A45F3" w:rsidP="00265702">
      <w:pPr>
        <w:ind w:left="0" w:firstLine="0"/>
      </w:pPr>
    </w:p>
    <w:p w:rsidR="00265702" w:rsidRPr="007573F0" w:rsidRDefault="00965FF6" w:rsidP="00265702">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A12762" w:rsidRDefault="00A12762" w:rsidP="00265702">
      <w:pPr>
        <w:ind w:left="0" w:firstLine="0"/>
        <w:rPr>
          <w:b/>
        </w:rPr>
      </w:pPr>
    </w:p>
    <w:p w:rsidR="00850C35" w:rsidRDefault="00850C35" w:rsidP="00265702">
      <w:pPr>
        <w:ind w:left="0" w:firstLine="0"/>
        <w:rPr>
          <w:b/>
        </w:rPr>
      </w:pPr>
    </w:p>
    <w:p w:rsidR="00A12762" w:rsidRPr="00030F43" w:rsidRDefault="00776F6D" w:rsidP="002E2177">
      <w:pPr>
        <w:ind w:left="432" w:hanging="432"/>
        <w:rPr>
          <w:b/>
          <w:color w:val="0000FF"/>
        </w:rPr>
      </w:pPr>
      <w:r>
        <w:rPr>
          <w:b/>
          <w:color w:val="0000FF"/>
        </w:rPr>
        <w:lastRenderedPageBreak/>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36AEC" w:rsidRDefault="00736AEC"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Pr="00792000" w:rsidRDefault="006C5792"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792000">
            <w:rPr>
              <w:rFonts w:ascii="MS Gothic" w:eastAsia="MS Gothic" w:hAnsi="MS Gothic" w:hint="eastAsia"/>
              <w:bCs/>
              <w:color w:val="0000FF"/>
            </w:rPr>
            <w:t>☐</w:t>
          </w:r>
        </w:sdtContent>
      </w:sdt>
      <w:r w:rsidR="00FC32D3" w:rsidRPr="00792000">
        <w:rPr>
          <w:b/>
        </w:rPr>
        <w:t xml:space="preserve"> </w:t>
      </w:r>
      <w:r w:rsidR="00FC32D3" w:rsidRPr="00792000">
        <w:t>Yes</w:t>
      </w:r>
      <w:r w:rsidR="00FC32D3" w:rsidRPr="00792000">
        <w:rPr>
          <w:b/>
        </w:rPr>
        <w:t xml:space="preserve"> </w:t>
      </w:r>
      <w:r w:rsidR="00FC32D3" w:rsidRPr="00792000">
        <w:rPr>
          <w:rFonts w:cstheme="minorHAnsi"/>
          <w:b/>
        </w:rPr>
        <w:t>→</w:t>
      </w:r>
      <w:r w:rsidR="00FC32D3" w:rsidRPr="00792000">
        <w:rPr>
          <w:b/>
        </w:rPr>
        <w:t xml:space="preserve"> </w:t>
      </w:r>
      <w:r w:rsidR="00FC32D3" w:rsidRPr="00792000">
        <w:rPr>
          <w:b/>
          <w:i/>
        </w:rPr>
        <w:t xml:space="preserve">complete section </w:t>
      </w:r>
      <w:hyperlink w:anchor="Section1a7" w:history="1">
        <w:r w:rsidR="00FC32D3" w:rsidRPr="00792000">
          <w:rPr>
            <w:rStyle w:val="Hyperlink"/>
            <w:b/>
            <w:i/>
          </w:rPr>
          <w:t>1a.7</w:t>
        </w:r>
      </w:hyperlink>
    </w:p>
    <w:p w:rsidR="00736AEC" w:rsidRDefault="006C5792"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792000">
            <w:rPr>
              <w:rFonts w:ascii="MS Gothic" w:eastAsia="MS Gothic" w:hAnsi="MS Gothic" w:hint="eastAsia"/>
              <w:bCs/>
              <w:color w:val="0000FF"/>
            </w:rPr>
            <w:t>☐</w:t>
          </w:r>
        </w:sdtContent>
      </w:sdt>
      <w:r w:rsidR="00736AEC" w:rsidRPr="00792000">
        <w:rPr>
          <w:b/>
        </w:rPr>
        <w:t xml:space="preserve"> </w:t>
      </w:r>
      <w:r w:rsidR="00736AEC" w:rsidRPr="00792000">
        <w:t>No</w:t>
      </w:r>
      <w:r w:rsidR="00307FA5" w:rsidRPr="00792000">
        <w:t xml:space="preserve">  </w:t>
      </w:r>
      <w:r w:rsidR="007C1887" w:rsidRPr="00792000">
        <w:rPr>
          <w:rFonts w:cstheme="minorHAnsi"/>
          <w:b/>
        </w:rPr>
        <w:t>→</w:t>
      </w:r>
      <w:r w:rsidR="0087564A" w:rsidRPr="00792000">
        <w:rPr>
          <w:rFonts w:cstheme="minorHAnsi"/>
          <w:b/>
        </w:rPr>
        <w:t xml:space="preserve"> </w:t>
      </w:r>
      <w:r w:rsidR="0087564A" w:rsidRPr="00792000">
        <w:rPr>
          <w:rStyle w:val="Hyperlink"/>
          <w:b/>
          <w:i/>
          <w:color w:val="auto"/>
          <w:u w:val="none"/>
        </w:rPr>
        <w:t>report on another systematic review</w:t>
      </w:r>
      <w:r w:rsidR="00701CC3" w:rsidRPr="00792000">
        <w:rPr>
          <w:rStyle w:val="Hyperlink"/>
          <w:b/>
          <w:i/>
          <w:color w:val="auto"/>
          <w:u w:val="none"/>
        </w:rPr>
        <w:t xml:space="preserve"> of the evidence</w:t>
      </w:r>
      <w:r w:rsidR="0087564A" w:rsidRPr="00792000">
        <w:rPr>
          <w:rStyle w:val="Hyperlink"/>
          <w:b/>
          <w:i/>
          <w:color w:val="auto"/>
          <w:u w:val="none"/>
        </w:rPr>
        <w:t xml:space="preserve"> in</w:t>
      </w:r>
      <w:r w:rsidR="0098657F" w:rsidRPr="00792000">
        <w:rPr>
          <w:rStyle w:val="Hyperlink"/>
          <w:b/>
          <w:i/>
          <w:color w:val="auto"/>
          <w:u w:val="none"/>
        </w:rPr>
        <w:t xml:space="preserve"> sections</w:t>
      </w:r>
      <w:r w:rsidR="0087564A" w:rsidRPr="00792000">
        <w:rPr>
          <w:rStyle w:val="Hyperlink"/>
          <w:b/>
          <w:i/>
          <w:color w:val="auto"/>
          <w:u w:val="none"/>
        </w:rPr>
        <w:t xml:space="preserve"> </w:t>
      </w:r>
      <w:hyperlink w:anchor="Section1a6" w:history="1">
        <w:r w:rsidR="0087564A" w:rsidRPr="00792000">
          <w:rPr>
            <w:rStyle w:val="Hyperlink"/>
            <w:b/>
            <w:i/>
          </w:rPr>
          <w:t>1a.6</w:t>
        </w:r>
      </w:hyperlink>
      <w:r w:rsidR="0087564A" w:rsidRPr="00792000">
        <w:rPr>
          <w:rStyle w:val="Hyperlink"/>
          <w:b/>
          <w:i/>
          <w:color w:val="auto"/>
          <w:u w:val="none"/>
        </w:rPr>
        <w:t xml:space="preserve"> and </w:t>
      </w:r>
      <w:hyperlink w:anchor="Section1a7" w:history="1">
        <w:r w:rsidR="0087564A" w:rsidRPr="00792000">
          <w:rPr>
            <w:rStyle w:val="Hyperlink"/>
            <w:b/>
            <w:i/>
          </w:rPr>
          <w:t>1a.7</w:t>
        </w:r>
      </w:hyperlink>
      <w:r w:rsidR="00701CC3" w:rsidRPr="00792000">
        <w:rPr>
          <w:rStyle w:val="Hyperlink"/>
          <w:b/>
          <w:i/>
          <w:color w:val="auto"/>
          <w:u w:val="none"/>
        </w:rPr>
        <w:t>;</w:t>
      </w:r>
      <w:r w:rsidR="0087564A" w:rsidRPr="00792000">
        <w:rPr>
          <w:rStyle w:val="Hyperlink"/>
          <w:b/>
          <w:i/>
          <w:color w:val="auto"/>
          <w:u w:val="none"/>
        </w:rPr>
        <w:t xml:space="preserve"> </w:t>
      </w:r>
      <w:r w:rsidR="00B74629" w:rsidRPr="00792000">
        <w:rPr>
          <w:rStyle w:val="Hyperlink"/>
          <w:b/>
          <w:i/>
          <w:color w:val="auto"/>
          <w:u w:val="none"/>
        </w:rPr>
        <w:t xml:space="preserve">if </w:t>
      </w:r>
      <w:r w:rsidR="00063601" w:rsidRPr="00792000">
        <w:rPr>
          <w:rStyle w:val="Hyperlink"/>
          <w:b/>
          <w:i/>
          <w:color w:val="auto"/>
          <w:u w:val="none"/>
        </w:rPr>
        <w:t xml:space="preserve">another review </w:t>
      </w:r>
      <w:r w:rsidR="00B74629" w:rsidRPr="00792000">
        <w:rPr>
          <w:rStyle w:val="Hyperlink"/>
          <w:b/>
          <w:i/>
          <w:color w:val="auto"/>
          <w:u w:val="none"/>
        </w:rPr>
        <w:t xml:space="preserve">does not exist, </w:t>
      </w:r>
      <w:r w:rsidR="00923295" w:rsidRPr="00792000">
        <w:rPr>
          <w:rFonts w:cstheme="minorHAnsi"/>
          <w:b/>
          <w:i/>
        </w:rPr>
        <w:t xml:space="preserve">provide what is known </w:t>
      </w:r>
      <w:r w:rsidR="00701CC3" w:rsidRPr="00792000">
        <w:rPr>
          <w:rFonts w:cstheme="minorHAnsi"/>
          <w:b/>
          <w:i/>
        </w:rPr>
        <w:t xml:space="preserve">from the guideline review of evidence </w:t>
      </w:r>
      <w:r w:rsidR="00923295" w:rsidRPr="00792000">
        <w:rPr>
          <w:rFonts w:cstheme="minorHAnsi"/>
          <w:b/>
          <w:i/>
        </w:rPr>
        <w:t xml:space="preserve">in </w:t>
      </w:r>
      <w:hyperlink w:anchor="Section1a7" w:history="1">
        <w:r w:rsidR="009477D6" w:rsidRPr="00792000">
          <w:rPr>
            <w:rStyle w:val="Hyperlink"/>
            <w:b/>
            <w:i/>
          </w:rPr>
          <w:t>1a.7</w:t>
        </w:r>
      </w:hyperlink>
    </w:p>
    <w:p w:rsidR="00736AEC" w:rsidRDefault="00736AEC" w:rsidP="00736AEC">
      <w:pPr>
        <w:rPr>
          <w:b/>
        </w:rPr>
      </w:pPr>
    </w:p>
    <w:p w:rsidR="00EE5AF6" w:rsidRDefault="00EE5AF6" w:rsidP="00307FA5">
      <w:pPr>
        <w:ind w:left="0" w:firstLine="0"/>
        <w:rPr>
          <w:color w:val="0000FF"/>
        </w:rPr>
      </w:pPr>
    </w:p>
    <w:p w:rsidR="00EE5AF6" w:rsidRDefault="00EE5AF6" w:rsidP="00307FA5">
      <w:pPr>
        <w:ind w:left="0" w:firstLine="0"/>
        <w:rPr>
          <w:color w:val="0000FF"/>
        </w:rPr>
      </w:pPr>
      <w:bookmarkStart w:id="23" w:name="Section1a5"/>
      <w:bookmarkEnd w:id="23"/>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307FA5" w:rsidRPr="00D53405" w:rsidRDefault="00307FA5" w:rsidP="00307FA5">
      <w:pPr>
        <w:ind w:left="0" w:firstLine="0"/>
        <w:rPr>
          <w:rFonts w:ascii="Arial" w:hAnsi="Arial" w:cs="Arial"/>
          <w:sz w:val="20"/>
          <w:szCs w:val="20"/>
        </w:rPr>
      </w:pPr>
    </w:p>
    <w:p w:rsidR="00307FA5" w:rsidRPr="00D53405" w:rsidRDefault="00307FA5" w:rsidP="00307FA5">
      <w:pPr>
        <w:ind w:left="0" w:firstLine="0"/>
      </w:pPr>
    </w:p>
    <w:p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307FA5" w:rsidRPr="000D649E" w:rsidRDefault="00307FA5" w:rsidP="00307FA5">
      <w:pPr>
        <w:ind w:left="0" w:firstLine="0"/>
      </w:pPr>
    </w:p>
    <w:p w:rsidR="00307FA5" w:rsidRPr="00DA7FA2" w:rsidRDefault="00307FA5" w:rsidP="00307FA5">
      <w:pPr>
        <w:ind w:left="0" w:firstLine="0"/>
      </w:pPr>
    </w:p>
    <w:p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rsidR="008A45F3" w:rsidRDefault="008A45F3" w:rsidP="00307FA5">
      <w:pPr>
        <w:ind w:left="0" w:firstLine="0"/>
      </w:pPr>
    </w:p>
    <w:p w:rsidR="00307FA5" w:rsidRPr="00095EC9" w:rsidRDefault="008A45F3" w:rsidP="00307FA5">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307FA5" w:rsidRDefault="00307FA5"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736AEC" w:rsidRPr="00736AEC" w:rsidRDefault="00736AEC" w:rsidP="002E2177">
      <w:pPr>
        <w:ind w:left="432" w:hanging="432"/>
        <w:rPr>
          <w:b/>
        </w:rPr>
      </w:pPr>
    </w:p>
    <w:p w:rsidR="00EE5AF6" w:rsidRPr="00201FF9" w:rsidRDefault="00923295" w:rsidP="002E2177">
      <w:pPr>
        <w:ind w:left="432" w:hanging="432"/>
        <w:rPr>
          <w:i/>
        </w:rPr>
      </w:pPr>
      <w:r w:rsidRPr="00792000">
        <w:rPr>
          <w:b/>
          <w:i/>
        </w:rPr>
        <w:t xml:space="preserve">Complete section </w:t>
      </w:r>
      <w:hyperlink w:anchor="Section1a7" w:history="1">
        <w:r w:rsidR="009477D6" w:rsidRPr="00792000">
          <w:rPr>
            <w:rStyle w:val="Hyperlink"/>
            <w:b/>
            <w:i/>
          </w:rPr>
          <w:t>1a.7</w:t>
        </w:r>
      </w:hyperlink>
    </w:p>
    <w:p w:rsidR="00EE5AF6" w:rsidRDefault="00EE5AF6" w:rsidP="002E2177">
      <w:pPr>
        <w:ind w:left="432" w:hanging="432"/>
        <w:rPr>
          <w:b/>
          <w:color w:val="0000FF"/>
        </w:rPr>
      </w:pPr>
    </w:p>
    <w:p w:rsidR="00EE5AF6" w:rsidRPr="00DF278A" w:rsidRDefault="00EE5AF6" w:rsidP="002E2177">
      <w:pPr>
        <w:ind w:left="432" w:hanging="432"/>
      </w:pPr>
      <w:bookmarkStart w:id="24" w:name="Section1a6"/>
      <w:bookmarkEnd w:id="24"/>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EE5AF6" w:rsidRDefault="00EE5AF6" w:rsidP="00EE5AF6">
      <w:pPr>
        <w:ind w:left="0" w:firstLine="0"/>
      </w:pPr>
      <w:r w:rsidRPr="00DA7FA2">
        <w:t xml:space="preserve"> </w:t>
      </w:r>
    </w:p>
    <w:p w:rsidR="00EE5AF6" w:rsidRPr="00D53405" w:rsidRDefault="00EE5AF6" w:rsidP="00EE5AF6">
      <w:pPr>
        <w:ind w:left="0" w:firstLine="0"/>
        <w:rPr>
          <w:rFonts w:ascii="Arial" w:hAnsi="Arial" w:cs="Arial"/>
          <w:sz w:val="20"/>
          <w:szCs w:val="20"/>
        </w:rPr>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5D0FDB" w:rsidRDefault="005D0FDB" w:rsidP="00EE5AF6">
      <w:pPr>
        <w:ind w:left="0" w:firstLine="0"/>
      </w:pPr>
    </w:p>
    <w:p w:rsidR="00C84623" w:rsidRDefault="00C84623" w:rsidP="00EE5AF6">
      <w:pPr>
        <w:ind w:left="0" w:firstLine="0"/>
      </w:pPr>
      <w:r w:rsidRPr="00792000">
        <w:rPr>
          <w:b/>
          <w:i/>
        </w:rPr>
        <w:t xml:space="preserve">Complete section </w:t>
      </w:r>
      <w:hyperlink w:anchor="Section1a7" w:history="1">
        <w:r w:rsidRPr="00792000">
          <w:rPr>
            <w:rStyle w:val="Hyperlink"/>
            <w:b/>
            <w:i/>
          </w:rPr>
          <w:t>1a.7</w:t>
        </w:r>
      </w:hyperlink>
    </w:p>
    <w:p w:rsidR="00C84623" w:rsidRDefault="00C84623" w:rsidP="00EE5AF6">
      <w:pPr>
        <w:ind w:left="0" w:firstLine="0"/>
        <w:rPr>
          <w:b/>
          <w:color w:val="0000FF"/>
        </w:rPr>
      </w:pPr>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rsidR="00EE5AF6" w:rsidRPr="00DA7FA2" w:rsidRDefault="00EE5AF6" w:rsidP="00EE5AF6">
      <w:pPr>
        <w:ind w:left="0" w:firstLine="0"/>
      </w:pPr>
    </w:p>
    <w:p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095EC9" w:rsidRDefault="00095EC9" w:rsidP="00EA79C9">
      <w:pPr>
        <w:ind w:left="0" w:firstLine="0"/>
      </w:pPr>
    </w:p>
    <w:p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A12762" w:rsidRPr="009B5BEA" w:rsidRDefault="00A12762" w:rsidP="002E2177">
      <w:pPr>
        <w:ind w:left="0" w:firstLine="0"/>
        <w:rPr>
          <w:noProof/>
        </w:rPr>
      </w:pPr>
    </w:p>
    <w:p w:rsidR="00496AF8" w:rsidRPr="00E51798" w:rsidRDefault="00496AF8" w:rsidP="002E2177">
      <w:pPr>
        <w:ind w:left="432" w:hanging="432"/>
      </w:pPr>
      <w:bookmarkStart w:id="25" w:name="Section1a7"/>
      <w:bookmarkEnd w:id="25"/>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rsidR="00496AF8" w:rsidRPr="00A91C0B" w:rsidRDefault="00496AF8" w:rsidP="002E2177">
      <w:pPr>
        <w:ind w:left="0" w:firstLine="0"/>
        <w:rPr>
          <w:noProof/>
        </w:rPr>
      </w:pPr>
    </w:p>
    <w:p w:rsidR="0039020B" w:rsidRDefault="0039020B" w:rsidP="002E2177">
      <w:pPr>
        <w:ind w:left="0" w:firstLine="0"/>
        <w:rPr>
          <w:b/>
          <w:noProof/>
        </w:rPr>
      </w:pP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2E2177">
      <w:pPr>
        <w:ind w:left="432" w:hanging="432"/>
      </w:pPr>
      <w:r w:rsidRPr="00CB06C9">
        <w:rPr>
          <w:b/>
          <w:noProof/>
          <w:color w:val="0000FF"/>
        </w:rPr>
        <w:lastRenderedPageBreak/>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496AF8" w:rsidRPr="000D649E" w:rsidRDefault="00496AF8" w:rsidP="002E2177">
      <w:pPr>
        <w:ind w:left="0" w:firstLine="0"/>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496AF8" w:rsidRDefault="00496AF8" w:rsidP="002E2177">
      <w:pPr>
        <w:ind w:left="0" w:firstLine="0"/>
      </w:pPr>
    </w:p>
    <w:p w:rsidR="00D14F0B" w:rsidRPr="00A91C0B" w:rsidRDefault="00D14F0B" w:rsidP="002E2177">
      <w:pPr>
        <w:ind w:left="0" w:firstLine="0"/>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496AF8" w:rsidRDefault="00496AF8" w:rsidP="002E2177">
      <w:pPr>
        <w:ind w:left="0" w:firstLine="0"/>
      </w:pPr>
    </w:p>
    <w:p w:rsidR="009B5BEA" w:rsidRPr="004F0883" w:rsidRDefault="009B5BEA" w:rsidP="002E2177">
      <w:pPr>
        <w:ind w:left="0" w:firstLine="0"/>
      </w:pPr>
    </w:p>
    <w:p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496AF8" w:rsidRDefault="00496AF8" w:rsidP="002E2177">
      <w:pPr>
        <w:ind w:left="0" w:firstLine="0"/>
      </w:pPr>
    </w:p>
    <w:p w:rsidR="00496AF8" w:rsidRPr="00A91C0B" w:rsidRDefault="00496AF8"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837121" w:rsidRDefault="00837121" w:rsidP="002E2177">
      <w:pPr>
        <w:ind w:left="0" w:firstLine="0"/>
        <w:rPr>
          <w:b/>
          <w:color w:val="0070C0"/>
        </w:rPr>
      </w:pPr>
    </w:p>
    <w:p w:rsidR="0094689F" w:rsidRDefault="0094689F" w:rsidP="002E2177">
      <w:pPr>
        <w:ind w:left="0" w:firstLine="0"/>
        <w:rPr>
          <w:b/>
          <w:color w:val="0070C0"/>
        </w:rPr>
      </w:pPr>
    </w:p>
    <w:p w:rsidR="00837121" w:rsidRPr="00837121" w:rsidRDefault="00837121" w:rsidP="002E2177">
      <w:pPr>
        <w:ind w:left="0" w:firstLine="0"/>
        <w:rPr>
          <w:b/>
        </w:rPr>
      </w:pPr>
      <w:bookmarkStart w:id="26" w:name="Section1a8"/>
      <w:bookmarkEnd w:id="26"/>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2E2177">
      <w:pPr>
        <w:ind w:left="0" w:firstLine="0"/>
      </w:pPr>
    </w:p>
    <w:p w:rsidR="00837121" w:rsidRDefault="00837121" w:rsidP="002E2177">
      <w:pPr>
        <w:ind w:left="0" w:firstLine="0"/>
      </w:pPr>
      <w:r w:rsidRPr="0015535B">
        <w:rPr>
          <w:b/>
          <w:color w:val="0000FF"/>
        </w:rPr>
        <w:t>1a.8.1</w:t>
      </w:r>
      <w:r w:rsidRPr="006C7F30">
        <w:rPr>
          <w:color w:val="0070C0"/>
        </w:rPr>
        <w:t xml:space="preserve"> </w:t>
      </w:r>
      <w:r w:rsidRPr="006C7F30">
        <w:rPr>
          <w:b/>
        </w:rPr>
        <w:t>What process was used to identify the evidence?</w:t>
      </w:r>
    </w:p>
    <w:p w:rsidR="00837121" w:rsidRDefault="00837121" w:rsidP="002E2177">
      <w:pPr>
        <w:ind w:left="0" w:firstLine="0"/>
      </w:pPr>
    </w:p>
    <w:p w:rsidR="00837121" w:rsidRPr="001B772D" w:rsidRDefault="00837121" w:rsidP="002E2177">
      <w:pPr>
        <w:ind w:left="0" w:firstLine="0"/>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sectPr w:rsidR="00837121" w:rsidRPr="001B772D">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Pr="00395263">
      <w:t>05/</w:t>
    </w:r>
    <w:r w:rsidR="00B52E0F">
      <w:t>29</w:t>
    </w:r>
    <w:r w:rsidRPr="00395263">
      <w:t>/13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6C5792">
      <w:rPr>
        <w:noProof/>
      </w:rPr>
      <w:t>2</w:t>
    </w:r>
    <w:r w:rsidRPr="0039526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440687" w:rsidRDefault="00440687" w:rsidP="007E37A5">
        <w:pPr>
          <w:pStyle w:val="Header"/>
          <w:ind w:left="0" w:firstLine="0"/>
          <w:jc w:val="center"/>
        </w:pPr>
        <w:r w:rsidRPr="007E37A5">
          <w:rPr>
            <w:color w:val="808080" w:themeColor="background1" w:themeShade="80"/>
          </w:rPr>
          <w:t>NQF staff enter  #/title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003B88"/>
    <w:multiLevelType w:val="hybridMultilevel"/>
    <w:tmpl w:val="FC6A0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4421AD"/>
    <w:multiLevelType w:val="hybridMultilevel"/>
    <w:tmpl w:val="ED0EEE1A"/>
    <w:lvl w:ilvl="0" w:tplc="F7E6CA76">
      <w:start w:val="1"/>
      <w:numFmt w:val="decimal"/>
      <w:lvlText w:val="%1."/>
      <w:lvlJc w:val="left"/>
      <w:pPr>
        <w:ind w:left="720" w:hanging="360"/>
      </w:pPr>
      <w:rPr>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DB064F"/>
    <w:multiLevelType w:val="hybridMultilevel"/>
    <w:tmpl w:val="63D0A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507050A"/>
    <w:multiLevelType w:val="hybridMultilevel"/>
    <w:tmpl w:val="FEE09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1"/>
  </w:num>
  <w:num w:numId="5">
    <w:abstractNumId w:val="3"/>
  </w:num>
  <w:num w:numId="6">
    <w:abstractNumId w:val="2"/>
  </w:num>
  <w:num w:numId="7">
    <w:abstractNumId w:val="11"/>
  </w:num>
  <w:num w:numId="8">
    <w:abstractNumId w:val="10"/>
  </w:num>
  <w:num w:numId="9">
    <w:abstractNumId w:val="9"/>
  </w:num>
  <w:num w:numId="10">
    <w:abstractNumId w:val="4"/>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53ABA"/>
    <w:rsid w:val="00061CF3"/>
    <w:rsid w:val="00063601"/>
    <w:rsid w:val="00073079"/>
    <w:rsid w:val="0007593F"/>
    <w:rsid w:val="00095EC9"/>
    <w:rsid w:val="00096A37"/>
    <w:rsid w:val="000A0810"/>
    <w:rsid w:val="000B084A"/>
    <w:rsid w:val="000B627F"/>
    <w:rsid w:val="000B6A01"/>
    <w:rsid w:val="000D649E"/>
    <w:rsid w:val="000D6D06"/>
    <w:rsid w:val="001049E6"/>
    <w:rsid w:val="00114848"/>
    <w:rsid w:val="00120934"/>
    <w:rsid w:val="00132070"/>
    <w:rsid w:val="00141875"/>
    <w:rsid w:val="0014347E"/>
    <w:rsid w:val="001551F6"/>
    <w:rsid w:val="0015535B"/>
    <w:rsid w:val="00162036"/>
    <w:rsid w:val="001632DD"/>
    <w:rsid w:val="00176E60"/>
    <w:rsid w:val="00194D9A"/>
    <w:rsid w:val="001A196B"/>
    <w:rsid w:val="001A3C65"/>
    <w:rsid w:val="001A6D05"/>
    <w:rsid w:val="001B38BF"/>
    <w:rsid w:val="001B772D"/>
    <w:rsid w:val="001D5B5D"/>
    <w:rsid w:val="001F4F66"/>
    <w:rsid w:val="00201FF9"/>
    <w:rsid w:val="00205857"/>
    <w:rsid w:val="00235ADC"/>
    <w:rsid w:val="00260196"/>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2B1D"/>
    <w:rsid w:val="00307FA5"/>
    <w:rsid w:val="00324D64"/>
    <w:rsid w:val="00352B52"/>
    <w:rsid w:val="00363ECC"/>
    <w:rsid w:val="00370E9B"/>
    <w:rsid w:val="0039020B"/>
    <w:rsid w:val="00395263"/>
    <w:rsid w:val="003956E0"/>
    <w:rsid w:val="0039609A"/>
    <w:rsid w:val="00397500"/>
    <w:rsid w:val="003B65CE"/>
    <w:rsid w:val="003E039E"/>
    <w:rsid w:val="00422917"/>
    <w:rsid w:val="00440687"/>
    <w:rsid w:val="0044131D"/>
    <w:rsid w:val="00441ADA"/>
    <w:rsid w:val="00457E46"/>
    <w:rsid w:val="00496AF8"/>
    <w:rsid w:val="004A575D"/>
    <w:rsid w:val="004B65C6"/>
    <w:rsid w:val="004D1DC7"/>
    <w:rsid w:val="00500B0C"/>
    <w:rsid w:val="00506B1C"/>
    <w:rsid w:val="00537150"/>
    <w:rsid w:val="00540984"/>
    <w:rsid w:val="00543851"/>
    <w:rsid w:val="0055559D"/>
    <w:rsid w:val="005569AE"/>
    <w:rsid w:val="005857F8"/>
    <w:rsid w:val="005B0D18"/>
    <w:rsid w:val="005B12C3"/>
    <w:rsid w:val="005B409D"/>
    <w:rsid w:val="005D0FDB"/>
    <w:rsid w:val="005D6D59"/>
    <w:rsid w:val="00617390"/>
    <w:rsid w:val="00623420"/>
    <w:rsid w:val="00623A58"/>
    <w:rsid w:val="00634768"/>
    <w:rsid w:val="0063596F"/>
    <w:rsid w:val="006709EB"/>
    <w:rsid w:val="00672824"/>
    <w:rsid w:val="0068184A"/>
    <w:rsid w:val="006C5792"/>
    <w:rsid w:val="006C7F30"/>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92000"/>
    <w:rsid w:val="007C0297"/>
    <w:rsid w:val="007C1887"/>
    <w:rsid w:val="007D5DC6"/>
    <w:rsid w:val="007E37A5"/>
    <w:rsid w:val="007F49D8"/>
    <w:rsid w:val="00805940"/>
    <w:rsid w:val="00830805"/>
    <w:rsid w:val="00837121"/>
    <w:rsid w:val="008471E5"/>
    <w:rsid w:val="00850C35"/>
    <w:rsid w:val="00863E43"/>
    <w:rsid w:val="008647C3"/>
    <w:rsid w:val="00870987"/>
    <w:rsid w:val="0087564A"/>
    <w:rsid w:val="00881160"/>
    <w:rsid w:val="0088371C"/>
    <w:rsid w:val="008A45F3"/>
    <w:rsid w:val="008B51D9"/>
    <w:rsid w:val="008B652E"/>
    <w:rsid w:val="008F1DC6"/>
    <w:rsid w:val="00905C5B"/>
    <w:rsid w:val="00907E7E"/>
    <w:rsid w:val="00923295"/>
    <w:rsid w:val="00935265"/>
    <w:rsid w:val="0094689F"/>
    <w:rsid w:val="009477D6"/>
    <w:rsid w:val="00953ED3"/>
    <w:rsid w:val="009547D2"/>
    <w:rsid w:val="009653D8"/>
    <w:rsid w:val="00965FF6"/>
    <w:rsid w:val="009846D6"/>
    <w:rsid w:val="0098657F"/>
    <w:rsid w:val="009A3236"/>
    <w:rsid w:val="009B0DEF"/>
    <w:rsid w:val="009B5A93"/>
    <w:rsid w:val="009B5BEA"/>
    <w:rsid w:val="009D4C45"/>
    <w:rsid w:val="009E37BD"/>
    <w:rsid w:val="009E6B86"/>
    <w:rsid w:val="00A12762"/>
    <w:rsid w:val="00A13867"/>
    <w:rsid w:val="00A421D4"/>
    <w:rsid w:val="00A44FF0"/>
    <w:rsid w:val="00A50E55"/>
    <w:rsid w:val="00A91A47"/>
    <w:rsid w:val="00A95D2B"/>
    <w:rsid w:val="00AA5587"/>
    <w:rsid w:val="00AD79C8"/>
    <w:rsid w:val="00AE120D"/>
    <w:rsid w:val="00AE6CE0"/>
    <w:rsid w:val="00B058A6"/>
    <w:rsid w:val="00B117D0"/>
    <w:rsid w:val="00B13998"/>
    <w:rsid w:val="00B439DD"/>
    <w:rsid w:val="00B52E0F"/>
    <w:rsid w:val="00B74629"/>
    <w:rsid w:val="00B91F58"/>
    <w:rsid w:val="00BA579E"/>
    <w:rsid w:val="00BD62D4"/>
    <w:rsid w:val="00BE2295"/>
    <w:rsid w:val="00BE6373"/>
    <w:rsid w:val="00BF533A"/>
    <w:rsid w:val="00C26F1E"/>
    <w:rsid w:val="00C46677"/>
    <w:rsid w:val="00C5180E"/>
    <w:rsid w:val="00C54E40"/>
    <w:rsid w:val="00C55F56"/>
    <w:rsid w:val="00C57BA4"/>
    <w:rsid w:val="00C84623"/>
    <w:rsid w:val="00CB06C9"/>
    <w:rsid w:val="00CB271C"/>
    <w:rsid w:val="00CE4F96"/>
    <w:rsid w:val="00CF0AB1"/>
    <w:rsid w:val="00CF4B9B"/>
    <w:rsid w:val="00CF55E6"/>
    <w:rsid w:val="00CF772F"/>
    <w:rsid w:val="00D04845"/>
    <w:rsid w:val="00D048DB"/>
    <w:rsid w:val="00D14F0B"/>
    <w:rsid w:val="00D178CA"/>
    <w:rsid w:val="00D3311C"/>
    <w:rsid w:val="00D53405"/>
    <w:rsid w:val="00D5457B"/>
    <w:rsid w:val="00D72995"/>
    <w:rsid w:val="00DA7FA2"/>
    <w:rsid w:val="00DC2D8D"/>
    <w:rsid w:val="00DD503C"/>
    <w:rsid w:val="00DE50D8"/>
    <w:rsid w:val="00DF278A"/>
    <w:rsid w:val="00E1664B"/>
    <w:rsid w:val="00E30D12"/>
    <w:rsid w:val="00E35241"/>
    <w:rsid w:val="00E41417"/>
    <w:rsid w:val="00E57BE2"/>
    <w:rsid w:val="00E62A95"/>
    <w:rsid w:val="00E746A2"/>
    <w:rsid w:val="00E90D06"/>
    <w:rsid w:val="00E97E59"/>
    <w:rsid w:val="00EA79C9"/>
    <w:rsid w:val="00EB66AC"/>
    <w:rsid w:val="00EE1F87"/>
    <w:rsid w:val="00EE3931"/>
    <w:rsid w:val="00EE5AF6"/>
    <w:rsid w:val="00EF2CEF"/>
    <w:rsid w:val="00F27D11"/>
    <w:rsid w:val="00F36ABB"/>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02485-E0EF-481A-9C2D-85B68219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2293</Words>
  <Characters>13075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Montague, Julia</cp:lastModifiedBy>
  <cp:revision>2</cp:revision>
  <dcterms:created xsi:type="dcterms:W3CDTF">2014-02-05T19:20:00Z</dcterms:created>
  <dcterms:modified xsi:type="dcterms:W3CDTF">2014-02-05T19:20:00Z</dcterms:modified>
</cp:coreProperties>
</file>