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E30BF5">
            <w:rPr>
              <w:rStyle w:val="Style1"/>
              <w:rFonts w:cstheme="minorHAnsi"/>
            </w:rPr>
            <w:t>Emergency Department Use without Hospital Readmission</w:t>
          </w:r>
          <w:r w:rsidR="0032079E">
            <w:rPr>
              <w:rStyle w:val="Style1"/>
              <w:rFonts w:cstheme="minorHAnsi"/>
            </w:rPr>
            <w:t xml:space="preserve"> During the First 30 Days of Home Health</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2-05T00:00:00Z">
            <w:dateFormat w:val="M/d/yyyy"/>
            <w:lid w:val="en-US"/>
            <w:storeMappedDataAs w:val="dateTime"/>
            <w:calendar w:val="gregorian"/>
          </w:date>
        </w:sdtPr>
        <w:sdtEndPr>
          <w:rPr>
            <w:rStyle w:val="DefaultParagraphFont"/>
            <w:noProof/>
            <w:color w:val="auto"/>
            <w:u w:val="none"/>
          </w:rPr>
        </w:sdtEndPr>
        <w:sdtContent>
          <w:r w:rsidR="00C340D4">
            <w:rPr>
              <w:rStyle w:val="Style2"/>
              <w:rFonts w:cstheme="minorHAnsi"/>
            </w:rPr>
            <w:t>2/5/2014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3C6E0B"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3C6E0B"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32079E">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3C6E0B"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3C6E0B"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3C6E0B"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3C6E0B"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3C6E0B"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3C6E0B"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3C6E0B"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32079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3C6E0B"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5B4BE1">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3C6E0B"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3C6E0B"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3C6E0B"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3C6E0B"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3C6E0B"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3C6E0B"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3C6E0B"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3C6E0B"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Pr="0032079E" w:rsidRDefault="0032079E" w:rsidP="00DB3627">
      <w:pPr>
        <w:autoSpaceDE w:val="0"/>
        <w:autoSpaceDN w:val="0"/>
        <w:adjustRightInd w:val="0"/>
        <w:spacing w:after="0" w:line="240" w:lineRule="auto"/>
        <w:rPr>
          <w:rFonts w:cstheme="minorHAnsi"/>
          <w:bCs/>
        </w:rPr>
      </w:pPr>
      <w:r w:rsidRPr="0032079E">
        <w:t>Medicare claims</w:t>
      </w: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id w:val="950514773"/>
          <w:text/>
        </w:sdtPr>
        <w:sdtEndPr/>
        <w:sdtContent>
          <w:r w:rsidR="0032079E" w:rsidRPr="0032079E">
            <w:t>July 1, 2010 to June 30, 2013</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3C6E0B"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3C6E0B"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3C6E0B"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3C6E0B"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3C6E0B"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32079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3C6E0B"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5B4BE1">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3C6E0B"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3C6E0B"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3C6E0B"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3C6E0B"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32079E" w:rsidRPr="00BB35E1" w:rsidRDefault="002B5016" w:rsidP="0032079E">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r w:rsidR="0032079E" w:rsidRPr="00BB35E1">
        <w:t>For the split-half reliability test, the measure developer included Medicare-certified agencies with at least 40 home health stays beginning between July 2010 to June 2013 and meeting the measure denominator criteria.  There were 6,360 such</w:t>
      </w:r>
      <w:r w:rsidR="0032079E">
        <w:t xml:space="preserve"> agencies</w:t>
      </w:r>
      <w:r w:rsidR="0032079E" w:rsidRPr="00BB35E1">
        <w:t xml:space="preserve"> representing a total of </w:t>
      </w:r>
      <w:r w:rsidR="0032079E" w:rsidRPr="00BB35E1">
        <w:rPr>
          <w:rFonts w:eastAsia="Times New Roman" w:cs="Segoe UI"/>
          <w:color w:val="000000"/>
        </w:rPr>
        <w:t xml:space="preserve">2,827,551 </w:t>
      </w:r>
      <w:r w:rsidR="0032079E" w:rsidRPr="00BB35E1">
        <w:t>home health stays</w:t>
      </w:r>
      <w:r w:rsidR="0032079E">
        <w:t xml:space="preserve">. </w:t>
      </w:r>
    </w:p>
    <w:p w:rsidR="00BF1874" w:rsidRDefault="00BF1874" w:rsidP="00BF1874">
      <w:r w:rsidRPr="00BB35E1">
        <w:lastRenderedPageBreak/>
        <w:t xml:space="preserve">The </w:t>
      </w:r>
      <w:r>
        <w:t>validity</w:t>
      </w:r>
      <w:r w:rsidRPr="00BB35E1">
        <w:t xml:space="preserve"> measure testing analyses included Medicare-certified agencies with at least 20 home health stays beginning </w:t>
      </w:r>
      <w:proofErr w:type="gramStart"/>
      <w:r w:rsidRPr="00BB35E1">
        <w:t>between July 2010 to June 2013</w:t>
      </w:r>
      <w:proofErr w:type="gramEnd"/>
      <w:r w:rsidRPr="00BB35E1">
        <w:t xml:space="preserve"> and meeting the measure denominator criteria.  There were 7,565 such agencies representing a total of </w:t>
      </w:r>
      <w:r w:rsidRPr="00BB35E1">
        <w:rPr>
          <w:rFonts w:eastAsia="Times New Roman" w:cs="Segoe UI"/>
          <w:color w:val="000000"/>
        </w:rPr>
        <w:t>2,861,855</w:t>
      </w:r>
      <w:r w:rsidRPr="00BB35E1">
        <w:rPr>
          <w:rFonts w:eastAsia="Times New Roman"/>
          <w:szCs w:val="24"/>
        </w:rPr>
        <w:t> </w:t>
      </w:r>
      <w:r w:rsidRPr="00BB35E1">
        <w:t>home health stays.</w:t>
      </w:r>
    </w:p>
    <w:p w:rsidR="00BF1874" w:rsidRDefault="00BF1874" w:rsidP="00BF1874">
      <w:pPr>
        <w:rPr>
          <w:rFonts w:cstheme="minorHAnsi"/>
          <w:bCs/>
        </w:rPr>
      </w:pPr>
      <w:r>
        <w:t xml:space="preserve">The exclusions and risk-adjustment analysis includes all home health stays beginning between July 2010 and June 2012.  </w:t>
      </w:r>
    </w:p>
    <w:p w:rsidR="0032079E" w:rsidRDefault="002B5016" w:rsidP="0032079E">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32079E">
        <w:t>In terms of Medicare-certified agencies with at least 40 home health stays beginning between July 2010 to June 2013</w:t>
      </w:r>
      <w:r w:rsidR="0032079E" w:rsidRPr="00A96A9C">
        <w:t xml:space="preserve"> a</w:t>
      </w:r>
      <w:r w:rsidR="0032079E">
        <w:t xml:space="preserve">nd meeting the measure denominator criteria, the data represented </w:t>
      </w:r>
      <w:r w:rsidR="0032079E" w:rsidRPr="00BB35E1">
        <w:rPr>
          <w:rFonts w:eastAsia="Times New Roman" w:cs="Segoe UI"/>
          <w:color w:val="000000"/>
        </w:rPr>
        <w:t xml:space="preserve">2,505,441 </w:t>
      </w:r>
      <w:r w:rsidR="0032079E">
        <w:t xml:space="preserve">patients.  The table below identifies these patients by population group. </w:t>
      </w:r>
    </w:p>
    <w:p w:rsidR="0032079E" w:rsidRPr="00DF2415" w:rsidRDefault="0032079E" w:rsidP="0032079E">
      <w:pPr>
        <w:spacing w:after="0"/>
        <w:jc w:val="center"/>
        <w:rPr>
          <w:b/>
        </w:rPr>
      </w:pPr>
      <w:r w:rsidRPr="00DF2415">
        <w:rPr>
          <w:b/>
        </w:rPr>
        <w:t>Number/Percentage of Patients Represented in HHAs with At Least 40 Stays, By Population Group</w:t>
      </w:r>
    </w:p>
    <w:tbl>
      <w:tblPr>
        <w:tblW w:w="5235" w:type="dxa"/>
        <w:jc w:val="center"/>
        <w:tblLook w:val="04A0" w:firstRow="1" w:lastRow="0" w:firstColumn="1" w:lastColumn="0" w:noHBand="0" w:noVBand="1"/>
      </w:tblPr>
      <w:tblGrid>
        <w:gridCol w:w="1120"/>
        <w:gridCol w:w="1120"/>
        <w:gridCol w:w="1472"/>
        <w:gridCol w:w="1523"/>
      </w:tblGrid>
      <w:tr w:rsidR="0032079E" w:rsidRPr="00DF2415" w:rsidTr="0029138C">
        <w:trPr>
          <w:trHeight w:val="300"/>
          <w:jc w:val="center"/>
        </w:trPr>
        <w:tc>
          <w:tcPr>
            <w:tcW w:w="2240" w:type="dxa"/>
            <w:gridSpan w:val="2"/>
            <w:vMerge w:val="restart"/>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Population Group</w:t>
            </w:r>
          </w:p>
        </w:tc>
        <w:tc>
          <w:tcPr>
            <w:tcW w:w="1472" w:type="dxa"/>
            <w:vMerge w:val="restart"/>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 of Patients</w:t>
            </w:r>
          </w:p>
        </w:tc>
        <w:tc>
          <w:tcPr>
            <w:tcW w:w="1523" w:type="dxa"/>
            <w:vMerge w:val="restart"/>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 of Patients</w:t>
            </w:r>
          </w:p>
        </w:tc>
      </w:tr>
      <w:tr w:rsidR="0032079E" w:rsidRPr="00DF2415" w:rsidTr="0029138C">
        <w:trPr>
          <w:trHeight w:val="300"/>
          <w:jc w:val="center"/>
        </w:trPr>
        <w:tc>
          <w:tcPr>
            <w:tcW w:w="2240" w:type="dxa"/>
            <w:gridSpan w:val="2"/>
            <w:vMerge/>
            <w:tcBorders>
              <w:top w:val="single" w:sz="4" w:space="0" w:color="auto"/>
              <w:left w:val="single" w:sz="4" w:space="0" w:color="auto"/>
              <w:bottom w:val="single" w:sz="4" w:space="0" w:color="auto"/>
              <w:right w:val="single" w:sz="4" w:space="0" w:color="auto"/>
            </w:tcBorders>
            <w:shd w:val="clear" w:color="auto" w:fill="CDECFF"/>
            <w:vAlign w:val="center"/>
            <w:hideMark/>
          </w:tcPr>
          <w:p w:rsidR="0032079E" w:rsidRPr="00DF2415" w:rsidRDefault="0032079E" w:rsidP="0029138C">
            <w:pPr>
              <w:spacing w:after="0" w:line="240" w:lineRule="auto"/>
              <w:rPr>
                <w:rFonts w:eastAsia="Times New Roman"/>
                <w:b/>
                <w:bCs/>
                <w:color w:val="000000"/>
              </w:rPr>
            </w:pPr>
          </w:p>
        </w:tc>
        <w:tc>
          <w:tcPr>
            <w:tcW w:w="1472" w:type="dxa"/>
            <w:vMerge/>
            <w:tcBorders>
              <w:top w:val="single" w:sz="4" w:space="0" w:color="auto"/>
              <w:left w:val="single" w:sz="4" w:space="0" w:color="auto"/>
              <w:bottom w:val="single" w:sz="4" w:space="0" w:color="auto"/>
              <w:right w:val="single" w:sz="4" w:space="0" w:color="auto"/>
            </w:tcBorders>
            <w:shd w:val="clear" w:color="auto" w:fill="CDECFF"/>
            <w:vAlign w:val="center"/>
            <w:hideMark/>
          </w:tcPr>
          <w:p w:rsidR="0032079E" w:rsidRPr="00DF2415" w:rsidRDefault="0032079E" w:rsidP="0029138C">
            <w:pPr>
              <w:spacing w:after="0" w:line="240" w:lineRule="auto"/>
              <w:rPr>
                <w:rFonts w:eastAsia="Times New Roman"/>
                <w:b/>
                <w:bCs/>
                <w:color w:val="000000"/>
              </w:rPr>
            </w:pPr>
          </w:p>
        </w:tc>
        <w:tc>
          <w:tcPr>
            <w:tcW w:w="1523" w:type="dxa"/>
            <w:vMerge/>
            <w:tcBorders>
              <w:top w:val="single" w:sz="4" w:space="0" w:color="auto"/>
              <w:left w:val="single" w:sz="4" w:space="0" w:color="auto"/>
              <w:bottom w:val="single" w:sz="4" w:space="0" w:color="auto"/>
              <w:right w:val="single" w:sz="4" w:space="0" w:color="auto"/>
            </w:tcBorders>
            <w:shd w:val="clear" w:color="auto" w:fill="CDECFF"/>
            <w:vAlign w:val="center"/>
            <w:hideMark/>
          </w:tcPr>
          <w:p w:rsidR="0032079E" w:rsidRPr="00DF2415" w:rsidRDefault="0032079E" w:rsidP="0029138C">
            <w:pPr>
              <w:spacing w:after="0" w:line="240" w:lineRule="auto"/>
              <w:rPr>
                <w:rFonts w:eastAsia="Times New Roman"/>
                <w:b/>
                <w:bCs/>
                <w:color w:val="000000"/>
              </w:rPr>
            </w:pPr>
          </w:p>
        </w:tc>
      </w:tr>
      <w:tr w:rsidR="0032079E" w:rsidRPr="00DF2415" w:rsidTr="0029138C">
        <w:trPr>
          <w:trHeight w:val="300"/>
          <w:jc w:val="center"/>
        </w:trPr>
        <w:tc>
          <w:tcPr>
            <w:tcW w:w="22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Total</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2,505,441</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100.0</w:t>
            </w:r>
          </w:p>
        </w:tc>
      </w:tr>
      <w:tr w:rsidR="0032079E" w:rsidRPr="00DF2415" w:rsidTr="0029138C">
        <w:trPr>
          <w:trHeight w:val="300"/>
          <w:jc w:val="center"/>
        </w:trPr>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Gender</w:t>
            </w: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Female</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1,477,297</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59.0</w:t>
            </w:r>
          </w:p>
        </w:tc>
      </w:tr>
      <w:tr w:rsidR="0032079E" w:rsidRPr="00DF2415" w:rsidTr="0029138C">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29138C">
            <w:pPr>
              <w:spacing w:after="0" w:line="240" w:lineRule="auto"/>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Male</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1,028,144</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41.0</w:t>
            </w:r>
          </w:p>
        </w:tc>
      </w:tr>
      <w:tr w:rsidR="0032079E" w:rsidRPr="00DF2415" w:rsidTr="0029138C">
        <w:trPr>
          <w:trHeight w:val="300"/>
          <w:jc w:val="center"/>
        </w:trPr>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Race</w:t>
            </w: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Black</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260,027</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10.4</w:t>
            </w:r>
          </w:p>
        </w:tc>
      </w:tr>
      <w:tr w:rsidR="0032079E" w:rsidRPr="00DF2415" w:rsidTr="0029138C">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29138C">
            <w:pPr>
              <w:spacing w:after="0" w:line="240" w:lineRule="auto"/>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Hispanic</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47,408</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1.9</w:t>
            </w:r>
          </w:p>
        </w:tc>
      </w:tr>
      <w:tr w:rsidR="0032079E" w:rsidRPr="00DF2415" w:rsidTr="0029138C">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29138C">
            <w:pPr>
              <w:spacing w:after="0" w:line="240" w:lineRule="auto"/>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White</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2,124,319</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84.8</w:t>
            </w:r>
          </w:p>
        </w:tc>
      </w:tr>
      <w:tr w:rsidR="0032079E" w:rsidRPr="00DF2415" w:rsidTr="0029138C">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29138C">
            <w:pPr>
              <w:spacing w:after="0" w:line="240" w:lineRule="auto"/>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Other</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73,687</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2.9</w:t>
            </w:r>
          </w:p>
        </w:tc>
      </w:tr>
      <w:tr w:rsidR="0032079E" w:rsidRPr="00DF2415" w:rsidTr="0029138C">
        <w:trPr>
          <w:trHeight w:val="300"/>
          <w:jc w:val="center"/>
        </w:trPr>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Age</w:t>
            </w: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&lt;65</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325,099</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13.0</w:t>
            </w:r>
          </w:p>
        </w:tc>
      </w:tr>
      <w:tr w:rsidR="0032079E" w:rsidRPr="00DF2415" w:rsidTr="0029138C">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29138C">
            <w:pPr>
              <w:spacing w:after="0" w:line="240" w:lineRule="auto"/>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65 - 74</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790,276</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31.5</w:t>
            </w:r>
          </w:p>
        </w:tc>
      </w:tr>
      <w:tr w:rsidR="0032079E" w:rsidRPr="00DF2415" w:rsidTr="0029138C">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29138C">
            <w:pPr>
              <w:spacing w:after="0" w:line="240" w:lineRule="auto"/>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75 - 84</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850,980</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34.0</w:t>
            </w:r>
          </w:p>
        </w:tc>
      </w:tr>
      <w:tr w:rsidR="0032079E" w:rsidRPr="00DF2415" w:rsidTr="0029138C">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29138C">
            <w:pPr>
              <w:spacing w:after="0" w:line="240" w:lineRule="auto"/>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85+</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539,086</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21.5</w:t>
            </w:r>
          </w:p>
        </w:tc>
      </w:tr>
      <w:tr w:rsidR="0032079E" w:rsidRPr="00DF2415" w:rsidTr="0029138C">
        <w:trPr>
          <w:trHeight w:val="300"/>
          <w:jc w:val="center"/>
        </w:trPr>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32079E" w:rsidRPr="00DF2415" w:rsidRDefault="00901F01" w:rsidP="0029138C">
            <w:pPr>
              <w:spacing w:after="0" w:line="240" w:lineRule="auto"/>
              <w:jc w:val="center"/>
              <w:rPr>
                <w:rFonts w:eastAsia="Times New Roman"/>
                <w:b/>
                <w:bCs/>
                <w:color w:val="000000"/>
              </w:rPr>
            </w:pPr>
            <w:r>
              <w:rPr>
                <w:rFonts w:eastAsia="Times New Roman"/>
                <w:b/>
                <w:bCs/>
                <w:color w:val="000000"/>
              </w:rPr>
              <w:t>Medicaid</w:t>
            </w:r>
            <w:r w:rsidR="0032079E" w:rsidRPr="00DF2415">
              <w:rPr>
                <w:rFonts w:eastAsia="Times New Roman"/>
                <w:b/>
                <w:bCs/>
                <w:color w:val="000000"/>
              </w:rPr>
              <w:t xml:space="preserve"> </w:t>
            </w:r>
            <w:r w:rsidR="0032079E" w:rsidRPr="00DF2415">
              <w:rPr>
                <w:rFonts w:eastAsia="Times New Roman"/>
                <w:b/>
                <w:bCs/>
                <w:color w:val="000000"/>
              </w:rPr>
              <w:br/>
              <w:t>Status</w:t>
            </w: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Yes</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545,494</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21.8</w:t>
            </w:r>
          </w:p>
        </w:tc>
      </w:tr>
      <w:tr w:rsidR="0032079E" w:rsidRPr="00DF2415" w:rsidTr="0029138C">
        <w:trPr>
          <w:trHeight w:val="300"/>
          <w:jc w:val="center"/>
        </w:trPr>
        <w:tc>
          <w:tcPr>
            <w:tcW w:w="1120" w:type="dxa"/>
            <w:vMerge/>
            <w:tcBorders>
              <w:top w:val="nil"/>
              <w:left w:val="single" w:sz="4" w:space="0" w:color="auto"/>
              <w:bottom w:val="single" w:sz="4" w:space="0" w:color="000000"/>
              <w:right w:val="single" w:sz="4" w:space="0" w:color="auto"/>
            </w:tcBorders>
            <w:vAlign w:val="center"/>
            <w:hideMark/>
          </w:tcPr>
          <w:p w:rsidR="0032079E" w:rsidRPr="00DF2415" w:rsidRDefault="0032079E" w:rsidP="0029138C">
            <w:pPr>
              <w:spacing w:after="0" w:line="240" w:lineRule="auto"/>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No</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1,959,947</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78.2</w:t>
            </w:r>
          </w:p>
        </w:tc>
      </w:tr>
      <w:tr w:rsidR="0032079E" w:rsidRPr="00DF2415" w:rsidTr="0029138C">
        <w:trPr>
          <w:trHeight w:val="300"/>
          <w:jc w:val="center"/>
        </w:trPr>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Disabled</w:t>
            </w: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Yes</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573,721</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22.9</w:t>
            </w:r>
          </w:p>
        </w:tc>
      </w:tr>
      <w:tr w:rsidR="0032079E" w:rsidRPr="00DF2415" w:rsidTr="0029138C">
        <w:trPr>
          <w:trHeight w:val="300"/>
          <w:jc w:val="center"/>
        </w:trPr>
        <w:tc>
          <w:tcPr>
            <w:tcW w:w="1120" w:type="dxa"/>
            <w:vMerge/>
            <w:tcBorders>
              <w:top w:val="nil"/>
              <w:left w:val="single" w:sz="4" w:space="0" w:color="auto"/>
              <w:bottom w:val="single" w:sz="4" w:space="0" w:color="000000"/>
              <w:right w:val="single" w:sz="4" w:space="0" w:color="auto"/>
            </w:tcBorders>
            <w:vAlign w:val="center"/>
            <w:hideMark/>
          </w:tcPr>
          <w:p w:rsidR="0032079E" w:rsidRPr="00DF2415" w:rsidRDefault="0032079E" w:rsidP="0029138C">
            <w:pPr>
              <w:spacing w:after="0" w:line="240" w:lineRule="auto"/>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b/>
                <w:bCs/>
                <w:color w:val="000000"/>
              </w:rPr>
            </w:pPr>
            <w:r w:rsidRPr="00DF2415">
              <w:rPr>
                <w:rFonts w:eastAsia="Times New Roman"/>
                <w:b/>
                <w:bCs/>
                <w:color w:val="000000"/>
              </w:rPr>
              <w:t>No</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1,931,720</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line="240" w:lineRule="auto"/>
              <w:jc w:val="center"/>
              <w:rPr>
                <w:rFonts w:eastAsia="Times New Roman"/>
                <w:color w:val="000000"/>
              </w:rPr>
            </w:pPr>
            <w:r w:rsidRPr="00DF2415">
              <w:rPr>
                <w:rFonts w:eastAsia="Times New Roman"/>
                <w:color w:val="000000"/>
              </w:rPr>
              <w:t>77.1</w:t>
            </w:r>
          </w:p>
        </w:tc>
      </w:tr>
    </w:tbl>
    <w:p w:rsidR="0032079E" w:rsidRDefault="0032079E" w:rsidP="0032079E"/>
    <w:p w:rsidR="00A93E0E" w:rsidRDefault="00A93E0E" w:rsidP="0032079E"/>
    <w:p w:rsidR="00A93E0E" w:rsidRDefault="00A93E0E" w:rsidP="0032079E"/>
    <w:p w:rsidR="00A93E0E" w:rsidRDefault="00A93E0E" w:rsidP="0032079E"/>
    <w:p w:rsidR="00A93E0E" w:rsidRDefault="00A93E0E" w:rsidP="0032079E"/>
    <w:p w:rsidR="00A93E0E" w:rsidRDefault="00A93E0E" w:rsidP="0032079E"/>
    <w:p w:rsidR="0032079E" w:rsidRDefault="0032079E" w:rsidP="0032079E">
      <w:r>
        <w:lastRenderedPageBreak/>
        <w:t>In terms of Medicare-certified agencies with at least 20 home health stays beginning between July 2010 to June 2013</w:t>
      </w:r>
      <w:r w:rsidRPr="00A96A9C">
        <w:t xml:space="preserve"> a</w:t>
      </w:r>
      <w:r>
        <w:t xml:space="preserve">nd meeting the measure denominator criteria, the data represented </w:t>
      </w:r>
      <w:r w:rsidRPr="005A216D">
        <w:t>2,535,844</w:t>
      </w:r>
      <w:r>
        <w:rPr>
          <w:rFonts w:ascii="Segoe UI" w:eastAsia="Times New Roman" w:hAnsi="Segoe UI" w:cs="Segoe UI"/>
          <w:color w:val="000000"/>
        </w:rPr>
        <w:t xml:space="preserve"> </w:t>
      </w:r>
      <w:r>
        <w:t xml:space="preserve">patients.  The table below identifies these patients by population group. </w:t>
      </w:r>
    </w:p>
    <w:p w:rsidR="0032079E" w:rsidRPr="00DF2415" w:rsidRDefault="0032079E" w:rsidP="0032079E">
      <w:pPr>
        <w:spacing w:after="0"/>
        <w:jc w:val="center"/>
        <w:rPr>
          <w:b/>
        </w:rPr>
      </w:pPr>
      <w:r w:rsidRPr="00DF2415">
        <w:rPr>
          <w:b/>
        </w:rPr>
        <w:t>Number/Percentage of Patients Represented in HHAs with At Least 20 Stays, By Population Group</w:t>
      </w:r>
    </w:p>
    <w:tbl>
      <w:tblPr>
        <w:tblW w:w="5235" w:type="dxa"/>
        <w:jc w:val="center"/>
        <w:tblLook w:val="04A0" w:firstRow="1" w:lastRow="0" w:firstColumn="1" w:lastColumn="0" w:noHBand="0" w:noVBand="1"/>
      </w:tblPr>
      <w:tblGrid>
        <w:gridCol w:w="1120"/>
        <w:gridCol w:w="1120"/>
        <w:gridCol w:w="1472"/>
        <w:gridCol w:w="1523"/>
      </w:tblGrid>
      <w:tr w:rsidR="0032079E" w:rsidRPr="00DF2415" w:rsidTr="0029138C">
        <w:trPr>
          <w:trHeight w:val="309"/>
          <w:jc w:val="center"/>
        </w:trPr>
        <w:tc>
          <w:tcPr>
            <w:tcW w:w="2240" w:type="dxa"/>
            <w:gridSpan w:val="2"/>
            <w:vMerge w:val="restart"/>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Population Group</w:t>
            </w:r>
          </w:p>
        </w:tc>
        <w:tc>
          <w:tcPr>
            <w:tcW w:w="1472" w:type="dxa"/>
            <w:vMerge w:val="restart"/>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 of Patients</w:t>
            </w:r>
          </w:p>
        </w:tc>
        <w:tc>
          <w:tcPr>
            <w:tcW w:w="1523" w:type="dxa"/>
            <w:vMerge w:val="restart"/>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 of Patients</w:t>
            </w:r>
          </w:p>
        </w:tc>
      </w:tr>
      <w:tr w:rsidR="0032079E" w:rsidRPr="00DF2415" w:rsidTr="0029138C">
        <w:trPr>
          <w:trHeight w:val="309"/>
          <w:jc w:val="center"/>
        </w:trPr>
        <w:tc>
          <w:tcPr>
            <w:tcW w:w="2240" w:type="dxa"/>
            <w:gridSpan w:val="2"/>
            <w:vMerge/>
            <w:tcBorders>
              <w:top w:val="single" w:sz="4" w:space="0" w:color="auto"/>
              <w:left w:val="single" w:sz="4" w:space="0" w:color="auto"/>
              <w:bottom w:val="single" w:sz="4" w:space="0" w:color="auto"/>
              <w:right w:val="single" w:sz="4" w:space="0" w:color="auto"/>
            </w:tcBorders>
            <w:shd w:val="clear" w:color="auto" w:fill="CDECFF"/>
            <w:vAlign w:val="center"/>
            <w:hideMark/>
          </w:tcPr>
          <w:p w:rsidR="0032079E" w:rsidRPr="00DF2415" w:rsidRDefault="0032079E" w:rsidP="0029138C">
            <w:pPr>
              <w:spacing w:after="0"/>
              <w:rPr>
                <w:rFonts w:eastAsia="Times New Roman"/>
                <w:b/>
                <w:bCs/>
                <w:color w:val="000000"/>
              </w:rPr>
            </w:pPr>
          </w:p>
        </w:tc>
        <w:tc>
          <w:tcPr>
            <w:tcW w:w="1472" w:type="dxa"/>
            <w:vMerge/>
            <w:tcBorders>
              <w:top w:val="single" w:sz="4" w:space="0" w:color="auto"/>
              <w:left w:val="single" w:sz="4" w:space="0" w:color="auto"/>
              <w:bottom w:val="single" w:sz="4" w:space="0" w:color="auto"/>
              <w:right w:val="single" w:sz="4" w:space="0" w:color="auto"/>
            </w:tcBorders>
            <w:shd w:val="clear" w:color="auto" w:fill="CDECFF"/>
            <w:vAlign w:val="center"/>
            <w:hideMark/>
          </w:tcPr>
          <w:p w:rsidR="0032079E" w:rsidRPr="00DF2415" w:rsidRDefault="0032079E" w:rsidP="0029138C">
            <w:pPr>
              <w:spacing w:after="0"/>
              <w:rPr>
                <w:rFonts w:eastAsia="Times New Roman"/>
                <w:b/>
                <w:bCs/>
                <w:color w:val="000000"/>
              </w:rPr>
            </w:pPr>
          </w:p>
        </w:tc>
        <w:tc>
          <w:tcPr>
            <w:tcW w:w="1523" w:type="dxa"/>
            <w:vMerge/>
            <w:tcBorders>
              <w:top w:val="single" w:sz="4" w:space="0" w:color="auto"/>
              <w:left w:val="single" w:sz="4" w:space="0" w:color="auto"/>
              <w:bottom w:val="single" w:sz="4" w:space="0" w:color="auto"/>
              <w:right w:val="single" w:sz="4" w:space="0" w:color="auto"/>
            </w:tcBorders>
            <w:shd w:val="clear" w:color="auto" w:fill="CDECFF"/>
            <w:vAlign w:val="center"/>
            <w:hideMark/>
          </w:tcPr>
          <w:p w:rsidR="0032079E" w:rsidRPr="00DF2415" w:rsidRDefault="0032079E" w:rsidP="0029138C">
            <w:pPr>
              <w:spacing w:after="0"/>
              <w:rPr>
                <w:rFonts w:eastAsia="Times New Roman"/>
                <w:b/>
                <w:bCs/>
                <w:color w:val="000000"/>
              </w:rPr>
            </w:pPr>
          </w:p>
        </w:tc>
      </w:tr>
      <w:tr w:rsidR="0032079E" w:rsidRPr="00DF2415" w:rsidTr="0029138C">
        <w:trPr>
          <w:trHeight w:val="300"/>
          <w:jc w:val="center"/>
        </w:trPr>
        <w:tc>
          <w:tcPr>
            <w:tcW w:w="22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Total</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2,535,844</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100.0</w:t>
            </w:r>
          </w:p>
        </w:tc>
      </w:tr>
      <w:tr w:rsidR="0032079E" w:rsidRPr="00DF2415" w:rsidTr="0029138C">
        <w:trPr>
          <w:trHeight w:val="300"/>
          <w:jc w:val="center"/>
        </w:trPr>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Gender</w:t>
            </w: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Female</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1,495,489</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59.0</w:t>
            </w:r>
          </w:p>
        </w:tc>
      </w:tr>
      <w:tr w:rsidR="0032079E" w:rsidRPr="00DF2415" w:rsidTr="0029138C">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29138C">
            <w:pPr>
              <w:spacing w:after="0"/>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Male</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1,040,355</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41.0</w:t>
            </w:r>
          </w:p>
        </w:tc>
      </w:tr>
      <w:tr w:rsidR="0032079E" w:rsidRPr="00DF2415" w:rsidTr="0029138C">
        <w:trPr>
          <w:trHeight w:val="300"/>
          <w:jc w:val="center"/>
        </w:trPr>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Race</w:t>
            </w: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Black</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264,443</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10.4</w:t>
            </w:r>
          </w:p>
        </w:tc>
      </w:tr>
      <w:tr w:rsidR="0032079E" w:rsidRPr="00DF2415" w:rsidTr="0029138C">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29138C">
            <w:pPr>
              <w:spacing w:after="0"/>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Hispanic</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49,318</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1.9</w:t>
            </w:r>
          </w:p>
        </w:tc>
      </w:tr>
      <w:tr w:rsidR="0032079E" w:rsidRPr="00DF2415" w:rsidTr="0029138C">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29138C">
            <w:pPr>
              <w:spacing w:after="0"/>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White</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2,146,799</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84.7</w:t>
            </w:r>
          </w:p>
        </w:tc>
      </w:tr>
      <w:tr w:rsidR="0032079E" w:rsidRPr="00DF2415" w:rsidTr="0029138C">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29138C">
            <w:pPr>
              <w:spacing w:after="0"/>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Other</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75,284</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3.0</w:t>
            </w:r>
          </w:p>
        </w:tc>
      </w:tr>
      <w:tr w:rsidR="0032079E" w:rsidRPr="00DF2415" w:rsidTr="0029138C">
        <w:trPr>
          <w:trHeight w:val="300"/>
          <w:jc w:val="center"/>
        </w:trPr>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Age</w:t>
            </w: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&lt;65</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329,817</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13.0</w:t>
            </w:r>
          </w:p>
        </w:tc>
      </w:tr>
      <w:tr w:rsidR="0032079E" w:rsidRPr="00DF2415" w:rsidTr="0029138C">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29138C">
            <w:pPr>
              <w:spacing w:after="0"/>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65 - 74</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799,029</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31.5</w:t>
            </w:r>
          </w:p>
        </w:tc>
      </w:tr>
      <w:tr w:rsidR="0032079E" w:rsidRPr="00DF2415" w:rsidTr="0029138C">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29138C">
            <w:pPr>
              <w:spacing w:after="0"/>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75 - 84</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861,019</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34.0</w:t>
            </w:r>
          </w:p>
        </w:tc>
      </w:tr>
      <w:tr w:rsidR="0032079E" w:rsidRPr="00DF2415" w:rsidTr="0029138C">
        <w:trPr>
          <w:trHeight w:val="300"/>
          <w:jc w:val="center"/>
        </w:trPr>
        <w:tc>
          <w:tcPr>
            <w:tcW w:w="1120" w:type="dxa"/>
            <w:vMerge/>
            <w:tcBorders>
              <w:top w:val="nil"/>
              <w:left w:val="single" w:sz="4" w:space="0" w:color="auto"/>
              <w:bottom w:val="single" w:sz="4" w:space="0" w:color="auto"/>
              <w:right w:val="single" w:sz="4" w:space="0" w:color="auto"/>
            </w:tcBorders>
            <w:vAlign w:val="center"/>
            <w:hideMark/>
          </w:tcPr>
          <w:p w:rsidR="0032079E" w:rsidRPr="00DF2415" w:rsidRDefault="0032079E" w:rsidP="0029138C">
            <w:pPr>
              <w:spacing w:after="0"/>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85+</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545,979</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21.5</w:t>
            </w:r>
          </w:p>
        </w:tc>
      </w:tr>
      <w:tr w:rsidR="0032079E" w:rsidRPr="00DF2415" w:rsidTr="0029138C">
        <w:trPr>
          <w:trHeight w:val="300"/>
          <w:jc w:val="center"/>
        </w:trPr>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32079E" w:rsidRPr="00DF2415" w:rsidRDefault="00901F01" w:rsidP="0029138C">
            <w:pPr>
              <w:spacing w:after="0"/>
              <w:jc w:val="center"/>
              <w:rPr>
                <w:rFonts w:eastAsia="Times New Roman"/>
                <w:b/>
                <w:bCs/>
                <w:color w:val="000000"/>
              </w:rPr>
            </w:pPr>
            <w:r>
              <w:rPr>
                <w:rFonts w:eastAsia="Times New Roman"/>
                <w:b/>
                <w:bCs/>
                <w:color w:val="000000"/>
              </w:rPr>
              <w:t>Medicaid</w:t>
            </w:r>
            <w:r w:rsidR="0032079E" w:rsidRPr="00DF2415">
              <w:rPr>
                <w:rFonts w:eastAsia="Times New Roman"/>
                <w:b/>
                <w:bCs/>
                <w:color w:val="000000"/>
              </w:rPr>
              <w:t xml:space="preserve"> </w:t>
            </w:r>
            <w:r w:rsidR="0032079E" w:rsidRPr="00DF2415">
              <w:rPr>
                <w:rFonts w:eastAsia="Times New Roman"/>
                <w:b/>
                <w:bCs/>
                <w:color w:val="000000"/>
              </w:rPr>
              <w:br/>
              <w:t>Status</w:t>
            </w: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Yes</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556,229</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21.9</w:t>
            </w:r>
          </w:p>
        </w:tc>
      </w:tr>
      <w:tr w:rsidR="0032079E" w:rsidRPr="00DF2415" w:rsidTr="0029138C">
        <w:trPr>
          <w:trHeight w:val="300"/>
          <w:jc w:val="center"/>
        </w:trPr>
        <w:tc>
          <w:tcPr>
            <w:tcW w:w="1120" w:type="dxa"/>
            <w:vMerge/>
            <w:tcBorders>
              <w:top w:val="nil"/>
              <w:left w:val="single" w:sz="4" w:space="0" w:color="auto"/>
              <w:bottom w:val="single" w:sz="4" w:space="0" w:color="000000"/>
              <w:right w:val="single" w:sz="4" w:space="0" w:color="auto"/>
            </w:tcBorders>
            <w:vAlign w:val="center"/>
            <w:hideMark/>
          </w:tcPr>
          <w:p w:rsidR="0032079E" w:rsidRPr="00DF2415" w:rsidRDefault="0032079E" w:rsidP="0029138C">
            <w:pPr>
              <w:spacing w:after="0"/>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No</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1,979,615</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78.1</w:t>
            </w:r>
          </w:p>
        </w:tc>
      </w:tr>
      <w:tr w:rsidR="0032079E" w:rsidRPr="00DF2415" w:rsidTr="0029138C">
        <w:trPr>
          <w:trHeight w:val="300"/>
          <w:jc w:val="center"/>
        </w:trPr>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Disabled</w:t>
            </w: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Yes</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581,472</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22.9</w:t>
            </w:r>
          </w:p>
        </w:tc>
      </w:tr>
      <w:tr w:rsidR="0032079E" w:rsidRPr="00DF2415" w:rsidTr="0029138C">
        <w:trPr>
          <w:trHeight w:val="300"/>
          <w:jc w:val="center"/>
        </w:trPr>
        <w:tc>
          <w:tcPr>
            <w:tcW w:w="1120" w:type="dxa"/>
            <w:vMerge/>
            <w:tcBorders>
              <w:top w:val="nil"/>
              <w:left w:val="single" w:sz="4" w:space="0" w:color="auto"/>
              <w:bottom w:val="single" w:sz="4" w:space="0" w:color="000000"/>
              <w:right w:val="single" w:sz="4" w:space="0" w:color="auto"/>
            </w:tcBorders>
            <w:vAlign w:val="center"/>
            <w:hideMark/>
          </w:tcPr>
          <w:p w:rsidR="0032079E" w:rsidRPr="00DF2415" w:rsidRDefault="0032079E" w:rsidP="0029138C">
            <w:pPr>
              <w:spacing w:after="0"/>
              <w:rPr>
                <w:rFonts w:eastAsia="Times New Roman"/>
                <w:b/>
                <w:bCs/>
                <w:color w:val="000000"/>
              </w:rPr>
            </w:pPr>
          </w:p>
        </w:tc>
        <w:tc>
          <w:tcPr>
            <w:tcW w:w="1120"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b/>
                <w:bCs/>
                <w:color w:val="000000"/>
              </w:rPr>
            </w:pPr>
            <w:r w:rsidRPr="00DF2415">
              <w:rPr>
                <w:rFonts w:eastAsia="Times New Roman"/>
                <w:b/>
                <w:bCs/>
                <w:color w:val="000000"/>
              </w:rPr>
              <w:t>No</w:t>
            </w:r>
          </w:p>
        </w:tc>
        <w:tc>
          <w:tcPr>
            <w:tcW w:w="1472"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1,954,372</w:t>
            </w:r>
          </w:p>
        </w:tc>
        <w:tc>
          <w:tcPr>
            <w:tcW w:w="1523" w:type="dxa"/>
            <w:tcBorders>
              <w:top w:val="nil"/>
              <w:left w:val="nil"/>
              <w:bottom w:val="single" w:sz="4" w:space="0" w:color="auto"/>
              <w:right w:val="single" w:sz="4" w:space="0" w:color="auto"/>
            </w:tcBorders>
            <w:shd w:val="clear" w:color="auto" w:fill="auto"/>
            <w:noWrap/>
            <w:vAlign w:val="center"/>
            <w:hideMark/>
          </w:tcPr>
          <w:p w:rsidR="0032079E" w:rsidRPr="00DF2415" w:rsidRDefault="0032079E" w:rsidP="0029138C">
            <w:pPr>
              <w:spacing w:after="0"/>
              <w:jc w:val="center"/>
              <w:rPr>
                <w:rFonts w:eastAsia="Times New Roman"/>
                <w:color w:val="000000"/>
              </w:rPr>
            </w:pPr>
            <w:r w:rsidRPr="00DF2415">
              <w:rPr>
                <w:rFonts w:eastAsia="Times New Roman"/>
                <w:color w:val="000000"/>
              </w:rPr>
              <w:t>77.1</w:t>
            </w:r>
          </w:p>
        </w:tc>
      </w:tr>
    </w:tbl>
    <w:p w:rsidR="007422FD" w:rsidRDefault="007422FD" w:rsidP="00DB3627">
      <w:pPr>
        <w:autoSpaceDE w:val="0"/>
        <w:autoSpaceDN w:val="0"/>
        <w:adjustRightInd w:val="0"/>
        <w:spacing w:after="0" w:line="240" w:lineRule="auto"/>
        <w:rPr>
          <w:rFonts w:cstheme="minorHAnsi"/>
          <w:bCs/>
        </w:rPr>
      </w:pPr>
    </w:p>
    <w:p w:rsidR="00EA71C6" w:rsidRDefault="00EA71C6" w:rsidP="00EA71C6">
      <w:r>
        <w:t xml:space="preserve">Exclusions and risk adjustment analysis included home health stays beginning </w:t>
      </w:r>
      <w:proofErr w:type="gramStart"/>
      <w:r>
        <w:t>between July 2010 to June 2012</w:t>
      </w:r>
      <w:proofErr w:type="gramEnd"/>
      <w:r>
        <w:t xml:space="preserve">.  Exclusions analysis began with </w:t>
      </w:r>
      <w:r w:rsidRPr="0032079E">
        <w:rPr>
          <w:rFonts w:ascii="Calibri" w:hAnsi="Calibri"/>
        </w:rPr>
        <w:t>2,482,662</w:t>
      </w:r>
      <w:r>
        <w:rPr>
          <w:rFonts w:ascii="Calibri" w:hAnsi="Calibri"/>
        </w:rPr>
        <w:t xml:space="preserve"> </w:t>
      </w:r>
      <w:r>
        <w:t xml:space="preserve">potentially eligible stays and identified </w:t>
      </w:r>
      <w:r w:rsidRPr="0032079E">
        <w:rPr>
          <w:rFonts w:ascii="Calibri" w:hAnsi="Calibri"/>
        </w:rPr>
        <w:t>1,926,543</w:t>
      </w:r>
      <w:r>
        <w:t xml:space="preserve"> eligible stays. </w:t>
      </w:r>
    </w:p>
    <w:p w:rsidR="00EA71C6" w:rsidRDefault="00EA71C6" w:rsidP="00EA71C6">
      <w:pPr>
        <w:rPr>
          <w:rFonts w:cstheme="minorHAnsi"/>
          <w:b/>
          <w:bCs/>
        </w:rPr>
      </w:pPr>
      <w:r>
        <w:t xml:space="preserve">The risk-adjustment model was developed using an 80% random sample and tested using all </w:t>
      </w:r>
      <w:proofErr w:type="gramStart"/>
      <w:r w:rsidRPr="00041A68">
        <w:t xml:space="preserve">1,669,802 </w:t>
      </w:r>
      <w:r>
        <w:t xml:space="preserve"> stays</w:t>
      </w:r>
      <w:proofErr w:type="gramEnd"/>
      <w:r>
        <w:t xml:space="preserve">.  (Fewer stays were included in the risk model development, as this development began in early 2013 and 2012 data was not complete at that time.)  </w:t>
      </w: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A71C6" w:rsidRDefault="00EA71C6" w:rsidP="00EA71C6">
      <w:pPr>
        <w:autoSpaceDE w:val="0"/>
        <w:autoSpaceDN w:val="0"/>
        <w:adjustRightInd w:val="0"/>
        <w:spacing w:after="0" w:line="240" w:lineRule="auto"/>
        <w:rPr>
          <w:rFonts w:cstheme="minorHAnsi"/>
          <w:bCs/>
        </w:rPr>
      </w:pPr>
      <w:r>
        <w:t xml:space="preserve">Differences described in previous question.  </w:t>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32079E">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8C54A9" w:rsidRDefault="0032079E" w:rsidP="00DF2415">
      <w:r>
        <w:t xml:space="preserve">As a measure of internal consistency, the measure developer conducted a split-half reliability test using 100 percent of each home health agency’s patients.  Stays for each home health agency were randomly divided into two 50 percent samples, and simulations were run on each 50 percent sample to group the agency into either the “Better than Expected”, “Same as Expected”, or “Worse than Expected” category.  Finally, the results between the two samples for each home health agency were compared to assess how consistently the home health agency was grouped into either the “Better than Expected”, “Same as Expected”, or “Worse than Expected” category.  The measure developer restricted this analysis to home health agencies with at least 40 valid stays, so that each 50 percent sample had at least 20 stays (which is the minimum number of stays required to protect patient confidentiality in public reporting).  </w:t>
      </w:r>
    </w:p>
    <w:p w:rsidR="00E30BF5" w:rsidRDefault="00092566" w:rsidP="00E30BF5">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E30BF5">
        <w:t xml:space="preserve">For the split-half test, using each home health agency’s 50 percent samples to produce two simulations and groupings, the majority of the home health agencies were grouped into the same performance category.  The figures below depict the results of our split-half test; as represented by the numbers and percentages along the diagonal (i.e., upper-left to bottom-right), 3,855 agencies (78 percent) were grouped into the same performance category as a result of the split-half test.  Four-hundred and sixty (10 percent) agencies shifted between the “Better than Expected” and “Same as Expected” categories, and 628 agencies (12 percent) shifted between the “Worse than Expected” and “Same as Expected” categories.  Only 10 agencies shifted between the “Better than Expected” and “Worse than Expected” categories. </w:t>
      </w:r>
    </w:p>
    <w:p w:rsidR="00EA71C6" w:rsidRDefault="00EA71C6" w:rsidP="0032079E">
      <w:pPr>
        <w:spacing w:after="0"/>
        <w:jc w:val="center"/>
        <w:rPr>
          <w:b/>
        </w:rPr>
      </w:pPr>
    </w:p>
    <w:p w:rsidR="00EA71C6" w:rsidRDefault="00EA71C6" w:rsidP="0032079E">
      <w:pPr>
        <w:spacing w:after="0"/>
        <w:jc w:val="center"/>
        <w:rPr>
          <w:b/>
        </w:rPr>
      </w:pPr>
    </w:p>
    <w:p w:rsidR="00EA71C6" w:rsidRDefault="00EA71C6" w:rsidP="0032079E">
      <w:pPr>
        <w:spacing w:after="0"/>
        <w:jc w:val="center"/>
        <w:rPr>
          <w:b/>
        </w:rPr>
      </w:pPr>
    </w:p>
    <w:p w:rsidR="00EA71C6" w:rsidRDefault="00EA71C6" w:rsidP="0032079E">
      <w:pPr>
        <w:spacing w:after="0"/>
        <w:jc w:val="center"/>
        <w:rPr>
          <w:b/>
        </w:rPr>
      </w:pPr>
    </w:p>
    <w:p w:rsidR="00EA71C6" w:rsidRDefault="00EA71C6" w:rsidP="0032079E">
      <w:pPr>
        <w:spacing w:after="0"/>
        <w:jc w:val="center"/>
        <w:rPr>
          <w:b/>
        </w:rPr>
      </w:pPr>
    </w:p>
    <w:p w:rsidR="00EA71C6" w:rsidRDefault="00EA71C6" w:rsidP="0032079E">
      <w:pPr>
        <w:spacing w:after="0"/>
        <w:jc w:val="center"/>
        <w:rPr>
          <w:b/>
        </w:rPr>
      </w:pPr>
    </w:p>
    <w:p w:rsidR="00EA71C6" w:rsidRDefault="00EA71C6" w:rsidP="0032079E">
      <w:pPr>
        <w:spacing w:after="0"/>
        <w:jc w:val="center"/>
        <w:rPr>
          <w:b/>
        </w:rPr>
      </w:pPr>
    </w:p>
    <w:p w:rsidR="00EA71C6" w:rsidRDefault="00EA71C6" w:rsidP="0032079E">
      <w:pPr>
        <w:spacing w:after="0"/>
        <w:jc w:val="center"/>
        <w:rPr>
          <w:b/>
        </w:rPr>
      </w:pPr>
    </w:p>
    <w:p w:rsidR="00EA71C6" w:rsidRDefault="00EA71C6" w:rsidP="0032079E">
      <w:pPr>
        <w:spacing w:after="0"/>
        <w:jc w:val="center"/>
        <w:rPr>
          <w:b/>
        </w:rPr>
      </w:pPr>
    </w:p>
    <w:p w:rsidR="00EA71C6" w:rsidRDefault="00EA71C6" w:rsidP="0032079E">
      <w:pPr>
        <w:spacing w:after="0"/>
        <w:jc w:val="center"/>
        <w:rPr>
          <w:b/>
        </w:rPr>
      </w:pPr>
    </w:p>
    <w:p w:rsidR="00EA71C6" w:rsidRDefault="00EA71C6" w:rsidP="0032079E">
      <w:pPr>
        <w:spacing w:after="0"/>
        <w:jc w:val="center"/>
        <w:rPr>
          <w:b/>
        </w:rPr>
      </w:pPr>
    </w:p>
    <w:p w:rsidR="00EA71C6" w:rsidRDefault="00EA71C6" w:rsidP="0032079E">
      <w:pPr>
        <w:spacing w:after="0"/>
        <w:jc w:val="center"/>
        <w:rPr>
          <w:b/>
        </w:rPr>
      </w:pPr>
    </w:p>
    <w:p w:rsidR="00EA71C6" w:rsidRDefault="00EA71C6" w:rsidP="0032079E">
      <w:pPr>
        <w:spacing w:after="0"/>
        <w:jc w:val="center"/>
        <w:rPr>
          <w:b/>
        </w:rPr>
      </w:pPr>
    </w:p>
    <w:p w:rsidR="00EA71C6" w:rsidRDefault="00EA71C6" w:rsidP="0032079E">
      <w:pPr>
        <w:spacing w:after="0"/>
        <w:jc w:val="center"/>
        <w:rPr>
          <w:b/>
        </w:rPr>
      </w:pPr>
    </w:p>
    <w:p w:rsidR="00EA71C6" w:rsidRDefault="00EA71C6" w:rsidP="0032079E">
      <w:pPr>
        <w:spacing w:after="0"/>
        <w:jc w:val="center"/>
        <w:rPr>
          <w:b/>
        </w:rPr>
      </w:pPr>
    </w:p>
    <w:p w:rsidR="0032079E" w:rsidRPr="00C32AF6" w:rsidRDefault="0032079E" w:rsidP="0032079E">
      <w:pPr>
        <w:spacing w:after="0"/>
        <w:jc w:val="center"/>
        <w:rPr>
          <w:b/>
        </w:rPr>
      </w:pPr>
      <w:r>
        <w:rPr>
          <w:b/>
        </w:rPr>
        <w:lastRenderedPageBreak/>
        <w:t>Split-Half Test Results</w:t>
      </w:r>
    </w:p>
    <w:p w:rsidR="0032079E" w:rsidRDefault="00E30BF5" w:rsidP="0032079E">
      <w:pPr>
        <w:jc w:val="center"/>
      </w:pPr>
      <w:r>
        <w:rPr>
          <w:noProof/>
        </w:rPr>
        <w:drawing>
          <wp:inline distT="0" distB="0" distL="0" distR="0" wp14:anchorId="1A7E0578" wp14:editId="6FA47F3E">
            <wp:extent cx="4914900" cy="29641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14900" cy="2964180"/>
                    </a:xfrm>
                    <a:prstGeom prst="rect">
                      <a:avLst/>
                    </a:prstGeom>
                    <a:noFill/>
                    <a:ln>
                      <a:noFill/>
                    </a:ln>
                  </pic:spPr>
                </pic:pic>
              </a:graphicData>
            </a:graphic>
          </wp:inline>
        </w:drawing>
      </w:r>
    </w:p>
    <w:p w:rsidR="007422FD" w:rsidRDefault="00092566" w:rsidP="00DF2415">
      <w:r>
        <w:rPr>
          <w:b/>
        </w:rPr>
        <w:t xml:space="preserve">2a2.4 </w:t>
      </w:r>
      <w:r w:rsidR="007422FD" w:rsidRPr="00A25024">
        <w:rPr>
          <w:b/>
        </w:rPr>
        <w:t xml:space="preserve">What </w:t>
      </w:r>
      <w:r w:rsidR="000B2DF7" w:rsidRPr="00A25024">
        <w:rPr>
          <w:b/>
        </w:rPr>
        <w:t>is your interpretation of the results in terms of</w:t>
      </w:r>
      <w:r w:rsidR="007422FD" w:rsidRPr="00A25024">
        <w:rPr>
          <w:b/>
        </w:rPr>
        <w:t xml:space="preserve"> demonstrating reliability</w:t>
      </w:r>
      <w:r w:rsidR="007422FD" w:rsidRPr="00A25024">
        <w:t xml:space="preserve">? </w:t>
      </w:r>
      <w:r w:rsidR="000B2DF7" w:rsidRPr="00A25024">
        <w:t>(i</w:t>
      </w:r>
      <w:r w:rsidR="000B2DF7" w:rsidRPr="00A25024">
        <w:rPr>
          <w:i/>
        </w:rPr>
        <w:t>.e., what do the results mean and what are the norms for the test conducted</w:t>
      </w:r>
      <w:r w:rsidR="007757CE" w:rsidRPr="00A25024">
        <w:rPr>
          <w:i/>
        </w:rPr>
        <w:t>?</w:t>
      </w:r>
      <w:r w:rsidR="000B2DF7" w:rsidRPr="00A25024">
        <w:t>)</w:t>
      </w:r>
      <w:r w:rsidR="007422FD" w:rsidRPr="00A25024">
        <w:br/>
      </w:r>
      <w:r w:rsidR="0032079E">
        <w:t>The results show a high level of internal consistency. As a result of the split-half test, the vast majority of the home health agencies were grouped into the same performance category.  Some home health agencies shifted between the “Same as Expected” category and “Better than Expected” or “Worse than Expected” categories (which is reasonable because the categorization requires statistical confidence).  Finally, transitions between the “Better than Expected” and “Worse than Expected” categories are extremely rare, which shows that the categorization method is robust.</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32079E">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3C6E0B"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32079E">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3C6E0B"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32079E">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32079E" w:rsidRPr="008A0AA9" w:rsidRDefault="00092566" w:rsidP="0032079E">
      <w:pPr>
        <w:spacing w:after="120"/>
        <w:rPr>
          <w:i/>
          <w:sz w:val="20"/>
          <w:szCs w:val="20"/>
          <w:u w:val="single"/>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32079E" w:rsidRPr="0032079E">
        <w:rPr>
          <w:i/>
          <w:u w:val="single"/>
        </w:rPr>
        <w:t>Critical Data Elements - Method</w:t>
      </w:r>
    </w:p>
    <w:p w:rsidR="00E30BF5" w:rsidRPr="006C4190" w:rsidRDefault="00E30BF5" w:rsidP="00E30BF5">
      <w:r w:rsidRPr="006C4190">
        <w:t xml:space="preserve">Review of 2010 Medicare CERT Report. Available at: </w:t>
      </w:r>
      <w:hyperlink r:id="rId10" w:history="1">
        <w:r w:rsidRPr="006C4190">
          <w:rPr>
            <w:rStyle w:val="Hyperlink"/>
          </w:rPr>
          <w:t>https://www.cms.gov/CERT/Downloads/Medicare_FFS_2010_CERT_Report.pdf</w:t>
        </w:r>
      </w:hyperlink>
    </w:p>
    <w:p w:rsidR="00E30BF5" w:rsidRDefault="00E30BF5" w:rsidP="00E30BF5">
      <w:r w:rsidRPr="006C4190">
        <w:lastRenderedPageBreak/>
        <w:t>As CMS audits a sample of claims for services provided under Medicare Part B, including emergency department use, as part of annual payment error calculations, additional validity testing of measure elements has not been conducted. The annual payment error calculation for 2010 involved a sample of Medicare claims that were then compared to medical records and included 31,766 claims for services provided under Medicare Part B.</w:t>
      </w:r>
    </w:p>
    <w:p w:rsidR="0032079E" w:rsidRPr="0032079E" w:rsidRDefault="0032079E" w:rsidP="0032079E">
      <w:pPr>
        <w:spacing w:after="120"/>
        <w:rPr>
          <w:i/>
          <w:u w:val="single"/>
        </w:rPr>
      </w:pPr>
      <w:r w:rsidRPr="0032079E">
        <w:rPr>
          <w:i/>
          <w:u w:val="single"/>
        </w:rPr>
        <w:t>Empirical Validity Testing - Method</w:t>
      </w:r>
    </w:p>
    <w:p w:rsidR="00833325" w:rsidRPr="00A25024" w:rsidRDefault="0032079E" w:rsidP="00DF2415">
      <w:pPr>
        <w:rPr>
          <w:rFonts w:cstheme="minorHAnsi"/>
          <w:bCs/>
        </w:rPr>
      </w:pPr>
      <w:r>
        <w:t>The measure developer assessed the convergent validity of the measure, which refers to the extent to which measures that are designed to assess the same construct are related to each other.  To evaluate the convergent validity of the measure, the measure developer compared the mean performance rates of home health agencies in the “better than expected” category on four measures of home health quality derived from OASIS assessments, compared to the performance of agencies who were not identified as “better than expected” (i.e., home health agencies in the “same as expected” plus “worse than expected” categories).</w:t>
      </w:r>
    </w:p>
    <w:p w:rsidR="0032079E" w:rsidRPr="008A0AA9" w:rsidRDefault="00092566" w:rsidP="0032079E">
      <w:pPr>
        <w:rPr>
          <w:i/>
          <w:u w:val="single"/>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32079E" w:rsidRPr="008A0AA9">
        <w:rPr>
          <w:i/>
          <w:u w:val="single"/>
        </w:rPr>
        <w:t>Critical Data Elements</w:t>
      </w:r>
      <w:r w:rsidR="0032079E">
        <w:rPr>
          <w:i/>
          <w:u w:val="single"/>
        </w:rPr>
        <w:t xml:space="preserve"> - Results</w:t>
      </w:r>
    </w:p>
    <w:p w:rsidR="00E30BF5" w:rsidRDefault="00E30BF5" w:rsidP="00E30BF5">
      <w:r w:rsidRPr="006C4190">
        <w:t>For Part B claims reviewed, 12.9% had some type of payment error. Payment errors include no documentation, insufficient documentation, medically unnecessary service, incorrect coding, and other.</w:t>
      </w:r>
    </w:p>
    <w:p w:rsidR="0032079E" w:rsidRPr="0032079E" w:rsidRDefault="0032079E" w:rsidP="0032079E">
      <w:pPr>
        <w:spacing w:after="120"/>
        <w:rPr>
          <w:i/>
          <w:u w:val="single"/>
        </w:rPr>
      </w:pPr>
      <w:r w:rsidRPr="0032079E">
        <w:rPr>
          <w:i/>
          <w:u w:val="single"/>
        </w:rPr>
        <w:t>Empirical Validity Testing - Results</w:t>
      </w:r>
    </w:p>
    <w:p w:rsidR="00EA71C6" w:rsidRDefault="0032079E" w:rsidP="00EA71C6">
      <w:r>
        <w:t xml:space="preserve">The table below compares the mean performance rates between home health agencies in the “better than expected” category and other home health agencies (i.e., home health agencies in the “same as </w:t>
      </w:r>
      <w:proofErr w:type="gramStart"/>
      <w:r>
        <w:t>expected” plus “worse</w:t>
      </w:r>
      <w:proofErr w:type="gramEnd"/>
      <w:r>
        <w:t xml:space="preserve"> than expected” categories) on four measures of home health quality derived from OASIS assessments.</w:t>
      </w:r>
    </w:p>
    <w:p w:rsidR="0032079E" w:rsidRPr="0032079E" w:rsidRDefault="0032079E" w:rsidP="00EA71C6">
      <w:pPr>
        <w:rPr>
          <w:b/>
        </w:rPr>
      </w:pPr>
      <w:r w:rsidRPr="0032079E">
        <w:rPr>
          <w:b/>
        </w:rPr>
        <w:t>Mean Performance Rates on OASIS Assessment Measures</w:t>
      </w:r>
    </w:p>
    <w:tbl>
      <w:tblPr>
        <w:tblW w:w="9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8"/>
        <w:gridCol w:w="1800"/>
        <w:gridCol w:w="2224"/>
        <w:gridCol w:w="1415"/>
      </w:tblGrid>
      <w:tr w:rsidR="0032079E" w:rsidRPr="0032079E" w:rsidTr="0029138C">
        <w:trPr>
          <w:trHeight w:val="206"/>
          <w:jc w:val="center"/>
        </w:trPr>
        <w:tc>
          <w:tcPr>
            <w:tcW w:w="3748" w:type="dxa"/>
            <w:vMerge w:val="restart"/>
            <w:shd w:val="clear" w:color="auto" w:fill="CDECFF"/>
            <w:noWrap/>
            <w:vAlign w:val="center"/>
            <w:hideMark/>
          </w:tcPr>
          <w:p w:rsidR="0032079E" w:rsidRPr="0032079E" w:rsidRDefault="0032079E" w:rsidP="0029138C">
            <w:pPr>
              <w:spacing w:after="0"/>
              <w:jc w:val="center"/>
              <w:rPr>
                <w:b/>
                <w:bCs/>
                <w:color w:val="000000"/>
              </w:rPr>
            </w:pPr>
            <w:r w:rsidRPr="0032079E">
              <w:rPr>
                <w:b/>
                <w:bCs/>
                <w:color w:val="000000"/>
              </w:rPr>
              <w:t>OASIS Assessment Measure</w:t>
            </w:r>
          </w:p>
        </w:tc>
        <w:tc>
          <w:tcPr>
            <w:tcW w:w="5439" w:type="dxa"/>
            <w:gridSpan w:val="3"/>
            <w:shd w:val="clear" w:color="auto" w:fill="CDECFF"/>
            <w:vAlign w:val="center"/>
            <w:hideMark/>
          </w:tcPr>
          <w:p w:rsidR="0032079E" w:rsidRPr="0032079E" w:rsidRDefault="0032079E" w:rsidP="0029138C">
            <w:pPr>
              <w:spacing w:after="0"/>
              <w:jc w:val="center"/>
              <w:rPr>
                <w:b/>
                <w:bCs/>
                <w:color w:val="000000"/>
              </w:rPr>
            </w:pPr>
            <w:r w:rsidRPr="0032079E">
              <w:rPr>
                <w:b/>
                <w:bCs/>
                <w:color w:val="000000"/>
              </w:rPr>
              <w:t>Mean Performance Rate</w:t>
            </w:r>
          </w:p>
        </w:tc>
      </w:tr>
      <w:tr w:rsidR="0032079E" w:rsidRPr="0032079E" w:rsidTr="0029138C">
        <w:trPr>
          <w:trHeight w:val="206"/>
          <w:jc w:val="center"/>
        </w:trPr>
        <w:tc>
          <w:tcPr>
            <w:tcW w:w="3748" w:type="dxa"/>
            <w:vMerge/>
            <w:shd w:val="clear" w:color="auto" w:fill="CDECFF"/>
            <w:noWrap/>
            <w:vAlign w:val="center"/>
          </w:tcPr>
          <w:p w:rsidR="0032079E" w:rsidRPr="0032079E" w:rsidRDefault="0032079E" w:rsidP="0029138C">
            <w:pPr>
              <w:spacing w:after="0"/>
              <w:jc w:val="center"/>
              <w:rPr>
                <w:b/>
                <w:bCs/>
                <w:color w:val="000000"/>
              </w:rPr>
            </w:pPr>
          </w:p>
        </w:tc>
        <w:tc>
          <w:tcPr>
            <w:tcW w:w="1800" w:type="dxa"/>
            <w:shd w:val="clear" w:color="auto" w:fill="CDECFF"/>
            <w:vAlign w:val="center"/>
          </w:tcPr>
          <w:p w:rsidR="0032079E" w:rsidRPr="0032079E" w:rsidRDefault="0032079E" w:rsidP="0029138C">
            <w:pPr>
              <w:spacing w:after="0"/>
              <w:jc w:val="center"/>
              <w:rPr>
                <w:b/>
                <w:bCs/>
                <w:color w:val="000000"/>
              </w:rPr>
            </w:pPr>
            <w:r w:rsidRPr="0032079E">
              <w:rPr>
                <w:b/>
                <w:bCs/>
                <w:color w:val="000000"/>
              </w:rPr>
              <w:t>“Better than Expected” Agencies</w:t>
            </w:r>
          </w:p>
        </w:tc>
        <w:tc>
          <w:tcPr>
            <w:tcW w:w="2224" w:type="dxa"/>
            <w:shd w:val="clear" w:color="auto" w:fill="CDECFF"/>
            <w:vAlign w:val="center"/>
          </w:tcPr>
          <w:p w:rsidR="0032079E" w:rsidRPr="0032079E" w:rsidRDefault="0032079E" w:rsidP="0029138C">
            <w:pPr>
              <w:spacing w:after="0"/>
              <w:jc w:val="center"/>
              <w:rPr>
                <w:b/>
                <w:bCs/>
                <w:color w:val="000000"/>
              </w:rPr>
            </w:pPr>
            <w:r w:rsidRPr="0032079E">
              <w:rPr>
                <w:b/>
                <w:bCs/>
                <w:color w:val="000000"/>
              </w:rPr>
              <w:t>“Worse than Expected” or “Same as Expected” Agencies</w:t>
            </w:r>
          </w:p>
        </w:tc>
        <w:tc>
          <w:tcPr>
            <w:tcW w:w="1415" w:type="dxa"/>
            <w:shd w:val="clear" w:color="auto" w:fill="CDECFF"/>
            <w:vAlign w:val="center"/>
          </w:tcPr>
          <w:p w:rsidR="0032079E" w:rsidRPr="0032079E" w:rsidRDefault="0032079E" w:rsidP="0029138C">
            <w:pPr>
              <w:spacing w:after="0"/>
              <w:jc w:val="center"/>
              <w:rPr>
                <w:b/>
                <w:bCs/>
                <w:color w:val="000000"/>
              </w:rPr>
            </w:pPr>
            <w:r w:rsidRPr="0032079E">
              <w:rPr>
                <w:b/>
                <w:bCs/>
                <w:color w:val="000000"/>
              </w:rPr>
              <w:t>Percent Point Difference</w:t>
            </w:r>
          </w:p>
        </w:tc>
      </w:tr>
      <w:tr w:rsidR="00E30BF5" w:rsidRPr="0032079E" w:rsidTr="0029138C">
        <w:trPr>
          <w:trHeight w:val="300"/>
          <w:jc w:val="center"/>
        </w:trPr>
        <w:tc>
          <w:tcPr>
            <w:tcW w:w="3748" w:type="dxa"/>
            <w:shd w:val="clear" w:color="auto" w:fill="auto"/>
            <w:noWrap/>
            <w:vAlign w:val="bottom"/>
          </w:tcPr>
          <w:p w:rsidR="00E30BF5" w:rsidRPr="00A16E82" w:rsidRDefault="00E30BF5" w:rsidP="0029138C">
            <w:pPr>
              <w:spacing w:after="0"/>
              <w:rPr>
                <w:color w:val="000000"/>
              </w:rPr>
            </w:pPr>
            <w:r w:rsidRPr="00A16E82">
              <w:rPr>
                <w:color w:val="000000"/>
              </w:rPr>
              <w:t>How often patients got better at taking their drugs correctly by mouth</w:t>
            </w:r>
          </w:p>
        </w:tc>
        <w:tc>
          <w:tcPr>
            <w:tcW w:w="1800" w:type="dxa"/>
            <w:shd w:val="clear" w:color="auto" w:fill="auto"/>
            <w:noWrap/>
            <w:vAlign w:val="center"/>
          </w:tcPr>
          <w:p w:rsidR="00E30BF5" w:rsidRPr="00A16E82" w:rsidRDefault="00E30BF5" w:rsidP="0029138C">
            <w:pPr>
              <w:spacing w:after="0"/>
              <w:jc w:val="center"/>
            </w:pPr>
            <w:r w:rsidRPr="00A16E82">
              <w:t>64.6%</w:t>
            </w:r>
          </w:p>
        </w:tc>
        <w:tc>
          <w:tcPr>
            <w:tcW w:w="2224" w:type="dxa"/>
            <w:vAlign w:val="center"/>
          </w:tcPr>
          <w:p w:rsidR="00E30BF5" w:rsidRPr="00A16E82" w:rsidRDefault="00E30BF5" w:rsidP="0029138C">
            <w:pPr>
              <w:spacing w:after="0"/>
              <w:jc w:val="center"/>
            </w:pPr>
            <w:r w:rsidRPr="00A16E82">
              <w:t>58.1%</w:t>
            </w:r>
          </w:p>
        </w:tc>
        <w:tc>
          <w:tcPr>
            <w:tcW w:w="1415" w:type="dxa"/>
            <w:vAlign w:val="center"/>
          </w:tcPr>
          <w:p w:rsidR="00E30BF5" w:rsidRPr="00A16E82" w:rsidRDefault="00E30BF5" w:rsidP="0029138C">
            <w:pPr>
              <w:spacing w:after="0"/>
              <w:jc w:val="center"/>
            </w:pPr>
            <w:r w:rsidRPr="00A16E82">
              <w:t>6.5%</w:t>
            </w:r>
          </w:p>
        </w:tc>
      </w:tr>
      <w:tr w:rsidR="00E30BF5" w:rsidRPr="0032079E" w:rsidTr="0029138C">
        <w:trPr>
          <w:trHeight w:val="300"/>
          <w:jc w:val="center"/>
        </w:trPr>
        <w:tc>
          <w:tcPr>
            <w:tcW w:w="3748" w:type="dxa"/>
            <w:shd w:val="clear" w:color="auto" w:fill="auto"/>
            <w:noWrap/>
            <w:vAlign w:val="bottom"/>
          </w:tcPr>
          <w:p w:rsidR="00E30BF5" w:rsidRPr="00A16E82" w:rsidRDefault="00E30BF5" w:rsidP="0029138C">
            <w:pPr>
              <w:spacing w:after="0"/>
              <w:rPr>
                <w:color w:val="000000"/>
              </w:rPr>
            </w:pPr>
            <w:r w:rsidRPr="00A16E82">
              <w:rPr>
                <w:color w:val="000000"/>
              </w:rPr>
              <w:t>How often the home health team checked patients for pain</w:t>
            </w:r>
          </w:p>
        </w:tc>
        <w:tc>
          <w:tcPr>
            <w:tcW w:w="1800" w:type="dxa"/>
            <w:shd w:val="clear" w:color="auto" w:fill="auto"/>
            <w:noWrap/>
            <w:vAlign w:val="center"/>
          </w:tcPr>
          <w:p w:rsidR="00E30BF5" w:rsidRPr="00A16E82" w:rsidRDefault="00E30BF5" w:rsidP="0029138C">
            <w:pPr>
              <w:spacing w:after="0"/>
              <w:jc w:val="center"/>
            </w:pPr>
            <w:r w:rsidRPr="00A16E82">
              <w:t>48.9%</w:t>
            </w:r>
          </w:p>
        </w:tc>
        <w:tc>
          <w:tcPr>
            <w:tcW w:w="2224" w:type="dxa"/>
            <w:vAlign w:val="center"/>
          </w:tcPr>
          <w:p w:rsidR="00E30BF5" w:rsidRPr="00A16E82" w:rsidRDefault="00E30BF5" w:rsidP="0029138C">
            <w:pPr>
              <w:spacing w:after="0"/>
              <w:jc w:val="center"/>
            </w:pPr>
            <w:r w:rsidRPr="00A16E82">
              <w:t>44.3%</w:t>
            </w:r>
          </w:p>
        </w:tc>
        <w:tc>
          <w:tcPr>
            <w:tcW w:w="1415" w:type="dxa"/>
            <w:vAlign w:val="center"/>
          </w:tcPr>
          <w:p w:rsidR="00E30BF5" w:rsidRPr="00A16E82" w:rsidRDefault="00E30BF5" w:rsidP="0029138C">
            <w:pPr>
              <w:spacing w:after="0"/>
              <w:jc w:val="center"/>
            </w:pPr>
            <w:r w:rsidRPr="00A16E82">
              <w:t>4.6%</w:t>
            </w:r>
          </w:p>
        </w:tc>
      </w:tr>
      <w:tr w:rsidR="00E30BF5" w:rsidRPr="0032079E" w:rsidTr="0029138C">
        <w:trPr>
          <w:trHeight w:val="300"/>
          <w:jc w:val="center"/>
        </w:trPr>
        <w:tc>
          <w:tcPr>
            <w:tcW w:w="3748" w:type="dxa"/>
            <w:shd w:val="clear" w:color="auto" w:fill="auto"/>
            <w:noWrap/>
            <w:vAlign w:val="bottom"/>
          </w:tcPr>
          <w:p w:rsidR="00E30BF5" w:rsidRPr="00A16E82" w:rsidRDefault="00E30BF5" w:rsidP="0029138C">
            <w:pPr>
              <w:spacing w:after="0"/>
              <w:rPr>
                <w:color w:val="000000"/>
              </w:rPr>
            </w:pPr>
            <w:r w:rsidRPr="00A16E82">
              <w:rPr>
                <w:color w:val="000000"/>
              </w:rPr>
              <w:t>How often the home health team determined whether patients received a flu shot for the current flu season</w:t>
            </w:r>
          </w:p>
        </w:tc>
        <w:tc>
          <w:tcPr>
            <w:tcW w:w="1800" w:type="dxa"/>
            <w:shd w:val="clear" w:color="auto" w:fill="auto"/>
            <w:noWrap/>
            <w:vAlign w:val="center"/>
          </w:tcPr>
          <w:p w:rsidR="00E30BF5" w:rsidRPr="00A16E82" w:rsidRDefault="00E30BF5" w:rsidP="0029138C">
            <w:pPr>
              <w:spacing w:after="0"/>
              <w:jc w:val="center"/>
            </w:pPr>
            <w:r w:rsidRPr="00A16E82">
              <w:t>55.5%</w:t>
            </w:r>
          </w:p>
        </w:tc>
        <w:tc>
          <w:tcPr>
            <w:tcW w:w="2224" w:type="dxa"/>
            <w:vAlign w:val="center"/>
          </w:tcPr>
          <w:p w:rsidR="00E30BF5" w:rsidRPr="00A16E82" w:rsidRDefault="00E30BF5" w:rsidP="0029138C">
            <w:pPr>
              <w:spacing w:after="0"/>
              <w:jc w:val="center"/>
            </w:pPr>
            <w:r w:rsidRPr="00A16E82">
              <w:t>51.2%</w:t>
            </w:r>
          </w:p>
        </w:tc>
        <w:tc>
          <w:tcPr>
            <w:tcW w:w="1415" w:type="dxa"/>
            <w:vAlign w:val="center"/>
          </w:tcPr>
          <w:p w:rsidR="00E30BF5" w:rsidRPr="00A16E82" w:rsidRDefault="00E30BF5" w:rsidP="0029138C">
            <w:pPr>
              <w:spacing w:after="0"/>
              <w:jc w:val="center"/>
            </w:pPr>
            <w:r w:rsidRPr="00A16E82">
              <w:t>4.3%</w:t>
            </w:r>
          </w:p>
        </w:tc>
      </w:tr>
      <w:tr w:rsidR="00E30BF5" w:rsidRPr="0032079E" w:rsidTr="0029138C">
        <w:trPr>
          <w:trHeight w:val="300"/>
          <w:jc w:val="center"/>
        </w:trPr>
        <w:tc>
          <w:tcPr>
            <w:tcW w:w="3748" w:type="dxa"/>
            <w:shd w:val="clear" w:color="auto" w:fill="auto"/>
            <w:noWrap/>
            <w:vAlign w:val="bottom"/>
          </w:tcPr>
          <w:p w:rsidR="00E30BF5" w:rsidRPr="00A16E82" w:rsidRDefault="00E30BF5" w:rsidP="0029138C">
            <w:pPr>
              <w:spacing w:after="0"/>
              <w:rPr>
                <w:color w:val="000000"/>
              </w:rPr>
            </w:pPr>
            <w:r w:rsidRPr="00A16E82">
              <w:rPr>
                <w:color w:val="000000"/>
              </w:rPr>
              <w:t>How often patients got better at bathing</w:t>
            </w:r>
          </w:p>
        </w:tc>
        <w:tc>
          <w:tcPr>
            <w:tcW w:w="1800" w:type="dxa"/>
            <w:shd w:val="clear" w:color="auto" w:fill="auto"/>
            <w:noWrap/>
            <w:vAlign w:val="center"/>
          </w:tcPr>
          <w:p w:rsidR="00E30BF5" w:rsidRPr="00A16E82" w:rsidRDefault="00E30BF5" w:rsidP="0029138C">
            <w:pPr>
              <w:spacing w:after="0"/>
              <w:jc w:val="center"/>
            </w:pPr>
            <w:r w:rsidRPr="00A16E82">
              <w:t>65.7%</w:t>
            </w:r>
          </w:p>
        </w:tc>
        <w:tc>
          <w:tcPr>
            <w:tcW w:w="2224" w:type="dxa"/>
            <w:vAlign w:val="center"/>
          </w:tcPr>
          <w:p w:rsidR="00E30BF5" w:rsidRPr="00A16E82" w:rsidRDefault="00E30BF5" w:rsidP="0029138C">
            <w:pPr>
              <w:spacing w:after="0"/>
              <w:jc w:val="center"/>
            </w:pPr>
            <w:r w:rsidRPr="00A16E82">
              <w:t>62.2%</w:t>
            </w:r>
          </w:p>
        </w:tc>
        <w:tc>
          <w:tcPr>
            <w:tcW w:w="1415" w:type="dxa"/>
            <w:vAlign w:val="center"/>
          </w:tcPr>
          <w:p w:rsidR="00E30BF5" w:rsidRPr="00A16E82" w:rsidRDefault="00E30BF5" w:rsidP="0029138C">
            <w:pPr>
              <w:spacing w:after="0"/>
              <w:jc w:val="center"/>
            </w:pPr>
            <w:r w:rsidRPr="00A16E82">
              <w:t>3.5%</w:t>
            </w:r>
          </w:p>
        </w:tc>
      </w:tr>
    </w:tbl>
    <w:p w:rsidR="007422FD" w:rsidRPr="00092566" w:rsidRDefault="007422FD" w:rsidP="00092566">
      <w:pPr>
        <w:autoSpaceDE w:val="0"/>
        <w:autoSpaceDN w:val="0"/>
        <w:adjustRightInd w:val="0"/>
        <w:spacing w:after="0" w:line="240" w:lineRule="auto"/>
        <w:rPr>
          <w:rFonts w:cstheme="minorHAnsi"/>
          <w:bCs/>
        </w:rPr>
      </w:pPr>
    </w:p>
    <w:p w:rsidR="0032079E" w:rsidRPr="008A0AA9" w:rsidRDefault="00092566" w:rsidP="0032079E">
      <w:pPr>
        <w:rPr>
          <w:i/>
          <w:u w:val="single"/>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32079E" w:rsidRPr="008A0AA9">
        <w:rPr>
          <w:i/>
          <w:u w:val="single"/>
        </w:rPr>
        <w:t>Critical Data Elements</w:t>
      </w:r>
      <w:r w:rsidR="0032079E">
        <w:rPr>
          <w:i/>
          <w:u w:val="single"/>
        </w:rPr>
        <w:t xml:space="preserve"> - Interpretation</w:t>
      </w:r>
    </w:p>
    <w:p w:rsidR="00E30BF5" w:rsidRDefault="00E30BF5" w:rsidP="00E30BF5">
      <w:r>
        <w:t>The majority of Part B claims with some type of payment error didn’t include an error in the place of service.  12.9% represents a high upper bound for the fraction of claims for outpatient ED visits that do not represent true visits.</w:t>
      </w:r>
    </w:p>
    <w:p w:rsidR="0032079E" w:rsidRPr="0032079E" w:rsidRDefault="0032079E" w:rsidP="0032079E">
      <w:pPr>
        <w:spacing w:after="120"/>
        <w:rPr>
          <w:i/>
          <w:u w:val="single"/>
        </w:rPr>
      </w:pPr>
      <w:r w:rsidRPr="0032079E">
        <w:rPr>
          <w:i/>
          <w:u w:val="single"/>
        </w:rPr>
        <w:t>Empirical Validity Testing - Interpretation</w:t>
      </w:r>
    </w:p>
    <w:p w:rsidR="007422FD" w:rsidRDefault="00E30BF5" w:rsidP="00DF2415">
      <w:r>
        <w:t xml:space="preserve">On average, “better than expected” home health agencies perform better on the four OASIS assessment measures above compared to agencies in the pooled “worse than expected” or “same as expected” category, which lends evidence to the measure’s validity.  The percent point difference ranges from ~4 percent on the “how often patients got better at bathing” measure to ~7 percent on the “how often patients got better at taking their drugs correctly by mouth” measure.  </w:t>
      </w:r>
      <w:r w:rsidR="0032079E">
        <w:t>It may be that strong performance on the other measures directly reduces rehospitalizations (e.g., patients who receive the flu vaccine are less likely to catch the flu and require hospitalization).  It may also be the case that high quality agencies perform well on both the current measure and other OASIS-based  measures due to cultural or organization factors.</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32079E" w:rsidRDefault="00092566" w:rsidP="00DF2415">
      <w:r>
        <w:rPr>
          <w:b/>
        </w:rPr>
        <w:t>2b3.</w:t>
      </w:r>
      <w:r w:rsidR="00A25024" w:rsidRPr="00A25024">
        <w:rPr>
          <w:b/>
        </w:rPr>
        <w:t>1. Describe the method of</w:t>
      </w:r>
      <w:r w:rsidR="00E672D6" w:rsidRPr="00A25024">
        <w:rPr>
          <w:b/>
        </w:rPr>
        <w:t xml:space="preserve"> </w:t>
      </w:r>
      <w:r w:rsidR="005333CC" w:rsidRPr="00A25024">
        <w:rPr>
          <w:b/>
        </w:rPr>
        <w:t>testing</w:t>
      </w:r>
      <w:r w:rsidR="00833325" w:rsidRPr="00A25024">
        <w:rPr>
          <w:b/>
        </w:rPr>
        <w:t xml:space="preserve"> </w:t>
      </w:r>
      <w:r w:rsidR="004B6CEE" w:rsidRPr="00A25024">
        <w:rPr>
          <w:b/>
        </w:rPr>
        <w:t xml:space="preserve">exclusions </w:t>
      </w:r>
      <w:r w:rsidR="00A25024" w:rsidRPr="00A25024">
        <w:rPr>
          <w:b/>
        </w:rPr>
        <w:t>and what it tests</w:t>
      </w:r>
      <w:r w:rsidR="00833325" w:rsidRPr="00A25024">
        <w:t xml:space="preserve"> (</w:t>
      </w:r>
      <w:r w:rsidR="00A25024" w:rsidRPr="00A25024">
        <w:t>describe the steps―do not just name a method; what was tested, e.g.,</w:t>
      </w:r>
      <w:r w:rsidR="00A25024">
        <w:t xml:space="preserve"> whether exclusions affect overall performance scores</w:t>
      </w:r>
      <w:r w:rsidR="0022691B">
        <w:t>; what statistical analysis was used</w:t>
      </w:r>
      <w:r w:rsidR="0032079E">
        <w:t>)</w:t>
      </w:r>
      <w:r w:rsidR="0032079E">
        <w:br/>
      </w:r>
      <w:r w:rsidR="0032079E" w:rsidRPr="003A7910">
        <w:t xml:space="preserve">The measure developer calculated frequency of exclusions by exclusion </w:t>
      </w:r>
      <w:r w:rsidR="0032079E" w:rsidRPr="0059114C">
        <w:t>type</w:t>
      </w:r>
      <w:r w:rsidR="0032079E">
        <w:t>, using data from July 2010 – June 2012</w:t>
      </w:r>
      <w:r w:rsidR="0032079E" w:rsidRPr="0059114C">
        <w:t xml:space="preserve">.  </w:t>
      </w:r>
      <w:r w:rsidR="0032079E">
        <w:t xml:space="preserve">The measure denominator excludes several types of home health stays:  </w:t>
      </w:r>
    </w:p>
    <w:p w:rsidR="0032079E" w:rsidRDefault="0032079E" w:rsidP="0032079E">
      <w:pPr>
        <w:numPr>
          <w:ilvl w:val="0"/>
          <w:numId w:val="27"/>
        </w:numPr>
        <w:spacing w:after="120" w:line="240" w:lineRule="auto"/>
      </w:pPr>
      <w:r>
        <w:t xml:space="preserve">First, the measure denominator for the </w:t>
      </w:r>
      <w:r w:rsidRPr="005363FE">
        <w:rPr>
          <w:i/>
        </w:rPr>
        <w:t xml:space="preserve">Rehospitalization During the First 30 Days of Home Health </w:t>
      </w:r>
      <w:r>
        <w:t xml:space="preserve">measure excludes the following home health stays that are also excluded from the all-patient claims-based </w:t>
      </w:r>
      <w:r w:rsidRPr="005363FE">
        <w:rPr>
          <w:i/>
        </w:rPr>
        <w:t>NQF 0171 Acute Care Hospitalization</w:t>
      </w:r>
      <w:r>
        <w:t xml:space="preserve"> measure: </w:t>
      </w:r>
    </w:p>
    <w:p w:rsidR="0032079E" w:rsidRDefault="0032079E" w:rsidP="0032079E">
      <w:pPr>
        <w:numPr>
          <w:ilvl w:val="1"/>
          <w:numId w:val="27"/>
        </w:numPr>
        <w:spacing w:after="120" w:line="240" w:lineRule="auto"/>
      </w:pPr>
      <w:r>
        <w:t xml:space="preserve">Stays for patients who are not continuously enrolled in fee-for-service Medicare during the measure numerator window </w:t>
      </w:r>
      <w:r w:rsidRPr="003A7910">
        <w:t xml:space="preserve"> </w:t>
      </w:r>
    </w:p>
    <w:p w:rsidR="0032079E" w:rsidRPr="003A7910" w:rsidRDefault="0032079E" w:rsidP="0032079E">
      <w:pPr>
        <w:numPr>
          <w:ilvl w:val="1"/>
          <w:numId w:val="27"/>
        </w:numPr>
        <w:spacing w:after="120" w:line="240" w:lineRule="auto"/>
      </w:pPr>
      <w:r>
        <w:t>St</w:t>
      </w:r>
      <w:r w:rsidRPr="003A7910">
        <w:t xml:space="preserve">ays that begin with a Low-Utilization Payment Adjustment (LUPA). Stays with four or fewer visits to the beneficiary qualify for LUPAs. </w:t>
      </w:r>
    </w:p>
    <w:p w:rsidR="0032079E" w:rsidRPr="003A7910" w:rsidRDefault="0032079E" w:rsidP="0032079E">
      <w:pPr>
        <w:numPr>
          <w:ilvl w:val="1"/>
          <w:numId w:val="27"/>
        </w:numPr>
        <w:spacing w:after="120" w:line="240" w:lineRule="auto"/>
      </w:pPr>
      <w:r w:rsidRPr="003A7910">
        <w:t xml:space="preserve">Stays in which the patient is transferred to another home health agency within a home health payment episode (60 days). </w:t>
      </w:r>
    </w:p>
    <w:p w:rsidR="0032079E" w:rsidRPr="003A7910" w:rsidRDefault="0032079E" w:rsidP="0032079E">
      <w:pPr>
        <w:numPr>
          <w:ilvl w:val="1"/>
          <w:numId w:val="27"/>
        </w:numPr>
        <w:spacing w:after="120" w:line="240" w:lineRule="auto"/>
      </w:pPr>
      <w:r w:rsidRPr="003A7910">
        <w:t xml:space="preserve">Stays in which the patient is not continuously enrolled in Medicare fee-for-service during the previous six months. </w:t>
      </w:r>
    </w:p>
    <w:p w:rsidR="0032079E" w:rsidRDefault="0032079E" w:rsidP="0032079E">
      <w:pPr>
        <w:numPr>
          <w:ilvl w:val="0"/>
          <w:numId w:val="27"/>
        </w:numPr>
        <w:spacing w:after="120" w:line="240" w:lineRule="auto"/>
      </w:pPr>
      <w:r>
        <w:t xml:space="preserve">Second, to be consistent with the </w:t>
      </w:r>
      <w:r>
        <w:rPr>
          <w:i/>
        </w:rPr>
        <w:t>Hospital-Wide All-Cause Unplanned Readmission</w:t>
      </w:r>
      <w:r>
        <w:t xml:space="preserve"> measure (as of January 2013), the measure denominator excludes s</w:t>
      </w:r>
      <w:r w:rsidRPr="003A7910">
        <w:t xml:space="preserve">tays in which the hospitalization </w:t>
      </w:r>
      <w:r w:rsidRPr="003A7910">
        <w:lastRenderedPageBreak/>
        <w:t xml:space="preserve">occurring within 5 days of the start of home health care is not a qualifying inpatient stay. Hospitalizations that do not qualify as index hospitalizations include admissions for the </w:t>
      </w:r>
      <w:r>
        <w:t xml:space="preserve">medical </w:t>
      </w:r>
      <w:r w:rsidRPr="003A7910">
        <w:t xml:space="preserve">treatment of cancer, </w:t>
      </w:r>
      <w:r>
        <w:t xml:space="preserve">primary </w:t>
      </w:r>
      <w:r w:rsidRPr="003A7910">
        <w:t>psychiatric disease, or rehabilitation</w:t>
      </w:r>
      <w:r>
        <w:t xml:space="preserve"> care</w:t>
      </w:r>
      <w:r w:rsidRPr="003A7910">
        <w:t>, and admissions ending in patient discharge against medical advice.</w:t>
      </w:r>
      <w:r>
        <w:t xml:space="preserve">  </w:t>
      </w:r>
    </w:p>
    <w:p w:rsidR="0032079E" w:rsidRDefault="0032079E" w:rsidP="0032079E">
      <w:pPr>
        <w:numPr>
          <w:ilvl w:val="0"/>
          <w:numId w:val="27"/>
        </w:numPr>
        <w:spacing w:after="120" w:line="240" w:lineRule="auto"/>
      </w:pPr>
      <w:r>
        <w:t>Third, the measure denominator excludes s</w:t>
      </w:r>
      <w:r w:rsidRPr="003A7910">
        <w:t>tays in which the patient receives treatment in another setting in the 5 days between hospital discharge and the start of home health.</w:t>
      </w:r>
      <w:r>
        <w:t xml:space="preserve">  </w:t>
      </w:r>
    </w:p>
    <w:p w:rsidR="0032079E" w:rsidRDefault="0032079E" w:rsidP="0032079E">
      <w:pPr>
        <w:numPr>
          <w:ilvl w:val="0"/>
          <w:numId w:val="27"/>
        </w:numPr>
        <w:spacing w:after="120" w:line="240" w:lineRule="auto"/>
      </w:pPr>
      <w:r>
        <w:t xml:space="preserve">Finally, stays with missing payment-episode authorization strings are excluded. </w:t>
      </w:r>
      <w:r w:rsidRPr="003A7910">
        <w:t xml:space="preserve">  </w:t>
      </w:r>
    </w:p>
    <w:p w:rsidR="00A93E0E" w:rsidRDefault="00092566" w:rsidP="00A93E0E">
      <w:pPr>
        <w:spacing w:after="0"/>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rsidR="0032079E" w:rsidRPr="0032079E" w:rsidRDefault="00833325" w:rsidP="00A93E0E">
      <w:pPr>
        <w:spacing w:after="0"/>
        <w:jc w:val="center"/>
        <w:rPr>
          <w:b/>
        </w:rPr>
      </w:pPr>
      <w:r w:rsidRPr="00A25024">
        <w:rPr>
          <w:rFonts w:cstheme="minorHAnsi"/>
          <w:bCs/>
        </w:rPr>
        <w:br/>
      </w:r>
      <w:r w:rsidR="0032079E" w:rsidRPr="0032079E">
        <w:rPr>
          <w:b/>
        </w:rPr>
        <w:t>Measure Denominator Exclusion, July 2010 – June 2012</w:t>
      </w:r>
    </w:p>
    <w:tbl>
      <w:tblPr>
        <w:tblW w:w="7730" w:type="dxa"/>
        <w:jc w:val="center"/>
        <w:tblCellMar>
          <w:left w:w="0" w:type="dxa"/>
          <w:right w:w="0" w:type="dxa"/>
        </w:tblCellMar>
        <w:tblLook w:val="04A0" w:firstRow="1" w:lastRow="0" w:firstColumn="1" w:lastColumn="0" w:noHBand="0" w:noVBand="1"/>
      </w:tblPr>
      <w:tblGrid>
        <w:gridCol w:w="4750"/>
        <w:gridCol w:w="990"/>
        <w:gridCol w:w="995"/>
        <w:gridCol w:w="995"/>
      </w:tblGrid>
      <w:tr w:rsidR="0032079E" w:rsidRPr="0032079E" w:rsidTr="0029138C">
        <w:trPr>
          <w:trHeight w:val="50"/>
          <w:jc w:val="center"/>
        </w:trPr>
        <w:tc>
          <w:tcPr>
            <w:tcW w:w="4750" w:type="dxa"/>
            <w:tcBorders>
              <w:top w:val="single" w:sz="4" w:space="0" w:color="auto"/>
              <w:left w:val="single" w:sz="4" w:space="0" w:color="auto"/>
              <w:bottom w:val="single" w:sz="4" w:space="0" w:color="auto"/>
              <w:right w:val="single" w:sz="4" w:space="0" w:color="auto"/>
            </w:tcBorders>
            <w:shd w:val="clear" w:color="auto" w:fill="CDECFF"/>
            <w:tcMar>
              <w:top w:w="15" w:type="dxa"/>
              <w:left w:w="108" w:type="dxa"/>
              <w:bottom w:w="0" w:type="dxa"/>
              <w:right w:w="108" w:type="dxa"/>
            </w:tcMar>
            <w:vAlign w:val="center"/>
            <w:hideMark/>
          </w:tcPr>
          <w:p w:rsidR="0032079E" w:rsidRPr="0032079E" w:rsidRDefault="0032079E" w:rsidP="0029138C">
            <w:pPr>
              <w:spacing w:after="0"/>
              <w:jc w:val="center"/>
              <w:rPr>
                <w:b/>
              </w:rPr>
            </w:pPr>
            <w:r w:rsidRPr="0032079E">
              <w:rPr>
                <w:b/>
              </w:rPr>
              <w:t>Home Health Stays</w:t>
            </w:r>
          </w:p>
        </w:tc>
        <w:tc>
          <w:tcPr>
            <w:tcW w:w="990" w:type="dxa"/>
            <w:tcBorders>
              <w:top w:val="single" w:sz="4" w:space="0" w:color="auto"/>
              <w:left w:val="single" w:sz="4" w:space="0" w:color="auto"/>
              <w:bottom w:val="single" w:sz="4" w:space="0" w:color="auto"/>
              <w:right w:val="single" w:sz="4" w:space="0" w:color="auto"/>
            </w:tcBorders>
            <w:shd w:val="clear" w:color="auto" w:fill="CDECFF"/>
            <w:vAlign w:val="center"/>
          </w:tcPr>
          <w:p w:rsidR="0032079E" w:rsidRPr="0032079E" w:rsidRDefault="0032079E" w:rsidP="0029138C">
            <w:pPr>
              <w:spacing w:after="0"/>
              <w:jc w:val="center"/>
              <w:rPr>
                <w:b/>
              </w:rPr>
            </w:pPr>
            <w:r w:rsidRPr="0032079E">
              <w:rPr>
                <w:b/>
              </w:rPr>
              <w:t># of Stays Excluded</w:t>
            </w:r>
          </w:p>
        </w:tc>
        <w:tc>
          <w:tcPr>
            <w:tcW w:w="995" w:type="dxa"/>
            <w:tcBorders>
              <w:top w:val="single" w:sz="4" w:space="0" w:color="auto"/>
              <w:left w:val="single" w:sz="4" w:space="0" w:color="auto"/>
              <w:bottom w:val="single" w:sz="4" w:space="0" w:color="auto"/>
              <w:right w:val="single" w:sz="4" w:space="0" w:color="auto"/>
            </w:tcBorders>
            <w:shd w:val="clear" w:color="auto" w:fill="CDECFF"/>
          </w:tcPr>
          <w:p w:rsidR="0032079E" w:rsidRPr="0032079E" w:rsidRDefault="0032079E" w:rsidP="0029138C">
            <w:pPr>
              <w:spacing w:after="0"/>
              <w:jc w:val="center"/>
              <w:rPr>
                <w:b/>
              </w:rPr>
            </w:pPr>
            <w:r w:rsidRPr="0032079E">
              <w:rPr>
                <w:b/>
              </w:rPr>
              <w:t>% of Stays Excluded</w:t>
            </w:r>
          </w:p>
        </w:tc>
        <w:tc>
          <w:tcPr>
            <w:tcW w:w="995" w:type="dxa"/>
            <w:tcBorders>
              <w:top w:val="single" w:sz="4" w:space="0" w:color="auto"/>
              <w:left w:val="single" w:sz="4" w:space="0" w:color="auto"/>
              <w:bottom w:val="single" w:sz="4" w:space="0" w:color="auto"/>
              <w:right w:val="single" w:sz="4" w:space="0" w:color="auto"/>
            </w:tcBorders>
            <w:shd w:val="clear" w:color="auto" w:fill="CDECFF"/>
            <w:vAlign w:val="center"/>
          </w:tcPr>
          <w:p w:rsidR="0032079E" w:rsidRPr="0032079E" w:rsidRDefault="0032079E" w:rsidP="0029138C">
            <w:pPr>
              <w:spacing w:after="0"/>
              <w:jc w:val="center"/>
              <w:rPr>
                <w:b/>
              </w:rPr>
            </w:pPr>
            <w:r w:rsidRPr="0032079E">
              <w:rPr>
                <w:b/>
              </w:rPr>
              <w:t># of Stays Remaining</w:t>
            </w:r>
          </w:p>
        </w:tc>
      </w:tr>
      <w:tr w:rsidR="0032079E" w:rsidRPr="0032079E" w:rsidTr="0029138C">
        <w:trPr>
          <w:trHeight w:val="50"/>
          <w:jc w:val="center"/>
        </w:trPr>
        <w:tc>
          <w:tcPr>
            <w:tcW w:w="475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bottom"/>
          </w:tcPr>
          <w:p w:rsidR="0032079E" w:rsidRPr="0032079E" w:rsidRDefault="0032079E" w:rsidP="0029138C">
            <w:pPr>
              <w:spacing w:after="0"/>
              <w:rPr>
                <w:b/>
              </w:rPr>
            </w:pPr>
            <w:r w:rsidRPr="0032079E">
              <w:t>A. Total home health stays beginning within 5 days of hospital discharge</w:t>
            </w:r>
          </w:p>
        </w:tc>
        <w:tc>
          <w:tcPr>
            <w:tcW w:w="990"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29138C">
            <w:pPr>
              <w:spacing w:after="0"/>
              <w:jc w:val="center"/>
              <w:rPr>
                <w:highlight w:val="yellow"/>
              </w:rPr>
            </w:pPr>
            <w:r w:rsidRPr="0032079E">
              <w:t>N/A</w:t>
            </w:r>
          </w:p>
        </w:tc>
        <w:tc>
          <w:tcPr>
            <w:tcW w:w="995"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29138C">
            <w:pPr>
              <w:spacing w:after="0"/>
              <w:jc w:val="center"/>
              <w:rPr>
                <w:highlight w:val="yellow"/>
              </w:rPr>
            </w:pPr>
            <w:r w:rsidRPr="0032079E">
              <w:t>N/A</w:t>
            </w:r>
          </w:p>
        </w:tc>
        <w:tc>
          <w:tcPr>
            <w:tcW w:w="995"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29138C">
            <w:pPr>
              <w:spacing w:after="0"/>
              <w:jc w:val="center"/>
              <w:rPr>
                <w:highlight w:val="yellow"/>
              </w:rPr>
            </w:pPr>
            <w:r w:rsidRPr="0032079E">
              <w:rPr>
                <w:rFonts w:ascii="Calibri" w:hAnsi="Calibri"/>
              </w:rPr>
              <w:t>2,482,662</w:t>
            </w:r>
          </w:p>
        </w:tc>
      </w:tr>
      <w:tr w:rsidR="0032079E" w:rsidRPr="0032079E" w:rsidTr="0029138C">
        <w:trPr>
          <w:trHeight w:val="50"/>
          <w:jc w:val="center"/>
        </w:trPr>
        <w:tc>
          <w:tcPr>
            <w:tcW w:w="475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bottom"/>
          </w:tcPr>
          <w:p w:rsidR="0032079E" w:rsidRPr="0032079E" w:rsidRDefault="0032079E" w:rsidP="0029138C">
            <w:pPr>
              <w:spacing w:after="0"/>
            </w:pPr>
            <w:r w:rsidRPr="0032079E">
              <w:t xml:space="preserve">B. Home health stays that meet the denominator criteria for all-patient claims-based </w:t>
            </w:r>
            <w:r w:rsidRPr="0032079E">
              <w:rPr>
                <w:i/>
              </w:rPr>
              <w:t>NQF 0171 Acute Care Hospitalization</w:t>
            </w:r>
            <w:r w:rsidRPr="0032079E">
              <w:t xml:space="preserve"> measure</w:t>
            </w:r>
          </w:p>
        </w:tc>
        <w:tc>
          <w:tcPr>
            <w:tcW w:w="990"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29138C">
            <w:pPr>
              <w:spacing w:after="0"/>
              <w:jc w:val="center"/>
              <w:rPr>
                <w:highlight w:val="yellow"/>
              </w:rPr>
            </w:pPr>
            <w:r w:rsidRPr="0032079E">
              <w:rPr>
                <w:rFonts w:ascii="Calibri" w:hAnsi="Calibri"/>
              </w:rPr>
              <w:t>418,476</w:t>
            </w:r>
          </w:p>
        </w:tc>
        <w:tc>
          <w:tcPr>
            <w:tcW w:w="995"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29138C">
            <w:pPr>
              <w:spacing w:after="0"/>
              <w:jc w:val="center"/>
              <w:rPr>
                <w:highlight w:val="yellow"/>
              </w:rPr>
            </w:pPr>
            <w:r w:rsidRPr="0032079E">
              <w:t>16.86</w:t>
            </w:r>
          </w:p>
        </w:tc>
        <w:tc>
          <w:tcPr>
            <w:tcW w:w="995"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29138C">
            <w:pPr>
              <w:spacing w:after="0"/>
              <w:jc w:val="center"/>
              <w:rPr>
                <w:highlight w:val="yellow"/>
              </w:rPr>
            </w:pPr>
            <w:r w:rsidRPr="0032079E">
              <w:rPr>
                <w:rFonts w:ascii="Calibri" w:hAnsi="Calibri"/>
              </w:rPr>
              <w:t>2,064,186</w:t>
            </w:r>
          </w:p>
        </w:tc>
      </w:tr>
      <w:tr w:rsidR="0032079E" w:rsidRPr="0032079E" w:rsidTr="0029138C">
        <w:trPr>
          <w:trHeight w:val="50"/>
          <w:jc w:val="center"/>
        </w:trPr>
        <w:tc>
          <w:tcPr>
            <w:tcW w:w="475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bottom"/>
          </w:tcPr>
          <w:p w:rsidR="0032079E" w:rsidRPr="0032079E" w:rsidRDefault="0032079E" w:rsidP="0029138C">
            <w:pPr>
              <w:spacing w:after="0"/>
            </w:pPr>
            <w:r w:rsidRPr="0032079E">
              <w:t xml:space="preserve">C. Home health stays from B that meet the denominator criteria for the </w:t>
            </w:r>
            <w:r w:rsidRPr="0032079E">
              <w:rPr>
                <w:i/>
              </w:rPr>
              <w:t>Hospital-Wide All-Cause Unplanned Readmission</w:t>
            </w:r>
            <w:r w:rsidRPr="0032079E">
              <w:t xml:space="preserve"> measure</w:t>
            </w:r>
          </w:p>
        </w:tc>
        <w:tc>
          <w:tcPr>
            <w:tcW w:w="990"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29138C">
            <w:pPr>
              <w:spacing w:after="0"/>
              <w:jc w:val="center"/>
              <w:rPr>
                <w:highlight w:val="yellow"/>
              </w:rPr>
            </w:pPr>
            <w:r w:rsidRPr="0032079E">
              <w:rPr>
                <w:rFonts w:ascii="Calibri" w:hAnsi="Calibri"/>
              </w:rPr>
              <w:t>113,454</w:t>
            </w:r>
          </w:p>
        </w:tc>
        <w:tc>
          <w:tcPr>
            <w:tcW w:w="995"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29138C">
            <w:pPr>
              <w:spacing w:after="0"/>
              <w:jc w:val="center"/>
              <w:rPr>
                <w:highlight w:val="yellow"/>
              </w:rPr>
            </w:pPr>
            <w:r w:rsidRPr="0032079E">
              <w:t>5.50</w:t>
            </w:r>
          </w:p>
        </w:tc>
        <w:tc>
          <w:tcPr>
            <w:tcW w:w="995"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29138C">
            <w:pPr>
              <w:spacing w:after="0"/>
              <w:jc w:val="center"/>
              <w:rPr>
                <w:highlight w:val="yellow"/>
              </w:rPr>
            </w:pPr>
            <w:r w:rsidRPr="0032079E">
              <w:rPr>
                <w:rFonts w:ascii="Calibri" w:hAnsi="Calibri"/>
              </w:rPr>
              <w:t>1,950,732</w:t>
            </w:r>
          </w:p>
        </w:tc>
      </w:tr>
      <w:tr w:rsidR="0032079E" w:rsidRPr="0032079E" w:rsidTr="0029138C">
        <w:trPr>
          <w:trHeight w:val="50"/>
          <w:jc w:val="center"/>
        </w:trPr>
        <w:tc>
          <w:tcPr>
            <w:tcW w:w="475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bottom"/>
          </w:tcPr>
          <w:p w:rsidR="0032079E" w:rsidRPr="0032079E" w:rsidRDefault="0032079E" w:rsidP="0029138C">
            <w:pPr>
              <w:spacing w:after="0"/>
            </w:pPr>
            <w:r w:rsidRPr="0032079E">
              <w:t>D. Home health stays from C that exclude stays in which the patient receives treatment in another setting in the 5 days between hospital discharge and the start of home health</w:t>
            </w:r>
          </w:p>
        </w:tc>
        <w:tc>
          <w:tcPr>
            <w:tcW w:w="990"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29138C">
            <w:pPr>
              <w:spacing w:after="0"/>
              <w:jc w:val="center"/>
              <w:rPr>
                <w:highlight w:val="yellow"/>
              </w:rPr>
            </w:pPr>
            <w:r w:rsidRPr="0032079E">
              <w:rPr>
                <w:rFonts w:ascii="Calibri" w:hAnsi="Calibri"/>
              </w:rPr>
              <w:t>23,237</w:t>
            </w:r>
          </w:p>
        </w:tc>
        <w:tc>
          <w:tcPr>
            <w:tcW w:w="995"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29138C">
            <w:pPr>
              <w:spacing w:after="0"/>
              <w:jc w:val="center"/>
              <w:rPr>
                <w:highlight w:val="yellow"/>
              </w:rPr>
            </w:pPr>
            <w:r w:rsidRPr="0032079E">
              <w:rPr>
                <w:rFonts w:ascii="Calibri" w:hAnsi="Calibri"/>
              </w:rPr>
              <w:t>1.12</w:t>
            </w:r>
          </w:p>
        </w:tc>
        <w:tc>
          <w:tcPr>
            <w:tcW w:w="995"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29138C">
            <w:pPr>
              <w:spacing w:after="0"/>
              <w:jc w:val="center"/>
              <w:rPr>
                <w:highlight w:val="yellow"/>
              </w:rPr>
            </w:pPr>
            <w:r w:rsidRPr="0032079E">
              <w:rPr>
                <w:rFonts w:ascii="Calibri" w:hAnsi="Calibri"/>
              </w:rPr>
              <w:t>1,927,495</w:t>
            </w:r>
          </w:p>
        </w:tc>
      </w:tr>
      <w:tr w:rsidR="0032079E" w:rsidRPr="0032079E" w:rsidTr="0029138C">
        <w:trPr>
          <w:trHeight w:val="50"/>
          <w:jc w:val="center"/>
        </w:trPr>
        <w:tc>
          <w:tcPr>
            <w:tcW w:w="475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bottom"/>
          </w:tcPr>
          <w:p w:rsidR="0032079E" w:rsidRPr="0032079E" w:rsidRDefault="0032079E" w:rsidP="0029138C">
            <w:pPr>
              <w:spacing w:after="0"/>
            </w:pPr>
            <w:r w:rsidRPr="0032079E">
              <w:t xml:space="preserve">E. Home health stays with all risk adjustment data available (i.e., stays with missing payment-episode authorization strings are dropped)  </w:t>
            </w:r>
          </w:p>
        </w:tc>
        <w:tc>
          <w:tcPr>
            <w:tcW w:w="990"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29138C">
            <w:pPr>
              <w:spacing w:after="0"/>
              <w:jc w:val="center"/>
              <w:rPr>
                <w:highlight w:val="yellow"/>
              </w:rPr>
            </w:pPr>
            <w:r w:rsidRPr="0032079E">
              <w:rPr>
                <w:rFonts w:ascii="Calibri" w:hAnsi="Calibri"/>
              </w:rPr>
              <w:t>952</w:t>
            </w:r>
          </w:p>
        </w:tc>
        <w:tc>
          <w:tcPr>
            <w:tcW w:w="995"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29138C">
            <w:pPr>
              <w:spacing w:after="0"/>
              <w:jc w:val="center"/>
              <w:rPr>
                <w:highlight w:val="yellow"/>
              </w:rPr>
            </w:pPr>
            <w:r w:rsidRPr="0032079E">
              <w:rPr>
                <w:rFonts w:ascii="Calibri" w:hAnsi="Calibri"/>
              </w:rPr>
              <w:t>0.05</w:t>
            </w:r>
          </w:p>
        </w:tc>
        <w:tc>
          <w:tcPr>
            <w:tcW w:w="995" w:type="dxa"/>
            <w:tcBorders>
              <w:top w:val="single" w:sz="4" w:space="0" w:color="auto"/>
              <w:left w:val="single" w:sz="4" w:space="0" w:color="auto"/>
              <w:bottom w:val="single" w:sz="4" w:space="0" w:color="auto"/>
              <w:right w:val="single" w:sz="4" w:space="0" w:color="auto"/>
            </w:tcBorders>
            <w:vAlign w:val="center"/>
          </w:tcPr>
          <w:p w:rsidR="0032079E" w:rsidRPr="0032079E" w:rsidRDefault="0032079E" w:rsidP="0029138C">
            <w:pPr>
              <w:spacing w:after="0"/>
              <w:jc w:val="center"/>
              <w:rPr>
                <w:highlight w:val="yellow"/>
              </w:rPr>
            </w:pPr>
            <w:r w:rsidRPr="0032079E">
              <w:rPr>
                <w:rFonts w:ascii="Calibri" w:hAnsi="Calibri"/>
              </w:rPr>
              <w:t>1,926,543</w:t>
            </w:r>
          </w:p>
        </w:tc>
      </w:tr>
    </w:tbl>
    <w:p w:rsidR="0032079E" w:rsidRDefault="0032079E" w:rsidP="0032079E"/>
    <w:p w:rsidR="00E30BF5" w:rsidRDefault="00092566" w:rsidP="00E30BF5">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r w:rsidR="00E30BF5">
        <w:t xml:space="preserve">The exclusions for the </w:t>
      </w:r>
      <w:r w:rsidR="00E30BF5">
        <w:rPr>
          <w:i/>
        </w:rPr>
        <w:t xml:space="preserve">ED Use without Hospital Readmission During the First 30 Days of Home Health </w:t>
      </w:r>
      <w:r w:rsidR="00E30BF5">
        <w:t xml:space="preserve">largely follow the exclusions for the all-patient claims-based </w:t>
      </w:r>
      <w:r w:rsidR="00E30BF5">
        <w:rPr>
          <w:i/>
        </w:rPr>
        <w:t xml:space="preserve">NQF 0173 ED Use without Hospitalization </w:t>
      </w:r>
      <w:r w:rsidR="00E30BF5">
        <w:t xml:space="preserve">and the </w:t>
      </w:r>
      <w:r w:rsidR="00E30BF5" w:rsidRPr="00055E97">
        <w:rPr>
          <w:i/>
        </w:rPr>
        <w:t>Hospital-Wide All-Cause Unplanned Readmission</w:t>
      </w:r>
      <w:r w:rsidR="00E30BF5">
        <w:t xml:space="preserve"> measures.  The measure developer imposed these exclusions for consistency with other measures and conducted no additional analyses.   </w:t>
      </w:r>
    </w:p>
    <w:p w:rsidR="0032079E" w:rsidRDefault="0032079E" w:rsidP="0032079E">
      <w:r>
        <w:lastRenderedPageBreak/>
        <w:t>Regarding the exclusion for the s</w:t>
      </w:r>
      <w:r w:rsidRPr="003A7910">
        <w:t>tays in which the patient receives treatment in another setting in the 5 days between hospital discharge and the start of home health</w:t>
      </w:r>
      <w:r>
        <w:t xml:space="preserve">, the measure developer found that </w:t>
      </w:r>
      <w:r w:rsidRPr="0032079E">
        <w:rPr>
          <w:rFonts w:ascii="Calibri" w:hAnsi="Calibri"/>
        </w:rPr>
        <w:t>23,237</w:t>
      </w:r>
      <w:r>
        <w:rPr>
          <w:rFonts w:ascii="Calibri" w:hAnsi="Calibri"/>
        </w:rPr>
        <w:t xml:space="preserve"> </w:t>
      </w:r>
      <w:r>
        <w:t>of stays (~1 percent) are excluded based on this criterion; this exclusion criterion is justified because the health outcomes of patients who had intervening inpatient (which includes care received at inpatient rehabilitation facilities and long-term care hospitals), emergency department, or skilled nursing facility care in the window between the index hospital discharge and the start of home health care may be affected by this care.</w:t>
      </w:r>
      <w:r w:rsidR="00A40566">
        <w:t xml:space="preserve">  W</w:t>
      </w:r>
      <w:r w:rsidR="00A40566" w:rsidRPr="006E1A2E">
        <w:t xml:space="preserve">e compared each </w:t>
      </w:r>
      <w:r w:rsidR="00A40566">
        <w:t xml:space="preserve">home health agency’s observed rate </w:t>
      </w:r>
      <w:r w:rsidR="00A40566" w:rsidRPr="006E1A2E">
        <w:t xml:space="preserve">with and without </w:t>
      </w:r>
      <w:r w:rsidR="00A40566">
        <w:t>this exclusion</w:t>
      </w:r>
      <w:r w:rsidR="00A40566" w:rsidRPr="006E1A2E">
        <w:t xml:space="preserve"> and found the two measures to be highly correlated (overall Pearson correlation coefficient [r] = 0.99</w:t>
      </w:r>
      <w:r w:rsidR="00A40566">
        <w:t>5</w:t>
      </w:r>
      <w:r w:rsidR="00A40566" w:rsidRPr="006E1A2E">
        <w:t>).</w:t>
      </w:r>
    </w:p>
    <w:p w:rsidR="007422FD" w:rsidRPr="00A25024" w:rsidRDefault="0032079E" w:rsidP="00E30BF5">
      <w:pPr>
        <w:rPr>
          <w:rFonts w:cstheme="minorHAnsi"/>
          <w:bCs/>
        </w:rPr>
      </w:pPr>
      <w:r>
        <w:t xml:space="preserve">Regarding the exclusion for stays with missing payment-episode authorization strings, the measure developer found that </w:t>
      </w:r>
      <w:r w:rsidRPr="0032079E">
        <w:rPr>
          <w:rFonts w:ascii="Calibri" w:hAnsi="Calibri"/>
        </w:rPr>
        <w:t>952</w:t>
      </w:r>
      <w:r>
        <w:rPr>
          <w:rFonts w:ascii="Calibri" w:hAnsi="Calibri"/>
        </w:rPr>
        <w:t xml:space="preserve"> </w:t>
      </w:r>
      <w:r>
        <w:t xml:space="preserve">stays (&lt; 0.1 percent) are excluded based on this criterion; this exclusion criterion is justified because these stays do not include all the information needed for risk adjustment.  </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3C6E0B"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3C6E0B"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32079E">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32079E">
        <w:rPr>
          <w:rFonts w:cstheme="minorHAnsi"/>
          <w:b/>
          <w:bCs/>
        </w:rPr>
        <w:t xml:space="preserve">with </w:t>
      </w:r>
      <w:r w:rsidR="0032079E" w:rsidRPr="0032079E">
        <w:rPr>
          <w:b/>
        </w:rPr>
        <w:t>5 categories of beneficiary-level risk factors (404 significant covariates in total)</w:t>
      </w:r>
    </w:p>
    <w:p w:rsidR="00743E46" w:rsidRPr="005232D6" w:rsidRDefault="003C6E0B"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3C6E0B"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32079E">
        <w:t xml:space="preserve">Not applicable; this measure is risk-adjusted.   </w:t>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DF2415">
      <w:r>
        <w:t xml:space="preserve">2b4.3. </w:t>
      </w:r>
      <w:r w:rsidR="00927027">
        <w:t>Describe</w:t>
      </w:r>
      <w:r w:rsidRPr="00A25024">
        <w:t xml:space="preserve"> the conceptual/clinical </w:t>
      </w:r>
      <w:r w:rsidRPr="00A25024">
        <w:rPr>
          <w:u w:val="single"/>
        </w:rPr>
        <w:t>and</w:t>
      </w:r>
      <w:r w:rsidRPr="00A25024">
        <w:t xml:space="preserve"> statistical methods and criteria used to select </w:t>
      </w:r>
      <w:r w:rsidR="005363F1">
        <w:t xml:space="preserve">patient </w:t>
      </w:r>
      <w:r w:rsidRPr="00A25024">
        <w:t>factors used in the statistical risk model or for stratification by risk</w:t>
      </w:r>
      <w:r w:rsidR="00927027">
        <w:t xml:space="preserve"> </w:t>
      </w:r>
      <w:r w:rsidRPr="00A25024">
        <w:t>(</w:t>
      </w:r>
      <w:r w:rsidRPr="00A25024">
        <w:rPr>
          <w:i/>
        </w:rPr>
        <w:t xml:space="preserve">e.g., potential factors identified in </w:t>
      </w:r>
      <w:r w:rsidR="005363F1">
        <w:rPr>
          <w:i/>
        </w:rPr>
        <w:t xml:space="preserve">the </w:t>
      </w:r>
      <w:r w:rsidRPr="00A25024">
        <w:rPr>
          <w:i/>
        </w:rPr>
        <w:t>literature and/or expert panel; regression analysis; statistical significance of p&lt;0.10; correlation of x or higher</w:t>
      </w:r>
      <w:r w:rsidR="005363F1">
        <w:rPr>
          <w:i/>
        </w:rPr>
        <w:t>; patient factors should be present at the start of care and not related to disparities</w:t>
      </w:r>
      <w:r w:rsidRPr="00A25024">
        <w:t>)</w:t>
      </w:r>
      <w:r w:rsidRPr="00A25024">
        <w:br/>
      </w:r>
      <w:r w:rsidR="0032079E">
        <w:t xml:space="preserve">The measure developer used a multinomial logistic model to account for beneficiary factors that may affect rates of hospitalization but are outside of the home health agency’s control.  Because these measures evaluate two different but related outcomes, one multinomial logistic framework models the three disjoint outcomes: no acute care use (no event), emergency department use without hospital readmission, and rehospitalization.  A multinomial logistic model allows for the same risk factors to affect the possible outcomes in different ways while also constraining predicted probabilities of all three events to sum to one hundred percent.  The risk adjustment model uses six months of claims prior to the start of home health care to obtain information about the beneficiary. </w:t>
      </w:r>
      <w:r w:rsidR="0032079E" w:rsidRPr="007A71A5">
        <w:t xml:space="preserve"> </w:t>
      </w:r>
      <w:r w:rsidR="0032079E">
        <w:t xml:space="preserve">The measure developer identified a set of 404 covariates that consisted of statistically significant predictors of acute care </w:t>
      </w:r>
      <w:r w:rsidR="0032079E">
        <w:lastRenderedPageBreak/>
        <w:t xml:space="preserve">rehospitalization or emergency use without hospital readmission. CMS published the risk adjustment model specifications on the Home Health Quality Initiative page in December 2013.   </w:t>
      </w:r>
    </w:p>
    <w:p w:rsidR="00001D73" w:rsidRPr="00001D73" w:rsidRDefault="00001D73" w:rsidP="00001D73">
      <w:pPr>
        <w:autoSpaceDE w:val="0"/>
        <w:autoSpaceDN w:val="0"/>
        <w:adjustRightInd w:val="0"/>
        <w:spacing w:after="0" w:line="240" w:lineRule="auto"/>
        <w:rPr>
          <w:rFonts w:cstheme="minorHAnsi"/>
          <w:bCs/>
        </w:rPr>
      </w:pPr>
    </w:p>
    <w:p w:rsidR="00092566" w:rsidRPr="0032079E" w:rsidRDefault="00092566" w:rsidP="00001D73">
      <w:pPr>
        <w:autoSpaceDE w:val="0"/>
        <w:autoSpaceDN w:val="0"/>
        <w:adjustRightInd w:val="0"/>
        <w:spacing w:after="0" w:line="240" w:lineRule="auto"/>
        <w:rPr>
          <w:rFonts w:cstheme="minorHAnsi"/>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r w:rsidR="0032079E">
        <w:rPr>
          <w:rFonts w:cstheme="minorHAnsi"/>
          <w:bCs/>
        </w:rPr>
        <w:t>Risk model details are attached under the “Specifications” tab.</w:t>
      </w:r>
    </w:p>
    <w:p w:rsidR="00001D73" w:rsidRPr="00001D73" w:rsidRDefault="00001D73" w:rsidP="00001D73">
      <w:pPr>
        <w:autoSpaceDE w:val="0"/>
        <w:autoSpaceDN w:val="0"/>
        <w:adjustRightInd w:val="0"/>
        <w:spacing w:after="0" w:line="240" w:lineRule="auto"/>
        <w:rPr>
          <w:rFonts w:cstheme="minorHAnsi"/>
          <w:b/>
          <w:bCs/>
        </w:rPr>
      </w:pPr>
    </w:p>
    <w:p w:rsidR="0032079E" w:rsidRDefault="00E1508F" w:rsidP="0032079E">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r w:rsidR="0032079E" w:rsidRPr="00041A68">
        <w:t xml:space="preserve">The same multinomial </w:t>
      </w:r>
      <w:proofErr w:type="spellStart"/>
      <w:r w:rsidR="0032079E" w:rsidRPr="00041A68">
        <w:t>logit</w:t>
      </w:r>
      <w:proofErr w:type="spellEnd"/>
      <w:r w:rsidR="0032079E" w:rsidRPr="00041A68">
        <w:t xml:space="preserve"> model is used to predict both the </w:t>
      </w:r>
      <w:r w:rsidR="0032079E">
        <w:t>R</w:t>
      </w:r>
      <w:r w:rsidR="0032079E" w:rsidRPr="00041A68">
        <w:t>ehospitalization</w:t>
      </w:r>
      <w:r w:rsidR="0032079E">
        <w:t xml:space="preserve"> During the First 30 Days of Home Health</w:t>
      </w:r>
      <w:r w:rsidR="0032079E" w:rsidRPr="00041A68">
        <w:t xml:space="preserve"> measure and the </w:t>
      </w:r>
      <w:r w:rsidR="0032079E">
        <w:t>ED</w:t>
      </w:r>
      <w:r w:rsidR="0032079E" w:rsidRPr="00041A68">
        <w:t xml:space="preserve"> </w:t>
      </w:r>
      <w:r w:rsidR="0032079E">
        <w:t>U</w:t>
      </w:r>
      <w:r w:rsidR="0032079E" w:rsidRPr="00041A68">
        <w:t xml:space="preserve">se without </w:t>
      </w:r>
      <w:r w:rsidR="0032079E">
        <w:t>H</w:t>
      </w:r>
      <w:r w:rsidR="0032079E" w:rsidRPr="00041A68">
        <w:t xml:space="preserve">ospital </w:t>
      </w:r>
      <w:r w:rsidR="0032079E">
        <w:t>R</w:t>
      </w:r>
      <w:r w:rsidR="0032079E" w:rsidRPr="00041A68">
        <w:t>eadmission</w:t>
      </w:r>
      <w:r w:rsidR="0032079E">
        <w:t xml:space="preserve"> During the First 30 Days of Home Health</w:t>
      </w:r>
      <w:r w:rsidR="0032079E" w:rsidRPr="00041A68">
        <w:t xml:space="preserve"> measure.  Of the 1,669,802 qualifying home health stays beginning from July 1, 2010 to June 30, 2012, a random 80 percent sample without replacement was chosen to calibrate the multinomial </w:t>
      </w:r>
      <w:proofErr w:type="spellStart"/>
      <w:r w:rsidR="0032079E" w:rsidRPr="00041A68">
        <w:t>logit</w:t>
      </w:r>
      <w:proofErr w:type="spellEnd"/>
      <w:r w:rsidR="0032079E" w:rsidRPr="00041A68">
        <w:t xml:space="preserve"> model and to estimate marginal effects for model development purposes.  The remaining 20 percent of the stays were used to cross-validate the model.  </w:t>
      </w:r>
    </w:p>
    <w:p w:rsidR="0032079E" w:rsidRPr="007A71A5" w:rsidRDefault="0032079E" w:rsidP="0032079E">
      <w:r w:rsidRPr="007A71A5">
        <w:t xml:space="preserve">Risk factors included in the model include prior care setting, health status (measured using HCCs, DRGs, and ADLs), demographic information (measured using age-gender interactions), enrollment status (ESRD and disability), and interactions between one set of the health status covariates. To determine which risk factors should be included in the risk adjustment model, a Wald test of joint restrictions was </w:t>
      </w:r>
      <w:r w:rsidRPr="004662DB">
        <w:t>applied</w:t>
      </w:r>
      <w:r w:rsidRPr="007A71A5">
        <w:t xml:space="preserve"> to each variable in each of 1,150 bootstrap samples created using simple random sampling, with replacement, of 80 percent of all home health stays.  The Wald test determined the likelihood that the change in either or both outcomes associated with each covariate was statistically different from zero.  The current risk adjustment model includes only covariates that were significant at a level of 0.05 for either outcome in at least 80 percent of bootstrap samples.  This restriction reduces the number of variables included in the current model, thus streamlining the model and avoiding over-fitting.</w:t>
      </w:r>
    </w:p>
    <w:p w:rsidR="00092566" w:rsidRPr="00A25024" w:rsidRDefault="0032079E" w:rsidP="00101730">
      <w:pPr>
        <w:rPr>
          <w:rFonts w:cstheme="minorHAnsi"/>
          <w:bCs/>
        </w:rPr>
      </w:pPr>
      <w:r w:rsidRPr="007A71A5">
        <w:t>To evaluate the impact of each risk factor, the marginal effects were calculated.  The marginal effect represents the relative impact of each risk factor on the outcome.  Each risk factor has an associated marginal effect value that can be interpreted as the change in the population value of the measure if all patients in the population had the risk factor but had the observed distribution of all other risk factors.  Goodness of fit statistics were then calculated for the calibrated model and the 20 percent sample was used for cross-validation.</w:t>
      </w: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32079E" w:rsidRPr="008429B6" w:rsidRDefault="00743E46" w:rsidP="0032079E">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32079E" w:rsidRPr="008429B6">
        <w:t xml:space="preserve">The predictive power of the risk adjustment model was evaluated using two measures of predictive power on both the development sample and the validation sample.  The two measures of predictive power are the c-statistic and the range of predicted probabilities.  Evaluating the model’s predictive power on the development sample shows how well the model predicts outcomes in the data on which it </w:t>
      </w:r>
      <w:r w:rsidR="0032079E" w:rsidRPr="008429B6">
        <w:lastRenderedPageBreak/>
        <w:t xml:space="preserve">was developed, while evaluating the model using the validation sample shows how well the model predicts outcomes outside the data on which it was developed.  </w:t>
      </w:r>
    </w:p>
    <w:p w:rsidR="0032079E" w:rsidRDefault="0032079E" w:rsidP="0032079E">
      <w:r w:rsidRPr="008429B6">
        <w:t xml:space="preserve">A version of the area under the receiver operating curve (AUC) statistic, also known as the c-statistic, was calculated for each individual </w:t>
      </w:r>
      <w:proofErr w:type="spellStart"/>
      <w:r w:rsidRPr="008429B6">
        <w:t>logit</w:t>
      </w:r>
      <w:proofErr w:type="spellEnd"/>
      <w:r w:rsidRPr="008429B6">
        <w:t xml:space="preserve"> and for the model overall.  The c-statistic measures the ability of a risk adjustment model to differentiate between outcomes without resorting to an arbitrary cutoff point.  This analysis averages pair-wise comparisons to extend the standard two-class case to the multi-class form.</w:t>
      </w:r>
      <w:r w:rsidRPr="008429B6">
        <w:rPr>
          <w:rStyle w:val="FootnoteReference"/>
        </w:rPr>
        <w:footnoteReference w:id="1"/>
      </w:r>
      <w:r w:rsidRPr="008429B6">
        <w:t xml:space="preserve">  A model that perfectly discriminates between outcomes would have a c-statistic of 1, while a model that has no predictive power would have a c-statistic of 0.5.  </w:t>
      </w:r>
      <w:r>
        <w:t>T</w:t>
      </w:r>
      <w:r w:rsidRPr="008429B6">
        <w:t xml:space="preserve">o calculate c-statistics for binomial outcomes (i.e., acute care rehospitalization vs. no event and ED use without hospital readmission v. no event), the outlying event was omitted and a generalized logistic estimated on the remaining two outcomes using all the risk factors in the model.  A generalized logistic model omitting one event leads to the same coefficients as the full multinomial model.  The average of the c-statistics for all possible binomial logistic regressions produces the AUC for the full multinomial model.  </w:t>
      </w:r>
    </w:p>
    <w:p w:rsidR="0032079E" w:rsidRDefault="0032079E" w:rsidP="0032079E">
      <w:r w:rsidRPr="004A125A">
        <w:t>The c-statistic for the rehospitalization development sample is 0.693, which is identical to the validation sample value of 0.693, showing that the model differentiates between outcomes as well on new data as it does on the development data.  For ED use without hospital readmission, the c-statistic for the development sample is 0.643, which is similar to the validation sample value of 0.642.  Finally, the total AUC for the model in the development sample is 0.660, which is comparable to the validation sample value of 0.645.</w:t>
      </w:r>
      <w:r w:rsidRPr="004A125A">
        <w:rPr>
          <w:rStyle w:val="FootnoteReference"/>
        </w:rPr>
        <w:footnoteReference w:id="2"/>
      </w:r>
      <w:r w:rsidRPr="004A125A">
        <w:t xml:space="preserve"> The table below presents these values.</w:t>
      </w:r>
    </w:p>
    <w:p w:rsidR="0032079E" w:rsidRPr="008429B6" w:rsidRDefault="0032079E" w:rsidP="0032079E">
      <w:pPr>
        <w:spacing w:after="0"/>
        <w:jc w:val="center"/>
        <w:rPr>
          <w:b/>
        </w:rPr>
      </w:pPr>
      <w:r>
        <w:rPr>
          <w:b/>
        </w:rPr>
        <w:t>A</w:t>
      </w:r>
      <w:r w:rsidRPr="008429B6">
        <w:rPr>
          <w:b/>
        </w:rPr>
        <w:t>UC Statistics</w:t>
      </w:r>
    </w:p>
    <w:tbl>
      <w:tblPr>
        <w:tblW w:w="8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2140"/>
        <w:gridCol w:w="1755"/>
      </w:tblGrid>
      <w:tr w:rsidR="0032079E" w:rsidRPr="009F020B" w:rsidTr="0029138C">
        <w:trPr>
          <w:trHeight w:val="640"/>
          <w:tblHeader/>
          <w:jc w:val="center"/>
        </w:trPr>
        <w:tc>
          <w:tcPr>
            <w:tcW w:w="4116" w:type="dxa"/>
            <w:shd w:val="clear" w:color="auto" w:fill="CDECFF"/>
            <w:noWrap/>
            <w:vAlign w:val="center"/>
          </w:tcPr>
          <w:p w:rsidR="0032079E" w:rsidRPr="008429B6" w:rsidRDefault="0032079E" w:rsidP="0029138C">
            <w:pPr>
              <w:spacing w:after="0"/>
              <w:jc w:val="center"/>
              <w:rPr>
                <w:b/>
              </w:rPr>
            </w:pPr>
            <w:r w:rsidRPr="008429B6">
              <w:rPr>
                <w:b/>
              </w:rPr>
              <w:t>AUC Statistic</w:t>
            </w:r>
          </w:p>
        </w:tc>
        <w:tc>
          <w:tcPr>
            <w:tcW w:w="2140" w:type="dxa"/>
            <w:shd w:val="clear" w:color="auto" w:fill="CDECFF"/>
            <w:noWrap/>
            <w:vAlign w:val="center"/>
          </w:tcPr>
          <w:p w:rsidR="0032079E" w:rsidRPr="008429B6" w:rsidRDefault="0032079E" w:rsidP="0029138C">
            <w:pPr>
              <w:spacing w:after="0"/>
              <w:jc w:val="center"/>
              <w:rPr>
                <w:b/>
              </w:rPr>
            </w:pPr>
            <w:r w:rsidRPr="008429B6">
              <w:rPr>
                <w:b/>
              </w:rPr>
              <w:t>Development Sample</w:t>
            </w:r>
          </w:p>
        </w:tc>
        <w:tc>
          <w:tcPr>
            <w:tcW w:w="1755" w:type="dxa"/>
            <w:shd w:val="clear" w:color="auto" w:fill="CDECFF"/>
            <w:vAlign w:val="center"/>
          </w:tcPr>
          <w:p w:rsidR="0032079E" w:rsidRPr="008429B6" w:rsidRDefault="0032079E" w:rsidP="0029138C">
            <w:pPr>
              <w:spacing w:after="0"/>
              <w:jc w:val="center"/>
              <w:rPr>
                <w:b/>
              </w:rPr>
            </w:pPr>
            <w:r w:rsidRPr="008429B6">
              <w:rPr>
                <w:b/>
              </w:rPr>
              <w:t>Validation Sample</w:t>
            </w:r>
          </w:p>
        </w:tc>
      </w:tr>
      <w:tr w:rsidR="0032079E" w:rsidRPr="009F020B" w:rsidTr="0029138C">
        <w:trPr>
          <w:trHeight w:val="300"/>
          <w:jc w:val="center"/>
        </w:trPr>
        <w:tc>
          <w:tcPr>
            <w:tcW w:w="4116" w:type="dxa"/>
            <w:shd w:val="clear" w:color="000000" w:fill="FFFFFF"/>
            <w:noWrap/>
            <w:vAlign w:val="center"/>
          </w:tcPr>
          <w:p w:rsidR="0032079E" w:rsidRPr="009F020B" w:rsidRDefault="0032079E" w:rsidP="0029138C">
            <w:pPr>
              <w:spacing w:after="0"/>
            </w:pPr>
            <w:r w:rsidRPr="00A87A2C">
              <w:t>Rehospitalization During the First 30 Days of Home Health</w:t>
            </w:r>
            <w:r w:rsidRPr="009F020B">
              <w:t xml:space="preserve"> c-statistic</w:t>
            </w:r>
          </w:p>
        </w:tc>
        <w:tc>
          <w:tcPr>
            <w:tcW w:w="2140" w:type="dxa"/>
            <w:shd w:val="clear" w:color="000000" w:fill="FFFFFF"/>
            <w:noWrap/>
            <w:vAlign w:val="center"/>
          </w:tcPr>
          <w:p w:rsidR="0032079E" w:rsidRPr="00CF17E9" w:rsidRDefault="0032079E" w:rsidP="0029138C">
            <w:pPr>
              <w:spacing w:after="0"/>
              <w:jc w:val="center"/>
            </w:pPr>
            <w:r>
              <w:t>0.693</w:t>
            </w:r>
          </w:p>
        </w:tc>
        <w:tc>
          <w:tcPr>
            <w:tcW w:w="1755" w:type="dxa"/>
            <w:shd w:val="clear" w:color="000000" w:fill="FFFFFF"/>
            <w:vAlign w:val="center"/>
          </w:tcPr>
          <w:p w:rsidR="0032079E" w:rsidRPr="00CF17E9" w:rsidRDefault="0032079E" w:rsidP="0029138C">
            <w:pPr>
              <w:spacing w:after="0"/>
              <w:jc w:val="center"/>
            </w:pPr>
            <w:r>
              <w:t>0.693</w:t>
            </w:r>
          </w:p>
        </w:tc>
      </w:tr>
      <w:tr w:rsidR="0032079E" w:rsidRPr="009F020B" w:rsidTr="0029138C">
        <w:trPr>
          <w:trHeight w:val="300"/>
          <w:jc w:val="center"/>
        </w:trPr>
        <w:tc>
          <w:tcPr>
            <w:tcW w:w="4116" w:type="dxa"/>
            <w:shd w:val="clear" w:color="000000" w:fill="FFFFFF"/>
            <w:noWrap/>
            <w:vAlign w:val="center"/>
          </w:tcPr>
          <w:p w:rsidR="0032079E" w:rsidRPr="009F020B" w:rsidRDefault="0032079E" w:rsidP="0029138C">
            <w:pPr>
              <w:spacing w:after="0"/>
            </w:pPr>
            <w:r w:rsidRPr="00A87A2C">
              <w:t>ED Use without Hospital Readmission During the First 30 Days of Home Health</w:t>
            </w:r>
            <w:r w:rsidRPr="009F020B">
              <w:t xml:space="preserve"> c-statistic</w:t>
            </w:r>
          </w:p>
        </w:tc>
        <w:tc>
          <w:tcPr>
            <w:tcW w:w="2140" w:type="dxa"/>
            <w:shd w:val="clear" w:color="000000" w:fill="FFFFFF"/>
            <w:noWrap/>
            <w:vAlign w:val="center"/>
          </w:tcPr>
          <w:p w:rsidR="0032079E" w:rsidRPr="00CF17E9" w:rsidRDefault="0032079E" w:rsidP="0029138C">
            <w:pPr>
              <w:spacing w:after="0"/>
              <w:jc w:val="center"/>
            </w:pPr>
            <w:r>
              <w:t>0.643</w:t>
            </w:r>
          </w:p>
        </w:tc>
        <w:tc>
          <w:tcPr>
            <w:tcW w:w="1755" w:type="dxa"/>
            <w:shd w:val="clear" w:color="000000" w:fill="FFFFFF"/>
            <w:vAlign w:val="center"/>
          </w:tcPr>
          <w:p w:rsidR="0032079E" w:rsidRPr="00CF17E9" w:rsidRDefault="0032079E" w:rsidP="0029138C">
            <w:pPr>
              <w:spacing w:after="0"/>
              <w:jc w:val="center"/>
            </w:pPr>
            <w:r>
              <w:t>0.642</w:t>
            </w:r>
          </w:p>
        </w:tc>
      </w:tr>
      <w:tr w:rsidR="0032079E" w:rsidRPr="009F020B" w:rsidTr="0029138C">
        <w:trPr>
          <w:trHeight w:val="315"/>
          <w:jc w:val="center"/>
        </w:trPr>
        <w:tc>
          <w:tcPr>
            <w:tcW w:w="4116" w:type="dxa"/>
            <w:shd w:val="clear" w:color="000000" w:fill="FFFFFF"/>
            <w:noWrap/>
            <w:vAlign w:val="center"/>
            <w:hideMark/>
          </w:tcPr>
          <w:p w:rsidR="0032079E" w:rsidRPr="009F020B" w:rsidRDefault="0032079E" w:rsidP="0029138C">
            <w:pPr>
              <w:spacing w:after="0"/>
            </w:pPr>
            <w:r w:rsidRPr="009F020B">
              <w:t>Total AUC</w:t>
            </w:r>
          </w:p>
        </w:tc>
        <w:tc>
          <w:tcPr>
            <w:tcW w:w="2140" w:type="dxa"/>
            <w:shd w:val="clear" w:color="000000" w:fill="FFFFFF"/>
            <w:noWrap/>
            <w:vAlign w:val="center"/>
          </w:tcPr>
          <w:p w:rsidR="0032079E" w:rsidRPr="00CF17E9" w:rsidRDefault="0032079E" w:rsidP="0029138C">
            <w:pPr>
              <w:spacing w:after="0"/>
              <w:jc w:val="center"/>
            </w:pPr>
            <w:r>
              <w:t>0.660</w:t>
            </w:r>
          </w:p>
        </w:tc>
        <w:tc>
          <w:tcPr>
            <w:tcW w:w="1755" w:type="dxa"/>
            <w:shd w:val="clear" w:color="000000" w:fill="FFFFFF"/>
            <w:vAlign w:val="center"/>
          </w:tcPr>
          <w:p w:rsidR="0032079E" w:rsidRPr="00CF17E9" w:rsidRDefault="0032079E" w:rsidP="0029138C">
            <w:pPr>
              <w:spacing w:after="0"/>
              <w:jc w:val="center"/>
            </w:pPr>
            <w:r>
              <w:t>0.645</w:t>
            </w:r>
          </w:p>
        </w:tc>
      </w:tr>
    </w:tbl>
    <w:p w:rsidR="0032079E" w:rsidRDefault="0032079E" w:rsidP="0032079E"/>
    <w:p w:rsidR="0032079E" w:rsidRDefault="0032079E" w:rsidP="0032079E">
      <w:r>
        <w:t>To further evaluate the predictive power of the model, the range of differences between the 90</w:t>
      </w:r>
      <w:r w:rsidRPr="00452696">
        <w:rPr>
          <w:vertAlign w:val="superscript"/>
        </w:rPr>
        <w:t>th</w:t>
      </w:r>
      <w:r>
        <w:t xml:space="preserve"> and 10</w:t>
      </w:r>
      <w:r w:rsidRPr="00452696">
        <w:rPr>
          <w:vertAlign w:val="superscript"/>
        </w:rPr>
        <w:t>th</w:t>
      </w:r>
      <w:r>
        <w:t xml:space="preserve"> percentile of predicted probabilities were calculated.  In this case, a larger range of predicted values indicates that the model is better at discriminating between beneficiaries at high risk for rehospitalization or ED use without hospital readmission than beneficiaries at low risk.</w:t>
      </w:r>
      <w:r w:rsidRPr="007377A9">
        <w:t xml:space="preserve"> </w:t>
      </w:r>
      <w:r>
        <w:t xml:space="preserve"> </w:t>
      </w:r>
      <w:r w:rsidRPr="007377A9">
        <w:t xml:space="preserve">In the </w:t>
      </w:r>
      <w:r w:rsidRPr="007377A9">
        <w:lastRenderedPageBreak/>
        <w:t>development sample</w:t>
      </w:r>
      <w:r>
        <w:t xml:space="preserve"> for the multinomial </w:t>
      </w:r>
      <w:proofErr w:type="spellStart"/>
      <w:r>
        <w:t>logit</w:t>
      </w:r>
      <w:proofErr w:type="spellEnd"/>
      <w:r>
        <w:t xml:space="preserve"> model</w:t>
      </w:r>
      <w:r w:rsidRPr="007377A9">
        <w:t xml:space="preserve">, the range of predicted probabilities for </w:t>
      </w:r>
      <w:r w:rsidRPr="004A125A">
        <w:t>rehospitalization was 4.6 percent to 22.7 percent, and the ra</w:t>
      </w:r>
      <w:r>
        <w:t>n</w:t>
      </w:r>
      <w:r w:rsidRPr="004A125A">
        <w:t xml:space="preserve">ge was identical in the validation sample.  In the development sample, the range of predicted probabilities for ED use without hospital readmission was 5.4 percent to 14.6 percent.  In the validation sample, the range was 5.4 </w:t>
      </w:r>
      <w:r w:rsidRPr="00127550">
        <w:t xml:space="preserve">percent to 14.7 percent.  </w:t>
      </w:r>
      <w:r w:rsidRPr="004A125A">
        <w:t>The table below presents these ranges.</w:t>
      </w:r>
      <w:r w:rsidRPr="00735254">
        <w:t xml:space="preserve"> </w:t>
      </w:r>
    </w:p>
    <w:p w:rsidR="0032079E" w:rsidRPr="0032079E" w:rsidRDefault="0032079E" w:rsidP="0032079E">
      <w:pPr>
        <w:spacing w:after="0"/>
        <w:jc w:val="center"/>
        <w:rPr>
          <w:b/>
        </w:rPr>
      </w:pPr>
      <w:r w:rsidRPr="0032079E">
        <w:rPr>
          <w:b/>
        </w:rPr>
        <w:t>Range of Differences between 90</w:t>
      </w:r>
      <w:r w:rsidRPr="0032079E">
        <w:rPr>
          <w:b/>
          <w:vertAlign w:val="superscript"/>
        </w:rPr>
        <w:t>th</w:t>
      </w:r>
      <w:r w:rsidRPr="0032079E">
        <w:rPr>
          <w:b/>
        </w:rPr>
        <w:t xml:space="preserve"> and 10</w:t>
      </w:r>
      <w:r w:rsidRPr="0032079E">
        <w:rPr>
          <w:b/>
          <w:vertAlign w:val="superscript"/>
        </w:rPr>
        <w:t>th</w:t>
      </w:r>
      <w:r w:rsidRPr="0032079E">
        <w:rPr>
          <w:b/>
        </w:rPr>
        <w:t xml:space="preserve"> Percentile of Predicted Probabilities</w:t>
      </w:r>
    </w:p>
    <w:tbl>
      <w:tblPr>
        <w:tblStyle w:val="TableGrid1"/>
        <w:tblW w:w="0" w:type="auto"/>
        <w:jc w:val="center"/>
        <w:tblInd w:w="306" w:type="dxa"/>
        <w:tblLook w:val="04A0" w:firstRow="1" w:lastRow="0" w:firstColumn="1" w:lastColumn="0" w:noHBand="0" w:noVBand="1"/>
      </w:tblPr>
      <w:tblGrid>
        <w:gridCol w:w="3770"/>
        <w:gridCol w:w="1111"/>
        <w:gridCol w:w="1148"/>
        <w:gridCol w:w="1195"/>
        <w:gridCol w:w="1148"/>
      </w:tblGrid>
      <w:tr w:rsidR="0032079E" w:rsidRPr="0032079E" w:rsidTr="0029138C">
        <w:trPr>
          <w:trHeight w:val="351"/>
          <w:tblHeader/>
          <w:jc w:val="center"/>
        </w:trPr>
        <w:tc>
          <w:tcPr>
            <w:tcW w:w="3770" w:type="dxa"/>
            <w:vMerge w:val="restart"/>
            <w:shd w:val="clear" w:color="auto" w:fill="CDECFF"/>
            <w:vAlign w:val="center"/>
          </w:tcPr>
          <w:p w:rsidR="0032079E" w:rsidRPr="0032079E" w:rsidRDefault="0032079E" w:rsidP="0029138C">
            <w:pPr>
              <w:spacing w:line="300" w:lineRule="auto"/>
              <w:jc w:val="center"/>
              <w:rPr>
                <w:rFonts w:asciiTheme="minorHAnsi" w:hAnsiTheme="minorHAnsi"/>
                <w:b/>
                <w:sz w:val="22"/>
                <w:szCs w:val="22"/>
              </w:rPr>
            </w:pPr>
            <w:r w:rsidRPr="0032079E">
              <w:rPr>
                <w:rFonts w:asciiTheme="minorHAnsi" w:hAnsiTheme="minorHAnsi"/>
                <w:b/>
                <w:sz w:val="22"/>
                <w:szCs w:val="22"/>
              </w:rPr>
              <w:t>Measure</w:t>
            </w:r>
          </w:p>
        </w:tc>
        <w:tc>
          <w:tcPr>
            <w:tcW w:w="2139" w:type="dxa"/>
            <w:gridSpan w:val="2"/>
            <w:shd w:val="clear" w:color="auto" w:fill="CDECFF"/>
            <w:vAlign w:val="center"/>
          </w:tcPr>
          <w:p w:rsidR="0032079E" w:rsidRPr="0032079E" w:rsidRDefault="0032079E" w:rsidP="0029138C">
            <w:pPr>
              <w:spacing w:line="300" w:lineRule="auto"/>
              <w:jc w:val="center"/>
              <w:rPr>
                <w:rFonts w:asciiTheme="minorHAnsi" w:hAnsiTheme="minorHAnsi"/>
                <w:b/>
                <w:sz w:val="22"/>
                <w:szCs w:val="22"/>
              </w:rPr>
            </w:pPr>
            <w:r w:rsidRPr="0032079E">
              <w:rPr>
                <w:rFonts w:asciiTheme="minorHAnsi" w:hAnsiTheme="minorHAnsi"/>
                <w:b/>
                <w:sz w:val="22"/>
                <w:szCs w:val="22"/>
              </w:rPr>
              <w:t>Development Sample</w:t>
            </w:r>
          </w:p>
        </w:tc>
        <w:tc>
          <w:tcPr>
            <w:tcW w:w="2317" w:type="dxa"/>
            <w:gridSpan w:val="2"/>
            <w:shd w:val="clear" w:color="auto" w:fill="CDECFF"/>
            <w:vAlign w:val="center"/>
          </w:tcPr>
          <w:p w:rsidR="0032079E" w:rsidRPr="0032079E" w:rsidRDefault="0032079E" w:rsidP="0029138C">
            <w:pPr>
              <w:spacing w:line="300" w:lineRule="auto"/>
              <w:jc w:val="center"/>
              <w:rPr>
                <w:rFonts w:asciiTheme="minorHAnsi" w:hAnsiTheme="minorHAnsi"/>
                <w:b/>
                <w:sz w:val="22"/>
                <w:szCs w:val="22"/>
              </w:rPr>
            </w:pPr>
            <w:r w:rsidRPr="0032079E">
              <w:rPr>
                <w:rFonts w:asciiTheme="minorHAnsi" w:hAnsiTheme="minorHAnsi"/>
                <w:b/>
                <w:sz w:val="22"/>
                <w:szCs w:val="22"/>
              </w:rPr>
              <w:t>Validation Sample</w:t>
            </w:r>
          </w:p>
        </w:tc>
      </w:tr>
      <w:tr w:rsidR="0032079E" w:rsidRPr="0032079E" w:rsidTr="0029138C">
        <w:trPr>
          <w:trHeight w:val="176"/>
          <w:tblHeader/>
          <w:jc w:val="center"/>
        </w:trPr>
        <w:tc>
          <w:tcPr>
            <w:tcW w:w="3770" w:type="dxa"/>
            <w:vMerge/>
            <w:shd w:val="clear" w:color="auto" w:fill="CDECFF"/>
          </w:tcPr>
          <w:p w:rsidR="0032079E" w:rsidRPr="0032079E" w:rsidRDefault="0032079E" w:rsidP="0029138C">
            <w:pPr>
              <w:spacing w:line="300" w:lineRule="auto"/>
              <w:jc w:val="center"/>
              <w:rPr>
                <w:rFonts w:asciiTheme="minorHAnsi" w:hAnsiTheme="minorHAnsi"/>
                <w:b/>
                <w:sz w:val="22"/>
                <w:szCs w:val="22"/>
              </w:rPr>
            </w:pPr>
          </w:p>
        </w:tc>
        <w:tc>
          <w:tcPr>
            <w:tcW w:w="1030" w:type="dxa"/>
            <w:shd w:val="clear" w:color="auto" w:fill="CDECFF"/>
            <w:vAlign w:val="center"/>
          </w:tcPr>
          <w:p w:rsidR="0032079E" w:rsidRPr="0032079E" w:rsidRDefault="0032079E" w:rsidP="0029138C">
            <w:pPr>
              <w:spacing w:line="300" w:lineRule="auto"/>
              <w:jc w:val="center"/>
              <w:rPr>
                <w:rFonts w:asciiTheme="minorHAnsi" w:hAnsiTheme="minorHAnsi"/>
                <w:b/>
                <w:sz w:val="22"/>
                <w:szCs w:val="22"/>
              </w:rPr>
            </w:pPr>
            <w:r w:rsidRPr="0032079E">
              <w:rPr>
                <w:rFonts w:asciiTheme="minorHAnsi" w:hAnsiTheme="minorHAnsi"/>
                <w:b/>
                <w:sz w:val="22"/>
                <w:szCs w:val="22"/>
              </w:rPr>
              <w:t>Minimum (%)</w:t>
            </w:r>
          </w:p>
        </w:tc>
        <w:tc>
          <w:tcPr>
            <w:tcW w:w="1109" w:type="dxa"/>
            <w:shd w:val="clear" w:color="auto" w:fill="CDECFF"/>
            <w:vAlign w:val="center"/>
          </w:tcPr>
          <w:p w:rsidR="0032079E" w:rsidRPr="0032079E" w:rsidRDefault="0032079E" w:rsidP="0029138C">
            <w:pPr>
              <w:spacing w:line="300" w:lineRule="auto"/>
              <w:jc w:val="center"/>
              <w:rPr>
                <w:rFonts w:asciiTheme="minorHAnsi" w:hAnsiTheme="minorHAnsi"/>
                <w:b/>
                <w:sz w:val="22"/>
                <w:szCs w:val="22"/>
              </w:rPr>
            </w:pPr>
            <w:r w:rsidRPr="0032079E">
              <w:rPr>
                <w:rFonts w:asciiTheme="minorHAnsi" w:hAnsiTheme="minorHAnsi"/>
                <w:b/>
                <w:sz w:val="22"/>
                <w:szCs w:val="22"/>
              </w:rPr>
              <w:t>Maximum (%)</w:t>
            </w:r>
          </w:p>
        </w:tc>
        <w:tc>
          <w:tcPr>
            <w:tcW w:w="1195" w:type="dxa"/>
            <w:shd w:val="clear" w:color="auto" w:fill="CDECFF"/>
            <w:vAlign w:val="center"/>
          </w:tcPr>
          <w:p w:rsidR="0032079E" w:rsidRPr="0032079E" w:rsidRDefault="0032079E" w:rsidP="0029138C">
            <w:pPr>
              <w:spacing w:line="300" w:lineRule="auto"/>
              <w:jc w:val="center"/>
              <w:rPr>
                <w:rFonts w:asciiTheme="minorHAnsi" w:hAnsiTheme="minorHAnsi"/>
                <w:b/>
                <w:sz w:val="22"/>
                <w:szCs w:val="22"/>
              </w:rPr>
            </w:pPr>
            <w:r w:rsidRPr="0032079E">
              <w:rPr>
                <w:rFonts w:asciiTheme="minorHAnsi" w:hAnsiTheme="minorHAnsi"/>
                <w:b/>
                <w:sz w:val="22"/>
                <w:szCs w:val="22"/>
              </w:rPr>
              <w:t>Minimum  (%)</w:t>
            </w:r>
          </w:p>
        </w:tc>
        <w:tc>
          <w:tcPr>
            <w:tcW w:w="1122" w:type="dxa"/>
            <w:shd w:val="clear" w:color="auto" w:fill="CDECFF"/>
            <w:vAlign w:val="center"/>
          </w:tcPr>
          <w:p w:rsidR="0032079E" w:rsidRPr="0032079E" w:rsidRDefault="0032079E" w:rsidP="0029138C">
            <w:pPr>
              <w:spacing w:line="300" w:lineRule="auto"/>
              <w:jc w:val="center"/>
              <w:rPr>
                <w:rFonts w:asciiTheme="minorHAnsi" w:hAnsiTheme="minorHAnsi"/>
                <w:b/>
                <w:sz w:val="22"/>
                <w:szCs w:val="22"/>
              </w:rPr>
            </w:pPr>
            <w:r w:rsidRPr="0032079E">
              <w:rPr>
                <w:rFonts w:asciiTheme="minorHAnsi" w:hAnsiTheme="minorHAnsi"/>
                <w:b/>
                <w:sz w:val="22"/>
                <w:szCs w:val="22"/>
              </w:rPr>
              <w:t>Maximum (%)</w:t>
            </w:r>
          </w:p>
        </w:tc>
      </w:tr>
      <w:tr w:rsidR="0032079E" w:rsidRPr="009F020B" w:rsidTr="0029138C">
        <w:trPr>
          <w:trHeight w:val="351"/>
          <w:jc w:val="center"/>
        </w:trPr>
        <w:tc>
          <w:tcPr>
            <w:tcW w:w="3770" w:type="dxa"/>
            <w:vAlign w:val="center"/>
          </w:tcPr>
          <w:p w:rsidR="0032079E" w:rsidRPr="0032079E" w:rsidRDefault="0032079E" w:rsidP="0029138C">
            <w:pPr>
              <w:rPr>
                <w:rFonts w:asciiTheme="minorHAnsi" w:eastAsiaTheme="minorHAnsi" w:hAnsiTheme="minorHAnsi" w:cstheme="minorBidi"/>
                <w:sz w:val="22"/>
                <w:szCs w:val="22"/>
              </w:rPr>
            </w:pPr>
            <w:r w:rsidRPr="0032079E">
              <w:rPr>
                <w:rFonts w:asciiTheme="minorHAnsi" w:hAnsiTheme="minorHAnsi"/>
                <w:sz w:val="22"/>
                <w:szCs w:val="22"/>
              </w:rPr>
              <w:t>Rehospitalization During the First 30 Days of Home Health</w:t>
            </w:r>
          </w:p>
        </w:tc>
        <w:tc>
          <w:tcPr>
            <w:tcW w:w="1030" w:type="dxa"/>
            <w:vAlign w:val="center"/>
          </w:tcPr>
          <w:p w:rsidR="0032079E" w:rsidRPr="0032079E" w:rsidRDefault="0032079E" w:rsidP="0029138C">
            <w:pPr>
              <w:jc w:val="center"/>
              <w:rPr>
                <w:rFonts w:asciiTheme="minorHAnsi" w:eastAsiaTheme="minorHAnsi" w:hAnsiTheme="minorHAnsi"/>
                <w:sz w:val="22"/>
                <w:szCs w:val="22"/>
              </w:rPr>
            </w:pPr>
            <w:r w:rsidRPr="0032079E">
              <w:rPr>
                <w:rFonts w:asciiTheme="minorHAnsi" w:hAnsiTheme="minorHAnsi"/>
                <w:sz w:val="22"/>
                <w:szCs w:val="22"/>
              </w:rPr>
              <w:t>4.6</w:t>
            </w:r>
          </w:p>
        </w:tc>
        <w:tc>
          <w:tcPr>
            <w:tcW w:w="1109" w:type="dxa"/>
            <w:vAlign w:val="center"/>
          </w:tcPr>
          <w:p w:rsidR="0032079E" w:rsidRPr="0032079E" w:rsidRDefault="0032079E" w:rsidP="0029138C">
            <w:pPr>
              <w:jc w:val="center"/>
              <w:rPr>
                <w:rFonts w:asciiTheme="minorHAnsi" w:eastAsiaTheme="minorHAnsi" w:hAnsiTheme="minorHAnsi"/>
                <w:sz w:val="22"/>
                <w:szCs w:val="22"/>
              </w:rPr>
            </w:pPr>
            <w:r w:rsidRPr="0032079E">
              <w:rPr>
                <w:rFonts w:asciiTheme="minorHAnsi" w:hAnsiTheme="minorHAnsi"/>
                <w:sz w:val="22"/>
                <w:szCs w:val="22"/>
              </w:rPr>
              <w:t>22.7</w:t>
            </w:r>
          </w:p>
        </w:tc>
        <w:tc>
          <w:tcPr>
            <w:tcW w:w="1195" w:type="dxa"/>
            <w:vAlign w:val="center"/>
          </w:tcPr>
          <w:p w:rsidR="0032079E" w:rsidRPr="0032079E" w:rsidRDefault="0032079E" w:rsidP="0029138C">
            <w:pPr>
              <w:jc w:val="center"/>
              <w:rPr>
                <w:rFonts w:asciiTheme="minorHAnsi" w:eastAsiaTheme="minorHAnsi" w:hAnsiTheme="minorHAnsi"/>
                <w:sz w:val="22"/>
                <w:szCs w:val="22"/>
              </w:rPr>
            </w:pPr>
            <w:r w:rsidRPr="0032079E">
              <w:rPr>
                <w:rFonts w:asciiTheme="minorHAnsi" w:hAnsiTheme="minorHAnsi"/>
                <w:sz w:val="22"/>
                <w:szCs w:val="22"/>
              </w:rPr>
              <w:t>4.6</w:t>
            </w:r>
          </w:p>
        </w:tc>
        <w:tc>
          <w:tcPr>
            <w:tcW w:w="1122" w:type="dxa"/>
            <w:vAlign w:val="center"/>
          </w:tcPr>
          <w:p w:rsidR="0032079E" w:rsidRPr="0032079E" w:rsidRDefault="0032079E" w:rsidP="0029138C">
            <w:pPr>
              <w:jc w:val="center"/>
              <w:rPr>
                <w:rFonts w:asciiTheme="minorHAnsi" w:eastAsiaTheme="minorHAnsi" w:hAnsiTheme="minorHAnsi"/>
                <w:sz w:val="22"/>
                <w:szCs w:val="22"/>
              </w:rPr>
            </w:pPr>
            <w:r w:rsidRPr="0032079E">
              <w:rPr>
                <w:rFonts w:asciiTheme="minorHAnsi" w:hAnsiTheme="minorHAnsi"/>
                <w:sz w:val="22"/>
                <w:szCs w:val="22"/>
              </w:rPr>
              <w:t>22.7</w:t>
            </w:r>
          </w:p>
        </w:tc>
      </w:tr>
      <w:tr w:rsidR="0032079E" w:rsidRPr="009F020B" w:rsidTr="0029138C">
        <w:trPr>
          <w:trHeight w:val="350"/>
          <w:jc w:val="center"/>
        </w:trPr>
        <w:tc>
          <w:tcPr>
            <w:tcW w:w="3770" w:type="dxa"/>
            <w:vAlign w:val="center"/>
          </w:tcPr>
          <w:p w:rsidR="0032079E" w:rsidRPr="0032079E" w:rsidRDefault="0032079E" w:rsidP="0029138C">
            <w:pPr>
              <w:rPr>
                <w:rFonts w:asciiTheme="minorHAnsi" w:eastAsiaTheme="minorHAnsi" w:hAnsiTheme="minorHAnsi" w:cstheme="minorBidi"/>
                <w:sz w:val="22"/>
                <w:szCs w:val="22"/>
              </w:rPr>
            </w:pPr>
            <w:r w:rsidRPr="0032079E">
              <w:rPr>
                <w:rFonts w:asciiTheme="minorHAnsi" w:hAnsiTheme="minorHAnsi"/>
                <w:sz w:val="22"/>
                <w:szCs w:val="22"/>
              </w:rPr>
              <w:t>ED Use without Hospital Readmission During the First 30 Days of Home Health</w:t>
            </w:r>
          </w:p>
        </w:tc>
        <w:tc>
          <w:tcPr>
            <w:tcW w:w="1030" w:type="dxa"/>
            <w:vAlign w:val="center"/>
          </w:tcPr>
          <w:p w:rsidR="0032079E" w:rsidRPr="0032079E" w:rsidRDefault="0032079E" w:rsidP="0029138C">
            <w:pPr>
              <w:jc w:val="center"/>
              <w:rPr>
                <w:rFonts w:asciiTheme="minorHAnsi" w:eastAsiaTheme="minorHAnsi" w:hAnsiTheme="minorHAnsi"/>
                <w:sz w:val="22"/>
                <w:szCs w:val="22"/>
              </w:rPr>
            </w:pPr>
            <w:r w:rsidRPr="0032079E">
              <w:rPr>
                <w:rFonts w:asciiTheme="minorHAnsi" w:hAnsiTheme="minorHAnsi"/>
                <w:sz w:val="22"/>
                <w:szCs w:val="22"/>
              </w:rPr>
              <w:t>5.4</w:t>
            </w:r>
          </w:p>
        </w:tc>
        <w:tc>
          <w:tcPr>
            <w:tcW w:w="1109" w:type="dxa"/>
            <w:vAlign w:val="center"/>
          </w:tcPr>
          <w:p w:rsidR="0032079E" w:rsidRPr="0032079E" w:rsidRDefault="0032079E" w:rsidP="0029138C">
            <w:pPr>
              <w:jc w:val="center"/>
              <w:rPr>
                <w:rFonts w:asciiTheme="minorHAnsi" w:eastAsiaTheme="minorHAnsi" w:hAnsiTheme="minorHAnsi"/>
                <w:sz w:val="22"/>
                <w:szCs w:val="22"/>
              </w:rPr>
            </w:pPr>
            <w:r w:rsidRPr="0032079E">
              <w:rPr>
                <w:rFonts w:asciiTheme="minorHAnsi" w:hAnsiTheme="minorHAnsi"/>
                <w:sz w:val="22"/>
                <w:szCs w:val="22"/>
              </w:rPr>
              <w:t>14.6</w:t>
            </w:r>
          </w:p>
        </w:tc>
        <w:tc>
          <w:tcPr>
            <w:tcW w:w="1195" w:type="dxa"/>
            <w:vAlign w:val="center"/>
          </w:tcPr>
          <w:p w:rsidR="0032079E" w:rsidRPr="0032079E" w:rsidRDefault="0032079E" w:rsidP="0029138C">
            <w:pPr>
              <w:jc w:val="center"/>
              <w:rPr>
                <w:rFonts w:asciiTheme="minorHAnsi" w:eastAsiaTheme="minorHAnsi" w:hAnsiTheme="minorHAnsi"/>
                <w:sz w:val="22"/>
                <w:szCs w:val="22"/>
              </w:rPr>
            </w:pPr>
            <w:r w:rsidRPr="0032079E">
              <w:rPr>
                <w:rFonts w:asciiTheme="minorHAnsi" w:hAnsiTheme="minorHAnsi"/>
                <w:sz w:val="22"/>
                <w:szCs w:val="22"/>
              </w:rPr>
              <w:t>5.4</w:t>
            </w:r>
          </w:p>
        </w:tc>
        <w:tc>
          <w:tcPr>
            <w:tcW w:w="1122" w:type="dxa"/>
            <w:vAlign w:val="center"/>
          </w:tcPr>
          <w:p w:rsidR="0032079E" w:rsidRPr="0032079E" w:rsidRDefault="0032079E" w:rsidP="0029138C">
            <w:pPr>
              <w:jc w:val="center"/>
              <w:rPr>
                <w:rFonts w:asciiTheme="minorHAnsi" w:eastAsiaTheme="minorHAnsi" w:hAnsiTheme="minorHAnsi"/>
                <w:sz w:val="22"/>
                <w:szCs w:val="22"/>
              </w:rPr>
            </w:pPr>
            <w:r w:rsidRPr="0032079E">
              <w:rPr>
                <w:rFonts w:asciiTheme="minorHAnsi" w:hAnsiTheme="minorHAnsi"/>
                <w:sz w:val="22"/>
                <w:szCs w:val="22"/>
              </w:rPr>
              <w:t>14.7</w:t>
            </w:r>
          </w:p>
        </w:tc>
      </w:tr>
    </w:tbl>
    <w:p w:rsidR="00001D73" w:rsidRDefault="00001D73" w:rsidP="00092566">
      <w:pPr>
        <w:autoSpaceDE w:val="0"/>
        <w:autoSpaceDN w:val="0"/>
        <w:adjustRightInd w:val="0"/>
        <w:spacing w:after="0" w:line="240" w:lineRule="auto"/>
        <w:rPr>
          <w:rFonts w:cstheme="minorHAnsi"/>
          <w:b/>
          <w:bCs/>
        </w:rPr>
      </w:pPr>
    </w:p>
    <w:p w:rsidR="00E30BF5" w:rsidRDefault="00E30BF5" w:rsidP="00E30BF5">
      <w:pPr>
        <w:rPr>
          <w:b/>
        </w:rPr>
      </w:pPr>
      <w:r w:rsidRPr="00F25E19">
        <w:t>F</w:t>
      </w:r>
      <w:r>
        <w:t>inally, the measure developer evaluated the extent to which differences in case-mix would lead to differences in observed rates of ED use without hospital readmission.  The table below shows the distribution of expected agency rates of rehospitalization, by agency size.  The interquartile ranges, by agency size, range from 0.9 percent for large agencies with 1000+ stays to 1.6 percent for small agencies with 20-49 stays.</w:t>
      </w:r>
    </w:p>
    <w:p w:rsidR="00E30BF5" w:rsidRPr="00E30BF5" w:rsidRDefault="00E30BF5" w:rsidP="00E30BF5">
      <w:pPr>
        <w:spacing w:after="0"/>
        <w:jc w:val="center"/>
        <w:rPr>
          <w:b/>
        </w:rPr>
      </w:pPr>
      <w:r w:rsidRPr="00E30BF5">
        <w:rPr>
          <w:b/>
        </w:rPr>
        <w:t>Impact of Risk Adjustment on ED Use without Hospital Readmission Rates, By Agency Size</w:t>
      </w:r>
    </w:p>
    <w:tbl>
      <w:tblPr>
        <w:tblW w:w="5000" w:type="pct"/>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
        <w:gridCol w:w="715"/>
        <w:gridCol w:w="746"/>
        <w:gridCol w:w="918"/>
        <w:gridCol w:w="652"/>
        <w:gridCol w:w="652"/>
        <w:gridCol w:w="652"/>
        <w:gridCol w:w="652"/>
        <w:gridCol w:w="764"/>
        <w:gridCol w:w="764"/>
        <w:gridCol w:w="764"/>
        <w:gridCol w:w="1376"/>
      </w:tblGrid>
      <w:tr w:rsidR="00E30BF5" w:rsidRPr="00E30BF5" w:rsidTr="00E30BF5">
        <w:trPr>
          <w:trHeight w:val="68"/>
          <w:tblHeader/>
          <w:jc w:val="center"/>
        </w:trPr>
        <w:tc>
          <w:tcPr>
            <w:tcW w:w="630" w:type="pct"/>
            <w:shd w:val="clear" w:color="auto" w:fill="CDECFF"/>
            <w:vAlign w:val="center"/>
          </w:tcPr>
          <w:p w:rsidR="00E30BF5" w:rsidRPr="00E30BF5" w:rsidRDefault="00E30BF5" w:rsidP="00E30BF5">
            <w:pPr>
              <w:spacing w:after="0" w:line="240" w:lineRule="auto"/>
              <w:jc w:val="center"/>
              <w:rPr>
                <w:b/>
              </w:rPr>
            </w:pPr>
            <w:r w:rsidRPr="00E30BF5">
              <w:rPr>
                <w:b/>
              </w:rPr>
              <w:t>Total Stays</w:t>
            </w:r>
          </w:p>
        </w:tc>
        <w:tc>
          <w:tcPr>
            <w:tcW w:w="490" w:type="pct"/>
            <w:shd w:val="clear" w:color="auto" w:fill="CDECFF"/>
            <w:vAlign w:val="center"/>
          </w:tcPr>
          <w:p w:rsidR="00E30BF5" w:rsidRPr="00E30BF5" w:rsidRDefault="00E30BF5" w:rsidP="00E30BF5">
            <w:pPr>
              <w:spacing w:after="0" w:line="240" w:lineRule="auto"/>
              <w:jc w:val="center"/>
              <w:rPr>
                <w:b/>
              </w:rPr>
            </w:pPr>
            <w:r w:rsidRPr="00E30BF5">
              <w:rPr>
                <w:b/>
              </w:rPr>
              <w:t># HHAs</w:t>
            </w:r>
          </w:p>
        </w:tc>
        <w:tc>
          <w:tcPr>
            <w:tcW w:w="384" w:type="pct"/>
            <w:shd w:val="clear" w:color="auto" w:fill="CDECFF"/>
            <w:noWrap/>
            <w:vAlign w:val="center"/>
            <w:hideMark/>
          </w:tcPr>
          <w:p w:rsidR="00E30BF5" w:rsidRPr="00E30BF5" w:rsidRDefault="00E30BF5" w:rsidP="00E30BF5">
            <w:pPr>
              <w:spacing w:after="0" w:line="240" w:lineRule="auto"/>
              <w:jc w:val="center"/>
              <w:rPr>
                <w:rFonts w:eastAsia="Times New Roman"/>
                <w:b/>
                <w:color w:val="000000"/>
              </w:rPr>
            </w:pPr>
            <w:r w:rsidRPr="00E30BF5">
              <w:rPr>
                <w:rFonts w:eastAsia="Times New Roman"/>
                <w:b/>
                <w:color w:val="000000"/>
              </w:rPr>
              <w:t>Mean</w:t>
            </w:r>
          </w:p>
        </w:tc>
        <w:tc>
          <w:tcPr>
            <w:tcW w:w="473" w:type="pct"/>
            <w:shd w:val="clear" w:color="auto" w:fill="CDECFF"/>
            <w:noWrap/>
            <w:vAlign w:val="center"/>
            <w:hideMark/>
          </w:tcPr>
          <w:p w:rsidR="00E30BF5" w:rsidRPr="00E30BF5" w:rsidRDefault="00E30BF5" w:rsidP="00E30BF5">
            <w:pPr>
              <w:spacing w:after="0" w:line="240" w:lineRule="auto"/>
              <w:jc w:val="center"/>
              <w:rPr>
                <w:rFonts w:eastAsia="Times New Roman"/>
                <w:b/>
                <w:color w:val="000000"/>
              </w:rPr>
            </w:pPr>
            <w:r w:rsidRPr="00E30BF5">
              <w:rPr>
                <w:rFonts w:eastAsia="Times New Roman"/>
                <w:b/>
                <w:color w:val="000000"/>
              </w:rPr>
              <w:t>St. Dev.</w:t>
            </w:r>
          </w:p>
        </w:tc>
        <w:tc>
          <w:tcPr>
            <w:tcW w:w="336" w:type="pct"/>
            <w:shd w:val="clear" w:color="auto" w:fill="CDECFF"/>
            <w:vAlign w:val="center"/>
          </w:tcPr>
          <w:p w:rsidR="00E30BF5" w:rsidRPr="00E30BF5" w:rsidRDefault="00E30BF5" w:rsidP="00E30BF5">
            <w:pPr>
              <w:spacing w:after="0" w:line="240" w:lineRule="auto"/>
              <w:jc w:val="center"/>
              <w:rPr>
                <w:rFonts w:eastAsia="Times New Roman"/>
                <w:b/>
                <w:color w:val="000000"/>
              </w:rPr>
            </w:pPr>
            <w:r w:rsidRPr="00E30BF5">
              <w:rPr>
                <w:rFonts w:eastAsia="Times New Roman"/>
                <w:b/>
                <w:color w:val="000000"/>
              </w:rPr>
              <w:t>Min</w:t>
            </w:r>
          </w:p>
        </w:tc>
        <w:tc>
          <w:tcPr>
            <w:tcW w:w="336" w:type="pct"/>
            <w:shd w:val="clear" w:color="auto" w:fill="CDECFF"/>
            <w:noWrap/>
            <w:vAlign w:val="center"/>
            <w:hideMark/>
          </w:tcPr>
          <w:p w:rsidR="00E30BF5" w:rsidRPr="00E30BF5" w:rsidRDefault="00E30BF5" w:rsidP="00E30BF5">
            <w:pPr>
              <w:spacing w:after="0" w:line="240" w:lineRule="auto"/>
              <w:jc w:val="center"/>
              <w:rPr>
                <w:rFonts w:eastAsia="Times New Roman"/>
                <w:b/>
                <w:color w:val="000000"/>
              </w:rPr>
            </w:pPr>
            <w:r w:rsidRPr="00E30BF5">
              <w:rPr>
                <w:rFonts w:eastAsia="Times New Roman"/>
                <w:b/>
                <w:color w:val="000000"/>
              </w:rPr>
              <w:t>10th</w:t>
            </w:r>
          </w:p>
        </w:tc>
        <w:tc>
          <w:tcPr>
            <w:tcW w:w="336" w:type="pct"/>
            <w:shd w:val="clear" w:color="auto" w:fill="CDECFF"/>
            <w:noWrap/>
            <w:vAlign w:val="center"/>
            <w:hideMark/>
          </w:tcPr>
          <w:p w:rsidR="00E30BF5" w:rsidRPr="00E30BF5" w:rsidRDefault="00E30BF5" w:rsidP="00E30BF5">
            <w:pPr>
              <w:spacing w:after="0" w:line="240" w:lineRule="auto"/>
              <w:jc w:val="center"/>
              <w:rPr>
                <w:rFonts w:eastAsia="Times New Roman"/>
                <w:b/>
                <w:color w:val="000000"/>
              </w:rPr>
            </w:pPr>
            <w:r w:rsidRPr="00E30BF5">
              <w:rPr>
                <w:rFonts w:eastAsia="Times New Roman"/>
                <w:b/>
                <w:color w:val="000000"/>
              </w:rPr>
              <w:t>25th</w:t>
            </w:r>
          </w:p>
        </w:tc>
        <w:tc>
          <w:tcPr>
            <w:tcW w:w="336" w:type="pct"/>
            <w:shd w:val="clear" w:color="auto" w:fill="CDECFF"/>
            <w:noWrap/>
            <w:vAlign w:val="center"/>
            <w:hideMark/>
          </w:tcPr>
          <w:p w:rsidR="00E30BF5" w:rsidRPr="00E30BF5" w:rsidRDefault="00E30BF5" w:rsidP="00E30BF5">
            <w:pPr>
              <w:spacing w:after="0" w:line="240" w:lineRule="auto"/>
              <w:jc w:val="center"/>
              <w:rPr>
                <w:rFonts w:eastAsia="Times New Roman"/>
                <w:b/>
                <w:color w:val="000000"/>
              </w:rPr>
            </w:pPr>
            <w:r w:rsidRPr="00E30BF5">
              <w:rPr>
                <w:rFonts w:eastAsia="Times New Roman"/>
                <w:b/>
                <w:color w:val="000000"/>
              </w:rPr>
              <w:t>50th</w:t>
            </w:r>
          </w:p>
        </w:tc>
        <w:tc>
          <w:tcPr>
            <w:tcW w:w="393" w:type="pct"/>
            <w:shd w:val="clear" w:color="auto" w:fill="CDECFF"/>
            <w:noWrap/>
            <w:vAlign w:val="center"/>
            <w:hideMark/>
          </w:tcPr>
          <w:p w:rsidR="00E30BF5" w:rsidRPr="00E30BF5" w:rsidRDefault="00E30BF5" w:rsidP="00E30BF5">
            <w:pPr>
              <w:spacing w:after="0" w:line="240" w:lineRule="auto"/>
              <w:jc w:val="center"/>
              <w:rPr>
                <w:rFonts w:eastAsia="Times New Roman"/>
                <w:b/>
                <w:color w:val="000000"/>
              </w:rPr>
            </w:pPr>
            <w:r w:rsidRPr="00E30BF5">
              <w:rPr>
                <w:rFonts w:eastAsia="Times New Roman"/>
                <w:b/>
                <w:color w:val="000000"/>
              </w:rPr>
              <w:t>75th</w:t>
            </w:r>
          </w:p>
        </w:tc>
        <w:tc>
          <w:tcPr>
            <w:tcW w:w="393" w:type="pct"/>
            <w:shd w:val="clear" w:color="auto" w:fill="CDECFF"/>
            <w:noWrap/>
            <w:vAlign w:val="center"/>
            <w:hideMark/>
          </w:tcPr>
          <w:p w:rsidR="00E30BF5" w:rsidRPr="00E30BF5" w:rsidRDefault="00E30BF5" w:rsidP="00E30BF5">
            <w:pPr>
              <w:spacing w:after="0" w:line="240" w:lineRule="auto"/>
              <w:jc w:val="center"/>
              <w:rPr>
                <w:rFonts w:eastAsia="Times New Roman"/>
                <w:b/>
                <w:color w:val="000000"/>
              </w:rPr>
            </w:pPr>
            <w:r w:rsidRPr="00E30BF5">
              <w:rPr>
                <w:rFonts w:eastAsia="Times New Roman"/>
                <w:b/>
                <w:color w:val="000000"/>
              </w:rPr>
              <w:t>90th</w:t>
            </w:r>
          </w:p>
        </w:tc>
        <w:tc>
          <w:tcPr>
            <w:tcW w:w="393" w:type="pct"/>
            <w:shd w:val="clear" w:color="auto" w:fill="CDECFF"/>
            <w:noWrap/>
            <w:vAlign w:val="center"/>
            <w:hideMark/>
          </w:tcPr>
          <w:p w:rsidR="00E30BF5" w:rsidRPr="00E30BF5" w:rsidRDefault="00E30BF5" w:rsidP="00E30BF5">
            <w:pPr>
              <w:spacing w:after="0" w:line="240" w:lineRule="auto"/>
              <w:jc w:val="center"/>
              <w:rPr>
                <w:rFonts w:eastAsia="Times New Roman"/>
                <w:b/>
                <w:color w:val="000000"/>
              </w:rPr>
            </w:pPr>
            <w:r w:rsidRPr="00E30BF5">
              <w:rPr>
                <w:rFonts w:eastAsia="Times New Roman"/>
                <w:b/>
                <w:color w:val="000000"/>
              </w:rPr>
              <w:t>Max</w:t>
            </w:r>
          </w:p>
        </w:tc>
        <w:tc>
          <w:tcPr>
            <w:tcW w:w="501" w:type="pct"/>
            <w:shd w:val="clear" w:color="auto" w:fill="CDECFF"/>
            <w:vAlign w:val="center"/>
          </w:tcPr>
          <w:p w:rsidR="00E30BF5" w:rsidRPr="00E30BF5" w:rsidRDefault="00E30BF5" w:rsidP="00E30BF5">
            <w:pPr>
              <w:spacing w:after="0" w:line="240" w:lineRule="auto"/>
              <w:jc w:val="center"/>
              <w:rPr>
                <w:rFonts w:eastAsia="Times New Roman"/>
                <w:b/>
                <w:color w:val="000000"/>
              </w:rPr>
            </w:pPr>
            <w:r>
              <w:rPr>
                <w:rFonts w:eastAsia="Times New Roman"/>
                <w:b/>
                <w:color w:val="000000"/>
              </w:rPr>
              <w:t>Interquartile</w:t>
            </w:r>
            <w:r w:rsidRPr="00E30BF5">
              <w:rPr>
                <w:rFonts w:eastAsia="Times New Roman"/>
                <w:b/>
                <w:color w:val="000000"/>
              </w:rPr>
              <w:t xml:space="preserve"> Range</w:t>
            </w:r>
          </w:p>
        </w:tc>
      </w:tr>
      <w:tr w:rsidR="00E30BF5" w:rsidRPr="00E30BF5" w:rsidTr="00E30BF5">
        <w:trPr>
          <w:trHeight w:val="68"/>
          <w:jc w:val="center"/>
        </w:trPr>
        <w:tc>
          <w:tcPr>
            <w:tcW w:w="630" w:type="pct"/>
            <w:shd w:val="clear" w:color="000000" w:fill="FFFFFF"/>
            <w:vAlign w:val="center"/>
          </w:tcPr>
          <w:p w:rsidR="00E30BF5" w:rsidRPr="00E30BF5" w:rsidRDefault="00E30BF5" w:rsidP="00E30BF5">
            <w:pPr>
              <w:spacing w:after="0" w:line="240" w:lineRule="auto"/>
              <w:jc w:val="center"/>
              <w:rPr>
                <w:rFonts w:eastAsia="Times New Roman"/>
                <w:color w:val="000000"/>
              </w:rPr>
            </w:pPr>
            <w:r w:rsidRPr="00E30BF5">
              <w:rPr>
                <w:rFonts w:eastAsia="Times New Roman"/>
                <w:color w:val="000000"/>
              </w:rPr>
              <w:t>20-49</w:t>
            </w:r>
          </w:p>
        </w:tc>
        <w:tc>
          <w:tcPr>
            <w:tcW w:w="490" w:type="pct"/>
            <w:shd w:val="clear" w:color="000000" w:fill="FFFFFF"/>
            <w:vAlign w:val="center"/>
          </w:tcPr>
          <w:p w:rsidR="00E30BF5" w:rsidRPr="00E30BF5" w:rsidRDefault="00E30BF5" w:rsidP="00E30BF5">
            <w:pPr>
              <w:spacing w:after="0" w:line="240" w:lineRule="auto"/>
              <w:jc w:val="center"/>
              <w:rPr>
                <w:rFonts w:eastAsia="Times New Roman"/>
                <w:color w:val="000000"/>
                <w:highlight w:val="yellow"/>
              </w:rPr>
            </w:pPr>
            <w:r w:rsidRPr="00E30BF5">
              <w:rPr>
                <w:color w:val="000000"/>
              </w:rPr>
              <w:t>1655</w:t>
            </w:r>
          </w:p>
        </w:tc>
        <w:tc>
          <w:tcPr>
            <w:tcW w:w="384"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9.4%</w:t>
            </w:r>
          </w:p>
        </w:tc>
        <w:tc>
          <w:tcPr>
            <w:tcW w:w="473"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1.3%</w:t>
            </w:r>
          </w:p>
        </w:tc>
        <w:tc>
          <w:tcPr>
            <w:tcW w:w="336" w:type="pct"/>
            <w:shd w:val="clear" w:color="000000" w:fill="FFFFFF"/>
            <w:vAlign w:val="center"/>
          </w:tcPr>
          <w:p w:rsidR="00E30BF5" w:rsidRPr="00E30BF5" w:rsidRDefault="00E30BF5" w:rsidP="00E30BF5">
            <w:pPr>
              <w:spacing w:after="0" w:line="240" w:lineRule="auto"/>
              <w:jc w:val="center"/>
              <w:rPr>
                <w:rFonts w:eastAsia="Times New Roman"/>
                <w:color w:val="000000"/>
              </w:rPr>
            </w:pPr>
            <w:r w:rsidRPr="00E30BF5">
              <w:rPr>
                <w:color w:val="000000"/>
              </w:rPr>
              <w:t>6.0%</w:t>
            </w:r>
          </w:p>
        </w:tc>
        <w:tc>
          <w:tcPr>
            <w:tcW w:w="336"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8.0%</w:t>
            </w:r>
          </w:p>
        </w:tc>
        <w:tc>
          <w:tcPr>
            <w:tcW w:w="336"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8.6%</w:t>
            </w:r>
          </w:p>
        </w:tc>
        <w:tc>
          <w:tcPr>
            <w:tcW w:w="336"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9.3%</w:t>
            </w:r>
          </w:p>
        </w:tc>
        <w:tc>
          <w:tcPr>
            <w:tcW w:w="393"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10.2%</w:t>
            </w:r>
          </w:p>
        </w:tc>
        <w:tc>
          <w:tcPr>
            <w:tcW w:w="393"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11.2%</w:t>
            </w:r>
          </w:p>
        </w:tc>
        <w:tc>
          <w:tcPr>
            <w:tcW w:w="393"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15.4%</w:t>
            </w:r>
          </w:p>
        </w:tc>
        <w:tc>
          <w:tcPr>
            <w:tcW w:w="501" w:type="pct"/>
            <w:shd w:val="clear" w:color="000000" w:fill="FFFFFF"/>
            <w:vAlign w:val="center"/>
          </w:tcPr>
          <w:p w:rsidR="00E30BF5" w:rsidRPr="00E30BF5" w:rsidRDefault="00E30BF5" w:rsidP="00E30BF5">
            <w:pPr>
              <w:spacing w:after="0" w:line="240" w:lineRule="auto"/>
              <w:jc w:val="center"/>
              <w:rPr>
                <w:rFonts w:eastAsia="Times New Roman"/>
                <w:color w:val="000000"/>
              </w:rPr>
            </w:pPr>
            <w:r w:rsidRPr="00E30BF5">
              <w:rPr>
                <w:color w:val="000000"/>
              </w:rPr>
              <w:t>1.6%</w:t>
            </w:r>
          </w:p>
        </w:tc>
      </w:tr>
      <w:tr w:rsidR="00E30BF5" w:rsidRPr="00E30BF5" w:rsidTr="00E30BF5">
        <w:trPr>
          <w:trHeight w:val="68"/>
          <w:jc w:val="center"/>
        </w:trPr>
        <w:tc>
          <w:tcPr>
            <w:tcW w:w="630" w:type="pct"/>
            <w:shd w:val="clear" w:color="000000" w:fill="FFFFFF"/>
            <w:vAlign w:val="center"/>
          </w:tcPr>
          <w:p w:rsidR="00E30BF5" w:rsidRPr="00E30BF5" w:rsidRDefault="00E30BF5" w:rsidP="00E30BF5">
            <w:pPr>
              <w:spacing w:after="0" w:line="240" w:lineRule="auto"/>
              <w:jc w:val="center"/>
              <w:rPr>
                <w:rFonts w:eastAsia="Times New Roman"/>
                <w:color w:val="000000"/>
              </w:rPr>
            </w:pPr>
            <w:r w:rsidRPr="00E30BF5">
              <w:rPr>
                <w:rFonts w:eastAsia="Times New Roman"/>
                <w:color w:val="000000"/>
              </w:rPr>
              <w:t>50-99</w:t>
            </w:r>
          </w:p>
        </w:tc>
        <w:tc>
          <w:tcPr>
            <w:tcW w:w="490" w:type="pct"/>
            <w:shd w:val="clear" w:color="000000" w:fill="FFFFFF"/>
            <w:vAlign w:val="center"/>
          </w:tcPr>
          <w:p w:rsidR="00E30BF5" w:rsidRPr="00E30BF5" w:rsidRDefault="00E30BF5" w:rsidP="00E30BF5">
            <w:pPr>
              <w:spacing w:after="0" w:line="240" w:lineRule="auto"/>
              <w:jc w:val="center"/>
              <w:rPr>
                <w:rFonts w:eastAsia="Times New Roman"/>
                <w:color w:val="000000"/>
                <w:highlight w:val="yellow"/>
              </w:rPr>
            </w:pPr>
            <w:r w:rsidRPr="00E30BF5">
              <w:rPr>
                <w:color w:val="000000"/>
              </w:rPr>
              <w:t>1486</w:t>
            </w:r>
          </w:p>
        </w:tc>
        <w:tc>
          <w:tcPr>
            <w:tcW w:w="384" w:type="pct"/>
            <w:shd w:val="clear" w:color="000000" w:fill="FFFFFF"/>
            <w:noWrap/>
            <w:vAlign w:val="center"/>
          </w:tcPr>
          <w:p w:rsidR="00E30BF5" w:rsidRPr="00E30BF5" w:rsidRDefault="00E30BF5" w:rsidP="00E30BF5">
            <w:pPr>
              <w:spacing w:after="0" w:line="240" w:lineRule="auto"/>
              <w:jc w:val="center"/>
              <w:rPr>
                <w:rFonts w:eastAsia="Times New Roman"/>
                <w:color w:val="000000"/>
                <w:highlight w:val="yellow"/>
              </w:rPr>
            </w:pPr>
            <w:r w:rsidRPr="00E30BF5">
              <w:rPr>
                <w:color w:val="000000"/>
              </w:rPr>
              <w:t>9.3%</w:t>
            </w:r>
          </w:p>
        </w:tc>
        <w:tc>
          <w:tcPr>
            <w:tcW w:w="473" w:type="pct"/>
            <w:shd w:val="clear" w:color="000000" w:fill="FFFFFF"/>
            <w:noWrap/>
            <w:vAlign w:val="center"/>
          </w:tcPr>
          <w:p w:rsidR="00E30BF5" w:rsidRPr="00E30BF5" w:rsidRDefault="00E30BF5" w:rsidP="00E30BF5">
            <w:pPr>
              <w:spacing w:after="0" w:line="240" w:lineRule="auto"/>
              <w:jc w:val="center"/>
              <w:rPr>
                <w:rFonts w:eastAsia="Times New Roman"/>
                <w:color w:val="000000"/>
                <w:highlight w:val="yellow"/>
              </w:rPr>
            </w:pPr>
            <w:r w:rsidRPr="00E30BF5">
              <w:rPr>
                <w:color w:val="000000"/>
              </w:rPr>
              <w:t>1.0%</w:t>
            </w:r>
          </w:p>
        </w:tc>
        <w:tc>
          <w:tcPr>
            <w:tcW w:w="336" w:type="pct"/>
            <w:shd w:val="clear" w:color="000000" w:fill="FFFFFF"/>
            <w:vAlign w:val="center"/>
          </w:tcPr>
          <w:p w:rsidR="00E30BF5" w:rsidRPr="00E30BF5" w:rsidRDefault="00E30BF5" w:rsidP="00E30BF5">
            <w:pPr>
              <w:spacing w:after="0" w:line="240" w:lineRule="auto"/>
              <w:jc w:val="center"/>
              <w:rPr>
                <w:rFonts w:eastAsia="Times New Roman"/>
                <w:color w:val="000000"/>
                <w:highlight w:val="yellow"/>
              </w:rPr>
            </w:pPr>
            <w:r w:rsidRPr="00E30BF5">
              <w:rPr>
                <w:color w:val="000000"/>
              </w:rPr>
              <w:t>6.3%</w:t>
            </w:r>
          </w:p>
        </w:tc>
        <w:tc>
          <w:tcPr>
            <w:tcW w:w="336" w:type="pct"/>
            <w:shd w:val="clear" w:color="000000" w:fill="FFFFFF"/>
            <w:noWrap/>
            <w:vAlign w:val="center"/>
          </w:tcPr>
          <w:p w:rsidR="00E30BF5" w:rsidRPr="00E30BF5" w:rsidRDefault="00E30BF5" w:rsidP="00E30BF5">
            <w:pPr>
              <w:spacing w:after="0" w:line="240" w:lineRule="auto"/>
              <w:jc w:val="center"/>
              <w:rPr>
                <w:rFonts w:eastAsia="Times New Roman"/>
                <w:color w:val="000000"/>
                <w:highlight w:val="yellow"/>
              </w:rPr>
            </w:pPr>
            <w:r w:rsidRPr="00E30BF5">
              <w:rPr>
                <w:color w:val="000000"/>
              </w:rPr>
              <w:t>8.1%</w:t>
            </w:r>
          </w:p>
        </w:tc>
        <w:tc>
          <w:tcPr>
            <w:tcW w:w="336" w:type="pct"/>
            <w:shd w:val="clear" w:color="000000" w:fill="FFFFFF"/>
            <w:noWrap/>
            <w:vAlign w:val="center"/>
          </w:tcPr>
          <w:p w:rsidR="00E30BF5" w:rsidRPr="00E30BF5" w:rsidRDefault="00E30BF5" w:rsidP="00E30BF5">
            <w:pPr>
              <w:spacing w:after="0" w:line="240" w:lineRule="auto"/>
              <w:jc w:val="center"/>
              <w:rPr>
                <w:rFonts w:eastAsia="Times New Roman"/>
                <w:color w:val="000000"/>
                <w:highlight w:val="yellow"/>
              </w:rPr>
            </w:pPr>
            <w:r w:rsidRPr="00E30BF5">
              <w:rPr>
                <w:color w:val="000000"/>
              </w:rPr>
              <w:t>8.6%</w:t>
            </w:r>
          </w:p>
        </w:tc>
        <w:tc>
          <w:tcPr>
            <w:tcW w:w="336" w:type="pct"/>
            <w:shd w:val="clear" w:color="000000" w:fill="FFFFFF"/>
            <w:noWrap/>
            <w:vAlign w:val="center"/>
          </w:tcPr>
          <w:p w:rsidR="00E30BF5" w:rsidRPr="00E30BF5" w:rsidRDefault="00E30BF5" w:rsidP="00E30BF5">
            <w:pPr>
              <w:spacing w:after="0" w:line="240" w:lineRule="auto"/>
              <w:jc w:val="center"/>
              <w:rPr>
                <w:rFonts w:eastAsia="Times New Roman"/>
                <w:color w:val="000000"/>
                <w:highlight w:val="yellow"/>
              </w:rPr>
            </w:pPr>
            <w:r w:rsidRPr="00E30BF5">
              <w:rPr>
                <w:color w:val="000000"/>
              </w:rPr>
              <w:t>9.2%</w:t>
            </w:r>
          </w:p>
        </w:tc>
        <w:tc>
          <w:tcPr>
            <w:tcW w:w="393" w:type="pct"/>
            <w:shd w:val="clear" w:color="000000" w:fill="FFFFFF"/>
            <w:noWrap/>
            <w:vAlign w:val="center"/>
          </w:tcPr>
          <w:p w:rsidR="00E30BF5" w:rsidRPr="00E30BF5" w:rsidRDefault="00E30BF5" w:rsidP="00E30BF5">
            <w:pPr>
              <w:spacing w:after="0" w:line="240" w:lineRule="auto"/>
              <w:jc w:val="center"/>
              <w:rPr>
                <w:rFonts w:eastAsia="Times New Roman"/>
                <w:color w:val="000000"/>
                <w:highlight w:val="yellow"/>
              </w:rPr>
            </w:pPr>
            <w:r w:rsidRPr="00E30BF5">
              <w:rPr>
                <w:color w:val="000000"/>
              </w:rPr>
              <w:t>9.9%</w:t>
            </w:r>
          </w:p>
        </w:tc>
        <w:tc>
          <w:tcPr>
            <w:tcW w:w="393" w:type="pct"/>
            <w:shd w:val="clear" w:color="000000" w:fill="FFFFFF"/>
            <w:noWrap/>
            <w:vAlign w:val="center"/>
          </w:tcPr>
          <w:p w:rsidR="00E30BF5" w:rsidRPr="00E30BF5" w:rsidRDefault="00E30BF5" w:rsidP="00E30BF5">
            <w:pPr>
              <w:spacing w:after="0" w:line="240" w:lineRule="auto"/>
              <w:jc w:val="center"/>
              <w:rPr>
                <w:rFonts w:eastAsia="Times New Roman"/>
                <w:color w:val="000000"/>
                <w:highlight w:val="yellow"/>
              </w:rPr>
            </w:pPr>
            <w:r w:rsidRPr="00E30BF5">
              <w:rPr>
                <w:color w:val="000000"/>
              </w:rPr>
              <w:t>10.6%</w:t>
            </w:r>
          </w:p>
        </w:tc>
        <w:tc>
          <w:tcPr>
            <w:tcW w:w="393" w:type="pct"/>
            <w:shd w:val="clear" w:color="000000" w:fill="FFFFFF"/>
            <w:noWrap/>
            <w:vAlign w:val="center"/>
          </w:tcPr>
          <w:p w:rsidR="00E30BF5" w:rsidRPr="00E30BF5" w:rsidRDefault="00E30BF5" w:rsidP="00E30BF5">
            <w:pPr>
              <w:spacing w:after="0" w:line="240" w:lineRule="auto"/>
              <w:jc w:val="center"/>
              <w:rPr>
                <w:rFonts w:eastAsia="Times New Roman"/>
                <w:color w:val="000000"/>
                <w:highlight w:val="yellow"/>
              </w:rPr>
            </w:pPr>
            <w:r w:rsidRPr="00E30BF5">
              <w:rPr>
                <w:color w:val="000000"/>
              </w:rPr>
              <w:t>13.8%</w:t>
            </w:r>
          </w:p>
        </w:tc>
        <w:tc>
          <w:tcPr>
            <w:tcW w:w="501" w:type="pct"/>
            <w:shd w:val="clear" w:color="000000" w:fill="FFFFFF"/>
            <w:vAlign w:val="center"/>
          </w:tcPr>
          <w:p w:rsidR="00E30BF5" w:rsidRPr="00E30BF5" w:rsidRDefault="00E30BF5" w:rsidP="00E30BF5">
            <w:pPr>
              <w:spacing w:after="0" w:line="240" w:lineRule="auto"/>
              <w:jc w:val="center"/>
              <w:rPr>
                <w:rFonts w:eastAsia="Times New Roman"/>
                <w:color w:val="000000"/>
                <w:highlight w:val="yellow"/>
              </w:rPr>
            </w:pPr>
            <w:r w:rsidRPr="00E30BF5">
              <w:rPr>
                <w:color w:val="000000"/>
              </w:rPr>
              <w:t>1.4%</w:t>
            </w:r>
          </w:p>
        </w:tc>
      </w:tr>
      <w:tr w:rsidR="00E30BF5" w:rsidRPr="00E30BF5" w:rsidTr="00E30BF5">
        <w:trPr>
          <w:trHeight w:val="68"/>
          <w:jc w:val="center"/>
        </w:trPr>
        <w:tc>
          <w:tcPr>
            <w:tcW w:w="630" w:type="pct"/>
            <w:shd w:val="clear" w:color="000000" w:fill="FFFFFF"/>
            <w:vAlign w:val="center"/>
          </w:tcPr>
          <w:p w:rsidR="00E30BF5" w:rsidRPr="00E30BF5" w:rsidRDefault="00E30BF5" w:rsidP="00E30BF5">
            <w:pPr>
              <w:spacing w:after="0" w:line="240" w:lineRule="auto"/>
              <w:jc w:val="center"/>
              <w:rPr>
                <w:rFonts w:eastAsia="Times New Roman"/>
                <w:color w:val="000000"/>
              </w:rPr>
            </w:pPr>
            <w:r w:rsidRPr="00E30BF5">
              <w:rPr>
                <w:rFonts w:eastAsia="Times New Roman"/>
                <w:color w:val="000000"/>
              </w:rPr>
              <w:t>100–199</w:t>
            </w:r>
          </w:p>
        </w:tc>
        <w:tc>
          <w:tcPr>
            <w:tcW w:w="490" w:type="pct"/>
            <w:shd w:val="clear" w:color="000000" w:fill="FFFFFF"/>
            <w:vAlign w:val="center"/>
          </w:tcPr>
          <w:p w:rsidR="00E30BF5" w:rsidRPr="00E30BF5" w:rsidRDefault="00E30BF5" w:rsidP="00E30BF5">
            <w:pPr>
              <w:spacing w:after="0" w:line="240" w:lineRule="auto"/>
              <w:jc w:val="center"/>
              <w:rPr>
                <w:rFonts w:eastAsia="Times New Roman"/>
                <w:color w:val="000000"/>
                <w:highlight w:val="yellow"/>
              </w:rPr>
            </w:pPr>
            <w:r w:rsidRPr="00E30BF5">
              <w:rPr>
                <w:color w:val="000000"/>
              </w:rPr>
              <w:t>1385</w:t>
            </w:r>
          </w:p>
        </w:tc>
        <w:tc>
          <w:tcPr>
            <w:tcW w:w="384"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9.3%</w:t>
            </w:r>
          </w:p>
        </w:tc>
        <w:tc>
          <w:tcPr>
            <w:tcW w:w="473"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1.0%</w:t>
            </w:r>
          </w:p>
        </w:tc>
        <w:tc>
          <w:tcPr>
            <w:tcW w:w="336" w:type="pct"/>
            <w:shd w:val="clear" w:color="000000" w:fill="FFFFFF"/>
            <w:vAlign w:val="center"/>
          </w:tcPr>
          <w:p w:rsidR="00E30BF5" w:rsidRPr="00E30BF5" w:rsidRDefault="00E30BF5" w:rsidP="00E30BF5">
            <w:pPr>
              <w:spacing w:after="0" w:line="240" w:lineRule="auto"/>
              <w:jc w:val="center"/>
              <w:rPr>
                <w:rFonts w:eastAsia="Times New Roman"/>
                <w:color w:val="000000"/>
              </w:rPr>
            </w:pPr>
            <w:r w:rsidRPr="00E30BF5">
              <w:rPr>
                <w:color w:val="000000"/>
              </w:rPr>
              <w:t>5.8%</w:t>
            </w:r>
          </w:p>
        </w:tc>
        <w:tc>
          <w:tcPr>
            <w:tcW w:w="336"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8.2%</w:t>
            </w:r>
          </w:p>
        </w:tc>
        <w:tc>
          <w:tcPr>
            <w:tcW w:w="336"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8.6%</w:t>
            </w:r>
          </w:p>
        </w:tc>
        <w:tc>
          <w:tcPr>
            <w:tcW w:w="336"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9.2%</w:t>
            </w:r>
          </w:p>
        </w:tc>
        <w:tc>
          <w:tcPr>
            <w:tcW w:w="393"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9.9%</w:t>
            </w:r>
          </w:p>
        </w:tc>
        <w:tc>
          <w:tcPr>
            <w:tcW w:w="393"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10.6%</w:t>
            </w:r>
          </w:p>
        </w:tc>
        <w:tc>
          <w:tcPr>
            <w:tcW w:w="393"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14.2%</w:t>
            </w:r>
          </w:p>
        </w:tc>
        <w:tc>
          <w:tcPr>
            <w:tcW w:w="501" w:type="pct"/>
            <w:shd w:val="clear" w:color="000000" w:fill="FFFFFF"/>
            <w:vAlign w:val="center"/>
          </w:tcPr>
          <w:p w:rsidR="00E30BF5" w:rsidRPr="00E30BF5" w:rsidRDefault="00E30BF5" w:rsidP="00E30BF5">
            <w:pPr>
              <w:spacing w:after="0" w:line="240" w:lineRule="auto"/>
              <w:jc w:val="center"/>
              <w:rPr>
                <w:rFonts w:eastAsia="Times New Roman"/>
                <w:color w:val="000000"/>
                <w:highlight w:val="yellow"/>
              </w:rPr>
            </w:pPr>
            <w:r w:rsidRPr="00E30BF5">
              <w:rPr>
                <w:color w:val="000000"/>
              </w:rPr>
              <w:t>1.3%</w:t>
            </w:r>
          </w:p>
        </w:tc>
      </w:tr>
      <w:tr w:rsidR="00E30BF5" w:rsidRPr="00E30BF5" w:rsidTr="00E30BF5">
        <w:trPr>
          <w:trHeight w:val="68"/>
          <w:jc w:val="center"/>
        </w:trPr>
        <w:tc>
          <w:tcPr>
            <w:tcW w:w="630" w:type="pct"/>
            <w:shd w:val="clear" w:color="000000" w:fill="FFFFFF"/>
            <w:vAlign w:val="center"/>
          </w:tcPr>
          <w:p w:rsidR="00E30BF5" w:rsidRPr="00E30BF5" w:rsidRDefault="00E30BF5" w:rsidP="00E30BF5">
            <w:pPr>
              <w:spacing w:after="0" w:line="240" w:lineRule="auto"/>
              <w:jc w:val="center"/>
              <w:rPr>
                <w:rFonts w:eastAsia="Times New Roman"/>
                <w:color w:val="000000"/>
              </w:rPr>
            </w:pPr>
            <w:r w:rsidRPr="00E30BF5">
              <w:rPr>
                <w:rFonts w:eastAsia="Times New Roman"/>
                <w:color w:val="000000"/>
              </w:rPr>
              <w:t>200 – 399</w:t>
            </w:r>
          </w:p>
        </w:tc>
        <w:tc>
          <w:tcPr>
            <w:tcW w:w="490" w:type="pct"/>
            <w:shd w:val="clear" w:color="000000" w:fill="FFFFFF"/>
            <w:vAlign w:val="center"/>
          </w:tcPr>
          <w:p w:rsidR="00E30BF5" w:rsidRPr="00E30BF5" w:rsidRDefault="00E30BF5" w:rsidP="00E30BF5">
            <w:pPr>
              <w:spacing w:after="0" w:line="240" w:lineRule="auto"/>
              <w:jc w:val="center"/>
              <w:rPr>
                <w:rFonts w:eastAsia="Times New Roman"/>
                <w:color w:val="000000"/>
                <w:highlight w:val="yellow"/>
              </w:rPr>
            </w:pPr>
            <w:r w:rsidRPr="00E30BF5">
              <w:rPr>
                <w:color w:val="000000"/>
              </w:rPr>
              <w:t>1244</w:t>
            </w:r>
          </w:p>
        </w:tc>
        <w:tc>
          <w:tcPr>
            <w:tcW w:w="384"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9.2%</w:t>
            </w:r>
          </w:p>
        </w:tc>
        <w:tc>
          <w:tcPr>
            <w:tcW w:w="473"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1.0%</w:t>
            </w:r>
          </w:p>
        </w:tc>
        <w:tc>
          <w:tcPr>
            <w:tcW w:w="336" w:type="pct"/>
            <w:shd w:val="clear" w:color="000000" w:fill="FFFFFF"/>
            <w:vAlign w:val="center"/>
          </w:tcPr>
          <w:p w:rsidR="00E30BF5" w:rsidRPr="00E30BF5" w:rsidRDefault="00E30BF5" w:rsidP="00E30BF5">
            <w:pPr>
              <w:spacing w:after="0" w:line="240" w:lineRule="auto"/>
              <w:jc w:val="center"/>
              <w:rPr>
                <w:rFonts w:eastAsia="Times New Roman"/>
                <w:color w:val="000000"/>
              </w:rPr>
            </w:pPr>
            <w:r w:rsidRPr="00E30BF5">
              <w:rPr>
                <w:color w:val="000000"/>
              </w:rPr>
              <w:t>6.1%</w:t>
            </w:r>
          </w:p>
        </w:tc>
        <w:tc>
          <w:tcPr>
            <w:tcW w:w="336"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8.1%</w:t>
            </w:r>
          </w:p>
        </w:tc>
        <w:tc>
          <w:tcPr>
            <w:tcW w:w="336"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8.5%</w:t>
            </w:r>
          </w:p>
        </w:tc>
        <w:tc>
          <w:tcPr>
            <w:tcW w:w="336"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9.1%</w:t>
            </w:r>
          </w:p>
        </w:tc>
        <w:tc>
          <w:tcPr>
            <w:tcW w:w="393"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9.8%</w:t>
            </w:r>
          </w:p>
        </w:tc>
        <w:tc>
          <w:tcPr>
            <w:tcW w:w="393"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10.4%</w:t>
            </w:r>
          </w:p>
        </w:tc>
        <w:tc>
          <w:tcPr>
            <w:tcW w:w="393"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13.0%</w:t>
            </w:r>
          </w:p>
        </w:tc>
        <w:tc>
          <w:tcPr>
            <w:tcW w:w="501" w:type="pct"/>
            <w:shd w:val="clear" w:color="000000" w:fill="FFFFFF"/>
            <w:vAlign w:val="center"/>
          </w:tcPr>
          <w:p w:rsidR="00E30BF5" w:rsidRPr="00E30BF5" w:rsidRDefault="00E30BF5" w:rsidP="00E30BF5">
            <w:pPr>
              <w:spacing w:after="0" w:line="240" w:lineRule="auto"/>
              <w:jc w:val="center"/>
              <w:rPr>
                <w:rFonts w:eastAsia="Times New Roman"/>
                <w:color w:val="000000"/>
                <w:highlight w:val="yellow"/>
              </w:rPr>
            </w:pPr>
            <w:r w:rsidRPr="00E30BF5">
              <w:rPr>
                <w:color w:val="000000"/>
              </w:rPr>
              <w:t>1.2%</w:t>
            </w:r>
          </w:p>
        </w:tc>
      </w:tr>
      <w:tr w:rsidR="00E30BF5" w:rsidRPr="00E30BF5" w:rsidTr="00E30BF5">
        <w:trPr>
          <w:trHeight w:val="68"/>
          <w:jc w:val="center"/>
        </w:trPr>
        <w:tc>
          <w:tcPr>
            <w:tcW w:w="630" w:type="pct"/>
            <w:shd w:val="clear" w:color="000000" w:fill="FFFFFF"/>
            <w:vAlign w:val="center"/>
          </w:tcPr>
          <w:p w:rsidR="00E30BF5" w:rsidRPr="00E30BF5" w:rsidRDefault="00E30BF5" w:rsidP="00E30BF5">
            <w:pPr>
              <w:spacing w:after="0" w:line="240" w:lineRule="auto"/>
              <w:jc w:val="center"/>
              <w:rPr>
                <w:rFonts w:eastAsia="Times New Roman"/>
                <w:color w:val="000000"/>
              </w:rPr>
            </w:pPr>
            <w:r w:rsidRPr="00E30BF5">
              <w:rPr>
                <w:rFonts w:eastAsia="Times New Roman"/>
                <w:color w:val="000000"/>
              </w:rPr>
              <w:t>400 – 999</w:t>
            </w:r>
          </w:p>
        </w:tc>
        <w:tc>
          <w:tcPr>
            <w:tcW w:w="490" w:type="pct"/>
            <w:shd w:val="clear" w:color="000000" w:fill="FFFFFF"/>
            <w:vAlign w:val="center"/>
          </w:tcPr>
          <w:p w:rsidR="00E30BF5" w:rsidRPr="00E30BF5" w:rsidRDefault="00E30BF5" w:rsidP="00E30BF5">
            <w:pPr>
              <w:spacing w:after="0" w:line="240" w:lineRule="auto"/>
              <w:jc w:val="center"/>
              <w:rPr>
                <w:rFonts w:eastAsia="Times New Roman"/>
                <w:color w:val="000000"/>
                <w:highlight w:val="yellow"/>
              </w:rPr>
            </w:pPr>
            <w:r w:rsidRPr="00E30BF5">
              <w:rPr>
                <w:color w:val="000000"/>
              </w:rPr>
              <w:t>1115</w:t>
            </w:r>
          </w:p>
        </w:tc>
        <w:tc>
          <w:tcPr>
            <w:tcW w:w="384"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9.0%</w:t>
            </w:r>
          </w:p>
        </w:tc>
        <w:tc>
          <w:tcPr>
            <w:tcW w:w="473"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0.8%</w:t>
            </w:r>
          </w:p>
        </w:tc>
        <w:tc>
          <w:tcPr>
            <w:tcW w:w="336" w:type="pct"/>
            <w:shd w:val="clear" w:color="000000" w:fill="FFFFFF"/>
            <w:vAlign w:val="center"/>
          </w:tcPr>
          <w:p w:rsidR="00E30BF5" w:rsidRPr="00E30BF5" w:rsidRDefault="00E30BF5" w:rsidP="00E30BF5">
            <w:pPr>
              <w:spacing w:after="0" w:line="240" w:lineRule="auto"/>
              <w:jc w:val="center"/>
              <w:rPr>
                <w:rFonts w:eastAsia="Times New Roman"/>
                <w:color w:val="000000"/>
              </w:rPr>
            </w:pPr>
            <w:r w:rsidRPr="00E30BF5">
              <w:rPr>
                <w:color w:val="000000"/>
              </w:rPr>
              <w:t>6.1%</w:t>
            </w:r>
          </w:p>
        </w:tc>
        <w:tc>
          <w:tcPr>
            <w:tcW w:w="336"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8.1%</w:t>
            </w:r>
          </w:p>
        </w:tc>
        <w:tc>
          <w:tcPr>
            <w:tcW w:w="336"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8.5%</w:t>
            </w:r>
          </w:p>
        </w:tc>
        <w:tc>
          <w:tcPr>
            <w:tcW w:w="336"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9.0%</w:t>
            </w:r>
          </w:p>
        </w:tc>
        <w:tc>
          <w:tcPr>
            <w:tcW w:w="393"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9.5%</w:t>
            </w:r>
          </w:p>
        </w:tc>
        <w:tc>
          <w:tcPr>
            <w:tcW w:w="393"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10.0%</w:t>
            </w:r>
          </w:p>
        </w:tc>
        <w:tc>
          <w:tcPr>
            <w:tcW w:w="393"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13.3%</w:t>
            </w:r>
          </w:p>
        </w:tc>
        <w:tc>
          <w:tcPr>
            <w:tcW w:w="501" w:type="pct"/>
            <w:shd w:val="clear" w:color="000000" w:fill="FFFFFF"/>
            <w:vAlign w:val="center"/>
          </w:tcPr>
          <w:p w:rsidR="00E30BF5" w:rsidRPr="00E30BF5" w:rsidRDefault="00E30BF5" w:rsidP="00E30BF5">
            <w:pPr>
              <w:spacing w:after="0" w:line="240" w:lineRule="auto"/>
              <w:jc w:val="center"/>
              <w:rPr>
                <w:rFonts w:eastAsia="Times New Roman"/>
                <w:color w:val="000000"/>
                <w:highlight w:val="yellow"/>
              </w:rPr>
            </w:pPr>
            <w:r w:rsidRPr="00E30BF5">
              <w:rPr>
                <w:color w:val="000000"/>
              </w:rPr>
              <w:t>1.0%</w:t>
            </w:r>
          </w:p>
        </w:tc>
      </w:tr>
      <w:tr w:rsidR="00E30BF5" w:rsidRPr="00E30BF5" w:rsidTr="00E30BF5">
        <w:trPr>
          <w:trHeight w:val="68"/>
          <w:jc w:val="center"/>
        </w:trPr>
        <w:tc>
          <w:tcPr>
            <w:tcW w:w="630" w:type="pct"/>
            <w:shd w:val="clear" w:color="000000" w:fill="FFFFFF"/>
            <w:vAlign w:val="center"/>
          </w:tcPr>
          <w:p w:rsidR="00E30BF5" w:rsidRPr="00E30BF5" w:rsidRDefault="00E30BF5" w:rsidP="00E30BF5">
            <w:pPr>
              <w:spacing w:after="0" w:line="240" w:lineRule="auto"/>
              <w:jc w:val="center"/>
              <w:rPr>
                <w:rFonts w:eastAsia="Times New Roman"/>
                <w:color w:val="000000"/>
              </w:rPr>
            </w:pPr>
            <w:r w:rsidRPr="00E30BF5">
              <w:rPr>
                <w:rFonts w:eastAsia="Times New Roman"/>
                <w:color w:val="000000"/>
              </w:rPr>
              <w:t>1000+</w:t>
            </w:r>
          </w:p>
        </w:tc>
        <w:tc>
          <w:tcPr>
            <w:tcW w:w="490" w:type="pct"/>
            <w:shd w:val="clear" w:color="000000" w:fill="FFFFFF"/>
            <w:vAlign w:val="center"/>
          </w:tcPr>
          <w:p w:rsidR="00E30BF5" w:rsidRPr="00E30BF5" w:rsidRDefault="00E30BF5" w:rsidP="00E30BF5">
            <w:pPr>
              <w:spacing w:after="0" w:line="240" w:lineRule="auto"/>
              <w:jc w:val="center"/>
              <w:rPr>
                <w:rFonts w:eastAsia="Times New Roman"/>
                <w:color w:val="000000"/>
                <w:highlight w:val="yellow"/>
              </w:rPr>
            </w:pPr>
            <w:r w:rsidRPr="00E30BF5">
              <w:rPr>
                <w:color w:val="000000"/>
              </w:rPr>
              <w:t>680</w:t>
            </w:r>
          </w:p>
        </w:tc>
        <w:tc>
          <w:tcPr>
            <w:tcW w:w="384"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8.9%</w:t>
            </w:r>
          </w:p>
        </w:tc>
        <w:tc>
          <w:tcPr>
            <w:tcW w:w="473"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0.7%</w:t>
            </w:r>
          </w:p>
        </w:tc>
        <w:tc>
          <w:tcPr>
            <w:tcW w:w="336" w:type="pct"/>
            <w:shd w:val="clear" w:color="000000" w:fill="FFFFFF"/>
            <w:vAlign w:val="center"/>
          </w:tcPr>
          <w:p w:rsidR="00E30BF5" w:rsidRPr="00E30BF5" w:rsidRDefault="00E30BF5" w:rsidP="00E30BF5">
            <w:pPr>
              <w:spacing w:after="0" w:line="240" w:lineRule="auto"/>
              <w:jc w:val="center"/>
              <w:rPr>
                <w:rFonts w:eastAsia="Times New Roman"/>
                <w:color w:val="000000"/>
              </w:rPr>
            </w:pPr>
            <w:r w:rsidRPr="00E30BF5">
              <w:rPr>
                <w:color w:val="000000"/>
              </w:rPr>
              <w:t>6.7%</w:t>
            </w:r>
          </w:p>
        </w:tc>
        <w:tc>
          <w:tcPr>
            <w:tcW w:w="336"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8.1%</w:t>
            </w:r>
          </w:p>
        </w:tc>
        <w:tc>
          <w:tcPr>
            <w:tcW w:w="336"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8.4%</w:t>
            </w:r>
          </w:p>
        </w:tc>
        <w:tc>
          <w:tcPr>
            <w:tcW w:w="336"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8.8%</w:t>
            </w:r>
          </w:p>
        </w:tc>
        <w:tc>
          <w:tcPr>
            <w:tcW w:w="393"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9.3%</w:t>
            </w:r>
          </w:p>
        </w:tc>
        <w:tc>
          <w:tcPr>
            <w:tcW w:w="393"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9.7%</w:t>
            </w:r>
          </w:p>
        </w:tc>
        <w:tc>
          <w:tcPr>
            <w:tcW w:w="393" w:type="pct"/>
            <w:shd w:val="clear" w:color="000000" w:fill="FFFFFF"/>
            <w:noWrap/>
            <w:vAlign w:val="center"/>
          </w:tcPr>
          <w:p w:rsidR="00E30BF5" w:rsidRPr="00E30BF5" w:rsidRDefault="00E30BF5" w:rsidP="00E30BF5">
            <w:pPr>
              <w:spacing w:after="0" w:line="240" w:lineRule="auto"/>
              <w:jc w:val="center"/>
              <w:rPr>
                <w:rFonts w:eastAsia="Times New Roman"/>
                <w:color w:val="000000"/>
              </w:rPr>
            </w:pPr>
            <w:r w:rsidRPr="00E30BF5">
              <w:rPr>
                <w:color w:val="000000"/>
              </w:rPr>
              <w:t>11.6%</w:t>
            </w:r>
          </w:p>
        </w:tc>
        <w:tc>
          <w:tcPr>
            <w:tcW w:w="501" w:type="pct"/>
            <w:shd w:val="clear" w:color="000000" w:fill="FFFFFF"/>
            <w:vAlign w:val="center"/>
          </w:tcPr>
          <w:p w:rsidR="00E30BF5" w:rsidRPr="00E30BF5" w:rsidRDefault="00E30BF5" w:rsidP="00E30BF5">
            <w:pPr>
              <w:spacing w:after="0" w:line="240" w:lineRule="auto"/>
              <w:jc w:val="center"/>
              <w:rPr>
                <w:rFonts w:eastAsia="Times New Roman"/>
                <w:color w:val="000000"/>
                <w:highlight w:val="yellow"/>
              </w:rPr>
            </w:pPr>
            <w:r w:rsidRPr="00E30BF5">
              <w:rPr>
                <w:color w:val="000000"/>
              </w:rPr>
              <w:t>0.9%</w:t>
            </w:r>
          </w:p>
        </w:tc>
      </w:tr>
    </w:tbl>
    <w:p w:rsidR="0032079E" w:rsidRPr="00001D73" w:rsidRDefault="0032079E" w:rsidP="00092566">
      <w:pPr>
        <w:autoSpaceDE w:val="0"/>
        <w:autoSpaceDN w:val="0"/>
        <w:adjustRightInd w:val="0"/>
        <w:spacing w:after="0" w:line="240" w:lineRule="auto"/>
        <w:rPr>
          <w:rFonts w:cstheme="minorHAnsi"/>
          <w:b/>
          <w:bCs/>
        </w:rPr>
      </w:pPr>
    </w:p>
    <w:p w:rsidR="0032079E" w:rsidRDefault="00743E46" w:rsidP="0032079E">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32079E" w:rsidRPr="00ED6280">
        <w:t>Over-fitting occurs when a model can describe the relationship between the covariates and the outcome in the development data set but cannot successfully predict the outcome on a new data set. </w:t>
      </w:r>
      <w:r w:rsidR="0032079E">
        <w:t xml:space="preserve"> </w:t>
      </w:r>
      <w:r w:rsidR="0032079E" w:rsidRPr="00ED6280">
        <w:t xml:space="preserve">To compute the over-fitting indices, the coefficients of the model were first estimated using the development sample.  A logistic regression was then estimated on the validation sample with an intercept and the linear predictor for the probability of an event for a given home health stay in the validation sample.  Values of the intercept far from 0 and values of the coefficient far from 1 provide </w:t>
      </w:r>
      <w:r w:rsidR="0032079E" w:rsidRPr="00867959">
        <w:t xml:space="preserve">evidence of over-fitting.  </w:t>
      </w:r>
      <w:r w:rsidR="0032079E">
        <w:t>O</w:t>
      </w:r>
      <w:r w:rsidR="0032079E" w:rsidRPr="00ED6280">
        <w:t>ver-fitting indices were computed</w:t>
      </w:r>
      <w:r w:rsidR="0032079E">
        <w:t xml:space="preserve"> separately for the multinomial </w:t>
      </w:r>
      <w:proofErr w:type="spellStart"/>
      <w:r w:rsidR="0032079E">
        <w:t>logit</w:t>
      </w:r>
      <w:proofErr w:type="spellEnd"/>
      <w:r w:rsidR="0032079E">
        <w:t xml:space="preserve"> model</w:t>
      </w:r>
      <w:r w:rsidR="0032079E" w:rsidRPr="00ED6280">
        <w:t xml:space="preserve"> and </w:t>
      </w:r>
      <w:r w:rsidR="0032079E">
        <w:t xml:space="preserve">the hierarchical-multinomial </w:t>
      </w:r>
      <w:proofErr w:type="spellStart"/>
      <w:r w:rsidR="0032079E">
        <w:t>logit</w:t>
      </w:r>
      <w:proofErr w:type="spellEnd"/>
      <w:r w:rsidR="0032079E">
        <w:t xml:space="preserve"> model.  </w:t>
      </w:r>
    </w:p>
    <w:p w:rsidR="0032079E" w:rsidRDefault="0032079E" w:rsidP="0032079E">
      <w:r>
        <w:lastRenderedPageBreak/>
        <w:t xml:space="preserve">Over-fitting indices were computed and </w:t>
      </w:r>
      <w:r w:rsidRPr="00ED6280">
        <w:t xml:space="preserve">showed no indication that the model was over-fit.  </w:t>
      </w:r>
      <w:r w:rsidRPr="00867959">
        <w:t xml:space="preserve">The calibration statistic for rehospitalization produced an intercept of -0.006 and a coefficient of 0.995. With t-statistics of 0.456 and 0.585, these values are not significantly different from 0 and 1, respectively, at the 95% confidence level. In our validation sample, the calibration statistic for ED use without hospital readmission produced an intercept of -0.011 and a coefficient of 0.998.  With t-statistics of 0.456 and 0.180, these values are also not significantly different from 0 and 1 at the 95% confidence level.   In other words, there is no evidence that the model is over-fitting the data for either outcome.  </w:t>
      </w:r>
    </w:p>
    <w:p w:rsidR="0032079E" w:rsidRPr="0032079E" w:rsidRDefault="0032079E" w:rsidP="0032079E">
      <w:pPr>
        <w:pStyle w:val="Caption"/>
        <w:rPr>
          <w:rFonts w:asciiTheme="minorHAnsi" w:hAnsiTheme="minorHAnsi"/>
          <w:i/>
          <w:color w:val="auto"/>
          <w:sz w:val="22"/>
          <w:szCs w:val="22"/>
        </w:rPr>
      </w:pPr>
      <w:r w:rsidRPr="0032079E">
        <w:rPr>
          <w:rFonts w:asciiTheme="minorHAnsi" w:hAnsiTheme="minorHAnsi"/>
          <w:i/>
          <w:color w:val="auto"/>
          <w:sz w:val="22"/>
          <w:szCs w:val="22"/>
        </w:rPr>
        <w:t>Over-Fitting Indices</w:t>
      </w:r>
    </w:p>
    <w:tbl>
      <w:tblPr>
        <w:tblStyle w:val="TableGrid2"/>
        <w:tblW w:w="8498" w:type="dxa"/>
        <w:jc w:val="center"/>
        <w:tblLook w:val="04A0" w:firstRow="1" w:lastRow="0" w:firstColumn="1" w:lastColumn="0" w:noHBand="0" w:noVBand="1"/>
      </w:tblPr>
      <w:tblGrid>
        <w:gridCol w:w="2800"/>
        <w:gridCol w:w="833"/>
        <w:gridCol w:w="2037"/>
        <w:gridCol w:w="816"/>
        <w:gridCol w:w="2012"/>
      </w:tblGrid>
      <w:tr w:rsidR="0032079E" w:rsidRPr="0032079E" w:rsidTr="0029138C">
        <w:trPr>
          <w:trHeight w:val="171"/>
          <w:tblHeader/>
          <w:jc w:val="center"/>
        </w:trPr>
        <w:tc>
          <w:tcPr>
            <w:tcW w:w="2800" w:type="dxa"/>
            <w:vMerge w:val="restart"/>
            <w:shd w:val="clear" w:color="auto" w:fill="CDECFF"/>
            <w:vAlign w:val="center"/>
          </w:tcPr>
          <w:p w:rsidR="0032079E" w:rsidRPr="0032079E" w:rsidRDefault="0032079E" w:rsidP="0029138C">
            <w:pPr>
              <w:spacing w:line="300" w:lineRule="auto"/>
              <w:jc w:val="center"/>
              <w:rPr>
                <w:rFonts w:asciiTheme="minorHAnsi" w:hAnsiTheme="minorHAnsi"/>
                <w:b/>
                <w:sz w:val="22"/>
                <w:szCs w:val="22"/>
              </w:rPr>
            </w:pPr>
            <w:r w:rsidRPr="0032079E">
              <w:rPr>
                <w:rFonts w:asciiTheme="minorHAnsi" w:hAnsiTheme="minorHAnsi"/>
                <w:b/>
                <w:sz w:val="22"/>
                <w:szCs w:val="22"/>
              </w:rPr>
              <w:t>Measure</w:t>
            </w:r>
          </w:p>
        </w:tc>
        <w:tc>
          <w:tcPr>
            <w:tcW w:w="2870" w:type="dxa"/>
            <w:gridSpan w:val="2"/>
            <w:shd w:val="clear" w:color="auto" w:fill="CDECFF"/>
            <w:vAlign w:val="center"/>
          </w:tcPr>
          <w:p w:rsidR="0032079E" w:rsidRPr="0032079E" w:rsidRDefault="0032079E" w:rsidP="0029138C">
            <w:pPr>
              <w:spacing w:line="300" w:lineRule="auto"/>
              <w:jc w:val="center"/>
              <w:rPr>
                <w:rFonts w:asciiTheme="minorHAnsi" w:hAnsiTheme="minorHAnsi"/>
                <w:b/>
                <w:sz w:val="22"/>
                <w:szCs w:val="22"/>
              </w:rPr>
            </w:pPr>
            <w:r w:rsidRPr="0032079E">
              <w:rPr>
                <w:rFonts w:asciiTheme="minorHAnsi" w:hAnsiTheme="minorHAnsi"/>
                <w:b/>
                <w:sz w:val="22"/>
                <w:szCs w:val="22"/>
              </w:rPr>
              <w:t>Intercept</w:t>
            </w:r>
          </w:p>
        </w:tc>
        <w:tc>
          <w:tcPr>
            <w:tcW w:w="2828" w:type="dxa"/>
            <w:gridSpan w:val="2"/>
            <w:shd w:val="clear" w:color="auto" w:fill="CDECFF"/>
            <w:vAlign w:val="center"/>
          </w:tcPr>
          <w:p w:rsidR="0032079E" w:rsidRPr="0032079E" w:rsidRDefault="0032079E" w:rsidP="0029138C">
            <w:pPr>
              <w:spacing w:line="300" w:lineRule="auto"/>
              <w:jc w:val="center"/>
              <w:rPr>
                <w:rFonts w:asciiTheme="minorHAnsi" w:hAnsiTheme="minorHAnsi"/>
                <w:b/>
                <w:sz w:val="22"/>
                <w:szCs w:val="22"/>
              </w:rPr>
            </w:pPr>
            <w:r w:rsidRPr="0032079E">
              <w:rPr>
                <w:rFonts w:asciiTheme="minorHAnsi" w:hAnsiTheme="minorHAnsi"/>
                <w:b/>
                <w:sz w:val="22"/>
                <w:szCs w:val="22"/>
              </w:rPr>
              <w:t>Coefficient</w:t>
            </w:r>
          </w:p>
        </w:tc>
      </w:tr>
      <w:tr w:rsidR="0032079E" w:rsidRPr="0032079E" w:rsidTr="0029138C">
        <w:trPr>
          <w:trHeight w:val="171"/>
          <w:tblHeader/>
          <w:jc w:val="center"/>
        </w:trPr>
        <w:tc>
          <w:tcPr>
            <w:tcW w:w="2800" w:type="dxa"/>
            <w:vMerge/>
            <w:shd w:val="clear" w:color="auto" w:fill="CDECFF"/>
            <w:vAlign w:val="center"/>
          </w:tcPr>
          <w:p w:rsidR="0032079E" w:rsidRPr="0032079E" w:rsidRDefault="0032079E" w:rsidP="0029138C">
            <w:pPr>
              <w:spacing w:line="300" w:lineRule="auto"/>
              <w:jc w:val="center"/>
              <w:rPr>
                <w:rFonts w:asciiTheme="minorHAnsi" w:hAnsiTheme="minorHAnsi"/>
                <w:sz w:val="22"/>
                <w:szCs w:val="22"/>
              </w:rPr>
            </w:pPr>
          </w:p>
        </w:tc>
        <w:tc>
          <w:tcPr>
            <w:tcW w:w="833" w:type="dxa"/>
            <w:shd w:val="clear" w:color="auto" w:fill="CDECFF"/>
            <w:vAlign w:val="center"/>
          </w:tcPr>
          <w:p w:rsidR="0032079E" w:rsidRPr="0032079E" w:rsidRDefault="0032079E" w:rsidP="0029138C">
            <w:pPr>
              <w:spacing w:line="300" w:lineRule="auto"/>
              <w:jc w:val="center"/>
              <w:rPr>
                <w:rFonts w:asciiTheme="minorHAnsi" w:hAnsiTheme="minorHAnsi"/>
                <w:b/>
                <w:sz w:val="22"/>
                <w:szCs w:val="22"/>
              </w:rPr>
            </w:pPr>
            <w:r w:rsidRPr="0032079E">
              <w:rPr>
                <w:rFonts w:asciiTheme="minorHAnsi" w:hAnsiTheme="minorHAnsi"/>
                <w:sz w:val="22"/>
                <w:szCs w:val="22"/>
              </w:rPr>
              <w:t>Value</w:t>
            </w:r>
          </w:p>
        </w:tc>
        <w:tc>
          <w:tcPr>
            <w:tcW w:w="2037" w:type="dxa"/>
            <w:shd w:val="clear" w:color="auto" w:fill="CDECFF"/>
            <w:vAlign w:val="center"/>
          </w:tcPr>
          <w:p w:rsidR="0032079E" w:rsidRPr="0032079E" w:rsidRDefault="0032079E" w:rsidP="0029138C">
            <w:pPr>
              <w:spacing w:line="300" w:lineRule="auto"/>
              <w:jc w:val="center"/>
              <w:rPr>
                <w:rFonts w:asciiTheme="minorHAnsi" w:hAnsiTheme="minorHAnsi"/>
                <w:b/>
                <w:sz w:val="22"/>
                <w:szCs w:val="22"/>
              </w:rPr>
            </w:pPr>
            <w:r w:rsidRPr="0032079E">
              <w:rPr>
                <w:rFonts w:asciiTheme="minorHAnsi" w:hAnsiTheme="minorHAnsi"/>
                <w:sz w:val="22"/>
                <w:szCs w:val="22"/>
              </w:rPr>
              <w:t>Statistically different from 0 at 95% confidence?</w:t>
            </w:r>
          </w:p>
        </w:tc>
        <w:tc>
          <w:tcPr>
            <w:tcW w:w="816" w:type="dxa"/>
            <w:shd w:val="clear" w:color="auto" w:fill="CDECFF"/>
            <w:vAlign w:val="center"/>
          </w:tcPr>
          <w:p w:rsidR="0032079E" w:rsidRPr="0032079E" w:rsidRDefault="0032079E" w:rsidP="0029138C">
            <w:pPr>
              <w:spacing w:line="300" w:lineRule="auto"/>
              <w:jc w:val="center"/>
              <w:rPr>
                <w:rFonts w:asciiTheme="minorHAnsi" w:hAnsiTheme="minorHAnsi"/>
                <w:b/>
                <w:sz w:val="22"/>
                <w:szCs w:val="22"/>
              </w:rPr>
            </w:pPr>
            <w:r w:rsidRPr="0032079E">
              <w:rPr>
                <w:rFonts w:asciiTheme="minorHAnsi" w:hAnsiTheme="minorHAnsi"/>
                <w:sz w:val="22"/>
                <w:szCs w:val="22"/>
              </w:rPr>
              <w:t>Value</w:t>
            </w:r>
          </w:p>
        </w:tc>
        <w:tc>
          <w:tcPr>
            <w:tcW w:w="2012" w:type="dxa"/>
            <w:shd w:val="clear" w:color="auto" w:fill="CDECFF"/>
            <w:vAlign w:val="center"/>
          </w:tcPr>
          <w:p w:rsidR="0032079E" w:rsidRPr="0032079E" w:rsidRDefault="0032079E" w:rsidP="0029138C">
            <w:pPr>
              <w:spacing w:line="300" w:lineRule="auto"/>
              <w:jc w:val="center"/>
              <w:rPr>
                <w:rFonts w:asciiTheme="minorHAnsi" w:hAnsiTheme="minorHAnsi"/>
                <w:b/>
                <w:sz w:val="22"/>
                <w:szCs w:val="22"/>
              </w:rPr>
            </w:pPr>
            <w:r w:rsidRPr="0032079E">
              <w:rPr>
                <w:rFonts w:asciiTheme="minorHAnsi" w:hAnsiTheme="minorHAnsi"/>
                <w:sz w:val="22"/>
                <w:szCs w:val="22"/>
              </w:rPr>
              <w:t>Statistically different from 1 at 95% confidence?</w:t>
            </w:r>
          </w:p>
        </w:tc>
      </w:tr>
      <w:tr w:rsidR="0032079E" w:rsidRPr="0032079E" w:rsidTr="0029138C">
        <w:trPr>
          <w:trHeight w:val="340"/>
          <w:jc w:val="center"/>
        </w:trPr>
        <w:tc>
          <w:tcPr>
            <w:tcW w:w="2800" w:type="dxa"/>
            <w:vAlign w:val="center"/>
          </w:tcPr>
          <w:p w:rsidR="0032079E" w:rsidRPr="0032079E" w:rsidRDefault="0032079E" w:rsidP="0029138C">
            <w:pPr>
              <w:rPr>
                <w:rFonts w:asciiTheme="minorHAnsi" w:hAnsiTheme="minorHAnsi"/>
                <w:sz w:val="22"/>
                <w:szCs w:val="22"/>
              </w:rPr>
            </w:pPr>
            <w:r w:rsidRPr="0032079E">
              <w:rPr>
                <w:rFonts w:asciiTheme="minorHAnsi" w:hAnsiTheme="minorHAnsi"/>
                <w:sz w:val="22"/>
                <w:szCs w:val="22"/>
              </w:rPr>
              <w:t>Rehospitalization During the First 30 Days of Home Health</w:t>
            </w:r>
          </w:p>
        </w:tc>
        <w:tc>
          <w:tcPr>
            <w:tcW w:w="833" w:type="dxa"/>
            <w:vAlign w:val="center"/>
          </w:tcPr>
          <w:p w:rsidR="0032079E" w:rsidRPr="0032079E" w:rsidRDefault="0032079E" w:rsidP="0029138C">
            <w:pPr>
              <w:spacing w:line="300" w:lineRule="auto"/>
              <w:jc w:val="center"/>
              <w:rPr>
                <w:rFonts w:asciiTheme="minorHAnsi" w:eastAsiaTheme="minorHAnsi" w:hAnsiTheme="minorHAnsi" w:cstheme="minorBidi"/>
                <w:sz w:val="22"/>
                <w:szCs w:val="22"/>
              </w:rPr>
            </w:pPr>
            <w:r w:rsidRPr="0032079E">
              <w:rPr>
                <w:rFonts w:asciiTheme="minorHAnsi" w:hAnsiTheme="minorHAnsi"/>
                <w:sz w:val="22"/>
                <w:szCs w:val="22"/>
              </w:rPr>
              <w:t>-0.006</w:t>
            </w:r>
          </w:p>
        </w:tc>
        <w:tc>
          <w:tcPr>
            <w:tcW w:w="2037" w:type="dxa"/>
            <w:vAlign w:val="center"/>
          </w:tcPr>
          <w:p w:rsidR="0032079E" w:rsidRPr="0032079E" w:rsidRDefault="0032079E" w:rsidP="0029138C">
            <w:pPr>
              <w:spacing w:line="300" w:lineRule="auto"/>
              <w:jc w:val="center"/>
              <w:rPr>
                <w:rFonts w:asciiTheme="minorHAnsi" w:eastAsiaTheme="minorHAnsi" w:hAnsiTheme="minorHAnsi" w:cstheme="minorBidi"/>
                <w:sz w:val="22"/>
                <w:szCs w:val="22"/>
              </w:rPr>
            </w:pPr>
            <w:r w:rsidRPr="0032079E">
              <w:rPr>
                <w:rFonts w:asciiTheme="minorHAnsi" w:hAnsiTheme="minorHAnsi"/>
                <w:sz w:val="22"/>
                <w:szCs w:val="22"/>
              </w:rPr>
              <w:t>No</w:t>
            </w:r>
          </w:p>
        </w:tc>
        <w:tc>
          <w:tcPr>
            <w:tcW w:w="816" w:type="dxa"/>
            <w:vAlign w:val="center"/>
          </w:tcPr>
          <w:p w:rsidR="0032079E" w:rsidRPr="0032079E" w:rsidRDefault="0032079E" w:rsidP="0029138C">
            <w:pPr>
              <w:spacing w:line="300" w:lineRule="auto"/>
              <w:jc w:val="center"/>
              <w:rPr>
                <w:rFonts w:asciiTheme="minorHAnsi" w:eastAsiaTheme="minorHAnsi" w:hAnsiTheme="minorHAnsi" w:cstheme="minorBidi"/>
                <w:sz w:val="22"/>
                <w:szCs w:val="22"/>
              </w:rPr>
            </w:pPr>
            <w:r w:rsidRPr="0032079E">
              <w:rPr>
                <w:rFonts w:asciiTheme="minorHAnsi" w:hAnsiTheme="minorHAnsi"/>
                <w:sz w:val="22"/>
                <w:szCs w:val="22"/>
              </w:rPr>
              <w:t>0.995</w:t>
            </w:r>
          </w:p>
        </w:tc>
        <w:tc>
          <w:tcPr>
            <w:tcW w:w="2012" w:type="dxa"/>
            <w:vAlign w:val="center"/>
          </w:tcPr>
          <w:p w:rsidR="0032079E" w:rsidRPr="0032079E" w:rsidRDefault="0032079E" w:rsidP="0029138C">
            <w:pPr>
              <w:spacing w:line="300" w:lineRule="auto"/>
              <w:jc w:val="center"/>
              <w:rPr>
                <w:rFonts w:asciiTheme="minorHAnsi" w:eastAsiaTheme="minorHAnsi" w:hAnsiTheme="minorHAnsi" w:cstheme="minorBidi"/>
                <w:sz w:val="22"/>
                <w:szCs w:val="22"/>
              </w:rPr>
            </w:pPr>
            <w:r w:rsidRPr="0032079E">
              <w:rPr>
                <w:rFonts w:asciiTheme="minorHAnsi" w:hAnsiTheme="minorHAnsi"/>
                <w:sz w:val="22"/>
                <w:szCs w:val="22"/>
              </w:rPr>
              <w:t>No</w:t>
            </w:r>
          </w:p>
        </w:tc>
      </w:tr>
      <w:tr w:rsidR="0032079E" w:rsidRPr="0032079E" w:rsidTr="0029138C">
        <w:trPr>
          <w:trHeight w:val="494"/>
          <w:jc w:val="center"/>
        </w:trPr>
        <w:tc>
          <w:tcPr>
            <w:tcW w:w="2800" w:type="dxa"/>
            <w:vAlign w:val="center"/>
          </w:tcPr>
          <w:p w:rsidR="0032079E" w:rsidRPr="0032079E" w:rsidRDefault="0032079E" w:rsidP="0029138C">
            <w:pPr>
              <w:rPr>
                <w:rFonts w:asciiTheme="minorHAnsi" w:eastAsiaTheme="minorHAnsi" w:hAnsiTheme="minorHAnsi" w:cstheme="minorBidi"/>
                <w:sz w:val="22"/>
                <w:szCs w:val="22"/>
              </w:rPr>
            </w:pPr>
            <w:r w:rsidRPr="0032079E">
              <w:rPr>
                <w:rFonts w:asciiTheme="minorHAnsi" w:hAnsiTheme="minorHAnsi"/>
                <w:sz w:val="22"/>
                <w:szCs w:val="22"/>
              </w:rPr>
              <w:t>ED Use without Hospital Readmission During the First 30 Days of Home Health</w:t>
            </w:r>
          </w:p>
        </w:tc>
        <w:tc>
          <w:tcPr>
            <w:tcW w:w="833" w:type="dxa"/>
            <w:vAlign w:val="center"/>
          </w:tcPr>
          <w:p w:rsidR="0032079E" w:rsidRPr="0032079E" w:rsidRDefault="0032079E" w:rsidP="0029138C">
            <w:pPr>
              <w:spacing w:line="300" w:lineRule="auto"/>
              <w:jc w:val="center"/>
              <w:rPr>
                <w:rFonts w:asciiTheme="minorHAnsi" w:eastAsiaTheme="minorHAnsi" w:hAnsiTheme="minorHAnsi" w:cstheme="minorBidi"/>
                <w:sz w:val="22"/>
                <w:szCs w:val="22"/>
              </w:rPr>
            </w:pPr>
            <w:r w:rsidRPr="0032079E">
              <w:rPr>
                <w:rFonts w:asciiTheme="minorHAnsi" w:hAnsiTheme="minorHAnsi"/>
                <w:sz w:val="22"/>
                <w:szCs w:val="22"/>
              </w:rPr>
              <w:t>-0.011</w:t>
            </w:r>
          </w:p>
        </w:tc>
        <w:tc>
          <w:tcPr>
            <w:tcW w:w="2037" w:type="dxa"/>
            <w:vAlign w:val="center"/>
          </w:tcPr>
          <w:p w:rsidR="0032079E" w:rsidRPr="0032079E" w:rsidRDefault="0032079E" w:rsidP="0029138C">
            <w:pPr>
              <w:spacing w:line="300" w:lineRule="auto"/>
              <w:jc w:val="center"/>
              <w:rPr>
                <w:rFonts w:asciiTheme="minorHAnsi" w:eastAsiaTheme="minorHAnsi" w:hAnsiTheme="minorHAnsi" w:cstheme="minorBidi"/>
                <w:sz w:val="22"/>
                <w:szCs w:val="22"/>
              </w:rPr>
            </w:pPr>
            <w:r w:rsidRPr="0032079E">
              <w:rPr>
                <w:rFonts w:asciiTheme="minorHAnsi" w:hAnsiTheme="minorHAnsi"/>
                <w:sz w:val="22"/>
                <w:szCs w:val="22"/>
              </w:rPr>
              <w:t>No</w:t>
            </w:r>
          </w:p>
        </w:tc>
        <w:tc>
          <w:tcPr>
            <w:tcW w:w="816" w:type="dxa"/>
            <w:vAlign w:val="center"/>
          </w:tcPr>
          <w:p w:rsidR="0032079E" w:rsidRPr="0032079E" w:rsidRDefault="0032079E" w:rsidP="0029138C">
            <w:pPr>
              <w:spacing w:line="300" w:lineRule="auto"/>
              <w:jc w:val="center"/>
              <w:rPr>
                <w:rFonts w:asciiTheme="minorHAnsi" w:eastAsiaTheme="minorHAnsi" w:hAnsiTheme="minorHAnsi" w:cstheme="minorBidi"/>
                <w:sz w:val="22"/>
                <w:szCs w:val="22"/>
              </w:rPr>
            </w:pPr>
            <w:r w:rsidRPr="0032079E">
              <w:rPr>
                <w:rFonts w:asciiTheme="minorHAnsi" w:hAnsiTheme="minorHAnsi"/>
                <w:sz w:val="22"/>
                <w:szCs w:val="22"/>
              </w:rPr>
              <w:t>0.998</w:t>
            </w:r>
          </w:p>
        </w:tc>
        <w:tc>
          <w:tcPr>
            <w:tcW w:w="2012" w:type="dxa"/>
            <w:vAlign w:val="center"/>
          </w:tcPr>
          <w:p w:rsidR="0032079E" w:rsidRPr="0032079E" w:rsidRDefault="0032079E" w:rsidP="0029138C">
            <w:pPr>
              <w:spacing w:line="300" w:lineRule="auto"/>
              <w:jc w:val="center"/>
              <w:rPr>
                <w:rFonts w:asciiTheme="minorHAnsi" w:eastAsiaTheme="minorHAnsi" w:hAnsiTheme="minorHAnsi" w:cstheme="minorBidi"/>
                <w:sz w:val="22"/>
                <w:szCs w:val="22"/>
              </w:rPr>
            </w:pPr>
            <w:r w:rsidRPr="0032079E">
              <w:rPr>
                <w:rFonts w:asciiTheme="minorHAnsi" w:hAnsiTheme="minorHAnsi"/>
                <w:sz w:val="22"/>
                <w:szCs w:val="22"/>
              </w:rPr>
              <w:t>No</w:t>
            </w:r>
          </w:p>
        </w:tc>
      </w:tr>
    </w:tbl>
    <w:p w:rsidR="00001D73" w:rsidRDefault="00001D73" w:rsidP="00092566">
      <w:pPr>
        <w:autoSpaceDE w:val="0"/>
        <w:autoSpaceDN w:val="0"/>
        <w:adjustRightInd w:val="0"/>
        <w:spacing w:after="0" w:line="240" w:lineRule="auto"/>
        <w:rPr>
          <w:rFonts w:cstheme="minorHAnsi"/>
          <w:b/>
          <w:bCs/>
        </w:rPr>
      </w:pPr>
    </w:p>
    <w:p w:rsidR="00743E46" w:rsidRDefault="00743E46" w:rsidP="00101730">
      <w:pPr>
        <w:autoSpaceDE w:val="0"/>
        <w:autoSpaceDN w:val="0"/>
        <w:adjustRightInd w:val="0"/>
        <w:spacing w:after="0" w:line="240" w:lineRule="auto"/>
        <w:jc w:val="center"/>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r w:rsidR="00092566" w:rsidRPr="00A25024">
        <w:rPr>
          <w:rFonts w:cstheme="minorHAnsi"/>
          <w:bCs/>
        </w:rPr>
        <w:t>:</w:t>
      </w:r>
      <w:r w:rsidR="00092566" w:rsidRPr="00A25024">
        <w:rPr>
          <w:rFonts w:cstheme="minorHAnsi"/>
          <w:bCs/>
        </w:rPr>
        <w:br/>
      </w:r>
      <w:r w:rsidR="00AE5640" w:rsidRPr="00AE5640">
        <w:rPr>
          <w:noProof/>
          <w:bdr w:val="single" w:sz="4" w:space="0" w:color="auto"/>
        </w:rPr>
        <w:drawing>
          <wp:inline distT="0" distB="0" distL="0" distR="0" wp14:anchorId="272FE447" wp14:editId="73554BC9">
            <wp:extent cx="5486400" cy="3731260"/>
            <wp:effectExtent l="0" t="0" r="0" b="254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092566" w:rsidRPr="00A25024">
        <w:rPr>
          <w:rFonts w:cstheme="minorHAnsi"/>
        </w:rPr>
        <w:br/>
      </w:r>
    </w:p>
    <w:p w:rsidR="00AE5640" w:rsidRDefault="00AE5640" w:rsidP="00092566">
      <w:pPr>
        <w:autoSpaceDE w:val="0"/>
        <w:autoSpaceDN w:val="0"/>
        <w:adjustRightInd w:val="0"/>
        <w:spacing w:after="0" w:line="240" w:lineRule="auto"/>
        <w:rPr>
          <w:rFonts w:cstheme="minorHAnsi"/>
          <w:b/>
        </w:rPr>
      </w:pPr>
      <w:bookmarkStart w:id="12" w:name="question2b49"/>
      <w:bookmarkEnd w:id="12"/>
    </w:p>
    <w:p w:rsidR="00092566" w:rsidRPr="00A25024" w:rsidRDefault="00743E46" w:rsidP="00092566">
      <w:pPr>
        <w:autoSpaceDE w:val="0"/>
        <w:autoSpaceDN w:val="0"/>
        <w:adjustRightInd w:val="0"/>
        <w:spacing w:after="0" w:line="240" w:lineRule="auto"/>
        <w:rPr>
          <w:rFonts w:cstheme="minorHAnsi"/>
          <w:bCs/>
        </w:rPr>
      </w:pPr>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C63EE2" w:rsidRDefault="0032079E" w:rsidP="0032079E">
      <w:pPr>
        <w:rPr>
          <w:rFonts w:cstheme="minorHAnsi"/>
          <w:b/>
          <w:bCs/>
        </w:rPr>
      </w:pPr>
      <w:r w:rsidRPr="00C63EE2">
        <w:rPr>
          <w:b/>
        </w:rPr>
        <w:lastRenderedPageBreak/>
        <w:t>Not applicable.</w:t>
      </w:r>
    </w:p>
    <w:p w:rsidR="00092566" w:rsidRPr="00A25024" w:rsidRDefault="00743E46" w:rsidP="004178C1">
      <w:r w:rsidRPr="00C63EE2">
        <w:rPr>
          <w:b/>
        </w:rPr>
        <w:t>2b4.10</w:t>
      </w:r>
      <w:r w:rsidR="00001D73" w:rsidRPr="00C63EE2">
        <w:rPr>
          <w:b/>
        </w:rPr>
        <w:t xml:space="preserve">. </w:t>
      </w:r>
      <w:r w:rsidR="00092566" w:rsidRPr="00C63EE2">
        <w:rPr>
          <w:b/>
        </w:rPr>
        <w:t>What is your interpretation of the results in terms of demonstrating adequacy of controlling for differences in patient characteristics (case mix)?</w:t>
      </w:r>
      <w:r w:rsidR="00092566" w:rsidRPr="00A25024">
        <w:t xml:space="preserve"> (i</w:t>
      </w:r>
      <w:r w:rsidR="00092566" w:rsidRPr="00A25024">
        <w:rPr>
          <w:i/>
        </w:rPr>
        <w:t>.e., what do the results mean and what are the norms for the test conducted</w:t>
      </w:r>
      <w:r w:rsidR="00092566" w:rsidRPr="00A25024">
        <w:t>)</w:t>
      </w:r>
      <w:r w:rsidR="00092566" w:rsidRPr="00A25024">
        <w:br/>
      </w:r>
      <w:r w:rsidR="0032079E" w:rsidRPr="00F97DD7">
        <w:t>The specific set of 404 covariates used in the model consisted of statistically significant predictors of rehospitalization or ED use without hospital readmission during the first 30 days of home health.  Risk adjustment compresses the distribution of rehospitalization and ED use without hospital readmission rates and decreases their variability.  By taking into account beneficiary characteristics that are outside the provider’s control, the model changes some providers’ relative ranks of rates of rehospitalization and ED use without hospital readmission.  The model was found to have considerable predictive power both on the data on which it was developed and on new data and was not determined to be over-fit to the development data.</w:t>
      </w: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2079E" w:rsidP="00D61410">
      <w:pPr>
        <w:autoSpaceDE w:val="0"/>
        <w:autoSpaceDN w:val="0"/>
        <w:adjustRightInd w:val="0"/>
        <w:spacing w:after="0" w:line="240" w:lineRule="auto"/>
        <w:rPr>
          <w:rFonts w:cstheme="minorHAnsi"/>
          <w:b/>
          <w:bCs/>
        </w:rPr>
      </w:pPr>
      <w:r>
        <w:t>None.</w:t>
      </w:r>
    </w:p>
    <w:p w:rsidR="00D61410"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C63EE2" w:rsidRPr="00A25024" w:rsidRDefault="00C63EE2" w:rsidP="00D61410">
      <w:pPr>
        <w:autoSpaceDE w:val="0"/>
        <w:autoSpaceDN w:val="0"/>
        <w:adjustRightInd w:val="0"/>
        <w:spacing w:after="0" w:line="240" w:lineRule="auto"/>
        <w:rPr>
          <w:rFonts w:cstheme="minorHAnsi"/>
          <w:bCs/>
        </w:rPr>
      </w:pPr>
    </w:p>
    <w:p w:rsidR="00D61410" w:rsidRPr="00A25024" w:rsidRDefault="00D61410" w:rsidP="00D61410">
      <w:pPr>
        <w:autoSpaceDE w:val="0"/>
        <w:autoSpaceDN w:val="0"/>
        <w:adjustRightInd w:val="0"/>
        <w:spacing w:after="0" w:line="240" w:lineRule="auto"/>
        <w:rPr>
          <w:rFonts w:cstheme="minorHAnsi"/>
          <w:b/>
          <w:bCs/>
        </w:rPr>
      </w:pPr>
      <w:bookmarkStart w:id="13" w:name="section2b5"/>
      <w:bookmarkEnd w:id="13"/>
      <w:r w:rsidRPr="00A25024">
        <w:rPr>
          <w:rFonts w:cstheme="minorHAnsi"/>
          <w:b/>
          <w:bCs/>
        </w:rPr>
        <w:t>2b5. IDENTIFICATION OF STATISTICALLY SIGNIFICANT &amp; MEANINGFUL DIFFERENCES IN PERFORMANCE</w:t>
      </w:r>
    </w:p>
    <w:p w:rsidR="00C63EE2" w:rsidRDefault="00D61410" w:rsidP="00C63EE2">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r>
      <w:r w:rsidR="00C63EE2">
        <w:t xml:space="preserve">Using a three-year reporting period, CMS intends to publicly report the performance of Medicare-certified home health agencies (with at least 20 home health stays) on the rehospitalization and ED use without hospital readmission measures under three performance categories: “better than expected,” “same as expected,” and “worse than expected.”  The remainder of this section describes how the measure developer assigned each home health agency to a performance category. </w:t>
      </w:r>
    </w:p>
    <w:p w:rsidR="00C63EE2" w:rsidRDefault="00C63EE2" w:rsidP="00C63EE2">
      <w:r w:rsidRPr="003F1DBA">
        <w:t>The goal of this method is to assign a</w:t>
      </w:r>
      <w:r>
        <w:t xml:space="preserve"> home health agency</w:t>
      </w:r>
      <w:r w:rsidRPr="003F1DBA">
        <w:t xml:space="preserve"> to the “</w:t>
      </w:r>
      <w:r>
        <w:t>B</w:t>
      </w:r>
      <w:r w:rsidRPr="003F1DBA">
        <w:t>etter than</w:t>
      </w:r>
      <w:r>
        <w:t xml:space="preserve"> Expected</w:t>
      </w:r>
      <w:r w:rsidRPr="003F1DBA">
        <w:t xml:space="preserve">” category if the agency’s rate of </w:t>
      </w:r>
      <w:r>
        <w:t>ED use without hospital readmission</w:t>
      </w:r>
      <w:r w:rsidRPr="003F1DBA">
        <w:t xml:space="preserve"> is lower than expected based on patient case mix by a statistically signifi</w:t>
      </w:r>
      <w:r>
        <w:t>cant amount and to assign a home health agency to the “W</w:t>
      </w:r>
      <w:r w:rsidRPr="003F1DBA">
        <w:t>orse than</w:t>
      </w:r>
      <w:r>
        <w:t xml:space="preserve"> Expected</w:t>
      </w:r>
      <w:r w:rsidRPr="003F1DBA">
        <w:t xml:space="preserve">” category if the agency’s rate of </w:t>
      </w:r>
      <w:r>
        <w:t>ED use without hospital readmission</w:t>
      </w:r>
      <w:r w:rsidRPr="003F1DBA">
        <w:t xml:space="preserve"> is higher than expected based on patient case mix by a statistically significant amount. The size of the difference between a</w:t>
      </w:r>
      <w:r>
        <w:t xml:space="preserve"> home health agency</w:t>
      </w:r>
      <w:r w:rsidRPr="003F1DBA">
        <w:t>’s observed rate and expected rate that is statistically significan</w:t>
      </w:r>
      <w:r>
        <w:t xml:space="preserve">t at a specified level (e.g., 5 percent) </w:t>
      </w:r>
      <w:r w:rsidRPr="003F1DBA">
        <w:t xml:space="preserve">depends on the number of home health stays eligible for the measure and the case-mix characteristics of the </w:t>
      </w:r>
      <w:r>
        <w:t>agency</w:t>
      </w:r>
      <w:r w:rsidRPr="003F1DBA">
        <w:t>’s specific patients.</w:t>
      </w:r>
    </w:p>
    <w:p w:rsidR="00C63EE2" w:rsidRPr="003F1DBA" w:rsidRDefault="00C63EE2" w:rsidP="00C63EE2">
      <w:r>
        <w:t xml:space="preserve">Based on patient-level predicted rates from the multinomial logistic model, 20,000 simulated distributions of ED use without hospital readmission rates were generated using SAS, and were used to categorize agencies into the three performance categories.  We computed the fraction of simulations that resulted in an ED Use without Readmission rate less than are equal to the observed rate.  If this </w:t>
      </w:r>
      <w:r>
        <w:lastRenderedPageBreak/>
        <w:t xml:space="preserve">fraction was less than .05, the agency was assigned to the “Better than Expected” category.  Analogously, we computed the fraction of simulations that resulted in an ED Use without Readmission rate of greater than or equal to the observed rate.  If this fraction was less than .05, the agency was assigned to the “Worse than Expected” category.  All other agencies were categorized as “Same as Expected.”  Using a value of .05 means that the risk of categorizing a truly average or worse than average agency as better than average is less than 5%.  Our accompanying technical brief precisely describes the statistical hypothesis test that this method implements.  </w:t>
      </w:r>
    </w:p>
    <w:p w:rsidR="00D61410" w:rsidRPr="00A25024" w:rsidRDefault="00C63EE2" w:rsidP="00C63EE2">
      <w:pPr>
        <w:rPr>
          <w:rFonts w:cstheme="minorHAnsi"/>
          <w:bCs/>
        </w:rPr>
      </w:pPr>
      <w:r>
        <w:t xml:space="preserve">With the categorical reporting method, consumers may see that most home health agencies in their area are average, but will be informed if a particular agency is outstanding (i.e., better than expected) or sub-standard (i.e., worse than expected).  Additionally, consumers would not make false distinctions between agencies when both home health agencies are performing as expected, even if their observed rates are different.    </w:t>
      </w:r>
    </w:p>
    <w:p w:rsidR="005D1F79" w:rsidRDefault="00D61410" w:rsidP="005D1F79">
      <w:pPr>
        <w:rPr>
          <w:rStyle w:val="Style2Char"/>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r w:rsidR="005D1F79" w:rsidRPr="005D1F79">
        <w:t xml:space="preserve">The table below shows the number and percentage of home health agencies, by performance category and size, using home health stays beginning in the period from July 1, 2010 to June 30, 2013.  </w:t>
      </w:r>
      <w:r w:rsidR="005D1F79" w:rsidRPr="005D1F79">
        <w:rPr>
          <w:rStyle w:val="Style2Char"/>
          <w:sz w:val="22"/>
          <w:szCs w:val="22"/>
        </w:rPr>
        <w:t>Only agencies with at least 20 stays will have results publicly reported.</w:t>
      </w:r>
      <w:r w:rsidR="005D1F79" w:rsidRPr="005D1F79">
        <w:t xml:space="preserve">  There were 7,565 such agencies, representing a total of 2,861,855 home health stays and 2,535,844</w:t>
      </w:r>
      <w:r w:rsidR="005D1F79" w:rsidRPr="005D1F79">
        <w:rPr>
          <w:rFonts w:ascii="Segoe UI" w:eastAsia="Times New Roman" w:hAnsi="Segoe UI" w:cs="Segoe UI"/>
          <w:color w:val="000000"/>
        </w:rPr>
        <w:t xml:space="preserve"> </w:t>
      </w:r>
      <w:r w:rsidR="005D1F79" w:rsidRPr="005D1F79">
        <w:t>patients.</w:t>
      </w:r>
    </w:p>
    <w:p w:rsidR="005D1F79" w:rsidRPr="005D1F79" w:rsidRDefault="005D1F79" w:rsidP="005D1F79">
      <w:pPr>
        <w:spacing w:after="0"/>
        <w:jc w:val="center"/>
        <w:rPr>
          <w:b/>
        </w:rPr>
      </w:pPr>
      <w:r w:rsidRPr="005D1F79">
        <w:rPr>
          <w:b/>
        </w:rPr>
        <w:t xml:space="preserve">Number of HHAs with “Better than Expected”, “Same as Expected”, or “Worse than Expected” </w:t>
      </w:r>
    </w:p>
    <w:p w:rsidR="005D1F79" w:rsidRPr="005D1F79" w:rsidRDefault="005D1F79" w:rsidP="005D1F79">
      <w:pPr>
        <w:spacing w:after="0"/>
        <w:jc w:val="center"/>
        <w:rPr>
          <w:b/>
        </w:rPr>
      </w:pPr>
      <w:r w:rsidRPr="005D1F79">
        <w:rPr>
          <w:b/>
        </w:rPr>
        <w:t xml:space="preserve">Emergency Department Use without Hospital Readmission Rates, by Number of Stays </w:t>
      </w:r>
    </w:p>
    <w:tbl>
      <w:tblPr>
        <w:tblW w:w="4073" w:type="pct"/>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
        <w:gridCol w:w="764"/>
        <w:gridCol w:w="1130"/>
        <w:gridCol w:w="831"/>
        <w:gridCol w:w="1034"/>
        <w:gridCol w:w="885"/>
        <w:gridCol w:w="1281"/>
        <w:gridCol w:w="831"/>
      </w:tblGrid>
      <w:tr w:rsidR="005D1F79" w:rsidRPr="005D1F79" w:rsidTr="0029138C">
        <w:trPr>
          <w:trHeight w:val="68"/>
          <w:tblHeader/>
          <w:jc w:val="center"/>
        </w:trPr>
        <w:tc>
          <w:tcPr>
            <w:tcW w:w="790" w:type="pct"/>
            <w:vMerge w:val="restart"/>
            <w:shd w:val="clear" w:color="auto" w:fill="CDECFF"/>
            <w:vAlign w:val="center"/>
          </w:tcPr>
          <w:p w:rsidR="005D1F79" w:rsidRPr="005D1F79" w:rsidRDefault="005D1F79" w:rsidP="005D1F79">
            <w:pPr>
              <w:spacing w:after="0" w:line="240" w:lineRule="auto"/>
              <w:jc w:val="center"/>
              <w:rPr>
                <w:b/>
              </w:rPr>
            </w:pPr>
            <w:r w:rsidRPr="005D1F79">
              <w:rPr>
                <w:b/>
              </w:rPr>
              <w:t>Number of Stays</w:t>
            </w:r>
          </w:p>
        </w:tc>
        <w:tc>
          <w:tcPr>
            <w:tcW w:w="1238" w:type="pct"/>
            <w:gridSpan w:val="2"/>
            <w:shd w:val="clear" w:color="auto" w:fill="CDECFF"/>
            <w:vAlign w:val="center"/>
          </w:tcPr>
          <w:p w:rsidR="005D1F79" w:rsidRPr="005D1F79" w:rsidRDefault="005D1F79" w:rsidP="005D1F79">
            <w:pPr>
              <w:spacing w:after="0" w:line="240" w:lineRule="auto"/>
              <w:jc w:val="center"/>
              <w:rPr>
                <w:rFonts w:eastAsia="Times New Roman"/>
                <w:b/>
                <w:color w:val="000000"/>
              </w:rPr>
            </w:pPr>
            <w:r w:rsidRPr="005D1F79">
              <w:rPr>
                <w:rFonts w:eastAsia="Times New Roman"/>
                <w:b/>
                <w:color w:val="000000"/>
              </w:rPr>
              <w:t>Better than Expected</w:t>
            </w:r>
          </w:p>
        </w:tc>
        <w:tc>
          <w:tcPr>
            <w:tcW w:w="1238" w:type="pct"/>
            <w:gridSpan w:val="2"/>
            <w:shd w:val="clear" w:color="auto" w:fill="CDECFF"/>
            <w:noWrap/>
            <w:vAlign w:val="center"/>
            <w:hideMark/>
          </w:tcPr>
          <w:p w:rsidR="005D1F79" w:rsidRPr="005D1F79" w:rsidRDefault="005D1F79" w:rsidP="005D1F79">
            <w:pPr>
              <w:spacing w:after="0" w:line="240" w:lineRule="auto"/>
              <w:jc w:val="center"/>
              <w:rPr>
                <w:rFonts w:eastAsia="Times New Roman"/>
                <w:b/>
                <w:color w:val="000000"/>
              </w:rPr>
            </w:pPr>
            <w:r w:rsidRPr="005D1F79">
              <w:rPr>
                <w:rFonts w:eastAsia="Times New Roman"/>
                <w:b/>
                <w:color w:val="000000"/>
              </w:rPr>
              <w:t>Same as Expected</w:t>
            </w:r>
          </w:p>
        </w:tc>
        <w:tc>
          <w:tcPr>
            <w:tcW w:w="1189" w:type="pct"/>
            <w:gridSpan w:val="2"/>
            <w:shd w:val="clear" w:color="auto" w:fill="CDECFF"/>
            <w:noWrap/>
            <w:vAlign w:val="center"/>
            <w:hideMark/>
          </w:tcPr>
          <w:p w:rsidR="005D1F79" w:rsidRPr="005D1F79" w:rsidRDefault="005D1F79" w:rsidP="005D1F79">
            <w:pPr>
              <w:spacing w:after="0" w:line="240" w:lineRule="auto"/>
              <w:jc w:val="center"/>
              <w:rPr>
                <w:rFonts w:eastAsia="Times New Roman"/>
                <w:b/>
                <w:color w:val="000000"/>
              </w:rPr>
            </w:pPr>
            <w:r w:rsidRPr="005D1F79">
              <w:rPr>
                <w:rFonts w:eastAsia="Times New Roman"/>
                <w:b/>
                <w:color w:val="000000"/>
              </w:rPr>
              <w:t>Worse than Expected</w:t>
            </w:r>
          </w:p>
        </w:tc>
        <w:tc>
          <w:tcPr>
            <w:tcW w:w="544" w:type="pct"/>
            <w:vMerge w:val="restart"/>
            <w:shd w:val="clear" w:color="auto" w:fill="CDECFF"/>
            <w:noWrap/>
            <w:vAlign w:val="center"/>
            <w:hideMark/>
          </w:tcPr>
          <w:p w:rsidR="005D1F79" w:rsidRPr="005D1F79" w:rsidRDefault="005D1F79" w:rsidP="005D1F79">
            <w:pPr>
              <w:spacing w:after="0" w:line="240" w:lineRule="auto"/>
              <w:jc w:val="center"/>
              <w:rPr>
                <w:rFonts w:eastAsia="Times New Roman"/>
                <w:b/>
                <w:color w:val="000000"/>
              </w:rPr>
            </w:pPr>
            <w:r w:rsidRPr="005D1F79">
              <w:rPr>
                <w:rFonts w:eastAsia="Times New Roman"/>
                <w:b/>
                <w:color w:val="000000"/>
              </w:rPr>
              <w:t>Total</w:t>
            </w:r>
          </w:p>
        </w:tc>
      </w:tr>
      <w:tr w:rsidR="005D1F79" w:rsidRPr="005D1F79" w:rsidTr="0029138C">
        <w:trPr>
          <w:trHeight w:val="68"/>
          <w:tblHeader/>
          <w:jc w:val="center"/>
        </w:trPr>
        <w:tc>
          <w:tcPr>
            <w:tcW w:w="790" w:type="pct"/>
            <w:vMerge/>
            <w:shd w:val="clear" w:color="auto" w:fill="CDECFF"/>
            <w:vAlign w:val="center"/>
          </w:tcPr>
          <w:p w:rsidR="005D1F79" w:rsidRPr="005D1F79" w:rsidRDefault="005D1F79" w:rsidP="005D1F79">
            <w:pPr>
              <w:spacing w:after="0" w:line="240" w:lineRule="auto"/>
              <w:jc w:val="center"/>
              <w:rPr>
                <w:b/>
              </w:rPr>
            </w:pPr>
          </w:p>
        </w:tc>
        <w:tc>
          <w:tcPr>
            <w:tcW w:w="520" w:type="pct"/>
            <w:shd w:val="clear" w:color="auto" w:fill="CDECFF"/>
            <w:vAlign w:val="center"/>
          </w:tcPr>
          <w:p w:rsidR="005D1F79" w:rsidRPr="005D1F79" w:rsidRDefault="005D1F79" w:rsidP="005D1F79">
            <w:pPr>
              <w:spacing w:after="0" w:line="240" w:lineRule="auto"/>
              <w:jc w:val="center"/>
              <w:rPr>
                <w:b/>
              </w:rPr>
            </w:pPr>
            <w:r w:rsidRPr="005D1F79">
              <w:rPr>
                <w:b/>
              </w:rPr>
              <w:t>Count</w:t>
            </w:r>
          </w:p>
        </w:tc>
        <w:tc>
          <w:tcPr>
            <w:tcW w:w="718" w:type="pct"/>
            <w:shd w:val="clear" w:color="auto" w:fill="CDECFF"/>
            <w:noWrap/>
            <w:vAlign w:val="center"/>
          </w:tcPr>
          <w:p w:rsidR="005D1F79" w:rsidRPr="005D1F79" w:rsidRDefault="005D1F79" w:rsidP="005D1F79">
            <w:pPr>
              <w:spacing w:after="0" w:line="240" w:lineRule="auto"/>
              <w:jc w:val="center"/>
              <w:rPr>
                <w:rFonts w:eastAsia="Times New Roman"/>
                <w:b/>
                <w:color w:val="000000"/>
              </w:rPr>
            </w:pPr>
            <w:r w:rsidRPr="005D1F79">
              <w:rPr>
                <w:rFonts w:eastAsia="Times New Roman"/>
                <w:b/>
                <w:color w:val="000000"/>
              </w:rPr>
              <w:t>% of Total</w:t>
            </w:r>
          </w:p>
        </w:tc>
        <w:tc>
          <w:tcPr>
            <w:tcW w:w="546" w:type="pct"/>
            <w:shd w:val="clear" w:color="auto" w:fill="CDECFF"/>
            <w:noWrap/>
            <w:vAlign w:val="center"/>
          </w:tcPr>
          <w:p w:rsidR="005D1F79" w:rsidRPr="005D1F79" w:rsidRDefault="005D1F79" w:rsidP="005D1F79">
            <w:pPr>
              <w:spacing w:after="0" w:line="240" w:lineRule="auto"/>
              <w:jc w:val="center"/>
              <w:rPr>
                <w:rFonts w:eastAsia="Times New Roman"/>
                <w:b/>
                <w:color w:val="000000"/>
              </w:rPr>
            </w:pPr>
            <w:r w:rsidRPr="005D1F79">
              <w:rPr>
                <w:rFonts w:eastAsia="Times New Roman"/>
                <w:b/>
                <w:color w:val="000000"/>
              </w:rPr>
              <w:t>Count</w:t>
            </w:r>
          </w:p>
        </w:tc>
        <w:tc>
          <w:tcPr>
            <w:tcW w:w="692" w:type="pct"/>
            <w:shd w:val="clear" w:color="auto" w:fill="CDECFF"/>
            <w:vAlign w:val="center"/>
          </w:tcPr>
          <w:p w:rsidR="005D1F79" w:rsidRPr="005D1F79" w:rsidRDefault="005D1F79" w:rsidP="005D1F79">
            <w:pPr>
              <w:spacing w:after="0" w:line="240" w:lineRule="auto"/>
              <w:jc w:val="center"/>
              <w:rPr>
                <w:rFonts w:eastAsia="Times New Roman"/>
                <w:b/>
                <w:color w:val="000000"/>
              </w:rPr>
            </w:pPr>
            <w:r w:rsidRPr="005D1F79">
              <w:rPr>
                <w:rFonts w:eastAsia="Times New Roman"/>
                <w:b/>
                <w:color w:val="000000"/>
              </w:rPr>
              <w:t>% of Total</w:t>
            </w:r>
          </w:p>
        </w:tc>
        <w:tc>
          <w:tcPr>
            <w:tcW w:w="486" w:type="pct"/>
            <w:shd w:val="clear" w:color="auto" w:fill="CDECFF"/>
            <w:noWrap/>
            <w:vAlign w:val="center"/>
          </w:tcPr>
          <w:p w:rsidR="005D1F79" w:rsidRPr="005D1F79" w:rsidRDefault="005D1F79" w:rsidP="005D1F79">
            <w:pPr>
              <w:spacing w:after="0" w:line="240" w:lineRule="auto"/>
              <w:jc w:val="center"/>
              <w:rPr>
                <w:rFonts w:eastAsia="Times New Roman"/>
                <w:b/>
                <w:color w:val="000000"/>
              </w:rPr>
            </w:pPr>
            <w:r w:rsidRPr="005D1F79">
              <w:rPr>
                <w:rFonts w:eastAsia="Times New Roman"/>
                <w:b/>
                <w:color w:val="000000"/>
              </w:rPr>
              <w:t>Count</w:t>
            </w:r>
          </w:p>
        </w:tc>
        <w:tc>
          <w:tcPr>
            <w:tcW w:w="704" w:type="pct"/>
            <w:shd w:val="clear" w:color="auto" w:fill="CDECFF"/>
            <w:noWrap/>
            <w:vAlign w:val="center"/>
          </w:tcPr>
          <w:p w:rsidR="005D1F79" w:rsidRPr="005D1F79" w:rsidRDefault="005D1F79" w:rsidP="005D1F79">
            <w:pPr>
              <w:spacing w:after="0" w:line="240" w:lineRule="auto"/>
              <w:jc w:val="center"/>
              <w:rPr>
                <w:rFonts w:eastAsia="Times New Roman"/>
                <w:b/>
                <w:color w:val="000000"/>
              </w:rPr>
            </w:pPr>
            <w:r w:rsidRPr="005D1F79">
              <w:rPr>
                <w:rFonts w:eastAsia="Times New Roman"/>
                <w:b/>
                <w:color w:val="000000"/>
              </w:rPr>
              <w:t>% of Total</w:t>
            </w:r>
          </w:p>
        </w:tc>
        <w:tc>
          <w:tcPr>
            <w:tcW w:w="544" w:type="pct"/>
            <w:vMerge/>
            <w:shd w:val="clear" w:color="auto" w:fill="CDECFF"/>
            <w:noWrap/>
            <w:vAlign w:val="center"/>
          </w:tcPr>
          <w:p w:rsidR="005D1F79" w:rsidRPr="005D1F79" w:rsidRDefault="005D1F79" w:rsidP="005D1F79">
            <w:pPr>
              <w:spacing w:after="0" w:line="240" w:lineRule="auto"/>
              <w:jc w:val="center"/>
              <w:rPr>
                <w:rFonts w:eastAsia="Times New Roman"/>
                <w:b/>
                <w:color w:val="000000"/>
              </w:rPr>
            </w:pPr>
          </w:p>
        </w:tc>
      </w:tr>
      <w:tr w:rsidR="005D1F79" w:rsidRPr="005D1F79" w:rsidTr="0029138C">
        <w:trPr>
          <w:trHeight w:val="188"/>
          <w:jc w:val="center"/>
        </w:trPr>
        <w:tc>
          <w:tcPr>
            <w:tcW w:w="790" w:type="pct"/>
            <w:shd w:val="clear" w:color="000000" w:fill="FFFFFF"/>
            <w:vAlign w:val="center"/>
          </w:tcPr>
          <w:p w:rsidR="005D1F79" w:rsidRPr="005D1F79" w:rsidRDefault="005D1F79" w:rsidP="005D1F79">
            <w:pPr>
              <w:spacing w:after="0" w:line="240" w:lineRule="auto"/>
              <w:jc w:val="center"/>
              <w:rPr>
                <w:color w:val="000000"/>
              </w:rPr>
            </w:pPr>
            <w:r w:rsidRPr="005D1F79">
              <w:rPr>
                <w:color w:val="000000"/>
              </w:rPr>
              <w:t>&lt;20</w:t>
            </w:r>
          </w:p>
        </w:tc>
        <w:tc>
          <w:tcPr>
            <w:tcW w:w="520" w:type="pct"/>
            <w:shd w:val="clear" w:color="000000" w:fill="FFFFFF"/>
            <w:vAlign w:val="bottom"/>
          </w:tcPr>
          <w:p w:rsidR="005D1F79" w:rsidRPr="005D1F79" w:rsidRDefault="005D1F79" w:rsidP="005D1F79">
            <w:pPr>
              <w:spacing w:after="0" w:line="240" w:lineRule="auto"/>
              <w:jc w:val="center"/>
              <w:rPr>
                <w:color w:val="000000"/>
                <w:highlight w:val="yellow"/>
              </w:rPr>
            </w:pPr>
            <w:r w:rsidRPr="005D1F79">
              <w:rPr>
                <w:color w:val="000000"/>
              </w:rPr>
              <w:t>0</w:t>
            </w:r>
          </w:p>
        </w:tc>
        <w:tc>
          <w:tcPr>
            <w:tcW w:w="718"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0.0%</w:t>
            </w:r>
          </w:p>
        </w:tc>
        <w:tc>
          <w:tcPr>
            <w:tcW w:w="546"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4,030</w:t>
            </w:r>
          </w:p>
        </w:tc>
        <w:tc>
          <w:tcPr>
            <w:tcW w:w="692" w:type="pct"/>
            <w:shd w:val="clear" w:color="000000" w:fill="FFFFFF"/>
            <w:vAlign w:val="bottom"/>
          </w:tcPr>
          <w:p w:rsidR="005D1F79" w:rsidRPr="005D1F79" w:rsidRDefault="005D1F79" w:rsidP="005D1F79">
            <w:pPr>
              <w:spacing w:after="0" w:line="240" w:lineRule="auto"/>
              <w:jc w:val="center"/>
              <w:rPr>
                <w:color w:val="000000"/>
                <w:highlight w:val="yellow"/>
              </w:rPr>
            </w:pPr>
            <w:r w:rsidRPr="005D1F79">
              <w:rPr>
                <w:color w:val="000000"/>
              </w:rPr>
              <w:t>98.1%</w:t>
            </w:r>
          </w:p>
        </w:tc>
        <w:tc>
          <w:tcPr>
            <w:tcW w:w="486"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78</w:t>
            </w:r>
          </w:p>
        </w:tc>
        <w:tc>
          <w:tcPr>
            <w:tcW w:w="704"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1.9%</w:t>
            </w:r>
          </w:p>
        </w:tc>
        <w:tc>
          <w:tcPr>
            <w:tcW w:w="544"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4,108</w:t>
            </w:r>
          </w:p>
        </w:tc>
      </w:tr>
      <w:tr w:rsidR="005D1F79" w:rsidRPr="005D1F79" w:rsidTr="0029138C">
        <w:trPr>
          <w:trHeight w:val="68"/>
          <w:jc w:val="center"/>
        </w:trPr>
        <w:tc>
          <w:tcPr>
            <w:tcW w:w="790" w:type="pct"/>
            <w:shd w:val="clear" w:color="000000" w:fill="FFFFFF"/>
            <w:vAlign w:val="center"/>
          </w:tcPr>
          <w:p w:rsidR="005D1F79" w:rsidRPr="005D1F79" w:rsidRDefault="005D1F79" w:rsidP="005D1F79">
            <w:pPr>
              <w:spacing w:after="0" w:line="240" w:lineRule="auto"/>
              <w:jc w:val="center"/>
              <w:rPr>
                <w:color w:val="000000"/>
              </w:rPr>
            </w:pPr>
            <w:r w:rsidRPr="005D1F79">
              <w:rPr>
                <w:color w:val="000000"/>
              </w:rPr>
              <w:t>20-49</w:t>
            </w:r>
          </w:p>
        </w:tc>
        <w:tc>
          <w:tcPr>
            <w:tcW w:w="520" w:type="pct"/>
            <w:shd w:val="clear" w:color="000000" w:fill="FFFFFF"/>
            <w:vAlign w:val="bottom"/>
          </w:tcPr>
          <w:p w:rsidR="005D1F79" w:rsidRPr="005D1F79" w:rsidRDefault="005D1F79" w:rsidP="005D1F79">
            <w:pPr>
              <w:spacing w:after="0" w:line="240" w:lineRule="auto"/>
              <w:jc w:val="center"/>
              <w:rPr>
                <w:color w:val="000000"/>
                <w:highlight w:val="yellow"/>
              </w:rPr>
            </w:pPr>
            <w:r w:rsidRPr="005D1F79">
              <w:rPr>
                <w:color w:val="000000"/>
              </w:rPr>
              <w:t>32</w:t>
            </w:r>
          </w:p>
        </w:tc>
        <w:tc>
          <w:tcPr>
            <w:tcW w:w="718"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1.9%</w:t>
            </w:r>
          </w:p>
        </w:tc>
        <w:tc>
          <w:tcPr>
            <w:tcW w:w="546"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1,568</w:t>
            </w:r>
          </w:p>
        </w:tc>
        <w:tc>
          <w:tcPr>
            <w:tcW w:w="692" w:type="pct"/>
            <w:shd w:val="clear" w:color="000000" w:fill="FFFFFF"/>
            <w:vAlign w:val="bottom"/>
          </w:tcPr>
          <w:p w:rsidR="005D1F79" w:rsidRPr="005D1F79" w:rsidRDefault="005D1F79" w:rsidP="005D1F79">
            <w:pPr>
              <w:spacing w:after="0" w:line="240" w:lineRule="auto"/>
              <w:jc w:val="center"/>
              <w:rPr>
                <w:color w:val="000000"/>
                <w:highlight w:val="yellow"/>
              </w:rPr>
            </w:pPr>
            <w:r w:rsidRPr="005D1F79">
              <w:rPr>
                <w:color w:val="000000"/>
              </w:rPr>
              <w:t>94.7%</w:t>
            </w:r>
          </w:p>
        </w:tc>
        <w:tc>
          <w:tcPr>
            <w:tcW w:w="486"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55</w:t>
            </w:r>
          </w:p>
        </w:tc>
        <w:tc>
          <w:tcPr>
            <w:tcW w:w="704"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3.3%</w:t>
            </w:r>
          </w:p>
        </w:tc>
        <w:tc>
          <w:tcPr>
            <w:tcW w:w="544"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1,655</w:t>
            </w:r>
          </w:p>
        </w:tc>
      </w:tr>
      <w:tr w:rsidR="005D1F79" w:rsidRPr="005D1F79" w:rsidTr="0029138C">
        <w:trPr>
          <w:trHeight w:val="68"/>
          <w:jc w:val="center"/>
        </w:trPr>
        <w:tc>
          <w:tcPr>
            <w:tcW w:w="790" w:type="pct"/>
            <w:shd w:val="clear" w:color="000000" w:fill="FFFFFF"/>
            <w:vAlign w:val="center"/>
          </w:tcPr>
          <w:p w:rsidR="005D1F79" w:rsidRPr="005D1F79" w:rsidRDefault="005D1F79" w:rsidP="005D1F79">
            <w:pPr>
              <w:spacing w:after="0" w:line="240" w:lineRule="auto"/>
              <w:jc w:val="center"/>
              <w:rPr>
                <w:color w:val="000000"/>
              </w:rPr>
            </w:pPr>
            <w:r w:rsidRPr="005D1F79">
              <w:rPr>
                <w:color w:val="000000"/>
              </w:rPr>
              <w:t>50-99</w:t>
            </w:r>
          </w:p>
        </w:tc>
        <w:tc>
          <w:tcPr>
            <w:tcW w:w="520" w:type="pct"/>
            <w:shd w:val="clear" w:color="000000" w:fill="FFFFFF"/>
            <w:vAlign w:val="bottom"/>
          </w:tcPr>
          <w:p w:rsidR="005D1F79" w:rsidRPr="005D1F79" w:rsidRDefault="005D1F79" w:rsidP="005D1F79">
            <w:pPr>
              <w:spacing w:after="0" w:line="240" w:lineRule="auto"/>
              <w:jc w:val="center"/>
              <w:rPr>
                <w:color w:val="000000"/>
                <w:highlight w:val="yellow"/>
              </w:rPr>
            </w:pPr>
            <w:r w:rsidRPr="005D1F79">
              <w:rPr>
                <w:color w:val="000000"/>
              </w:rPr>
              <w:t>60</w:t>
            </w:r>
          </w:p>
        </w:tc>
        <w:tc>
          <w:tcPr>
            <w:tcW w:w="718"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4.0%</w:t>
            </w:r>
          </w:p>
        </w:tc>
        <w:tc>
          <w:tcPr>
            <w:tcW w:w="546"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1,343</w:t>
            </w:r>
          </w:p>
        </w:tc>
        <w:tc>
          <w:tcPr>
            <w:tcW w:w="692" w:type="pct"/>
            <w:shd w:val="clear" w:color="000000" w:fill="FFFFFF"/>
            <w:vAlign w:val="bottom"/>
          </w:tcPr>
          <w:p w:rsidR="005D1F79" w:rsidRPr="005D1F79" w:rsidRDefault="005D1F79" w:rsidP="005D1F79">
            <w:pPr>
              <w:spacing w:after="0" w:line="240" w:lineRule="auto"/>
              <w:jc w:val="center"/>
              <w:rPr>
                <w:color w:val="000000"/>
                <w:highlight w:val="yellow"/>
              </w:rPr>
            </w:pPr>
            <w:r w:rsidRPr="005D1F79">
              <w:rPr>
                <w:color w:val="000000"/>
              </w:rPr>
              <w:t>90.4%</w:t>
            </w:r>
          </w:p>
        </w:tc>
        <w:tc>
          <w:tcPr>
            <w:tcW w:w="486"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83</w:t>
            </w:r>
          </w:p>
        </w:tc>
        <w:tc>
          <w:tcPr>
            <w:tcW w:w="704"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5.6%</w:t>
            </w:r>
          </w:p>
        </w:tc>
        <w:tc>
          <w:tcPr>
            <w:tcW w:w="544"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1,486</w:t>
            </w:r>
          </w:p>
        </w:tc>
      </w:tr>
      <w:tr w:rsidR="005D1F79" w:rsidRPr="005D1F79" w:rsidTr="0029138C">
        <w:trPr>
          <w:trHeight w:val="68"/>
          <w:jc w:val="center"/>
        </w:trPr>
        <w:tc>
          <w:tcPr>
            <w:tcW w:w="790" w:type="pct"/>
            <w:shd w:val="clear" w:color="000000" w:fill="FFFFFF"/>
            <w:vAlign w:val="center"/>
          </w:tcPr>
          <w:p w:rsidR="005D1F79" w:rsidRPr="005D1F79" w:rsidRDefault="005D1F79" w:rsidP="005D1F79">
            <w:pPr>
              <w:spacing w:after="0" w:line="240" w:lineRule="auto"/>
              <w:jc w:val="center"/>
              <w:rPr>
                <w:color w:val="000000"/>
              </w:rPr>
            </w:pPr>
            <w:r w:rsidRPr="005D1F79">
              <w:rPr>
                <w:color w:val="000000"/>
              </w:rPr>
              <w:t>100-199</w:t>
            </w:r>
          </w:p>
        </w:tc>
        <w:tc>
          <w:tcPr>
            <w:tcW w:w="520" w:type="pct"/>
            <w:shd w:val="clear" w:color="000000" w:fill="FFFFFF"/>
            <w:vAlign w:val="bottom"/>
          </w:tcPr>
          <w:p w:rsidR="005D1F79" w:rsidRPr="005D1F79" w:rsidRDefault="005D1F79" w:rsidP="005D1F79">
            <w:pPr>
              <w:spacing w:after="0" w:line="240" w:lineRule="auto"/>
              <w:jc w:val="center"/>
              <w:rPr>
                <w:color w:val="000000"/>
                <w:highlight w:val="yellow"/>
              </w:rPr>
            </w:pPr>
            <w:r w:rsidRPr="005D1F79">
              <w:rPr>
                <w:color w:val="000000"/>
              </w:rPr>
              <w:t>87</w:t>
            </w:r>
          </w:p>
        </w:tc>
        <w:tc>
          <w:tcPr>
            <w:tcW w:w="718"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6.3%</w:t>
            </w:r>
          </w:p>
        </w:tc>
        <w:tc>
          <w:tcPr>
            <w:tcW w:w="546"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1,189</w:t>
            </w:r>
          </w:p>
        </w:tc>
        <w:tc>
          <w:tcPr>
            <w:tcW w:w="692" w:type="pct"/>
            <w:shd w:val="clear" w:color="000000" w:fill="FFFFFF"/>
            <w:vAlign w:val="bottom"/>
          </w:tcPr>
          <w:p w:rsidR="005D1F79" w:rsidRPr="005D1F79" w:rsidRDefault="005D1F79" w:rsidP="005D1F79">
            <w:pPr>
              <w:spacing w:after="0" w:line="240" w:lineRule="auto"/>
              <w:jc w:val="center"/>
              <w:rPr>
                <w:color w:val="000000"/>
                <w:highlight w:val="yellow"/>
              </w:rPr>
            </w:pPr>
            <w:r w:rsidRPr="005D1F79">
              <w:rPr>
                <w:color w:val="000000"/>
              </w:rPr>
              <w:t>85.8%</w:t>
            </w:r>
          </w:p>
        </w:tc>
        <w:tc>
          <w:tcPr>
            <w:tcW w:w="486"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109</w:t>
            </w:r>
          </w:p>
        </w:tc>
        <w:tc>
          <w:tcPr>
            <w:tcW w:w="704"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7.9%</w:t>
            </w:r>
          </w:p>
        </w:tc>
        <w:tc>
          <w:tcPr>
            <w:tcW w:w="544"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1,385</w:t>
            </w:r>
          </w:p>
        </w:tc>
      </w:tr>
      <w:tr w:rsidR="005D1F79" w:rsidRPr="005D1F79" w:rsidTr="0029138C">
        <w:trPr>
          <w:trHeight w:val="68"/>
          <w:jc w:val="center"/>
        </w:trPr>
        <w:tc>
          <w:tcPr>
            <w:tcW w:w="790" w:type="pct"/>
            <w:shd w:val="clear" w:color="000000" w:fill="FFFFFF"/>
            <w:vAlign w:val="center"/>
          </w:tcPr>
          <w:p w:rsidR="005D1F79" w:rsidRPr="005D1F79" w:rsidRDefault="005D1F79" w:rsidP="005D1F79">
            <w:pPr>
              <w:spacing w:after="0" w:line="240" w:lineRule="auto"/>
              <w:jc w:val="center"/>
              <w:rPr>
                <w:color w:val="000000"/>
              </w:rPr>
            </w:pPr>
            <w:r w:rsidRPr="005D1F79">
              <w:rPr>
                <w:color w:val="000000"/>
              </w:rPr>
              <w:t>200-399</w:t>
            </w:r>
          </w:p>
        </w:tc>
        <w:tc>
          <w:tcPr>
            <w:tcW w:w="520" w:type="pct"/>
            <w:shd w:val="clear" w:color="000000" w:fill="FFFFFF"/>
            <w:vAlign w:val="bottom"/>
          </w:tcPr>
          <w:p w:rsidR="005D1F79" w:rsidRPr="005D1F79" w:rsidRDefault="005D1F79" w:rsidP="005D1F79">
            <w:pPr>
              <w:spacing w:after="0" w:line="240" w:lineRule="auto"/>
              <w:jc w:val="center"/>
              <w:rPr>
                <w:color w:val="000000"/>
                <w:highlight w:val="yellow"/>
              </w:rPr>
            </w:pPr>
            <w:r w:rsidRPr="005D1F79">
              <w:rPr>
                <w:color w:val="000000"/>
              </w:rPr>
              <w:t>96</w:t>
            </w:r>
          </w:p>
        </w:tc>
        <w:tc>
          <w:tcPr>
            <w:tcW w:w="718"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7.7%</w:t>
            </w:r>
          </w:p>
        </w:tc>
        <w:tc>
          <w:tcPr>
            <w:tcW w:w="546"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1,008</w:t>
            </w:r>
          </w:p>
        </w:tc>
        <w:tc>
          <w:tcPr>
            <w:tcW w:w="692" w:type="pct"/>
            <w:shd w:val="clear" w:color="000000" w:fill="FFFFFF"/>
            <w:vAlign w:val="bottom"/>
          </w:tcPr>
          <w:p w:rsidR="005D1F79" w:rsidRPr="005D1F79" w:rsidRDefault="005D1F79" w:rsidP="005D1F79">
            <w:pPr>
              <w:spacing w:after="0" w:line="240" w:lineRule="auto"/>
              <w:jc w:val="center"/>
              <w:rPr>
                <w:color w:val="000000"/>
                <w:highlight w:val="yellow"/>
              </w:rPr>
            </w:pPr>
            <w:r w:rsidRPr="005D1F79">
              <w:rPr>
                <w:color w:val="000000"/>
              </w:rPr>
              <w:t>81.0%</w:t>
            </w:r>
          </w:p>
        </w:tc>
        <w:tc>
          <w:tcPr>
            <w:tcW w:w="486"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140</w:t>
            </w:r>
          </w:p>
        </w:tc>
        <w:tc>
          <w:tcPr>
            <w:tcW w:w="704"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11.3%</w:t>
            </w:r>
          </w:p>
        </w:tc>
        <w:tc>
          <w:tcPr>
            <w:tcW w:w="544"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1,244</w:t>
            </w:r>
          </w:p>
        </w:tc>
      </w:tr>
      <w:tr w:rsidR="005D1F79" w:rsidRPr="005D1F79" w:rsidTr="0029138C">
        <w:trPr>
          <w:trHeight w:val="68"/>
          <w:jc w:val="center"/>
        </w:trPr>
        <w:tc>
          <w:tcPr>
            <w:tcW w:w="790" w:type="pct"/>
            <w:shd w:val="clear" w:color="000000" w:fill="FFFFFF"/>
            <w:vAlign w:val="center"/>
          </w:tcPr>
          <w:p w:rsidR="005D1F79" w:rsidRPr="005D1F79" w:rsidRDefault="005D1F79" w:rsidP="005D1F79">
            <w:pPr>
              <w:spacing w:after="0" w:line="240" w:lineRule="auto"/>
              <w:jc w:val="center"/>
              <w:rPr>
                <w:color w:val="000000"/>
              </w:rPr>
            </w:pPr>
            <w:r w:rsidRPr="005D1F79">
              <w:rPr>
                <w:color w:val="000000"/>
              </w:rPr>
              <w:t>400-999</w:t>
            </w:r>
          </w:p>
        </w:tc>
        <w:tc>
          <w:tcPr>
            <w:tcW w:w="520" w:type="pct"/>
            <w:shd w:val="clear" w:color="000000" w:fill="FFFFFF"/>
            <w:vAlign w:val="bottom"/>
          </w:tcPr>
          <w:p w:rsidR="005D1F79" w:rsidRPr="005D1F79" w:rsidRDefault="005D1F79" w:rsidP="005D1F79">
            <w:pPr>
              <w:spacing w:after="0" w:line="240" w:lineRule="auto"/>
              <w:jc w:val="center"/>
              <w:rPr>
                <w:color w:val="000000"/>
                <w:highlight w:val="yellow"/>
              </w:rPr>
            </w:pPr>
            <w:r w:rsidRPr="005D1F79">
              <w:rPr>
                <w:color w:val="000000"/>
              </w:rPr>
              <w:t>113</w:t>
            </w:r>
          </w:p>
        </w:tc>
        <w:tc>
          <w:tcPr>
            <w:tcW w:w="718"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10.1%</w:t>
            </w:r>
          </w:p>
        </w:tc>
        <w:tc>
          <w:tcPr>
            <w:tcW w:w="546"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779</w:t>
            </w:r>
          </w:p>
        </w:tc>
        <w:tc>
          <w:tcPr>
            <w:tcW w:w="692" w:type="pct"/>
            <w:shd w:val="clear" w:color="000000" w:fill="FFFFFF"/>
            <w:vAlign w:val="bottom"/>
          </w:tcPr>
          <w:p w:rsidR="005D1F79" w:rsidRPr="005D1F79" w:rsidRDefault="005D1F79" w:rsidP="005D1F79">
            <w:pPr>
              <w:spacing w:after="0" w:line="240" w:lineRule="auto"/>
              <w:jc w:val="center"/>
              <w:rPr>
                <w:color w:val="000000"/>
                <w:highlight w:val="yellow"/>
              </w:rPr>
            </w:pPr>
            <w:r w:rsidRPr="005D1F79">
              <w:rPr>
                <w:color w:val="000000"/>
              </w:rPr>
              <w:t>69.9%</w:t>
            </w:r>
          </w:p>
        </w:tc>
        <w:tc>
          <w:tcPr>
            <w:tcW w:w="486"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223</w:t>
            </w:r>
          </w:p>
        </w:tc>
        <w:tc>
          <w:tcPr>
            <w:tcW w:w="704"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20.0%</w:t>
            </w:r>
          </w:p>
        </w:tc>
        <w:tc>
          <w:tcPr>
            <w:tcW w:w="544"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1,115</w:t>
            </w:r>
          </w:p>
        </w:tc>
      </w:tr>
      <w:tr w:rsidR="005D1F79" w:rsidRPr="005D1F79" w:rsidTr="0029138C">
        <w:trPr>
          <w:trHeight w:val="68"/>
          <w:jc w:val="center"/>
        </w:trPr>
        <w:tc>
          <w:tcPr>
            <w:tcW w:w="790" w:type="pct"/>
            <w:shd w:val="clear" w:color="000000" w:fill="FFFFFF"/>
            <w:vAlign w:val="center"/>
          </w:tcPr>
          <w:p w:rsidR="005D1F79" w:rsidRPr="005D1F79" w:rsidRDefault="005D1F79" w:rsidP="005D1F79">
            <w:pPr>
              <w:spacing w:after="0" w:line="240" w:lineRule="auto"/>
              <w:jc w:val="center"/>
              <w:rPr>
                <w:color w:val="000000"/>
              </w:rPr>
            </w:pPr>
            <w:r w:rsidRPr="005D1F79">
              <w:rPr>
                <w:color w:val="000000"/>
              </w:rPr>
              <w:t>1000+</w:t>
            </w:r>
          </w:p>
        </w:tc>
        <w:tc>
          <w:tcPr>
            <w:tcW w:w="520" w:type="pct"/>
            <w:shd w:val="clear" w:color="000000" w:fill="FFFFFF"/>
            <w:vAlign w:val="bottom"/>
          </w:tcPr>
          <w:p w:rsidR="005D1F79" w:rsidRPr="005D1F79" w:rsidRDefault="005D1F79" w:rsidP="005D1F79">
            <w:pPr>
              <w:spacing w:after="0" w:line="240" w:lineRule="auto"/>
              <w:jc w:val="center"/>
              <w:rPr>
                <w:color w:val="000000"/>
                <w:highlight w:val="yellow"/>
              </w:rPr>
            </w:pPr>
            <w:r w:rsidRPr="005D1F79">
              <w:rPr>
                <w:color w:val="000000"/>
              </w:rPr>
              <w:t>155</w:t>
            </w:r>
          </w:p>
        </w:tc>
        <w:tc>
          <w:tcPr>
            <w:tcW w:w="718"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22.8%</w:t>
            </w:r>
          </w:p>
        </w:tc>
        <w:tc>
          <w:tcPr>
            <w:tcW w:w="546"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387</w:t>
            </w:r>
          </w:p>
        </w:tc>
        <w:tc>
          <w:tcPr>
            <w:tcW w:w="692" w:type="pct"/>
            <w:shd w:val="clear" w:color="000000" w:fill="FFFFFF"/>
            <w:vAlign w:val="bottom"/>
          </w:tcPr>
          <w:p w:rsidR="005D1F79" w:rsidRPr="005D1F79" w:rsidRDefault="005D1F79" w:rsidP="005D1F79">
            <w:pPr>
              <w:spacing w:after="0" w:line="240" w:lineRule="auto"/>
              <w:jc w:val="center"/>
              <w:rPr>
                <w:color w:val="000000"/>
                <w:highlight w:val="yellow"/>
              </w:rPr>
            </w:pPr>
            <w:r w:rsidRPr="005D1F79">
              <w:rPr>
                <w:color w:val="000000"/>
              </w:rPr>
              <w:t>56.9%</w:t>
            </w:r>
          </w:p>
        </w:tc>
        <w:tc>
          <w:tcPr>
            <w:tcW w:w="486"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138</w:t>
            </w:r>
          </w:p>
        </w:tc>
        <w:tc>
          <w:tcPr>
            <w:tcW w:w="704"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20.3%</w:t>
            </w:r>
          </w:p>
        </w:tc>
        <w:tc>
          <w:tcPr>
            <w:tcW w:w="544" w:type="pct"/>
            <w:shd w:val="clear" w:color="000000" w:fill="FFFFFF"/>
            <w:noWrap/>
            <w:vAlign w:val="bottom"/>
          </w:tcPr>
          <w:p w:rsidR="005D1F79" w:rsidRPr="005D1F79" w:rsidRDefault="005D1F79" w:rsidP="005D1F79">
            <w:pPr>
              <w:spacing w:after="0" w:line="240" w:lineRule="auto"/>
              <w:jc w:val="center"/>
              <w:rPr>
                <w:color w:val="000000"/>
                <w:highlight w:val="yellow"/>
              </w:rPr>
            </w:pPr>
            <w:r w:rsidRPr="005D1F79">
              <w:rPr>
                <w:color w:val="000000"/>
              </w:rPr>
              <w:t>680</w:t>
            </w:r>
          </w:p>
        </w:tc>
      </w:tr>
      <w:tr w:rsidR="005D1F79" w:rsidRPr="005D1F79" w:rsidTr="0029138C">
        <w:trPr>
          <w:trHeight w:val="68"/>
          <w:jc w:val="center"/>
        </w:trPr>
        <w:tc>
          <w:tcPr>
            <w:tcW w:w="790" w:type="pct"/>
            <w:shd w:val="clear" w:color="000000" w:fill="FFFFFF"/>
            <w:vAlign w:val="center"/>
          </w:tcPr>
          <w:p w:rsidR="005D1F79" w:rsidRPr="005D1F79" w:rsidRDefault="005D1F79" w:rsidP="005D1F79">
            <w:pPr>
              <w:spacing w:after="0" w:line="240" w:lineRule="auto"/>
              <w:jc w:val="center"/>
              <w:rPr>
                <w:b/>
                <w:bCs/>
                <w:color w:val="000000"/>
              </w:rPr>
            </w:pPr>
            <w:r w:rsidRPr="005D1F79">
              <w:rPr>
                <w:b/>
                <w:bCs/>
                <w:color w:val="000000"/>
              </w:rPr>
              <w:t>Total</w:t>
            </w:r>
          </w:p>
        </w:tc>
        <w:tc>
          <w:tcPr>
            <w:tcW w:w="520" w:type="pct"/>
            <w:shd w:val="clear" w:color="000000" w:fill="FFFFFF"/>
            <w:vAlign w:val="bottom"/>
          </w:tcPr>
          <w:p w:rsidR="005D1F79" w:rsidRPr="005D1F79" w:rsidRDefault="005D1F79" w:rsidP="005D1F79">
            <w:pPr>
              <w:spacing w:after="0" w:line="240" w:lineRule="auto"/>
              <w:jc w:val="center"/>
              <w:rPr>
                <w:b/>
                <w:bCs/>
                <w:color w:val="000000"/>
                <w:highlight w:val="yellow"/>
              </w:rPr>
            </w:pPr>
            <w:r w:rsidRPr="005D1F79">
              <w:rPr>
                <w:b/>
                <w:bCs/>
                <w:color w:val="000000"/>
              </w:rPr>
              <w:t>543</w:t>
            </w:r>
          </w:p>
        </w:tc>
        <w:tc>
          <w:tcPr>
            <w:tcW w:w="718" w:type="pct"/>
            <w:shd w:val="clear" w:color="000000" w:fill="FFFFFF"/>
            <w:noWrap/>
            <w:vAlign w:val="bottom"/>
          </w:tcPr>
          <w:p w:rsidR="005D1F79" w:rsidRPr="005D1F79" w:rsidRDefault="005D1F79" w:rsidP="005D1F79">
            <w:pPr>
              <w:spacing w:after="0" w:line="240" w:lineRule="auto"/>
              <w:jc w:val="center"/>
              <w:rPr>
                <w:b/>
                <w:bCs/>
                <w:color w:val="000000"/>
                <w:highlight w:val="yellow"/>
              </w:rPr>
            </w:pPr>
            <w:r w:rsidRPr="005D1F79">
              <w:rPr>
                <w:b/>
                <w:bCs/>
                <w:color w:val="000000"/>
              </w:rPr>
              <w:t>4.7%</w:t>
            </w:r>
          </w:p>
        </w:tc>
        <w:tc>
          <w:tcPr>
            <w:tcW w:w="546" w:type="pct"/>
            <w:shd w:val="clear" w:color="000000" w:fill="FFFFFF"/>
            <w:noWrap/>
            <w:vAlign w:val="bottom"/>
          </w:tcPr>
          <w:p w:rsidR="005D1F79" w:rsidRPr="005D1F79" w:rsidRDefault="005D1F79" w:rsidP="005D1F79">
            <w:pPr>
              <w:spacing w:after="0" w:line="240" w:lineRule="auto"/>
              <w:jc w:val="center"/>
              <w:rPr>
                <w:b/>
                <w:bCs/>
                <w:color w:val="000000"/>
                <w:highlight w:val="yellow"/>
              </w:rPr>
            </w:pPr>
            <w:r w:rsidRPr="005D1F79">
              <w:rPr>
                <w:b/>
                <w:bCs/>
                <w:color w:val="000000"/>
              </w:rPr>
              <w:t>10,304</w:t>
            </w:r>
          </w:p>
        </w:tc>
        <w:tc>
          <w:tcPr>
            <w:tcW w:w="692" w:type="pct"/>
            <w:shd w:val="clear" w:color="000000" w:fill="FFFFFF"/>
            <w:vAlign w:val="bottom"/>
          </w:tcPr>
          <w:p w:rsidR="005D1F79" w:rsidRPr="005D1F79" w:rsidRDefault="005D1F79" w:rsidP="005D1F79">
            <w:pPr>
              <w:spacing w:after="0" w:line="240" w:lineRule="auto"/>
              <w:jc w:val="center"/>
              <w:rPr>
                <w:b/>
                <w:bCs/>
                <w:color w:val="000000"/>
                <w:highlight w:val="yellow"/>
              </w:rPr>
            </w:pPr>
            <w:r w:rsidRPr="005D1F79">
              <w:rPr>
                <w:b/>
                <w:bCs/>
                <w:color w:val="000000"/>
              </w:rPr>
              <w:t>88.3%</w:t>
            </w:r>
          </w:p>
        </w:tc>
        <w:tc>
          <w:tcPr>
            <w:tcW w:w="486" w:type="pct"/>
            <w:shd w:val="clear" w:color="000000" w:fill="FFFFFF"/>
            <w:noWrap/>
            <w:vAlign w:val="bottom"/>
          </w:tcPr>
          <w:p w:rsidR="005D1F79" w:rsidRPr="005D1F79" w:rsidRDefault="005D1F79" w:rsidP="005D1F79">
            <w:pPr>
              <w:spacing w:after="0" w:line="240" w:lineRule="auto"/>
              <w:jc w:val="center"/>
              <w:rPr>
                <w:b/>
                <w:bCs/>
                <w:color w:val="000000"/>
                <w:highlight w:val="yellow"/>
              </w:rPr>
            </w:pPr>
            <w:r w:rsidRPr="005D1F79">
              <w:rPr>
                <w:b/>
                <w:bCs/>
                <w:color w:val="000000"/>
              </w:rPr>
              <w:t>826</w:t>
            </w:r>
          </w:p>
        </w:tc>
        <w:tc>
          <w:tcPr>
            <w:tcW w:w="704" w:type="pct"/>
            <w:shd w:val="clear" w:color="000000" w:fill="FFFFFF"/>
            <w:noWrap/>
            <w:vAlign w:val="bottom"/>
          </w:tcPr>
          <w:p w:rsidR="005D1F79" w:rsidRPr="005D1F79" w:rsidRDefault="005D1F79" w:rsidP="005D1F79">
            <w:pPr>
              <w:spacing w:after="0" w:line="240" w:lineRule="auto"/>
              <w:jc w:val="center"/>
              <w:rPr>
                <w:b/>
                <w:bCs/>
                <w:color w:val="000000"/>
                <w:highlight w:val="yellow"/>
              </w:rPr>
            </w:pPr>
            <w:r w:rsidRPr="005D1F79">
              <w:rPr>
                <w:b/>
                <w:bCs/>
                <w:color w:val="000000"/>
              </w:rPr>
              <w:t>7.1%</w:t>
            </w:r>
          </w:p>
        </w:tc>
        <w:tc>
          <w:tcPr>
            <w:tcW w:w="544" w:type="pct"/>
            <w:shd w:val="clear" w:color="000000" w:fill="FFFFFF"/>
            <w:noWrap/>
            <w:vAlign w:val="bottom"/>
          </w:tcPr>
          <w:p w:rsidR="005D1F79" w:rsidRPr="005D1F79" w:rsidRDefault="005D1F79" w:rsidP="005D1F79">
            <w:pPr>
              <w:spacing w:after="0" w:line="240" w:lineRule="auto"/>
              <w:jc w:val="center"/>
              <w:rPr>
                <w:b/>
                <w:bCs/>
                <w:color w:val="000000"/>
                <w:highlight w:val="yellow"/>
              </w:rPr>
            </w:pPr>
            <w:r w:rsidRPr="005D1F79">
              <w:rPr>
                <w:b/>
                <w:bCs/>
                <w:color w:val="000000"/>
              </w:rPr>
              <w:t>11,673</w:t>
            </w:r>
          </w:p>
        </w:tc>
      </w:tr>
    </w:tbl>
    <w:p w:rsidR="00D61410" w:rsidRDefault="00D61410" w:rsidP="00D61410">
      <w:pPr>
        <w:autoSpaceDE w:val="0"/>
        <w:autoSpaceDN w:val="0"/>
        <w:adjustRightInd w:val="0"/>
        <w:spacing w:after="0" w:line="240" w:lineRule="auto"/>
        <w:rPr>
          <w:rFonts w:cstheme="minorHAnsi"/>
          <w:bCs/>
        </w:rPr>
      </w:pPr>
    </w:p>
    <w:p w:rsidR="004178C1" w:rsidRDefault="00D61410" w:rsidP="00D61410">
      <w:pPr>
        <w:autoSpaceDE w:val="0"/>
        <w:autoSpaceDN w:val="0"/>
        <w:adjustRightInd w:val="0"/>
        <w:spacing w:after="0" w:line="240" w:lineRule="auto"/>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D61410" w:rsidRDefault="005D1F79" w:rsidP="004178C1">
      <w:r>
        <w:t xml:space="preserve">With the categorical reporting method, consumers may see that most home health agencies in their area are average (i.e., same as expected, which applies to 88.3 percent of home health agencies), but </w:t>
      </w:r>
      <w:r>
        <w:lastRenderedPageBreak/>
        <w:t xml:space="preserve">will be informed if a particular agency is outstanding (i.e., better than expected, which applies to 4.7 percent of home health agencies and 7.2 percent of agencies with 20 or more stays) or sub-standard (i.e., worse than expected, which applies to 7.1 percent of home health agencies and 9.9 percent of agencies with 20 or more stays).  Additionally, consumers would not make false distinctions between agencies when both home health agencies are performing as expected, even if their observed rates are different.      </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r>
      <w:r w:rsidR="0032079E">
        <w:t>Not applicable; this measure uses a single data source.</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32079E">
        <w:t>Not applicable.</w:t>
      </w:r>
    </w:p>
    <w:p w:rsidR="00E1508F" w:rsidRPr="00E1508F" w:rsidRDefault="00E1508F" w:rsidP="00E1508F">
      <w:pPr>
        <w:autoSpaceDE w:val="0"/>
        <w:autoSpaceDN w:val="0"/>
        <w:adjustRightInd w:val="0"/>
        <w:spacing w:after="0" w:line="240" w:lineRule="auto"/>
        <w:rPr>
          <w:rFonts w:cstheme="minorHAnsi"/>
          <w:bCs/>
        </w:rPr>
      </w:pPr>
    </w:p>
    <w:p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r w:rsidR="0032079E">
        <w:t>Not applicable.</w:t>
      </w: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1274CD" w:rsidRPr="005560E7" w:rsidRDefault="008F7E67" w:rsidP="001274CD">
      <w:pPr>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r>
      <w:r w:rsidR="001274CD" w:rsidRPr="004178C1">
        <w:t>The measure developer found that 952 stays (&lt; 0.1 percent) had missing payment-episode authorization strings. Because these stays do not include all the information needed for risk adjustment, they are excluded from the measure.</w:t>
      </w:r>
      <w:r w:rsidR="001274CD">
        <w:t xml:space="preserve">   Additionally, p</w:t>
      </w:r>
      <w:r w:rsidR="001274CD" w:rsidRPr="00542A1B">
        <w:t>atients with insufficient Medicare FFS enrollment to allow for measure calculation are excluded from the measure.</w:t>
      </w:r>
    </w:p>
    <w:p w:rsidR="001274CD" w:rsidRPr="005560E7" w:rsidRDefault="008F7E67" w:rsidP="001274CD">
      <w:pPr>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 xml:space="preserve">effect of </w:t>
      </w:r>
      <w:r w:rsidR="00145D4F" w:rsidRPr="00FC5DE1">
        <w:rPr>
          <w:rFonts w:cstheme="minorHAnsi"/>
          <w:bCs/>
          <w:i/>
        </w:rPr>
        <w:lastRenderedPageBreak/>
        <w:t>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r w:rsidR="001274CD" w:rsidRPr="004178C1">
        <w:t>The measure developer found that 952 stays (&lt; 0.1 percent) had missing payment-episode authorization strings. Because these stays do not include all the information needed for risk adjustment, they are excluded from the measure.</w:t>
      </w:r>
      <w:r w:rsidR="001274CD">
        <w:t xml:space="preserve">   Additionally, p</w:t>
      </w:r>
      <w:r w:rsidR="001274CD" w:rsidRPr="00542A1B">
        <w:t>atients with insufficient Medicare FFS enrollment to allow for measure calculation are excluded from the measure.</w:t>
      </w:r>
    </w:p>
    <w:p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1274CD" w:rsidRPr="005560E7" w:rsidRDefault="001274CD" w:rsidP="001274CD">
      <w:pPr>
        <w:rPr>
          <w:rFonts w:cstheme="minorHAnsi"/>
          <w:bCs/>
        </w:rPr>
      </w:pPr>
      <w:r w:rsidRPr="004178C1">
        <w:t>The measure developer found that 952 stays (&lt; 0.1 percent) had missing payment-episode authorization strings. Because these stays do not include all the information needed for risk adjustment, they are excluded from the measure.</w:t>
      </w:r>
      <w:r>
        <w:t xml:space="preserve">   Additionally, p</w:t>
      </w:r>
      <w:r w:rsidRPr="00542A1B">
        <w:t>atients with insufficient Medicare FFS enrollment to allow for measure calculation are excluded from the measure.</w:t>
      </w:r>
    </w:p>
    <w:p w:rsidR="00BA053B" w:rsidRPr="005560E7" w:rsidRDefault="00BA053B" w:rsidP="001274CD">
      <w:pPr>
        <w:rPr>
          <w:rFonts w:cstheme="minorHAnsi"/>
          <w:bCs/>
        </w:rPr>
      </w:pPr>
    </w:p>
    <w:sectPr w:rsidR="00BA053B" w:rsidRPr="005560E7" w:rsidSect="008505D1">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E0B" w:rsidRDefault="003C6E0B" w:rsidP="005C73CA">
      <w:pPr>
        <w:spacing w:after="0" w:line="240" w:lineRule="auto"/>
      </w:pPr>
      <w:r>
        <w:separator/>
      </w:r>
    </w:p>
  </w:endnote>
  <w:endnote w:type="continuationSeparator" w:id="0">
    <w:p w:rsidR="003C6E0B" w:rsidRDefault="003C6E0B"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Default="0012454F">
    <w:pPr>
      <w:pStyle w:val="Footer"/>
    </w:pPr>
    <w:r>
      <w:t xml:space="preserve">Version </w:t>
    </w:r>
    <w:proofErr w:type="gramStart"/>
    <w:r>
      <w:t xml:space="preserve">6.5 </w:t>
    </w:r>
    <w:r w:rsidR="003A7DE7">
      <w:t xml:space="preserve"> </w:t>
    </w:r>
    <w:r w:rsidR="008F7E67">
      <w:t>08</w:t>
    </w:r>
    <w:proofErr w:type="gramEnd"/>
    <w:r w:rsidR="008F7E67">
      <w:t>/20/13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5B4BE1">
      <w:rPr>
        <w:noProof/>
      </w:rPr>
      <w:t>3</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E0B" w:rsidRDefault="003C6E0B" w:rsidP="005C73CA">
      <w:pPr>
        <w:spacing w:after="0" w:line="240" w:lineRule="auto"/>
      </w:pPr>
      <w:r>
        <w:separator/>
      </w:r>
    </w:p>
  </w:footnote>
  <w:footnote w:type="continuationSeparator" w:id="0">
    <w:p w:rsidR="003C6E0B" w:rsidRDefault="003C6E0B" w:rsidP="005C73CA">
      <w:pPr>
        <w:spacing w:after="0" w:line="240" w:lineRule="auto"/>
      </w:pPr>
      <w:r>
        <w:continuationSeparator/>
      </w:r>
    </w:p>
  </w:footnote>
  <w:footnote w:id="1">
    <w:p w:rsidR="0032079E" w:rsidRDefault="0032079E" w:rsidP="0032079E">
      <w:pPr>
        <w:pStyle w:val="FootnoteText"/>
      </w:pPr>
      <w:r>
        <w:rPr>
          <w:rStyle w:val="FootnoteReference"/>
        </w:rPr>
        <w:footnoteRef/>
      </w:r>
      <w:r>
        <w:t xml:space="preserve"> For more information on this extension of the c-statistic, please refer to: David J. Hand and Robert J. Till, “A Simple </w:t>
      </w:r>
      <w:proofErr w:type="spellStart"/>
      <w:r>
        <w:t>Generalisation</w:t>
      </w:r>
      <w:proofErr w:type="spellEnd"/>
      <w:r>
        <w:t xml:space="preserve"> of the Area </w:t>
      </w:r>
      <w:proofErr w:type="gramStart"/>
      <w:r>
        <w:t>Under</w:t>
      </w:r>
      <w:proofErr w:type="gramEnd"/>
      <w:r>
        <w:t xml:space="preserve"> the ROC Curve for Multiple Class Classification Problems.” </w:t>
      </w:r>
      <w:proofErr w:type="gramStart"/>
      <w:r>
        <w:t>Ed. David W. Aha</w:t>
      </w:r>
      <w:r>
        <w:rPr>
          <w:i/>
          <w:iCs/>
        </w:rPr>
        <w:t>.</w:t>
      </w:r>
      <w:proofErr w:type="gramEnd"/>
      <w:r>
        <w:rPr>
          <w:i/>
          <w:iCs/>
        </w:rPr>
        <w:t xml:space="preserve"> Machine Learning </w:t>
      </w:r>
      <w:r>
        <w:t>45 (2001): 171-186.</w:t>
      </w:r>
    </w:p>
  </w:footnote>
  <w:footnote w:id="2">
    <w:p w:rsidR="0032079E" w:rsidRDefault="0032079E" w:rsidP="0032079E">
      <w:pPr>
        <w:pStyle w:val="FootnoteText"/>
      </w:pPr>
      <w:r>
        <w:rPr>
          <w:rStyle w:val="FootnoteReference"/>
        </w:rPr>
        <w:footnoteRef/>
      </w:r>
      <w:r>
        <w:t xml:space="preserve"> The total area under the curve is an assessment of the overall model fit obtained by averaging the c-statistics for the individual </w:t>
      </w:r>
      <w:proofErr w:type="spellStart"/>
      <w:r>
        <w:t>logits</w:t>
      </w:r>
      <w:proofErr w:type="spellEnd"/>
      <w:r>
        <w:t xml:space="preserve">, which in this case is the two c-statistics shown as well as the c-statistic between rehospitalization and ED use without hospital readmission, which is not shown. For more information on this statistic, refer to the footnote above.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BFE06F3"/>
    <w:multiLevelType w:val="hybridMultilevel"/>
    <w:tmpl w:val="5BA098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num>
  <w:num w:numId="3">
    <w:abstractNumId w:val="2"/>
  </w:num>
  <w:num w:numId="4">
    <w:abstractNumId w:val="5"/>
  </w:num>
  <w:num w:numId="5">
    <w:abstractNumId w:val="1"/>
  </w:num>
  <w:num w:numId="6">
    <w:abstractNumId w:val="0"/>
  </w:num>
  <w:num w:numId="7">
    <w:abstractNumId w:val="3"/>
  </w:num>
  <w:num w:numId="8">
    <w:abstractNumId w:val="19"/>
  </w:num>
  <w:num w:numId="9">
    <w:abstractNumId w:val="9"/>
  </w:num>
  <w:num w:numId="10">
    <w:abstractNumId w:val="24"/>
  </w:num>
  <w:num w:numId="11">
    <w:abstractNumId w:val="11"/>
  </w:num>
  <w:num w:numId="12">
    <w:abstractNumId w:val="22"/>
  </w:num>
  <w:num w:numId="13">
    <w:abstractNumId w:val="17"/>
  </w:num>
  <w:num w:numId="14">
    <w:abstractNumId w:val="1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6"/>
  </w:num>
  <w:num w:numId="16">
    <w:abstractNumId w:val="8"/>
  </w:num>
  <w:num w:numId="17">
    <w:abstractNumId w:val="23"/>
  </w:num>
  <w:num w:numId="18">
    <w:abstractNumId w:val="21"/>
  </w:num>
  <w:num w:numId="19">
    <w:abstractNumId w:val="20"/>
  </w:num>
  <w:num w:numId="20">
    <w:abstractNumId w:val="15"/>
  </w:num>
  <w:num w:numId="21">
    <w:abstractNumId w:val="18"/>
  </w:num>
  <w:num w:numId="22">
    <w:abstractNumId w:val="14"/>
  </w:num>
  <w:num w:numId="23">
    <w:abstractNumId w:val="6"/>
  </w:num>
  <w:num w:numId="24">
    <w:abstractNumId w:val="13"/>
  </w:num>
  <w:num w:numId="25">
    <w:abstractNumId w:val="12"/>
  </w:num>
  <w:num w:numId="26">
    <w:abstractNumId w:val="25"/>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1730"/>
    <w:rsid w:val="00104B45"/>
    <w:rsid w:val="00105D8B"/>
    <w:rsid w:val="0011342F"/>
    <w:rsid w:val="001202E9"/>
    <w:rsid w:val="0012454F"/>
    <w:rsid w:val="00125273"/>
    <w:rsid w:val="0012575E"/>
    <w:rsid w:val="001274CD"/>
    <w:rsid w:val="00127C06"/>
    <w:rsid w:val="00145149"/>
    <w:rsid w:val="00145D4F"/>
    <w:rsid w:val="0014773C"/>
    <w:rsid w:val="0017696D"/>
    <w:rsid w:val="001848FC"/>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2079E"/>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C6E0B"/>
    <w:rsid w:val="003D6401"/>
    <w:rsid w:val="003E1863"/>
    <w:rsid w:val="0041606D"/>
    <w:rsid w:val="00416962"/>
    <w:rsid w:val="004178C1"/>
    <w:rsid w:val="004348CC"/>
    <w:rsid w:val="004658FF"/>
    <w:rsid w:val="00474ED7"/>
    <w:rsid w:val="004756E1"/>
    <w:rsid w:val="0048008A"/>
    <w:rsid w:val="00483E94"/>
    <w:rsid w:val="00484120"/>
    <w:rsid w:val="004853A0"/>
    <w:rsid w:val="00496B5F"/>
    <w:rsid w:val="004A2E10"/>
    <w:rsid w:val="004B17FF"/>
    <w:rsid w:val="004B1BA0"/>
    <w:rsid w:val="004B4243"/>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B4BE1"/>
    <w:rsid w:val="005C0447"/>
    <w:rsid w:val="005C739F"/>
    <w:rsid w:val="005C73CA"/>
    <w:rsid w:val="005D1F79"/>
    <w:rsid w:val="005D4768"/>
    <w:rsid w:val="005E2CAB"/>
    <w:rsid w:val="005E429E"/>
    <w:rsid w:val="00601ED4"/>
    <w:rsid w:val="006030BC"/>
    <w:rsid w:val="00612866"/>
    <w:rsid w:val="00616EB5"/>
    <w:rsid w:val="006269D4"/>
    <w:rsid w:val="006327D8"/>
    <w:rsid w:val="0064070A"/>
    <w:rsid w:val="00643A01"/>
    <w:rsid w:val="00652DC0"/>
    <w:rsid w:val="006574D2"/>
    <w:rsid w:val="006676D4"/>
    <w:rsid w:val="00675535"/>
    <w:rsid w:val="00681359"/>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195A"/>
    <w:rsid w:val="007A4828"/>
    <w:rsid w:val="007B093D"/>
    <w:rsid w:val="007B2069"/>
    <w:rsid w:val="007C04A1"/>
    <w:rsid w:val="007C21FA"/>
    <w:rsid w:val="007D4351"/>
    <w:rsid w:val="007D6DE7"/>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1F01"/>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9F5366"/>
    <w:rsid w:val="00A01494"/>
    <w:rsid w:val="00A22FA9"/>
    <w:rsid w:val="00A25024"/>
    <w:rsid w:val="00A35F8F"/>
    <w:rsid w:val="00A40566"/>
    <w:rsid w:val="00A41377"/>
    <w:rsid w:val="00A4263D"/>
    <w:rsid w:val="00A509B8"/>
    <w:rsid w:val="00A52AB9"/>
    <w:rsid w:val="00A6210B"/>
    <w:rsid w:val="00A7323A"/>
    <w:rsid w:val="00A831B4"/>
    <w:rsid w:val="00A93E0E"/>
    <w:rsid w:val="00A97798"/>
    <w:rsid w:val="00AA5213"/>
    <w:rsid w:val="00AA65A6"/>
    <w:rsid w:val="00AC1D8E"/>
    <w:rsid w:val="00AC48FA"/>
    <w:rsid w:val="00AD0240"/>
    <w:rsid w:val="00AD4137"/>
    <w:rsid w:val="00AE5640"/>
    <w:rsid w:val="00B037BA"/>
    <w:rsid w:val="00B20139"/>
    <w:rsid w:val="00B218DA"/>
    <w:rsid w:val="00B22FF1"/>
    <w:rsid w:val="00B342FA"/>
    <w:rsid w:val="00B53E8B"/>
    <w:rsid w:val="00B774D2"/>
    <w:rsid w:val="00B8015A"/>
    <w:rsid w:val="00B82A57"/>
    <w:rsid w:val="00BA053B"/>
    <w:rsid w:val="00BB35AE"/>
    <w:rsid w:val="00BC03A1"/>
    <w:rsid w:val="00BC0D25"/>
    <w:rsid w:val="00BD2505"/>
    <w:rsid w:val="00BE592D"/>
    <w:rsid w:val="00BF1874"/>
    <w:rsid w:val="00BF52B0"/>
    <w:rsid w:val="00BF5697"/>
    <w:rsid w:val="00C14CCC"/>
    <w:rsid w:val="00C22C1C"/>
    <w:rsid w:val="00C33F2E"/>
    <w:rsid w:val="00C340D4"/>
    <w:rsid w:val="00C34936"/>
    <w:rsid w:val="00C34C14"/>
    <w:rsid w:val="00C355B9"/>
    <w:rsid w:val="00C401C4"/>
    <w:rsid w:val="00C41680"/>
    <w:rsid w:val="00C60A25"/>
    <w:rsid w:val="00C63EE2"/>
    <w:rsid w:val="00C765C5"/>
    <w:rsid w:val="00C82479"/>
    <w:rsid w:val="00C86691"/>
    <w:rsid w:val="00C867F0"/>
    <w:rsid w:val="00CA06D8"/>
    <w:rsid w:val="00CA345A"/>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E7149"/>
    <w:rsid w:val="00DF2415"/>
    <w:rsid w:val="00E0314C"/>
    <w:rsid w:val="00E1508F"/>
    <w:rsid w:val="00E27240"/>
    <w:rsid w:val="00E27EDD"/>
    <w:rsid w:val="00E30584"/>
    <w:rsid w:val="00E30BF5"/>
    <w:rsid w:val="00E310B9"/>
    <w:rsid w:val="00E37E1B"/>
    <w:rsid w:val="00E562C0"/>
    <w:rsid w:val="00E672D6"/>
    <w:rsid w:val="00E76024"/>
    <w:rsid w:val="00E856A2"/>
    <w:rsid w:val="00E96884"/>
    <w:rsid w:val="00EA5435"/>
    <w:rsid w:val="00EA5F47"/>
    <w:rsid w:val="00EA71C6"/>
    <w:rsid w:val="00EC79DE"/>
    <w:rsid w:val="00ED4ACE"/>
    <w:rsid w:val="00EE4D35"/>
    <w:rsid w:val="00EF2DA7"/>
    <w:rsid w:val="00F435AA"/>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rsid w:val="00145149"/>
    <w:rPr>
      <w:rFonts w:cs="Times New Roman"/>
      <w:vertAlign w:val="superscript"/>
    </w:rPr>
  </w:style>
  <w:style w:type="character" w:customStyle="1" w:styleId="Style2Char">
    <w:name w:val="Style2 Char"/>
    <w:basedOn w:val="DefaultParagraphFont"/>
    <w:rsid w:val="0032079E"/>
    <w:rPr>
      <w:rFonts w:cs="Times New Roman"/>
      <w:color w:val="000000" w:themeColor="text1"/>
      <w:sz w:val="20"/>
      <w:szCs w:val="20"/>
    </w:rPr>
  </w:style>
  <w:style w:type="table" w:customStyle="1" w:styleId="TableGrid1">
    <w:name w:val="Table Grid1"/>
    <w:basedOn w:val="TableNormal"/>
    <w:next w:val="TableGrid"/>
    <w:uiPriority w:val="59"/>
    <w:rsid w:val="003207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3Char">
    <w:name w:val="Style3 Char"/>
    <w:basedOn w:val="DefaultParagraphFont"/>
    <w:rsid w:val="0032079E"/>
    <w:rPr>
      <w:rFonts w:eastAsia="Times New Roman" w:cs="Times New Roman"/>
      <w:b/>
      <w:color w:val="000000"/>
      <w:sz w:val="20"/>
      <w:szCs w:val="20"/>
    </w:rPr>
  </w:style>
  <w:style w:type="paragraph" w:styleId="Caption">
    <w:name w:val="caption"/>
    <w:basedOn w:val="Normal"/>
    <w:next w:val="Normal"/>
    <w:qFormat/>
    <w:rsid w:val="0032079E"/>
    <w:pPr>
      <w:spacing w:before="40" w:after="20" w:line="240" w:lineRule="auto"/>
      <w:ind w:left="432"/>
      <w:jc w:val="center"/>
    </w:pPr>
    <w:rPr>
      <w:rFonts w:ascii="Arial" w:eastAsia="Times New Roman" w:hAnsi="Arial" w:cs="Times New Roman"/>
      <w:b/>
      <w:bCs/>
      <w:color w:val="FFFFFF"/>
      <w:sz w:val="20"/>
      <w:szCs w:val="20"/>
    </w:rPr>
  </w:style>
  <w:style w:type="table" w:customStyle="1" w:styleId="TableGrid2">
    <w:name w:val="Table Grid2"/>
    <w:basedOn w:val="TableNormal"/>
    <w:next w:val="TableGrid"/>
    <w:uiPriority w:val="59"/>
    <w:rsid w:val="003207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rsid w:val="00145149"/>
    <w:rPr>
      <w:rFonts w:cs="Times New Roman"/>
      <w:vertAlign w:val="superscript"/>
    </w:rPr>
  </w:style>
  <w:style w:type="character" w:customStyle="1" w:styleId="Style2Char">
    <w:name w:val="Style2 Char"/>
    <w:basedOn w:val="DefaultParagraphFont"/>
    <w:rsid w:val="0032079E"/>
    <w:rPr>
      <w:rFonts w:cs="Times New Roman"/>
      <w:color w:val="000000" w:themeColor="text1"/>
      <w:sz w:val="20"/>
      <w:szCs w:val="20"/>
    </w:rPr>
  </w:style>
  <w:style w:type="table" w:customStyle="1" w:styleId="TableGrid1">
    <w:name w:val="Table Grid1"/>
    <w:basedOn w:val="TableNormal"/>
    <w:next w:val="TableGrid"/>
    <w:uiPriority w:val="59"/>
    <w:rsid w:val="003207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3Char">
    <w:name w:val="Style3 Char"/>
    <w:basedOn w:val="DefaultParagraphFont"/>
    <w:rsid w:val="0032079E"/>
    <w:rPr>
      <w:rFonts w:eastAsia="Times New Roman" w:cs="Times New Roman"/>
      <w:b/>
      <w:color w:val="000000"/>
      <w:sz w:val="20"/>
      <w:szCs w:val="20"/>
    </w:rPr>
  </w:style>
  <w:style w:type="paragraph" w:styleId="Caption">
    <w:name w:val="caption"/>
    <w:basedOn w:val="Normal"/>
    <w:next w:val="Normal"/>
    <w:qFormat/>
    <w:rsid w:val="0032079E"/>
    <w:pPr>
      <w:spacing w:before="40" w:after="20" w:line="240" w:lineRule="auto"/>
      <w:ind w:left="432"/>
      <w:jc w:val="center"/>
    </w:pPr>
    <w:rPr>
      <w:rFonts w:ascii="Arial" w:eastAsia="Times New Roman" w:hAnsi="Arial" w:cs="Times New Roman"/>
      <w:b/>
      <w:bCs/>
      <w:color w:val="FFFFFF"/>
      <w:sz w:val="20"/>
      <w:szCs w:val="20"/>
    </w:rPr>
  </w:style>
  <w:style w:type="table" w:customStyle="1" w:styleId="TableGrid2">
    <w:name w:val="Table Grid2"/>
    <w:basedOn w:val="TableNormal"/>
    <w:next w:val="TableGrid"/>
    <w:uiPriority w:val="59"/>
    <w:rsid w:val="003207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cms.gov/CERT/Downloads/Medicare_FFS_2010_CERT_Report.pdf"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kokhou:Downloads:Risk_Deciles_mulitnomial-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n-US"/>
              <a:t>ED Use without Hospital Readmission During the First 30 Days of Home Health, Risk Deciles</a:t>
            </a:r>
            <a:r>
              <a:rPr lang="en-US" baseline="0"/>
              <a:t> (based on stays beginning between July 1, 2010 and June 30, 2013)</a:t>
            </a:r>
            <a:endParaRPr lang="en-US"/>
          </a:p>
        </c:rich>
      </c:tx>
      <c:overlay val="0"/>
    </c:title>
    <c:autoTitleDeleted val="0"/>
    <c:plotArea>
      <c:layout/>
      <c:barChart>
        <c:barDir val="col"/>
        <c:grouping val="clustered"/>
        <c:varyColors val="0"/>
        <c:ser>
          <c:idx val="1"/>
          <c:order val="0"/>
          <c:tx>
            <c:strRef>
              <c:f>Data!$D$5</c:f>
              <c:strCache>
                <c:ptCount val="1"/>
                <c:pt idx="0">
                  <c:v>Predicted</c:v>
                </c:pt>
              </c:strCache>
            </c:strRef>
          </c:tx>
          <c:spPr>
            <a:solidFill>
              <a:schemeClr val="accent1"/>
            </a:solidFill>
          </c:spPr>
          <c:invertIfNegative val="0"/>
          <c:cat>
            <c:numRef>
              <c:f>Data!$B$6:$B$15</c:f>
              <c:numCache>
                <c:formatCode>0</c:formatCode>
                <c:ptCount val="10"/>
                <c:pt idx="0">
                  <c:v>1</c:v>
                </c:pt>
                <c:pt idx="1">
                  <c:v>2</c:v>
                </c:pt>
                <c:pt idx="2">
                  <c:v>3</c:v>
                </c:pt>
                <c:pt idx="3">
                  <c:v>4</c:v>
                </c:pt>
                <c:pt idx="4">
                  <c:v>5</c:v>
                </c:pt>
                <c:pt idx="5">
                  <c:v>6</c:v>
                </c:pt>
                <c:pt idx="6">
                  <c:v>7</c:v>
                </c:pt>
                <c:pt idx="7">
                  <c:v>8</c:v>
                </c:pt>
                <c:pt idx="8">
                  <c:v>9</c:v>
                </c:pt>
                <c:pt idx="9">
                  <c:v>10</c:v>
                </c:pt>
              </c:numCache>
            </c:numRef>
          </c:cat>
          <c:val>
            <c:numRef>
              <c:f>Data!$D$6:$D$15</c:f>
              <c:numCache>
                <c:formatCode>#,##0</c:formatCode>
                <c:ptCount val="10"/>
                <c:pt idx="0">
                  <c:v>14279.188058</c:v>
                </c:pt>
                <c:pt idx="1">
                  <c:v>16493.057709000001</c:v>
                </c:pt>
                <c:pt idx="2">
                  <c:v>18019.55905</c:v>
                </c:pt>
                <c:pt idx="3">
                  <c:v>19429.951389000009</c:v>
                </c:pt>
                <c:pt idx="4">
                  <c:v>20958.456750000001</c:v>
                </c:pt>
                <c:pt idx="5">
                  <c:v>22886.627376</c:v>
                </c:pt>
                <c:pt idx="6">
                  <c:v>25691.925765</c:v>
                </c:pt>
                <c:pt idx="7">
                  <c:v>29774.017931999999</c:v>
                </c:pt>
                <c:pt idx="8">
                  <c:v>36810.177324999997</c:v>
                </c:pt>
                <c:pt idx="9">
                  <c:v>55118.585128999999</c:v>
                </c:pt>
              </c:numCache>
            </c:numRef>
          </c:val>
        </c:ser>
        <c:ser>
          <c:idx val="0"/>
          <c:order val="1"/>
          <c:tx>
            <c:strRef>
              <c:f>Data!$C$5</c:f>
              <c:strCache>
                <c:ptCount val="1"/>
                <c:pt idx="0">
                  <c:v>Observed</c:v>
                </c:pt>
              </c:strCache>
            </c:strRef>
          </c:tx>
          <c:spPr>
            <a:solidFill>
              <a:schemeClr val="accent2"/>
            </a:solidFill>
          </c:spPr>
          <c:invertIfNegative val="0"/>
          <c:cat>
            <c:numRef>
              <c:f>Data!$B$6:$B$15</c:f>
              <c:numCache>
                <c:formatCode>0</c:formatCode>
                <c:ptCount val="10"/>
                <c:pt idx="0">
                  <c:v>1</c:v>
                </c:pt>
                <c:pt idx="1">
                  <c:v>2</c:v>
                </c:pt>
                <c:pt idx="2">
                  <c:v>3</c:v>
                </c:pt>
                <c:pt idx="3">
                  <c:v>4</c:v>
                </c:pt>
                <c:pt idx="4">
                  <c:v>5</c:v>
                </c:pt>
                <c:pt idx="5">
                  <c:v>6</c:v>
                </c:pt>
                <c:pt idx="6">
                  <c:v>7</c:v>
                </c:pt>
                <c:pt idx="7">
                  <c:v>8</c:v>
                </c:pt>
                <c:pt idx="8">
                  <c:v>9</c:v>
                </c:pt>
                <c:pt idx="9">
                  <c:v>10</c:v>
                </c:pt>
              </c:numCache>
            </c:numRef>
          </c:cat>
          <c:val>
            <c:numRef>
              <c:f>Data!$C$6:$C$15</c:f>
              <c:numCache>
                <c:formatCode>#,##0</c:formatCode>
                <c:ptCount val="10"/>
                <c:pt idx="0">
                  <c:v>13368</c:v>
                </c:pt>
                <c:pt idx="1">
                  <c:v>16652</c:v>
                </c:pt>
                <c:pt idx="2">
                  <c:v>18687</c:v>
                </c:pt>
                <c:pt idx="3">
                  <c:v>20098</c:v>
                </c:pt>
                <c:pt idx="4">
                  <c:v>21826</c:v>
                </c:pt>
                <c:pt idx="5">
                  <c:v>23864</c:v>
                </c:pt>
                <c:pt idx="6">
                  <c:v>26389</c:v>
                </c:pt>
                <c:pt idx="7">
                  <c:v>30410</c:v>
                </c:pt>
                <c:pt idx="8">
                  <c:v>35958</c:v>
                </c:pt>
                <c:pt idx="9">
                  <c:v>54454</c:v>
                </c:pt>
              </c:numCache>
            </c:numRef>
          </c:val>
        </c:ser>
        <c:dLbls>
          <c:showLegendKey val="0"/>
          <c:showVal val="0"/>
          <c:showCatName val="0"/>
          <c:showSerName val="0"/>
          <c:showPercent val="0"/>
          <c:showBubbleSize val="0"/>
        </c:dLbls>
        <c:gapWidth val="150"/>
        <c:axId val="173245952"/>
        <c:axId val="173247872"/>
      </c:barChart>
      <c:catAx>
        <c:axId val="173245952"/>
        <c:scaling>
          <c:orientation val="minMax"/>
        </c:scaling>
        <c:delete val="0"/>
        <c:axPos val="b"/>
        <c:title>
          <c:tx>
            <c:rich>
              <a:bodyPr/>
              <a:lstStyle/>
              <a:p>
                <a:pPr>
                  <a:defRPr/>
                </a:pPr>
                <a:r>
                  <a:rPr lang="en-US"/>
                  <a:t>Predicted Risk Decile</a:t>
                </a:r>
              </a:p>
            </c:rich>
          </c:tx>
          <c:overlay val="0"/>
        </c:title>
        <c:numFmt formatCode="0" sourceLinked="1"/>
        <c:majorTickMark val="out"/>
        <c:minorTickMark val="none"/>
        <c:tickLblPos val="nextTo"/>
        <c:crossAx val="173247872"/>
        <c:crosses val="autoZero"/>
        <c:auto val="1"/>
        <c:lblAlgn val="ctr"/>
        <c:lblOffset val="100"/>
        <c:noMultiLvlLbl val="0"/>
      </c:catAx>
      <c:valAx>
        <c:axId val="173247872"/>
        <c:scaling>
          <c:orientation val="minMax"/>
        </c:scaling>
        <c:delete val="0"/>
        <c:axPos val="l"/>
        <c:majorGridlines>
          <c:spPr>
            <a:ln>
              <a:solidFill>
                <a:schemeClr val="bg1">
                  <a:lumMod val="85000"/>
                </a:schemeClr>
              </a:solidFill>
              <a:prstDash val="sysDot"/>
            </a:ln>
          </c:spPr>
        </c:majorGridlines>
        <c:title>
          <c:tx>
            <c:rich>
              <a:bodyPr rot="-5400000" vert="horz"/>
              <a:lstStyle/>
              <a:p>
                <a:pPr>
                  <a:defRPr/>
                </a:pPr>
                <a:r>
                  <a:rPr lang="en-US"/>
                  <a:t>Number of Events</a:t>
                </a:r>
              </a:p>
            </c:rich>
          </c:tx>
          <c:overlay val="0"/>
        </c:title>
        <c:numFmt formatCode="#,##0" sourceLinked="0"/>
        <c:majorTickMark val="out"/>
        <c:minorTickMark val="none"/>
        <c:tickLblPos val="nextTo"/>
        <c:crossAx val="173245952"/>
        <c:crosses val="autoZero"/>
        <c:crossBetween val="between"/>
      </c:valAx>
    </c:plotArea>
    <c:legend>
      <c:legendPos val="b"/>
      <c:layout>
        <c:manualLayout>
          <c:xMode val="edge"/>
          <c:yMode val="edge"/>
          <c:x val="0.30076799173097002"/>
          <c:y val="0.941691816999774"/>
          <c:w val="0.46875630955775699"/>
          <c:h val="4.6210621405063497E-2"/>
        </c:manualLayout>
      </c:layout>
      <c:overlay val="0"/>
    </c:legend>
    <c:plotVisOnly val="1"/>
    <c:dispBlanksAs val="gap"/>
    <c:showDLblsOverMax val="0"/>
  </c:chart>
  <c:spPr>
    <a:ln>
      <a:solidFill>
        <a:schemeClr val="tx1"/>
      </a:solidFill>
    </a:ln>
  </c:spPr>
  <c:txPr>
    <a:bodyPr/>
    <a:lstStyle/>
    <a:p>
      <a:pPr>
        <a:defRPr sz="900"/>
      </a:pPr>
      <a:endParaRPr lang="en-US"/>
    </a:p>
  </c:txPr>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249A8"/>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19</Pages>
  <Words>7468</Words>
  <Characters>42574</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49943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kchia</cp:lastModifiedBy>
  <cp:revision>29</cp:revision>
  <dcterms:created xsi:type="dcterms:W3CDTF">2013-08-20T16:50:00Z</dcterms:created>
  <dcterms:modified xsi:type="dcterms:W3CDTF">2014-02-11T21:06:00Z</dcterms:modified>
</cp:coreProperties>
</file>