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bookmarkStart w:id="0" w:name="_Hlk5031062"/>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1BC7A08"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BC2F04">
            <w:rPr>
              <w:rStyle w:val="Style1"/>
            </w:rPr>
            <w:t>2539</w:t>
          </w:r>
        </w:sdtContent>
      </w:sdt>
    </w:p>
    <w:p w14:paraId="55B8DA2F" w14:textId="6F70E474"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C2F04" w:rsidRPr="009D6C57">
            <w:rPr>
              <w:rStyle w:val="Style1"/>
            </w:rPr>
            <w:t>Facility 7-Day Risk-Standardized Hospital Visit Rate after Outpatient Colonoscopy</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1023EAC4" w:rsidR="00496AF8" w:rsidRPr="003B1CC5" w:rsidRDefault="004F1A86"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BC2F04">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sdt>
            <w:sdtPr>
              <w:rPr>
                <w:rStyle w:val="Style2"/>
                <w:rFonts w:cstheme="minorHAnsi"/>
                <w:u w:val="none"/>
              </w:rPr>
              <w:id w:val="-39520959"/>
            </w:sdtPr>
            <w:sdtEndPr>
              <w:rPr>
                <w:rStyle w:val="DefaultParagraphFont"/>
                <w:rFonts w:cstheme="minorBidi"/>
                <w:color w:val="auto"/>
              </w:rPr>
            </w:sdtEndPr>
            <w:sdtContent>
              <w:r w:rsidR="00BC2F04" w:rsidRPr="009D6C57">
                <w:rPr>
                  <w:rStyle w:val="Style2"/>
                  <w:rFonts w:cstheme="minorHAnsi"/>
                  <w:u w:val="none"/>
                </w:rPr>
                <w:t xml:space="preserve">All-cause, unplanned hospital visits within 7 days. We define a hospital visit as any emergency department (ED) visit, observation stay, or unplanned inpatient admission </w:t>
              </w:r>
              <w:r w:rsidR="00BC2F04">
                <w:rPr>
                  <w:rStyle w:val="Style2"/>
                  <w:rFonts w:cstheme="minorHAnsi"/>
                  <w:u w:val="none"/>
                </w:rPr>
                <w:t xml:space="preserve">             </w:t>
              </w:r>
              <w:r w:rsidR="00BC2F04" w:rsidRPr="009D6C57">
                <w:rPr>
                  <w:rStyle w:val="Style2"/>
                  <w:rFonts w:cstheme="minorHAnsi"/>
                  <w:i/>
                  <w:u w:val="none"/>
                </w:rPr>
                <w:t>Health outcome includes patient-reported outcomes (PRO, i.e., HRQoL/functional status, symptom/burden, experience with care, health-related behaviors)</w:t>
              </w:r>
            </w:sdtContent>
          </w:sdt>
        </w:sdtContent>
      </w:sdt>
    </w:p>
    <w:p w14:paraId="55B8DA52" w14:textId="77777777" w:rsidR="00236F87" w:rsidRPr="003B1CC5" w:rsidRDefault="004F1A86"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4F1A86"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4F1A86"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4F1A86"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4F1A86"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tbl>
      <w:tblPr>
        <w:tblStyle w:val="TableGrid"/>
        <w:tblW w:w="10710" w:type="dxa"/>
        <w:tblInd w:w="-275" w:type="dxa"/>
        <w:tblLook w:val="04A0" w:firstRow="1" w:lastRow="0" w:firstColumn="1" w:lastColumn="0" w:noHBand="0" w:noVBand="1"/>
      </w:tblPr>
      <w:tblGrid>
        <w:gridCol w:w="10710"/>
      </w:tblGrid>
      <w:tr w:rsidR="000D41D1" w14:paraId="0CBDAF1A" w14:textId="77777777" w:rsidTr="000D41D1">
        <w:tc>
          <w:tcPr>
            <w:tcW w:w="10710" w:type="dxa"/>
          </w:tcPr>
          <w:p w14:paraId="5C4619EC" w14:textId="0C2CD971" w:rsidR="000D41D1" w:rsidRPr="00D814EC" w:rsidRDefault="00B76C92" w:rsidP="00AC2988">
            <w:pPr>
              <w:ind w:left="0" w:firstLine="0"/>
              <w:rPr>
                <w:rFonts w:cstheme="minorHAnsi"/>
                <w:iCs/>
                <w:color w:val="0000FF"/>
              </w:rPr>
            </w:pPr>
            <w:r w:rsidRPr="00D814EC">
              <w:rPr>
                <w:rFonts w:cstheme="minorHAnsi"/>
                <w:iCs/>
                <w:color w:val="0000FF"/>
              </w:rPr>
              <w:t xml:space="preserve">The conceptual model for colonoscopy quality, shown below, </w:t>
            </w:r>
            <w:r w:rsidR="00D814EC" w:rsidRPr="00D814EC">
              <w:rPr>
                <w:rFonts w:cstheme="minorHAnsi"/>
                <w:iCs/>
                <w:color w:val="0000FF"/>
              </w:rPr>
              <w:t xml:space="preserve">shows the pathway by which facilities can modify the outcome.  For example, the model </w:t>
            </w:r>
            <w:r w:rsidRPr="00D814EC">
              <w:rPr>
                <w:rFonts w:cstheme="minorHAnsi"/>
                <w:iCs/>
                <w:color w:val="0000FF"/>
              </w:rPr>
              <w:t xml:space="preserve">identifies </w:t>
            </w:r>
            <w:r w:rsidR="00D814EC" w:rsidRPr="00D814EC">
              <w:rPr>
                <w:rFonts w:cstheme="minorHAnsi"/>
                <w:iCs/>
                <w:color w:val="0000FF"/>
              </w:rPr>
              <w:t xml:space="preserve">that </w:t>
            </w:r>
            <w:r w:rsidR="000D41D1" w:rsidRPr="00D814EC">
              <w:rPr>
                <w:rFonts w:cstheme="minorHAnsi"/>
                <w:iCs/>
                <w:color w:val="0000FF"/>
              </w:rPr>
              <w:t xml:space="preserve">patient-level factors, such as comorbidities, </w:t>
            </w:r>
            <w:r w:rsidR="006A59D0" w:rsidRPr="00D814EC">
              <w:rPr>
                <w:rFonts w:cstheme="minorHAnsi"/>
                <w:iCs/>
                <w:color w:val="0000FF"/>
              </w:rPr>
              <w:t xml:space="preserve">increase the risk of </w:t>
            </w:r>
            <w:r w:rsidR="000D41D1" w:rsidRPr="00D814EC">
              <w:rPr>
                <w:rFonts w:cstheme="minorHAnsi"/>
                <w:iCs/>
                <w:color w:val="0000FF"/>
              </w:rPr>
              <w:t xml:space="preserve">unplanned hospitals visits [1]. Better management of </w:t>
            </w:r>
            <w:r w:rsidR="006A59D0" w:rsidRPr="00D814EC">
              <w:rPr>
                <w:rFonts w:cstheme="minorHAnsi"/>
                <w:iCs/>
                <w:color w:val="0000FF"/>
              </w:rPr>
              <w:t xml:space="preserve">the risk associated with </w:t>
            </w:r>
            <w:r w:rsidR="000D41D1" w:rsidRPr="00D814EC">
              <w:rPr>
                <w:rFonts w:cstheme="minorHAnsi"/>
                <w:iCs/>
                <w:color w:val="0000FF"/>
              </w:rPr>
              <w:t>these comorbidities may be a potential avenue for facilities to reduce unplanned hospital visits. Provider-level factors (technical qual</w:t>
            </w:r>
            <w:r w:rsidR="006A59D0" w:rsidRPr="00D814EC">
              <w:rPr>
                <w:rFonts w:cstheme="minorHAnsi"/>
                <w:iCs/>
                <w:color w:val="0000FF"/>
              </w:rPr>
              <w:t>ity of the procedure</w:t>
            </w:r>
            <w:r w:rsidR="00D814EC" w:rsidRPr="00D814EC">
              <w:rPr>
                <w:rFonts w:cstheme="minorHAnsi"/>
                <w:iCs/>
                <w:color w:val="0000FF"/>
              </w:rPr>
              <w:t>, post-procedure provider accessibility</w:t>
            </w:r>
            <w:r w:rsidR="006A59D0" w:rsidRPr="00D814EC">
              <w:rPr>
                <w:rFonts w:cstheme="minorHAnsi"/>
                <w:iCs/>
                <w:color w:val="0000FF"/>
              </w:rPr>
              <w:t>),</w:t>
            </w:r>
            <w:r w:rsidR="000D41D1" w:rsidRPr="00D814EC">
              <w:rPr>
                <w:rFonts w:cstheme="minorHAnsi"/>
                <w:iCs/>
                <w:color w:val="0000FF"/>
              </w:rPr>
              <w:t xml:space="preserve"> and facility-level factors (such as the anesthesia,</w:t>
            </w:r>
            <w:r w:rsidR="00D814EC" w:rsidRPr="00D814EC">
              <w:rPr>
                <w:rFonts w:cstheme="minorHAnsi"/>
                <w:iCs/>
                <w:color w:val="0000FF"/>
              </w:rPr>
              <w:t xml:space="preserve"> pre- and post-discharge patient communication, other post-procedural processes) </w:t>
            </w:r>
            <w:r w:rsidR="000D41D1" w:rsidRPr="00D814EC">
              <w:rPr>
                <w:rFonts w:cstheme="minorHAnsi"/>
                <w:iCs/>
                <w:color w:val="0000FF"/>
              </w:rPr>
              <w:t>may also contribute to the risk of unplanned hospital visits. Therefore, facilities may have opportunities to lower their unplanned hospital visit rates through quality-improvement efforts focused on patient, provider, and facility factors [1].</w:t>
            </w:r>
          </w:p>
          <w:p w14:paraId="04C2FA1D" w14:textId="77777777" w:rsidR="000D41D1" w:rsidRPr="00D814EC" w:rsidRDefault="000D41D1" w:rsidP="00AC2988">
            <w:pPr>
              <w:ind w:left="0" w:firstLine="0"/>
              <w:rPr>
                <w:rFonts w:cstheme="minorHAnsi"/>
                <w:iCs/>
                <w:color w:val="0000FF"/>
              </w:rPr>
            </w:pPr>
          </w:p>
          <w:p w14:paraId="6EDBB630" w14:textId="77777777" w:rsidR="000D41D1" w:rsidRPr="00D814EC" w:rsidRDefault="000D41D1" w:rsidP="00AC2988">
            <w:pPr>
              <w:ind w:left="0" w:firstLine="0"/>
              <w:rPr>
                <w:rFonts w:cstheme="minorHAnsi"/>
                <w:iCs/>
                <w:color w:val="0000FF"/>
              </w:rPr>
            </w:pPr>
          </w:p>
          <w:p w14:paraId="2EC60981" w14:textId="5F04C074" w:rsidR="000D41D1" w:rsidRPr="00D814EC" w:rsidRDefault="000D41D1" w:rsidP="00AC2988">
            <w:pPr>
              <w:ind w:left="0" w:firstLine="0"/>
              <w:rPr>
                <w:rFonts w:cstheme="minorHAnsi"/>
                <w:iCs/>
                <w:color w:val="0000FF"/>
              </w:rPr>
            </w:pPr>
            <w:r w:rsidRPr="00D814EC">
              <w:rPr>
                <w:rFonts w:cstheme="minorHAnsi"/>
                <w:iCs/>
                <w:noProof/>
                <w:color w:val="0000FF"/>
              </w:rPr>
              <w:drawing>
                <wp:inline distT="0" distB="0" distL="0" distR="0" wp14:anchorId="7E676CE1" wp14:editId="03E75EF3">
                  <wp:extent cx="6223000" cy="1638300"/>
                  <wp:effectExtent l="76200" t="57150" r="101600" b="1143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54580665" w14:textId="0BB9923F" w:rsidR="000D41D1" w:rsidRPr="00D814EC" w:rsidRDefault="000D41D1" w:rsidP="00AC2988">
            <w:pPr>
              <w:ind w:left="0" w:firstLine="0"/>
              <w:rPr>
                <w:rFonts w:cstheme="minorHAnsi"/>
                <w:iCs/>
                <w:color w:val="0000FF"/>
              </w:rPr>
            </w:pPr>
          </w:p>
          <w:p w14:paraId="4F97916E" w14:textId="77777777" w:rsidR="000D41D1" w:rsidRPr="00D814EC" w:rsidRDefault="000D41D1" w:rsidP="000D41D1">
            <w:pPr>
              <w:ind w:left="0" w:firstLine="0"/>
              <w:rPr>
                <w:rFonts w:cstheme="minorHAnsi"/>
                <w:iCs/>
                <w:color w:val="0000FF"/>
              </w:rPr>
            </w:pPr>
          </w:p>
          <w:p w14:paraId="4F472C2B" w14:textId="77777777" w:rsidR="000D41D1" w:rsidRPr="00D814EC" w:rsidRDefault="000D41D1" w:rsidP="000D41D1">
            <w:pPr>
              <w:ind w:left="0" w:firstLine="0"/>
              <w:rPr>
                <w:rFonts w:cstheme="minorHAnsi"/>
                <w:iCs/>
                <w:color w:val="0000FF"/>
              </w:rPr>
            </w:pPr>
          </w:p>
          <w:p w14:paraId="58C192DE" w14:textId="7395A77C" w:rsidR="000D41D1" w:rsidRPr="00D814EC" w:rsidRDefault="000D41D1" w:rsidP="000D41D1">
            <w:pPr>
              <w:ind w:left="0" w:firstLine="0"/>
              <w:rPr>
                <w:rFonts w:cstheme="minorHAnsi"/>
                <w:iCs/>
                <w:color w:val="0000FF"/>
              </w:rPr>
            </w:pPr>
            <w:r w:rsidRPr="00D814EC">
              <w:rPr>
                <w:rFonts w:cstheme="minorHAnsi"/>
                <w:iCs/>
                <w:color w:val="0000FF"/>
              </w:rPr>
              <w:t>Citation:</w:t>
            </w:r>
          </w:p>
          <w:p w14:paraId="74071C49" w14:textId="7E3B46F0" w:rsidR="000D41D1" w:rsidRPr="00D814EC" w:rsidRDefault="000D41D1" w:rsidP="00926C18">
            <w:pPr>
              <w:pStyle w:val="ListParagraph"/>
              <w:numPr>
                <w:ilvl w:val="0"/>
                <w:numId w:val="14"/>
              </w:numPr>
              <w:spacing w:line="240" w:lineRule="auto"/>
              <w:rPr>
                <w:rFonts w:eastAsiaTheme="minorHAnsi" w:cstheme="minorHAnsi"/>
                <w:iCs/>
                <w:color w:val="0000FF"/>
              </w:rPr>
            </w:pPr>
            <w:r w:rsidRPr="00D814EC">
              <w:rPr>
                <w:rFonts w:eastAsiaTheme="minorHAnsi" w:cstheme="minorHAnsi"/>
                <w:iCs/>
                <w:color w:val="0000FF"/>
              </w:rPr>
              <w:t>Ranasinghe I, Parzynski CS, Searfoss R, Montagu</w:t>
            </w:r>
            <w:r w:rsidR="00BF096F" w:rsidRPr="00D814EC">
              <w:rPr>
                <w:rFonts w:eastAsiaTheme="minorHAnsi" w:cstheme="minorHAnsi"/>
                <w:iCs/>
                <w:color w:val="0000FF"/>
              </w:rPr>
              <w:t xml:space="preserve">e J, Lin Z, Allen J, Vender R, </w:t>
            </w:r>
            <w:r w:rsidRPr="00D814EC">
              <w:rPr>
                <w:rFonts w:eastAsiaTheme="minorHAnsi" w:cstheme="minorHAnsi"/>
                <w:iCs/>
                <w:color w:val="0000FF"/>
              </w:rPr>
              <w:t>Bhat K, Ross JS, Bernheim S, Krumholz HM, Drye EE. Differences in Colonoscopy Quality Among Facilities: Development of a Post-Colonoscopy Risk-Standardized Rate of Unplanned Hospital Visits. Gastroent</w:t>
            </w:r>
            <w:r w:rsidR="008F73DF" w:rsidRPr="00D814EC">
              <w:rPr>
                <w:rFonts w:eastAsiaTheme="minorHAnsi" w:cstheme="minorHAnsi"/>
                <w:iCs/>
                <w:color w:val="0000FF"/>
              </w:rPr>
              <w:t>erology. Jan 2016;150(1):103-13.</w:t>
            </w:r>
          </w:p>
        </w:tc>
      </w:tr>
    </w:tbl>
    <w:p w14:paraId="55B8DA5B" w14:textId="77777777" w:rsidR="002B06BD" w:rsidRDefault="002B06BD" w:rsidP="002E2177">
      <w:pPr>
        <w:ind w:left="432" w:hanging="432"/>
        <w:rPr>
          <w:color w:val="0000FF"/>
        </w:rPr>
      </w:pPr>
    </w:p>
    <w:p w14:paraId="6100709F" w14:textId="533043CF" w:rsidR="00900508" w:rsidRPr="003B1CC5" w:rsidRDefault="00900508" w:rsidP="00BC2F04">
      <w:pPr>
        <w:ind w:left="0" w:firstLine="0"/>
        <w:rPr>
          <w:color w:val="0000FF"/>
        </w:rPr>
      </w:pPr>
    </w:p>
    <w:p w14:paraId="169CAAE3" w14:textId="77777777" w:rsidR="00BC2F04" w:rsidRPr="003B1CC5" w:rsidRDefault="00BC2F04"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5771F25E" w:rsidR="00676BD4" w:rsidRPr="009548D5" w:rsidRDefault="009548D5" w:rsidP="00900508">
      <w:pPr>
        <w:pBdr>
          <w:top w:val="single" w:sz="4" w:space="1" w:color="auto"/>
          <w:left w:val="single" w:sz="4" w:space="4" w:color="auto"/>
          <w:bottom w:val="single" w:sz="4" w:space="1" w:color="auto"/>
          <w:right w:val="single" w:sz="4" w:space="4" w:color="auto"/>
        </w:pBdr>
        <w:ind w:left="432" w:hanging="432"/>
        <w:rPr>
          <w:color w:val="0000FF"/>
        </w:rPr>
      </w:pPr>
      <w:r w:rsidRPr="009548D5">
        <w:rPr>
          <w:color w:val="0000FF"/>
        </w:rPr>
        <w:t>Not applicable.</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Default="00D14F0B" w:rsidP="002E2177">
      <w:pPr>
        <w:ind w:left="0" w:firstLine="0"/>
        <w:rPr>
          <w:iCs/>
        </w:rPr>
      </w:pPr>
    </w:p>
    <w:p w14:paraId="42D13BBE" w14:textId="13F9CEEB" w:rsidR="00BC2F04" w:rsidRPr="00AC2E68" w:rsidRDefault="00D814EC" w:rsidP="00BC2F04">
      <w:pPr>
        <w:ind w:left="0" w:firstLine="0"/>
        <w:rPr>
          <w:rFonts w:cstheme="minorHAnsi"/>
          <w:iCs/>
          <w:color w:val="0000FF"/>
        </w:rPr>
      </w:pPr>
      <w:r>
        <w:rPr>
          <w:rFonts w:cstheme="minorHAnsi"/>
          <w:iCs/>
          <w:color w:val="0000FF"/>
        </w:rPr>
        <w:t xml:space="preserve">Patients may experience a range </w:t>
      </w:r>
      <w:r w:rsidR="00BC2F04" w:rsidRPr="00AC2E68">
        <w:rPr>
          <w:rFonts w:cstheme="minorHAnsi"/>
          <w:iCs/>
          <w:color w:val="0000FF"/>
        </w:rPr>
        <w:t>of</w:t>
      </w:r>
      <w:r w:rsidR="000B7ED4" w:rsidRPr="00AC2E68">
        <w:rPr>
          <w:rFonts w:cstheme="minorHAnsi"/>
          <w:iCs/>
          <w:color w:val="0000FF"/>
        </w:rPr>
        <w:t xml:space="preserve"> potential</w:t>
      </w:r>
      <w:r w:rsidR="00BC2F04" w:rsidRPr="00AC2E68">
        <w:rPr>
          <w:rFonts w:cstheme="minorHAnsi"/>
          <w:iCs/>
          <w:color w:val="0000FF"/>
        </w:rPr>
        <w:t xml:space="preserve"> adverse events</w:t>
      </w:r>
      <w:r>
        <w:rPr>
          <w:rFonts w:cstheme="minorHAnsi"/>
          <w:iCs/>
          <w:color w:val="0000FF"/>
        </w:rPr>
        <w:t xml:space="preserve"> after an outpatient </w:t>
      </w:r>
      <w:r w:rsidR="009457F8">
        <w:rPr>
          <w:rFonts w:cstheme="minorHAnsi"/>
          <w:iCs/>
          <w:color w:val="0000FF"/>
        </w:rPr>
        <w:t>colonoscopy</w:t>
      </w:r>
      <w:r w:rsidR="00BC2F04" w:rsidRPr="00AC2E68">
        <w:rPr>
          <w:rFonts w:cstheme="minorHAnsi"/>
          <w:iCs/>
          <w:color w:val="0000FF"/>
        </w:rPr>
        <w:t>, which</w:t>
      </w:r>
      <w:r w:rsidR="000B7ED4" w:rsidRPr="00AC2E68">
        <w:rPr>
          <w:rFonts w:cstheme="minorHAnsi"/>
          <w:iCs/>
          <w:color w:val="0000FF"/>
        </w:rPr>
        <w:t xml:space="preserve"> could</w:t>
      </w:r>
      <w:r w:rsidR="00BC2F04" w:rsidRPr="00AC2E68">
        <w:rPr>
          <w:rFonts w:cstheme="minorHAnsi"/>
          <w:iCs/>
          <w:color w:val="0000FF"/>
        </w:rPr>
        <w:t xml:space="preserve"> lead to</w:t>
      </w:r>
      <w:r w:rsidR="000B7ED4" w:rsidRPr="00AC2E68">
        <w:rPr>
          <w:rFonts w:cstheme="minorHAnsi"/>
          <w:iCs/>
          <w:color w:val="0000FF"/>
        </w:rPr>
        <w:t xml:space="preserve"> unplanned</w:t>
      </w:r>
      <w:r w:rsidR="00BC2F04" w:rsidRPr="00AC2E68">
        <w:rPr>
          <w:rFonts w:cstheme="minorHAnsi"/>
          <w:iCs/>
          <w:color w:val="0000FF"/>
        </w:rPr>
        <w:t xml:space="preserve"> hospital visits</w:t>
      </w:r>
      <w:r w:rsidR="000B7ED4" w:rsidRPr="00AC2E68">
        <w:rPr>
          <w:rFonts w:cstheme="minorHAnsi"/>
          <w:iCs/>
          <w:color w:val="0000FF"/>
        </w:rPr>
        <w:t>, including ED visits, observation stays, and unplanned inpatient admissions</w:t>
      </w:r>
      <w:r w:rsidR="00BC2F04" w:rsidRPr="00AC2E68">
        <w:rPr>
          <w:rFonts w:cstheme="minorHAnsi"/>
          <w:iCs/>
          <w:color w:val="0000FF"/>
        </w:rPr>
        <w:t xml:space="preserve">. This measure provides the opportunity to improve quality of care and to lower rates of adverse events leading to hospital visits after </w:t>
      </w:r>
      <w:r w:rsidR="00121100" w:rsidRPr="00AC2E68">
        <w:rPr>
          <w:rFonts w:cstheme="minorHAnsi"/>
          <w:iCs/>
          <w:color w:val="0000FF"/>
        </w:rPr>
        <w:t xml:space="preserve">an </w:t>
      </w:r>
      <w:r w:rsidR="00BC2F04" w:rsidRPr="00AC2E68">
        <w:rPr>
          <w:rFonts w:cstheme="minorHAnsi"/>
          <w:iCs/>
          <w:color w:val="0000FF"/>
        </w:rPr>
        <w:t>outpatient colonoscopy.</w:t>
      </w:r>
    </w:p>
    <w:p w14:paraId="6FEDC8AE" w14:textId="77777777" w:rsidR="00BC2F04" w:rsidRPr="00AC2E68" w:rsidRDefault="00BC2F04" w:rsidP="00BC2F04">
      <w:pPr>
        <w:ind w:left="0" w:firstLine="0"/>
        <w:rPr>
          <w:rFonts w:cstheme="minorHAnsi"/>
          <w:iCs/>
          <w:color w:val="0000FF"/>
        </w:rPr>
      </w:pPr>
    </w:p>
    <w:p w14:paraId="4A1E02A5" w14:textId="3AEE6AEB" w:rsidR="000B6994" w:rsidRDefault="000B6994" w:rsidP="00B800C2">
      <w:pPr>
        <w:ind w:left="0" w:firstLine="0"/>
        <w:rPr>
          <w:rFonts w:cstheme="minorHAnsi"/>
          <w:b/>
          <w:iCs/>
          <w:color w:val="0000FF"/>
          <w:u w:val="single"/>
        </w:rPr>
      </w:pPr>
      <w:r w:rsidRPr="00141C04">
        <w:rPr>
          <w:rFonts w:cstheme="minorHAnsi"/>
          <w:b/>
          <w:iCs/>
          <w:color w:val="0000FF"/>
          <w:u w:val="single"/>
        </w:rPr>
        <w:t>Complications</w:t>
      </w:r>
      <w:r w:rsidR="00CF77A4">
        <w:rPr>
          <w:rFonts w:cstheme="minorHAnsi"/>
          <w:b/>
          <w:iCs/>
          <w:color w:val="0000FF"/>
          <w:u w:val="single"/>
        </w:rPr>
        <w:t xml:space="preserve">  </w:t>
      </w:r>
    </w:p>
    <w:p w14:paraId="297F9B49" w14:textId="77777777" w:rsidR="00141C04" w:rsidRPr="00141C04" w:rsidRDefault="00141C04" w:rsidP="00B800C2">
      <w:pPr>
        <w:ind w:left="0" w:firstLine="0"/>
        <w:rPr>
          <w:rFonts w:cstheme="minorHAnsi"/>
          <w:b/>
          <w:iCs/>
          <w:color w:val="0000FF"/>
          <w:u w:val="single"/>
        </w:rPr>
      </w:pPr>
    </w:p>
    <w:p w14:paraId="46A2C893" w14:textId="50F29B92" w:rsidR="000B6994" w:rsidRDefault="00E70CDC" w:rsidP="00B800C2">
      <w:pPr>
        <w:ind w:left="0" w:firstLine="0"/>
        <w:rPr>
          <w:rFonts w:cstheme="minorHAnsi"/>
          <w:iCs/>
          <w:color w:val="0000FF"/>
        </w:rPr>
      </w:pPr>
      <w:r>
        <w:rPr>
          <w:rFonts w:cstheme="minorHAnsi"/>
          <w:iCs/>
          <w:color w:val="0000FF"/>
        </w:rPr>
        <w:t xml:space="preserve">Gastrointestinal complications from colonoscopy are common and range from severe to mild. </w:t>
      </w:r>
      <w:r w:rsidR="00BC2F04" w:rsidRPr="00AC2E68">
        <w:rPr>
          <w:rFonts w:cstheme="minorHAnsi"/>
          <w:iCs/>
          <w:color w:val="0000FF"/>
        </w:rPr>
        <w:t xml:space="preserve">Colonic perforation and gastrointestinal (GI) bleeding are </w:t>
      </w:r>
      <w:r w:rsidR="00236D75">
        <w:rPr>
          <w:rFonts w:cstheme="minorHAnsi"/>
          <w:iCs/>
          <w:color w:val="0000FF"/>
        </w:rPr>
        <w:t xml:space="preserve">relatively rare but </w:t>
      </w:r>
      <w:r w:rsidR="00BC2F04" w:rsidRPr="00AC2E68">
        <w:rPr>
          <w:rFonts w:cstheme="minorHAnsi"/>
          <w:iCs/>
          <w:color w:val="0000FF"/>
        </w:rPr>
        <w:t>severe adverse events reported after colonoscopy. A meta-analysis of 20 published studies of complications among patients aged ≥65 years in all care settings suggested these occur at a rate of 0.10% (95% confidence interval [CI] 0.09-1.50%) for colonic perforation and 0.63% (95% CI 0.57-0.7</w:t>
      </w:r>
      <w:r w:rsidR="00E63C7D" w:rsidRPr="00AC2E68">
        <w:rPr>
          <w:rFonts w:cstheme="minorHAnsi"/>
          <w:iCs/>
          <w:color w:val="0000FF"/>
        </w:rPr>
        <w:t>0</w:t>
      </w:r>
      <w:r w:rsidR="00BC2F04" w:rsidRPr="00AC2E68">
        <w:rPr>
          <w:rFonts w:cstheme="minorHAnsi"/>
          <w:iCs/>
          <w:color w:val="0000FF"/>
        </w:rPr>
        <w:t>%) for GI bleeding [1]. Other GI complications after colonoscopy are considerably more common. Among surveyed patients, the reported frequency of complications ranges from</w:t>
      </w:r>
      <w:r w:rsidR="00AC2E68">
        <w:rPr>
          <w:rFonts w:cstheme="minorHAnsi"/>
          <w:iCs/>
          <w:color w:val="0000FF"/>
        </w:rPr>
        <w:t>,</w:t>
      </w:r>
      <w:r w:rsidR="00BC2F04" w:rsidRPr="00AC2E68">
        <w:rPr>
          <w:rFonts w:cstheme="minorHAnsi"/>
          <w:iCs/>
          <w:color w:val="0000FF"/>
        </w:rPr>
        <w:t xml:space="preserve"> 20-34% [</w:t>
      </w:r>
      <w:r w:rsidR="00AE5744">
        <w:rPr>
          <w:rFonts w:cstheme="minorHAnsi"/>
          <w:iCs/>
          <w:color w:val="0000FF"/>
        </w:rPr>
        <w:t>2</w:t>
      </w:r>
      <w:r w:rsidR="00BC2F04" w:rsidRPr="00AC2E68">
        <w:rPr>
          <w:rFonts w:cstheme="minorHAnsi"/>
          <w:iCs/>
          <w:color w:val="0000FF"/>
        </w:rPr>
        <w:t>,</w:t>
      </w:r>
      <w:r w:rsidR="00AE5744">
        <w:rPr>
          <w:rFonts w:cstheme="minorHAnsi"/>
          <w:iCs/>
          <w:color w:val="0000FF"/>
        </w:rPr>
        <w:t>3</w:t>
      </w:r>
      <w:r w:rsidR="00BC2F04" w:rsidRPr="00AC2E68">
        <w:rPr>
          <w:rFonts w:cstheme="minorHAnsi"/>
          <w:iCs/>
          <w:color w:val="0000FF"/>
        </w:rPr>
        <w:t xml:space="preserve">]. These complications include abdominal pain, abdominal distension, nausea, vomiting, and other nonspecific symptoms. </w:t>
      </w:r>
    </w:p>
    <w:p w14:paraId="0D7C5B4E" w14:textId="08E4B984" w:rsidR="000B6994" w:rsidRDefault="000B6994" w:rsidP="00B800C2">
      <w:pPr>
        <w:ind w:left="0" w:firstLine="0"/>
        <w:rPr>
          <w:rFonts w:cstheme="minorHAnsi"/>
          <w:iCs/>
          <w:color w:val="0000FF"/>
        </w:rPr>
      </w:pPr>
    </w:p>
    <w:p w14:paraId="0981431D" w14:textId="2039E34F" w:rsidR="000B6994" w:rsidRDefault="000B6994" w:rsidP="000B6994">
      <w:pPr>
        <w:ind w:left="0" w:firstLine="0"/>
        <w:rPr>
          <w:iCs/>
          <w:color w:val="0000FF"/>
        </w:rPr>
      </w:pPr>
      <w:r w:rsidRPr="00AC2E68">
        <w:rPr>
          <w:iCs/>
          <w:color w:val="0000FF"/>
        </w:rPr>
        <w:t>Cardiovascular and pulmonary complications are the most frequent non-GI complications reported after colonoscopy. Pulmonary complications generally occur as a complication of the sedation given at the time of the procedure [</w:t>
      </w:r>
      <w:r w:rsidR="00AE5744">
        <w:rPr>
          <w:iCs/>
          <w:color w:val="0000FF"/>
        </w:rPr>
        <w:t>4</w:t>
      </w:r>
      <w:r w:rsidRPr="00AC2E68">
        <w:rPr>
          <w:iCs/>
          <w:color w:val="0000FF"/>
        </w:rPr>
        <w:t>,</w:t>
      </w:r>
      <w:r w:rsidR="00AE5744">
        <w:rPr>
          <w:iCs/>
          <w:color w:val="0000FF"/>
        </w:rPr>
        <w:t>5</w:t>
      </w:r>
      <w:r w:rsidRPr="00AC2E68">
        <w:rPr>
          <w:iCs/>
          <w:color w:val="0000FF"/>
        </w:rPr>
        <w:t>]. Excessive sedation may lead to hypoxia, hypotension, respiratory arrest, and aspiration pneumonia [</w:t>
      </w:r>
      <w:r w:rsidR="00AE5744">
        <w:rPr>
          <w:iCs/>
          <w:color w:val="0000FF"/>
        </w:rPr>
        <w:t>4</w:t>
      </w:r>
      <w:r w:rsidRPr="00AC2E68">
        <w:rPr>
          <w:iCs/>
          <w:color w:val="0000FF"/>
        </w:rPr>
        <w:t>,</w:t>
      </w:r>
      <w:r w:rsidR="00AE5744">
        <w:rPr>
          <w:iCs/>
          <w:color w:val="0000FF"/>
        </w:rPr>
        <w:t>5</w:t>
      </w:r>
      <w:r w:rsidRPr="00AC2E68">
        <w:rPr>
          <w:iCs/>
          <w:color w:val="0000FF"/>
        </w:rPr>
        <w:t>]. Cardiovascular complications may be attributed to many factors, including the effects of the anesthesia. The rates of cardiovascular and pulmonary complications reported in individual studies included in our review of the literature ranged from 0.012-1.94%. This range may reflect variation in definition of these events and differences in data sources used to capture these complications [</w:t>
      </w:r>
      <w:r w:rsidR="00AE5744">
        <w:rPr>
          <w:iCs/>
          <w:color w:val="0000FF"/>
        </w:rPr>
        <w:t>6-9</w:t>
      </w:r>
      <w:r w:rsidRPr="00AC2E68">
        <w:rPr>
          <w:iCs/>
          <w:color w:val="0000FF"/>
        </w:rPr>
        <w:t xml:space="preserve">]. </w:t>
      </w:r>
      <w:r>
        <w:rPr>
          <w:iCs/>
          <w:color w:val="0000FF"/>
        </w:rPr>
        <w:t xml:space="preserve"> </w:t>
      </w:r>
    </w:p>
    <w:p w14:paraId="78D7C549" w14:textId="0149ED15" w:rsidR="00F6218A" w:rsidRPr="00E30441" w:rsidRDefault="00F6218A" w:rsidP="000B6994">
      <w:pPr>
        <w:ind w:left="0" w:firstLine="0"/>
        <w:rPr>
          <w:iCs/>
          <w:color w:val="FF0000"/>
        </w:rPr>
      </w:pPr>
      <w:r w:rsidRPr="00E30441">
        <w:rPr>
          <w:iCs/>
          <w:color w:val="FF0000"/>
        </w:rPr>
        <w:t>Post-procedural infections also occur following colonoscopy.  For example, a 2018 study found rates of infectio</w:t>
      </w:r>
      <w:r w:rsidR="00622DEF" w:rsidRPr="00E30441">
        <w:rPr>
          <w:iCs/>
          <w:color w:val="FF0000"/>
        </w:rPr>
        <w:t>n within 7 days of a screening colonoscopy performed by at an ASC to be 1.1 per 1000 colonoscopies [</w:t>
      </w:r>
      <w:r w:rsidR="00AE5744">
        <w:rPr>
          <w:iCs/>
          <w:color w:val="FF0000"/>
        </w:rPr>
        <w:t>10</w:t>
      </w:r>
      <w:r w:rsidR="00622DEF" w:rsidRPr="00E30441">
        <w:rPr>
          <w:iCs/>
          <w:color w:val="FF0000"/>
        </w:rPr>
        <w:t>].  Furthermore, the study authors found that the rates of infection varied widely by ASC, from 0 to 115 per 1000 colonoscopies.</w:t>
      </w:r>
    </w:p>
    <w:p w14:paraId="38272836" w14:textId="783A3D76" w:rsidR="00F6218A" w:rsidRPr="00E30441" w:rsidRDefault="00F6218A" w:rsidP="00B800C2">
      <w:pPr>
        <w:ind w:left="0" w:firstLine="0"/>
        <w:rPr>
          <w:rFonts w:cstheme="minorHAnsi"/>
          <w:iCs/>
          <w:color w:val="FF0000"/>
        </w:rPr>
      </w:pPr>
    </w:p>
    <w:p w14:paraId="3D272641" w14:textId="77777777" w:rsidR="000B6994" w:rsidRDefault="000B6994" w:rsidP="00B800C2">
      <w:pPr>
        <w:ind w:left="0" w:firstLine="0"/>
        <w:rPr>
          <w:rFonts w:cstheme="minorHAnsi"/>
          <w:iCs/>
          <w:color w:val="0000FF"/>
        </w:rPr>
      </w:pPr>
    </w:p>
    <w:p w14:paraId="7BF34EE8" w14:textId="11FC4639" w:rsidR="000B6994" w:rsidRPr="00E30441" w:rsidRDefault="000B6994" w:rsidP="00B800C2">
      <w:pPr>
        <w:ind w:left="0" w:firstLine="0"/>
        <w:rPr>
          <w:rFonts w:cstheme="minorHAnsi"/>
          <w:b/>
          <w:iCs/>
          <w:color w:val="0000FF"/>
          <w:u w:val="single"/>
        </w:rPr>
      </w:pPr>
      <w:r w:rsidRPr="00E30441">
        <w:rPr>
          <w:rFonts w:cstheme="minorHAnsi"/>
          <w:b/>
          <w:iCs/>
          <w:color w:val="0000FF"/>
          <w:u w:val="single"/>
        </w:rPr>
        <w:t>Hospital visits following colonoscopy</w:t>
      </w:r>
    </w:p>
    <w:p w14:paraId="161EB0C2" w14:textId="77777777" w:rsidR="000B6994" w:rsidRDefault="000B6994" w:rsidP="00B800C2">
      <w:pPr>
        <w:ind w:left="0" w:firstLine="0"/>
        <w:rPr>
          <w:rFonts w:cstheme="minorHAnsi"/>
          <w:iCs/>
          <w:color w:val="0000FF"/>
        </w:rPr>
      </w:pPr>
    </w:p>
    <w:p w14:paraId="5E1A6E65" w14:textId="4F5618DF" w:rsidR="000B6994" w:rsidRDefault="000B6994" w:rsidP="00B800C2">
      <w:pPr>
        <w:ind w:left="0" w:firstLine="0"/>
        <w:rPr>
          <w:rFonts w:cstheme="minorHAnsi"/>
          <w:iCs/>
          <w:color w:val="0000FF"/>
        </w:rPr>
      </w:pPr>
      <w:r>
        <w:rPr>
          <w:rFonts w:cstheme="minorHAnsi"/>
          <w:iCs/>
          <w:color w:val="0000FF"/>
        </w:rPr>
        <w:t xml:space="preserve">The symptoms described above can </w:t>
      </w:r>
      <w:r w:rsidR="00BC2F04" w:rsidRPr="00AC2E68">
        <w:rPr>
          <w:rFonts w:cstheme="minorHAnsi"/>
          <w:iCs/>
          <w:color w:val="0000FF"/>
        </w:rPr>
        <w:t xml:space="preserve">result in </w:t>
      </w:r>
      <w:r w:rsidR="00CF77A4">
        <w:rPr>
          <w:rFonts w:cstheme="minorHAnsi"/>
          <w:iCs/>
          <w:color w:val="0000FF"/>
        </w:rPr>
        <w:t>the need for</w:t>
      </w:r>
      <w:r w:rsidR="00BC2F04" w:rsidRPr="00AC2E68">
        <w:rPr>
          <w:rFonts w:cstheme="minorHAnsi"/>
          <w:iCs/>
          <w:color w:val="0000FF"/>
        </w:rPr>
        <w:t xml:space="preserve"> acute care. </w:t>
      </w:r>
      <w:r>
        <w:rPr>
          <w:rFonts w:cstheme="minorHAnsi"/>
          <w:iCs/>
          <w:color w:val="0000FF"/>
        </w:rPr>
        <w:t>Overall, r</w:t>
      </w:r>
      <w:r w:rsidR="00BC2F04" w:rsidRPr="00AC2E68">
        <w:rPr>
          <w:rFonts w:cstheme="minorHAnsi"/>
          <w:iCs/>
          <w:color w:val="0000FF"/>
        </w:rPr>
        <w:t>eported rates of post-procedure hospital use, as measured by inpatient admissions or a combination of admissions and ED visits, range from 1-2.4% within 30 days [</w:t>
      </w:r>
      <w:r w:rsidR="00AE5744">
        <w:rPr>
          <w:rFonts w:cstheme="minorHAnsi"/>
          <w:iCs/>
          <w:color w:val="0000FF"/>
        </w:rPr>
        <w:t>3</w:t>
      </w:r>
      <w:r w:rsidR="00BC2F04" w:rsidRPr="00AC2E68">
        <w:rPr>
          <w:rFonts w:cstheme="minorHAnsi"/>
          <w:iCs/>
          <w:color w:val="0000FF"/>
        </w:rPr>
        <w:t>,</w:t>
      </w:r>
      <w:r w:rsidR="00AE5744">
        <w:rPr>
          <w:rFonts w:cstheme="minorHAnsi"/>
          <w:iCs/>
          <w:color w:val="0000FF"/>
        </w:rPr>
        <w:t>6</w:t>
      </w:r>
      <w:r>
        <w:rPr>
          <w:rFonts w:cstheme="minorHAnsi"/>
          <w:iCs/>
          <w:color w:val="0000FF"/>
        </w:rPr>
        <w:t xml:space="preserve">].  </w:t>
      </w:r>
      <w:r w:rsidR="008062F2">
        <w:rPr>
          <w:rFonts w:cstheme="minorHAnsi"/>
          <w:iCs/>
          <w:color w:val="FF0000"/>
        </w:rPr>
        <w:t xml:space="preserve">A more recent </w:t>
      </w:r>
      <w:r w:rsidR="008062F2" w:rsidRPr="00E4650C">
        <w:rPr>
          <w:rFonts w:cstheme="minorHAnsi"/>
          <w:color w:val="FF0000"/>
          <w:shd w:val="clear" w:color="auto" w:fill="FFFFFF"/>
        </w:rPr>
        <w:t>retros</w:t>
      </w:r>
      <w:r w:rsidR="00CF77A4">
        <w:rPr>
          <w:rFonts w:cstheme="minorHAnsi"/>
          <w:color w:val="FF0000"/>
          <w:shd w:val="clear" w:color="auto" w:fill="FFFFFF"/>
        </w:rPr>
        <w:t>pectively review of</w:t>
      </w:r>
      <w:r w:rsidR="008062F2" w:rsidRPr="00E4650C">
        <w:rPr>
          <w:rFonts w:cstheme="minorHAnsi"/>
          <w:color w:val="FF0000"/>
          <w:shd w:val="clear" w:color="auto" w:fill="FFFFFF"/>
        </w:rPr>
        <w:t xml:space="preserve"> 50,319 colonoscopies performed on 44,082 individuals (47% male, median age 59 years) reported an </w:t>
      </w:r>
      <w:r w:rsidR="008062F2" w:rsidRPr="00E4650C">
        <w:rPr>
          <w:rFonts w:cstheme="minorHAnsi"/>
          <w:iCs/>
          <w:color w:val="FF0000"/>
        </w:rPr>
        <w:t>ED visit rate within 7 days of a colonoscopy of 0.76%</w:t>
      </w:r>
      <w:r w:rsidR="00460DD4">
        <w:rPr>
          <w:rFonts w:cstheme="minorHAnsi"/>
          <w:iCs/>
          <w:color w:val="FF0000"/>
        </w:rPr>
        <w:t xml:space="preserve"> [13</w:t>
      </w:r>
      <w:r w:rsidR="008062F2">
        <w:rPr>
          <w:rFonts w:cstheme="minorHAnsi"/>
          <w:iCs/>
          <w:color w:val="FF0000"/>
        </w:rPr>
        <w:t>]</w:t>
      </w:r>
      <w:r w:rsidR="00DB4BCF">
        <w:rPr>
          <w:rFonts w:cstheme="minorHAnsi"/>
          <w:iCs/>
          <w:color w:val="FF0000"/>
        </w:rPr>
        <w:t xml:space="preserve">, and a claims-based analysis found an average </w:t>
      </w:r>
      <w:r w:rsidR="00763065">
        <w:rPr>
          <w:rFonts w:cstheme="minorHAnsi"/>
          <w:iCs/>
          <w:color w:val="FF0000"/>
        </w:rPr>
        <w:t xml:space="preserve">7-day </w:t>
      </w:r>
      <w:r w:rsidR="00CF77A4">
        <w:rPr>
          <w:rFonts w:cstheme="minorHAnsi"/>
          <w:iCs/>
          <w:color w:val="FF0000"/>
        </w:rPr>
        <w:t>hospital visit</w:t>
      </w:r>
      <w:r w:rsidR="00DB4BCF">
        <w:rPr>
          <w:rFonts w:cstheme="minorHAnsi"/>
          <w:iCs/>
          <w:color w:val="FF0000"/>
        </w:rPr>
        <w:t xml:space="preserve"> rate </w:t>
      </w:r>
      <w:r w:rsidR="00763065">
        <w:rPr>
          <w:rFonts w:cstheme="minorHAnsi"/>
          <w:iCs/>
          <w:color w:val="FF0000"/>
        </w:rPr>
        <w:t xml:space="preserve">(defined as an ED visit, observation stay, or inpatient hospitalization) </w:t>
      </w:r>
      <w:r w:rsidR="00DB4BCF">
        <w:rPr>
          <w:rFonts w:cstheme="minorHAnsi"/>
          <w:iCs/>
          <w:color w:val="FF0000"/>
        </w:rPr>
        <w:t xml:space="preserve">of </w:t>
      </w:r>
      <w:r w:rsidR="00763065">
        <w:rPr>
          <w:rFonts w:cstheme="minorHAnsi"/>
          <w:iCs/>
          <w:color w:val="FF0000"/>
        </w:rPr>
        <w:t>1.63% [</w:t>
      </w:r>
      <w:r w:rsidR="00AE5744">
        <w:rPr>
          <w:rFonts w:cstheme="minorHAnsi"/>
          <w:iCs/>
          <w:color w:val="FF0000"/>
        </w:rPr>
        <w:t>11</w:t>
      </w:r>
      <w:r w:rsidR="00763065">
        <w:rPr>
          <w:rFonts w:cstheme="minorHAnsi"/>
          <w:iCs/>
          <w:color w:val="FF0000"/>
        </w:rPr>
        <w:t>].</w:t>
      </w:r>
      <w:r w:rsidR="008062F2">
        <w:rPr>
          <w:rFonts w:cstheme="minorHAnsi"/>
          <w:iCs/>
          <w:color w:val="FF0000"/>
        </w:rPr>
        <w:t xml:space="preserve">  </w:t>
      </w:r>
      <w:r w:rsidR="008062F2" w:rsidRPr="00141C04">
        <w:rPr>
          <w:rFonts w:cstheme="minorHAnsi"/>
          <w:iCs/>
          <w:color w:val="0000FF"/>
        </w:rPr>
        <w:t>The rate of hospitalization varies by type of complication;</w:t>
      </w:r>
      <w:r w:rsidR="008062F2">
        <w:rPr>
          <w:rFonts w:cstheme="minorHAnsi"/>
          <w:iCs/>
          <w:color w:val="FF0000"/>
        </w:rPr>
        <w:t xml:space="preserve"> </w:t>
      </w:r>
      <w:r>
        <w:rPr>
          <w:rFonts w:cstheme="minorHAnsi"/>
          <w:iCs/>
          <w:color w:val="0000FF"/>
        </w:rPr>
        <w:t>h</w:t>
      </w:r>
      <w:r w:rsidR="004F397B" w:rsidRPr="004F397B">
        <w:rPr>
          <w:rFonts w:cstheme="minorHAnsi"/>
          <w:iCs/>
          <w:color w:val="0000FF"/>
        </w:rPr>
        <w:t>ospitalization rates were nearly 100% among patients who developed perforation and between 50.8% and 70.7% among patients who developed lower GI bleeding [</w:t>
      </w:r>
      <w:r w:rsidR="00AE5744">
        <w:rPr>
          <w:rFonts w:cstheme="minorHAnsi"/>
          <w:iCs/>
          <w:color w:val="0000FF"/>
        </w:rPr>
        <w:t>1</w:t>
      </w:r>
      <w:r w:rsidR="004F397B" w:rsidRPr="004F397B">
        <w:rPr>
          <w:rFonts w:cstheme="minorHAnsi"/>
          <w:iCs/>
          <w:color w:val="0000FF"/>
        </w:rPr>
        <w:t>2]. In contrast, hospitalizations among patients with an abdominal pain or nausea diagnosis were less common [</w:t>
      </w:r>
      <w:r w:rsidR="00AE5744">
        <w:rPr>
          <w:rFonts w:cstheme="minorHAnsi"/>
          <w:iCs/>
          <w:color w:val="0000FF"/>
        </w:rPr>
        <w:t>1</w:t>
      </w:r>
      <w:r w:rsidR="004F397B" w:rsidRPr="004F397B">
        <w:rPr>
          <w:rFonts w:cstheme="minorHAnsi"/>
          <w:iCs/>
          <w:color w:val="0000FF"/>
        </w:rPr>
        <w:t>2].</w:t>
      </w:r>
    </w:p>
    <w:p w14:paraId="3B5BC0EB" w14:textId="085AED49" w:rsidR="00141C04" w:rsidRDefault="00141C04" w:rsidP="00B800C2">
      <w:pPr>
        <w:ind w:left="0" w:firstLine="0"/>
        <w:rPr>
          <w:rFonts w:cstheme="minorHAnsi"/>
          <w:iCs/>
          <w:color w:val="0000FF"/>
        </w:rPr>
      </w:pPr>
    </w:p>
    <w:p w14:paraId="49CBB881" w14:textId="48E89A0C" w:rsidR="00141C04" w:rsidRDefault="00726162" w:rsidP="00B800C2">
      <w:pPr>
        <w:ind w:left="0" w:firstLine="0"/>
        <w:rPr>
          <w:rFonts w:cstheme="minorHAnsi"/>
          <w:iCs/>
          <w:color w:val="FF0000"/>
        </w:rPr>
      </w:pPr>
      <w:r>
        <w:rPr>
          <w:rFonts w:cstheme="minorHAnsi"/>
          <w:iCs/>
          <w:color w:val="FF0000"/>
        </w:rPr>
        <w:t xml:space="preserve">Studies have shown that </w:t>
      </w:r>
      <w:r w:rsidR="00CF77A4">
        <w:rPr>
          <w:rFonts w:cstheme="minorHAnsi"/>
          <w:iCs/>
          <w:color w:val="FF0000"/>
        </w:rPr>
        <w:t xml:space="preserve">many of </w:t>
      </w:r>
      <w:r>
        <w:rPr>
          <w:rFonts w:cstheme="minorHAnsi"/>
          <w:iCs/>
          <w:color w:val="FF0000"/>
        </w:rPr>
        <w:t xml:space="preserve">the reasons for post-procedural </w:t>
      </w:r>
      <w:r w:rsidR="00CF77A4">
        <w:rPr>
          <w:rFonts w:cstheme="minorHAnsi"/>
          <w:iCs/>
          <w:color w:val="FF0000"/>
        </w:rPr>
        <w:t>hospital visits</w:t>
      </w:r>
      <w:r>
        <w:rPr>
          <w:rFonts w:cstheme="minorHAnsi"/>
          <w:iCs/>
          <w:color w:val="FF0000"/>
        </w:rPr>
        <w:t xml:space="preserve"> are related to the colonoscopy. </w:t>
      </w:r>
      <w:r w:rsidR="00634056">
        <w:rPr>
          <w:rFonts w:cstheme="minorHAnsi"/>
          <w:iCs/>
          <w:color w:val="FF0000"/>
        </w:rPr>
        <w:t xml:space="preserve">For example, </w:t>
      </w:r>
      <w:r w:rsidR="00634056" w:rsidRPr="00634056">
        <w:rPr>
          <w:rFonts w:cstheme="minorHAnsi"/>
          <w:iCs/>
          <w:color w:val="FF0000"/>
        </w:rPr>
        <w:t>a 2018 single-center study examined the medical records (including medication information) of patients who experienced an emergency department (ED) visit within 7 day</w:t>
      </w:r>
      <w:r w:rsidR="00634056">
        <w:rPr>
          <w:rFonts w:cstheme="minorHAnsi"/>
          <w:iCs/>
          <w:color w:val="FF0000"/>
        </w:rPr>
        <w:t>s of an outpatient colonoscopy [</w:t>
      </w:r>
      <w:r w:rsidR="00AE5744">
        <w:rPr>
          <w:rFonts w:cstheme="minorHAnsi"/>
          <w:iCs/>
          <w:color w:val="FF0000"/>
        </w:rPr>
        <w:t>13</w:t>
      </w:r>
      <w:r w:rsidR="00634056">
        <w:rPr>
          <w:rFonts w:cstheme="minorHAnsi"/>
          <w:iCs/>
          <w:color w:val="FF0000"/>
        </w:rPr>
        <w:t>].</w:t>
      </w:r>
      <w:r w:rsidR="00634056" w:rsidRPr="00634056">
        <w:rPr>
          <w:rFonts w:cstheme="minorHAnsi"/>
          <w:iCs/>
          <w:color w:val="FF0000"/>
        </w:rPr>
        <w:t xml:space="preserve"> The study authors extracted </w:t>
      </w:r>
      <w:r w:rsidR="009D3249" w:rsidRPr="009D3249">
        <w:rPr>
          <w:rFonts w:cstheme="minorHAnsi"/>
          <w:iCs/>
          <w:color w:val="FF0000"/>
        </w:rPr>
        <w:t xml:space="preserve">patients’ chief complaint from medical records, </w:t>
      </w:r>
      <w:r w:rsidR="00634056" w:rsidRPr="00634056">
        <w:rPr>
          <w:rFonts w:cstheme="minorHAnsi"/>
          <w:iCs/>
          <w:color w:val="FF0000"/>
        </w:rPr>
        <w:t>assigned the chief complaints as related or unrelated to the colonoscopy, and found that 68% of the reasons for the ED visit were due to the colonoscopy. The most common reasons for related ED visits were abdominal pain (38.2%), gastrointestinal bleeding (29.7%), cardiopulmonary disorders (12.7%), and nausea/vomiting (4.2%).</w:t>
      </w:r>
      <w:r w:rsidR="009D3249">
        <w:rPr>
          <w:rFonts w:cstheme="minorHAnsi"/>
          <w:iCs/>
          <w:color w:val="FF0000"/>
        </w:rPr>
        <w:t xml:space="preserve"> </w:t>
      </w:r>
      <w:r w:rsidR="00141C04">
        <w:rPr>
          <w:rFonts w:cstheme="minorHAnsi"/>
          <w:iCs/>
          <w:color w:val="FF0000"/>
        </w:rPr>
        <w:t xml:space="preserve">In another study, the authors examined the most frequent diagnoses </w:t>
      </w:r>
      <w:r w:rsidR="008E5BFD">
        <w:rPr>
          <w:rFonts w:cstheme="minorHAnsi"/>
          <w:iCs/>
          <w:color w:val="FF0000"/>
        </w:rPr>
        <w:t xml:space="preserve">in claims data </w:t>
      </w:r>
      <w:r w:rsidR="00141C04">
        <w:rPr>
          <w:rFonts w:cstheme="minorHAnsi"/>
          <w:iCs/>
          <w:color w:val="FF0000"/>
        </w:rPr>
        <w:t>associated with an unplanned hospital visit within 7 days, which included hemorrhage (6.4% of all unplanned visits), accidental operative laceration (3.0%), abdominal pain (3.0%), GI hemorrhage (2.7%), chest pain (1.9%), and urinary tract infection (1.8%)</w:t>
      </w:r>
      <w:r w:rsidR="00AF553E">
        <w:rPr>
          <w:rFonts w:cstheme="minorHAnsi"/>
          <w:iCs/>
          <w:color w:val="FF0000"/>
        </w:rPr>
        <w:t xml:space="preserve"> [</w:t>
      </w:r>
      <w:r w:rsidR="00AE5744">
        <w:rPr>
          <w:rFonts w:cstheme="minorHAnsi"/>
          <w:iCs/>
          <w:color w:val="FF0000"/>
        </w:rPr>
        <w:t>11</w:t>
      </w:r>
      <w:r w:rsidR="00AF553E">
        <w:rPr>
          <w:rFonts w:cstheme="minorHAnsi"/>
          <w:iCs/>
          <w:color w:val="FF0000"/>
        </w:rPr>
        <w:t>].</w:t>
      </w:r>
      <w:r w:rsidR="008E5BFD">
        <w:rPr>
          <w:rFonts w:cstheme="minorHAnsi"/>
          <w:iCs/>
          <w:color w:val="FF0000"/>
        </w:rPr>
        <w:t xml:space="preserve"> (Please note </w:t>
      </w:r>
      <w:r w:rsidR="004156DC">
        <w:rPr>
          <w:rFonts w:cstheme="minorHAnsi"/>
          <w:iCs/>
          <w:color w:val="FF0000"/>
        </w:rPr>
        <w:t>the measure developer plans to update this analysis in ICD-10 data and have the results on hand for review by the Standing Committee in June.)</w:t>
      </w:r>
    </w:p>
    <w:p w14:paraId="45B4AC46" w14:textId="5124BEF9" w:rsidR="00141C04" w:rsidRDefault="00141C04" w:rsidP="00B800C2">
      <w:pPr>
        <w:ind w:left="0" w:firstLine="0"/>
        <w:rPr>
          <w:rFonts w:cstheme="minorHAnsi"/>
          <w:iCs/>
          <w:color w:val="FF0000"/>
        </w:rPr>
      </w:pPr>
    </w:p>
    <w:p w14:paraId="0BBCD7F1" w14:textId="5D199163" w:rsidR="00634056" w:rsidRDefault="00634056" w:rsidP="00B800C2">
      <w:pPr>
        <w:ind w:left="0" w:firstLine="0"/>
        <w:rPr>
          <w:rFonts w:cstheme="minorHAnsi"/>
          <w:iCs/>
          <w:color w:val="FF0000"/>
        </w:rPr>
      </w:pPr>
    </w:p>
    <w:p w14:paraId="2E3E8689" w14:textId="6F08659C" w:rsidR="008062F2" w:rsidRPr="00655C97" w:rsidRDefault="008062F2" w:rsidP="00B800C2">
      <w:pPr>
        <w:ind w:left="0" w:firstLine="0"/>
        <w:rPr>
          <w:b/>
          <w:iCs/>
          <w:color w:val="0000FF"/>
          <w:u w:val="single"/>
        </w:rPr>
      </w:pPr>
      <w:r w:rsidRPr="00655C97">
        <w:rPr>
          <w:b/>
          <w:iCs/>
          <w:color w:val="0000FF"/>
          <w:u w:val="single"/>
        </w:rPr>
        <w:t>Pathways for improvement</w:t>
      </w:r>
    </w:p>
    <w:p w14:paraId="78F21E0B" w14:textId="77777777" w:rsidR="008062F2" w:rsidRDefault="008062F2" w:rsidP="00B800C2">
      <w:pPr>
        <w:ind w:left="0" w:firstLine="0"/>
        <w:rPr>
          <w:rFonts w:cstheme="minorHAnsi"/>
          <w:iCs/>
          <w:color w:val="FF0000"/>
        </w:rPr>
      </w:pPr>
    </w:p>
    <w:p w14:paraId="759987D0" w14:textId="5EDBE5EB" w:rsidR="00436441" w:rsidRPr="00141C04" w:rsidRDefault="008062F2" w:rsidP="004020E2">
      <w:pPr>
        <w:ind w:left="0" w:firstLine="0"/>
        <w:rPr>
          <w:rFonts w:cstheme="minorHAnsi"/>
          <w:iCs/>
          <w:color w:val="FF0000"/>
        </w:rPr>
      </w:pPr>
      <w:r w:rsidRPr="00141C04">
        <w:rPr>
          <w:rFonts w:cstheme="minorHAnsi"/>
          <w:iCs/>
          <w:color w:val="FF0000"/>
        </w:rPr>
        <w:t xml:space="preserve">Provider- and facility-level factors </w:t>
      </w:r>
      <w:r w:rsidR="00726162" w:rsidRPr="00141C04">
        <w:rPr>
          <w:rFonts w:cstheme="minorHAnsi"/>
          <w:iCs/>
          <w:color w:val="FF0000"/>
        </w:rPr>
        <w:t xml:space="preserve">can affect the outcome of </w:t>
      </w:r>
      <w:r w:rsidR="009D3249">
        <w:rPr>
          <w:rFonts w:cstheme="minorHAnsi"/>
          <w:iCs/>
          <w:color w:val="FF0000"/>
        </w:rPr>
        <w:t xml:space="preserve">complications and hospital visits related to a </w:t>
      </w:r>
      <w:r w:rsidR="00726162" w:rsidRPr="00141C04">
        <w:rPr>
          <w:rFonts w:cstheme="minorHAnsi"/>
          <w:iCs/>
          <w:color w:val="FF0000"/>
        </w:rPr>
        <w:t>colonoscopy.</w:t>
      </w:r>
      <w:r w:rsidR="00141C04" w:rsidRPr="00141C04">
        <w:rPr>
          <w:rFonts w:cstheme="minorHAnsi"/>
          <w:iCs/>
          <w:color w:val="FF0000"/>
        </w:rPr>
        <w:t xml:space="preserve"> </w:t>
      </w:r>
      <w:r w:rsidR="00726162" w:rsidRPr="00141C04">
        <w:rPr>
          <w:rFonts w:cstheme="minorHAnsi"/>
          <w:iCs/>
          <w:color w:val="FF0000"/>
        </w:rPr>
        <w:t xml:space="preserve">For example, </w:t>
      </w:r>
      <w:r w:rsidR="00B437DF" w:rsidRPr="00141C04">
        <w:rPr>
          <w:rFonts w:cstheme="minorHAnsi"/>
          <w:iCs/>
          <w:color w:val="FF0000"/>
        </w:rPr>
        <w:t xml:space="preserve">provider-level </w:t>
      </w:r>
      <w:r w:rsidR="00E00568" w:rsidRPr="00141C04">
        <w:rPr>
          <w:rFonts w:cstheme="minorHAnsi"/>
          <w:iCs/>
          <w:color w:val="FF0000"/>
        </w:rPr>
        <w:t>factors such as low provider volume and fellow involvement in the procedure were significantly associated with a higher risk of an ED visit</w:t>
      </w:r>
      <w:r w:rsidR="00E30441">
        <w:rPr>
          <w:rFonts w:cstheme="minorHAnsi"/>
          <w:iCs/>
          <w:color w:val="FF0000"/>
        </w:rPr>
        <w:t xml:space="preserve"> in one study [</w:t>
      </w:r>
      <w:r w:rsidR="00AE5744">
        <w:rPr>
          <w:rFonts w:cstheme="minorHAnsi"/>
          <w:iCs/>
          <w:color w:val="FF0000"/>
        </w:rPr>
        <w:t>13</w:t>
      </w:r>
      <w:r w:rsidR="00622DEF">
        <w:rPr>
          <w:rFonts w:cstheme="minorHAnsi"/>
          <w:iCs/>
          <w:color w:val="FF0000"/>
        </w:rPr>
        <w:t>], and low procedure volume was associated with a higher risk of infection in another study [</w:t>
      </w:r>
      <w:r w:rsidR="00AE5744">
        <w:rPr>
          <w:rFonts w:cstheme="minorHAnsi"/>
          <w:iCs/>
          <w:color w:val="FF0000"/>
        </w:rPr>
        <w:t>10</w:t>
      </w:r>
      <w:r w:rsidR="00622DEF">
        <w:rPr>
          <w:rFonts w:cstheme="minorHAnsi"/>
          <w:iCs/>
          <w:color w:val="FF0000"/>
        </w:rPr>
        <w:t>]</w:t>
      </w:r>
      <w:r w:rsidR="00236D75" w:rsidRPr="00141C04">
        <w:rPr>
          <w:rFonts w:cstheme="minorHAnsi"/>
          <w:iCs/>
          <w:color w:val="FF0000"/>
        </w:rPr>
        <w:t>, suggesting</w:t>
      </w:r>
      <w:r w:rsidR="00D814EC" w:rsidRPr="00141C04">
        <w:rPr>
          <w:rFonts w:cstheme="minorHAnsi"/>
          <w:iCs/>
          <w:color w:val="FF0000"/>
        </w:rPr>
        <w:t xml:space="preserve"> facilities can influence the patients’ outcome through these modifiable pathways.</w:t>
      </w:r>
      <w:r w:rsidR="00141C04" w:rsidRPr="00141C04">
        <w:rPr>
          <w:rFonts w:cstheme="minorHAnsi"/>
          <w:iCs/>
          <w:color w:val="FF0000"/>
        </w:rPr>
        <w:t xml:space="preserve"> In addition, </w:t>
      </w:r>
      <w:r w:rsidR="00141C04">
        <w:rPr>
          <w:iCs/>
          <w:color w:val="FF0000"/>
        </w:rPr>
        <w:t>t</w:t>
      </w:r>
      <w:r w:rsidR="00436441" w:rsidRPr="00141C04">
        <w:rPr>
          <w:iCs/>
          <w:color w:val="FF0000"/>
        </w:rPr>
        <w:t>he choice of sedation may influence complicati</w:t>
      </w:r>
      <w:r w:rsidR="00A03401">
        <w:rPr>
          <w:iCs/>
          <w:color w:val="FF0000"/>
        </w:rPr>
        <w:t>on rates. For example, in a 2018</w:t>
      </w:r>
      <w:r w:rsidR="00436441" w:rsidRPr="00141C04">
        <w:rPr>
          <w:iCs/>
          <w:color w:val="FF0000"/>
        </w:rPr>
        <w:t xml:space="preserve"> retrospective claims-based analysis of more than 3 million outpatient colonoscopies, researchers found that the use of anesthesia assistance (sedation with agents that result in deeper sedation, such as Propofol, rather than conscious sedation), resulted in increased risk of aspiration pneumonia (OR, 1.63; 95% CI,</w:t>
      </w:r>
      <w:r w:rsidR="00E30441">
        <w:rPr>
          <w:iCs/>
          <w:color w:val="FF0000"/>
        </w:rPr>
        <w:t xml:space="preserve"> 1.11–2.37) [1</w:t>
      </w:r>
      <w:r w:rsidR="00AE5744">
        <w:rPr>
          <w:iCs/>
          <w:color w:val="FF0000"/>
        </w:rPr>
        <w:t>4</w:t>
      </w:r>
      <w:r w:rsidR="00436441" w:rsidRPr="00141C04">
        <w:rPr>
          <w:iCs/>
          <w:color w:val="FF0000"/>
        </w:rPr>
        <w:t>].</w:t>
      </w:r>
    </w:p>
    <w:p w14:paraId="3CE4D082" w14:textId="77777777" w:rsidR="00BC2F04" w:rsidRPr="00AC2E68" w:rsidRDefault="00BC2F04" w:rsidP="00BC2F04">
      <w:pPr>
        <w:ind w:left="0" w:firstLine="0"/>
        <w:rPr>
          <w:iCs/>
          <w:color w:val="0000FF"/>
        </w:rPr>
      </w:pPr>
    </w:p>
    <w:p w14:paraId="6A470816" w14:textId="3605EC3E" w:rsidR="0017487F" w:rsidRDefault="00BC2F04" w:rsidP="00BC2F04">
      <w:pPr>
        <w:ind w:left="0" w:firstLine="0"/>
        <w:rPr>
          <w:iCs/>
          <w:color w:val="0000FF"/>
        </w:rPr>
      </w:pPr>
      <w:r w:rsidRPr="00AC2E68">
        <w:rPr>
          <w:iCs/>
          <w:color w:val="0000FF"/>
        </w:rPr>
        <w:t>Providers are often unaware of complications for which patients visit the hospital, leading to understated complication rates and suggesting the need for better measurement to drive quality improvement [1</w:t>
      </w:r>
      <w:r w:rsidR="00AE5744">
        <w:rPr>
          <w:iCs/>
          <w:color w:val="0000FF"/>
        </w:rPr>
        <w:t>5</w:t>
      </w:r>
      <w:r w:rsidRPr="00AC2E68">
        <w:rPr>
          <w:iCs/>
          <w:color w:val="0000FF"/>
        </w:rPr>
        <w:t xml:space="preserve">]. </w:t>
      </w:r>
      <w:r w:rsidR="001C00FD">
        <w:rPr>
          <w:iCs/>
          <w:color w:val="0000FF"/>
        </w:rPr>
        <w:t>Both patients and providers can</w:t>
      </w:r>
      <w:r w:rsidRPr="00AC2E68">
        <w:rPr>
          <w:iCs/>
          <w:color w:val="0000FF"/>
        </w:rPr>
        <w:t xml:space="preserve"> benefit from outcome measures that capture the full range of adverse experiences associated with outpatient colonoscopy and illuminate quality differences</w:t>
      </w:r>
      <w:r w:rsidR="001C00FD">
        <w:rPr>
          <w:iCs/>
          <w:color w:val="0000FF"/>
        </w:rPr>
        <w:t>.</w:t>
      </w:r>
      <w:r w:rsidRPr="00AC2E68">
        <w:rPr>
          <w:iCs/>
          <w:color w:val="0000FF"/>
        </w:rPr>
        <w:t xml:space="preserve"> </w:t>
      </w:r>
    </w:p>
    <w:p w14:paraId="4DBCB8F4" w14:textId="0E1A83E9" w:rsidR="00F2372D" w:rsidRDefault="00F2372D" w:rsidP="00BC2F04">
      <w:pPr>
        <w:ind w:left="0" w:firstLine="0"/>
        <w:rPr>
          <w:iCs/>
          <w:color w:val="0000FF"/>
        </w:rPr>
      </w:pPr>
    </w:p>
    <w:p w14:paraId="2A433007" w14:textId="3BEE9B2B" w:rsidR="00F2372D" w:rsidRPr="00F2372D" w:rsidRDefault="00F2372D" w:rsidP="00BC2F04">
      <w:pPr>
        <w:ind w:left="0" w:firstLine="0"/>
        <w:rPr>
          <w:b/>
          <w:iCs/>
          <w:color w:val="0000FF"/>
          <w:u w:val="single"/>
        </w:rPr>
      </w:pPr>
      <w:r w:rsidRPr="00F2372D">
        <w:rPr>
          <w:b/>
          <w:iCs/>
          <w:color w:val="0000FF"/>
          <w:u w:val="single"/>
        </w:rPr>
        <w:t>Public reporting</w:t>
      </w:r>
    </w:p>
    <w:p w14:paraId="464ABA59" w14:textId="77777777" w:rsidR="0017487F" w:rsidRPr="00AC2E68" w:rsidRDefault="0017487F" w:rsidP="00BC2F04">
      <w:pPr>
        <w:ind w:left="0" w:firstLine="0"/>
        <w:rPr>
          <w:iCs/>
          <w:color w:val="0000FF"/>
        </w:rPr>
      </w:pPr>
    </w:p>
    <w:p w14:paraId="7F915112" w14:textId="4882E8B2" w:rsidR="00F2372D" w:rsidRDefault="00F2372D" w:rsidP="00BC2F04">
      <w:pPr>
        <w:ind w:left="0" w:firstLine="0"/>
        <w:rPr>
          <w:iCs/>
          <w:color w:val="0000FF"/>
        </w:rPr>
      </w:pPr>
      <w:r>
        <w:rPr>
          <w:iCs/>
          <w:color w:val="0000FF"/>
        </w:rPr>
        <w:t>The</w:t>
      </w:r>
      <w:r w:rsidRPr="00F2372D">
        <w:rPr>
          <w:iCs/>
          <w:color w:val="0000FF"/>
        </w:rPr>
        <w:t xml:space="preserve"> Hospital </w:t>
      </w:r>
      <w:r w:rsidR="00E30441">
        <w:rPr>
          <w:iCs/>
          <w:color w:val="0000FF"/>
        </w:rPr>
        <w:t>Outpatient Quality Reporting</w:t>
      </w:r>
      <w:r w:rsidRPr="00F2372D">
        <w:rPr>
          <w:iCs/>
          <w:color w:val="0000FF"/>
        </w:rPr>
        <w:t xml:space="preserve"> Program</w:t>
      </w:r>
      <w:r w:rsidR="00E30441">
        <w:rPr>
          <w:iCs/>
          <w:color w:val="0000FF"/>
        </w:rPr>
        <w:t xml:space="preserve"> (HOQR)</w:t>
      </w:r>
      <w:r w:rsidRPr="00F2372D">
        <w:rPr>
          <w:iCs/>
          <w:color w:val="0000FF"/>
        </w:rPr>
        <w:t xml:space="preserve"> provides CMS with data to help Medicare beneficiaries make more informed decisions about their healthcare. </w:t>
      </w:r>
      <w:r w:rsidR="00647C39">
        <w:rPr>
          <w:iCs/>
          <w:color w:val="0000FF"/>
        </w:rPr>
        <w:t>As of December 2017,</w:t>
      </w:r>
      <w:r w:rsidR="0017487F" w:rsidRPr="00AC2E68">
        <w:rPr>
          <w:iCs/>
          <w:color w:val="0000FF"/>
        </w:rPr>
        <w:t xml:space="preserve"> this measure has been </w:t>
      </w:r>
      <w:r w:rsidR="007340B3">
        <w:rPr>
          <w:iCs/>
          <w:color w:val="0000FF"/>
        </w:rPr>
        <w:t>publicly available</w:t>
      </w:r>
      <w:r w:rsidR="0017487F" w:rsidRPr="00AC2E68">
        <w:rPr>
          <w:iCs/>
          <w:color w:val="0000FF"/>
        </w:rPr>
        <w:t xml:space="preserve"> on</w:t>
      </w:r>
      <w:r w:rsidR="00647C39">
        <w:rPr>
          <w:iCs/>
          <w:color w:val="0000FF"/>
        </w:rPr>
        <w:t xml:space="preserve"> Hospital Compare, and since July 2015</w:t>
      </w:r>
      <w:r w:rsidR="00513F25">
        <w:rPr>
          <w:iCs/>
          <w:color w:val="0000FF"/>
        </w:rPr>
        <w:t>,</w:t>
      </w:r>
      <w:r w:rsidR="0017487F" w:rsidRPr="00AC2E68">
        <w:rPr>
          <w:iCs/>
          <w:color w:val="0000FF"/>
        </w:rPr>
        <w:t xml:space="preserve"> </w:t>
      </w:r>
      <w:r w:rsidR="00500CCA" w:rsidRPr="00AC2E68">
        <w:rPr>
          <w:iCs/>
          <w:color w:val="0000FF"/>
        </w:rPr>
        <w:t>results</w:t>
      </w:r>
      <w:r w:rsidR="0017487F" w:rsidRPr="00AC2E68">
        <w:rPr>
          <w:iCs/>
          <w:color w:val="0000FF"/>
        </w:rPr>
        <w:t xml:space="preserve"> have been</w:t>
      </w:r>
      <w:r w:rsidR="00BC2F04" w:rsidRPr="00AC2E68">
        <w:rPr>
          <w:iCs/>
          <w:color w:val="0000FF"/>
        </w:rPr>
        <w:t xml:space="preserve"> available </w:t>
      </w:r>
      <w:r w:rsidR="0017487F" w:rsidRPr="00AC2E68">
        <w:rPr>
          <w:iCs/>
          <w:color w:val="0000FF"/>
        </w:rPr>
        <w:t xml:space="preserve">in the form of </w:t>
      </w:r>
      <w:r w:rsidR="00513F25">
        <w:rPr>
          <w:iCs/>
          <w:color w:val="0000FF"/>
        </w:rPr>
        <w:t xml:space="preserve">facility-specific </w:t>
      </w:r>
      <w:r w:rsidR="00BC2F04" w:rsidRPr="00AC2E68">
        <w:rPr>
          <w:iCs/>
          <w:color w:val="0000FF"/>
        </w:rPr>
        <w:t xml:space="preserve">quality reports that conduct outpatient colonoscopies. Thus, </w:t>
      </w:r>
      <w:r w:rsidR="0017487F" w:rsidRPr="00AC2E68">
        <w:rPr>
          <w:iCs/>
          <w:color w:val="0000FF"/>
        </w:rPr>
        <w:t>it is important to continue to make this</w:t>
      </w:r>
      <w:r w:rsidR="00BC2F04" w:rsidRPr="00AC2E68">
        <w:rPr>
          <w:iCs/>
          <w:color w:val="0000FF"/>
        </w:rPr>
        <w:t xml:space="preserve"> information </w:t>
      </w:r>
      <w:r w:rsidR="0017487F" w:rsidRPr="00AC2E68">
        <w:rPr>
          <w:iCs/>
          <w:color w:val="0000FF"/>
        </w:rPr>
        <w:t xml:space="preserve">transparent </w:t>
      </w:r>
      <w:r w:rsidR="00BC2F04" w:rsidRPr="00AC2E68">
        <w:rPr>
          <w:iCs/>
          <w:color w:val="0000FF"/>
        </w:rPr>
        <w:t xml:space="preserve">to patients choosing among providers who offer this elective procedure. </w:t>
      </w:r>
    </w:p>
    <w:p w14:paraId="74C533E6" w14:textId="77777777" w:rsidR="00F2372D" w:rsidRDefault="00F2372D" w:rsidP="00BC2F04">
      <w:pPr>
        <w:ind w:left="0" w:firstLine="0"/>
        <w:rPr>
          <w:iCs/>
          <w:color w:val="0000FF"/>
        </w:rPr>
      </w:pPr>
    </w:p>
    <w:p w14:paraId="65286696" w14:textId="63B23BD2" w:rsidR="007C13A5" w:rsidRPr="00CF77A4" w:rsidRDefault="00F2372D" w:rsidP="00BC2F04">
      <w:pPr>
        <w:ind w:left="0" w:firstLine="0"/>
        <w:rPr>
          <w:iCs/>
          <w:color w:val="FF0000"/>
        </w:rPr>
      </w:pPr>
      <w:r>
        <w:rPr>
          <w:iCs/>
          <w:color w:val="0000FF"/>
        </w:rPr>
        <w:t>Importantly</w:t>
      </w:r>
      <w:r w:rsidR="00BC2F04" w:rsidRPr="00AC2E68">
        <w:rPr>
          <w:iCs/>
          <w:color w:val="0000FF"/>
        </w:rPr>
        <w:t>, providing outcome rates to providers will make meaningful quality differences</w:t>
      </w:r>
      <w:r w:rsidR="00121100" w:rsidRPr="00AC2E68">
        <w:rPr>
          <w:iCs/>
          <w:color w:val="0000FF"/>
        </w:rPr>
        <w:t xml:space="preserve"> visible to clinicians, thus </w:t>
      </w:r>
      <w:r w:rsidR="00BC2F04" w:rsidRPr="00AC2E68">
        <w:rPr>
          <w:iCs/>
          <w:color w:val="0000FF"/>
        </w:rPr>
        <w:t>incentiviz</w:t>
      </w:r>
      <w:r w:rsidR="00121100" w:rsidRPr="00AC2E68">
        <w:rPr>
          <w:iCs/>
          <w:color w:val="0000FF"/>
        </w:rPr>
        <w:t>ing</w:t>
      </w:r>
      <w:r w:rsidR="00BC2F04" w:rsidRPr="00AC2E68">
        <w:rPr>
          <w:iCs/>
          <w:color w:val="0000FF"/>
        </w:rPr>
        <w:t xml:space="preserve"> improvement. </w:t>
      </w:r>
      <w:r>
        <w:rPr>
          <w:iCs/>
          <w:color w:val="0000FF"/>
        </w:rPr>
        <w:t xml:space="preserve"> The </w:t>
      </w:r>
      <w:r w:rsidR="00500CCA" w:rsidRPr="00AC2E68">
        <w:rPr>
          <w:color w:val="0000FF"/>
        </w:rPr>
        <w:t>national rate of hospital visits per 1,000 colonoscopies among HOPDs declined from 16.4 in 2018 repo</w:t>
      </w:r>
      <w:r w:rsidR="00AD4039" w:rsidRPr="00AC2E68">
        <w:rPr>
          <w:color w:val="0000FF"/>
        </w:rPr>
        <w:t>rting</w:t>
      </w:r>
      <w:r w:rsidR="002837DE">
        <w:rPr>
          <w:color w:val="0000FF"/>
        </w:rPr>
        <w:t xml:space="preserve"> (2017 data)</w:t>
      </w:r>
      <w:r w:rsidR="00AD4039" w:rsidRPr="00AC2E68">
        <w:rPr>
          <w:color w:val="0000FF"/>
        </w:rPr>
        <w:t xml:space="preserve"> to 14.8 in 2019 reporting</w:t>
      </w:r>
      <w:r w:rsidR="002837DE">
        <w:rPr>
          <w:color w:val="0000FF"/>
        </w:rPr>
        <w:t xml:space="preserve"> (2018 data)</w:t>
      </w:r>
      <w:r w:rsidR="00AD4039" w:rsidRPr="00AC2E68">
        <w:rPr>
          <w:color w:val="0000FF"/>
        </w:rPr>
        <w:t>, and t</w:t>
      </w:r>
      <w:r w:rsidR="00500CCA" w:rsidRPr="00AC2E68">
        <w:rPr>
          <w:color w:val="0000FF"/>
        </w:rPr>
        <w:t>he distribution of risk-standardized rate</w:t>
      </w:r>
      <w:r w:rsidR="00AD4039" w:rsidRPr="00AC2E68">
        <w:rPr>
          <w:color w:val="0000FF"/>
        </w:rPr>
        <w:t>s also declined (</w:t>
      </w:r>
      <w:r w:rsidR="00500CCA" w:rsidRPr="00AC2E68">
        <w:rPr>
          <w:color w:val="0000FF"/>
        </w:rPr>
        <w:t xml:space="preserve">the interquartile range of rates for 2019 </w:t>
      </w:r>
      <w:r w:rsidR="00AD4039" w:rsidRPr="00AC2E68">
        <w:rPr>
          <w:color w:val="0000FF"/>
        </w:rPr>
        <w:t xml:space="preserve">is </w:t>
      </w:r>
      <w:r w:rsidR="00500CCA" w:rsidRPr="00AC2E68">
        <w:rPr>
          <w:color w:val="0000FF"/>
        </w:rPr>
        <w:t>completely bel</w:t>
      </w:r>
      <w:r w:rsidR="00AD4039" w:rsidRPr="00AC2E68">
        <w:rPr>
          <w:color w:val="0000FF"/>
        </w:rPr>
        <w:t xml:space="preserve">ow the 2018 interquartile range). </w:t>
      </w:r>
      <w:r w:rsidR="00500CCA" w:rsidRPr="00AC2E68">
        <w:rPr>
          <w:color w:val="0000FF"/>
        </w:rPr>
        <w:t>This decline may reflect quality improvement as there were n</w:t>
      </w:r>
      <w:r w:rsidR="008E2999">
        <w:rPr>
          <w:color w:val="0000FF"/>
        </w:rPr>
        <w:t>o</w:t>
      </w:r>
      <w:r w:rsidR="00500CCA" w:rsidRPr="00AC2E68">
        <w:rPr>
          <w:color w:val="0000FF"/>
        </w:rPr>
        <w:t xml:space="preserve"> specification changes to the measure for 2019 reporting that would impact rates, nor were there noticeable differences in patient mix</w:t>
      </w:r>
      <w:r w:rsidR="00AD4039" w:rsidRPr="00CF77A4">
        <w:rPr>
          <w:color w:val="FF0000"/>
        </w:rPr>
        <w:t>.</w:t>
      </w:r>
      <w:r w:rsidR="00500CCA" w:rsidRPr="00CF77A4">
        <w:rPr>
          <w:color w:val="FF0000"/>
        </w:rPr>
        <w:t xml:space="preserve"> </w:t>
      </w:r>
      <w:r w:rsidR="00AD4039" w:rsidRPr="00CF77A4">
        <w:rPr>
          <w:color w:val="FF0000"/>
        </w:rPr>
        <w:t xml:space="preserve"> </w:t>
      </w:r>
      <w:r w:rsidR="002837DE" w:rsidRPr="00CF77A4">
        <w:rPr>
          <w:iCs/>
          <w:color w:val="FF0000"/>
        </w:rPr>
        <w:t xml:space="preserve">(Note that the 2020 national rate was 16.4, however this </w:t>
      </w:r>
      <w:r w:rsidR="00CF77A4">
        <w:rPr>
          <w:iCs/>
          <w:color w:val="FF0000"/>
        </w:rPr>
        <w:t>difference compared to 2019</w:t>
      </w:r>
      <w:r w:rsidR="002837DE" w:rsidRPr="00CF77A4">
        <w:rPr>
          <w:iCs/>
          <w:color w:val="FF0000"/>
        </w:rPr>
        <w:t xml:space="preserve"> can be attributed to a change in the measures’ specifications that result in the use of three years of performance data that overlap with 2018 and 2019 performance periods.)</w:t>
      </w:r>
    </w:p>
    <w:p w14:paraId="1383797B" w14:textId="77777777" w:rsidR="007C13A5" w:rsidRPr="009D6C57" w:rsidRDefault="007C13A5" w:rsidP="00BC2F04">
      <w:pPr>
        <w:ind w:left="0" w:firstLine="0"/>
        <w:rPr>
          <w:iCs/>
          <w:color w:val="0000FF"/>
        </w:rPr>
      </w:pPr>
    </w:p>
    <w:p w14:paraId="77D086DF" w14:textId="77777777" w:rsidR="00BC2F04" w:rsidRPr="009D6C57" w:rsidRDefault="00BC2F04" w:rsidP="00BC2F04">
      <w:pPr>
        <w:ind w:left="0" w:firstLine="0"/>
        <w:rPr>
          <w:iCs/>
          <w:color w:val="0000FF"/>
        </w:rPr>
      </w:pPr>
      <w:r w:rsidRPr="009D6C57">
        <w:rPr>
          <w:iCs/>
          <w:color w:val="0000FF"/>
          <w:u w:val="single"/>
        </w:rPr>
        <w:t>Citations</w:t>
      </w:r>
    </w:p>
    <w:p w14:paraId="15D301C4" w14:textId="77777777" w:rsidR="00BC2F04" w:rsidRDefault="00BC2F04" w:rsidP="000E70E9">
      <w:pPr>
        <w:spacing w:after="120"/>
        <w:ind w:left="0" w:firstLine="0"/>
        <w:rPr>
          <w:iCs/>
          <w:color w:val="0000FF"/>
        </w:rPr>
      </w:pPr>
      <w:r w:rsidRPr="009D6C57">
        <w:rPr>
          <w:iCs/>
          <w:color w:val="0000FF"/>
        </w:rPr>
        <w:t xml:space="preserve">1. Day LW, Kwon A, Inadomi JM, Walter LC, Somsouk M. Adverse events in older patients undergoing colonoscopy: a systematic review and meta-analysis. </w:t>
      </w:r>
      <w:r w:rsidRPr="009D6C57">
        <w:rPr>
          <w:i/>
          <w:iCs/>
          <w:color w:val="0000FF"/>
        </w:rPr>
        <w:t xml:space="preserve">Gastrointest Endosc. </w:t>
      </w:r>
      <w:r w:rsidRPr="009D6C57">
        <w:rPr>
          <w:iCs/>
          <w:color w:val="0000FF"/>
        </w:rPr>
        <w:t>Oct 2011;74(4):885-896.</w:t>
      </w:r>
    </w:p>
    <w:p w14:paraId="5AF76D48" w14:textId="1C44CC22" w:rsidR="00BC2F04" w:rsidRPr="009D6C57" w:rsidRDefault="00AE5744" w:rsidP="000E70E9">
      <w:pPr>
        <w:spacing w:after="120"/>
        <w:ind w:left="0" w:firstLine="0"/>
        <w:rPr>
          <w:iCs/>
          <w:color w:val="0000FF"/>
        </w:rPr>
      </w:pPr>
      <w:r>
        <w:rPr>
          <w:iCs/>
          <w:color w:val="0000FF"/>
        </w:rPr>
        <w:t>2</w:t>
      </w:r>
      <w:r w:rsidR="00BC2F04" w:rsidRPr="009D6C57">
        <w:rPr>
          <w:iCs/>
          <w:color w:val="0000FF"/>
        </w:rPr>
        <w:t xml:space="preserve">. Baudet JS, Diaz-Bethencourt D, Aviles J, Aguirre-Jaime A. Minor adverse events of colonoscopy on ambulatory patients: the impact of moderate sedation. </w:t>
      </w:r>
      <w:r w:rsidR="00BC2F04" w:rsidRPr="009D6C57">
        <w:rPr>
          <w:i/>
          <w:iCs/>
          <w:color w:val="0000FF"/>
        </w:rPr>
        <w:t xml:space="preserve">Eur J Gastroenterol Hepatol. </w:t>
      </w:r>
      <w:r w:rsidR="00BC2F04" w:rsidRPr="009D6C57">
        <w:rPr>
          <w:iCs/>
          <w:color w:val="0000FF"/>
        </w:rPr>
        <w:t>Jun 2009;21(6):656-661.</w:t>
      </w:r>
    </w:p>
    <w:p w14:paraId="61283C05" w14:textId="16580461" w:rsidR="00BC2F04" w:rsidRPr="009D6C57" w:rsidRDefault="00AE5744" w:rsidP="006D50CF">
      <w:pPr>
        <w:ind w:left="0" w:firstLine="0"/>
        <w:rPr>
          <w:iCs/>
          <w:color w:val="0000FF"/>
        </w:rPr>
      </w:pPr>
      <w:r>
        <w:rPr>
          <w:iCs/>
          <w:color w:val="0000FF"/>
        </w:rPr>
        <w:t>3</w:t>
      </w:r>
      <w:r w:rsidR="00BC2F04" w:rsidRPr="009D6C57">
        <w:rPr>
          <w:iCs/>
          <w:color w:val="0000FF"/>
        </w:rPr>
        <w:t xml:space="preserve">. Ko CW, Riffle S, Shapiro JA, et al. Incidence of minor complications and time lost from normal activities after screening or surveillance colonoscopy. </w:t>
      </w:r>
      <w:r w:rsidR="00BC2F04" w:rsidRPr="009D6C57">
        <w:rPr>
          <w:i/>
          <w:iCs/>
          <w:color w:val="0000FF"/>
        </w:rPr>
        <w:t xml:space="preserve">Gastrointest Endosc. </w:t>
      </w:r>
      <w:r w:rsidR="00BC2F04" w:rsidRPr="009D6C57">
        <w:rPr>
          <w:iCs/>
          <w:color w:val="0000FF"/>
        </w:rPr>
        <w:t>Apr 2007;65(4):648-</w:t>
      </w:r>
    </w:p>
    <w:p w14:paraId="5F9375FD" w14:textId="647BDFC5" w:rsidR="00BC2F04" w:rsidRDefault="00BC2F04" w:rsidP="006D50CF">
      <w:pPr>
        <w:spacing w:after="120"/>
        <w:ind w:left="0" w:firstLine="0"/>
        <w:rPr>
          <w:iCs/>
          <w:color w:val="0000FF"/>
        </w:rPr>
      </w:pPr>
      <w:r w:rsidRPr="009D6C57">
        <w:rPr>
          <w:iCs/>
          <w:color w:val="0000FF"/>
        </w:rPr>
        <w:t>656.</w:t>
      </w:r>
    </w:p>
    <w:p w14:paraId="76DD66C9" w14:textId="77777777" w:rsidR="000E70E9" w:rsidRPr="000E70E9" w:rsidRDefault="000E70E9" w:rsidP="006D50CF">
      <w:pPr>
        <w:spacing w:after="120"/>
        <w:ind w:left="0" w:firstLine="0"/>
        <w:rPr>
          <w:iCs/>
          <w:color w:val="0000FF"/>
        </w:rPr>
      </w:pPr>
      <w:r w:rsidRPr="000E70E9">
        <w:rPr>
          <w:iCs/>
          <w:color w:val="0000FF"/>
        </w:rPr>
        <w:t>4. Ko CW, Dominitz JA. Complications of colonoscopy: magnitude and management. Gastrointestinal endoscopy clinics of North America. Oct 2010;20(4):659-671.</w:t>
      </w:r>
    </w:p>
    <w:p w14:paraId="7F448039" w14:textId="52ED4B16" w:rsidR="000E70E9" w:rsidRPr="009D6C57" w:rsidRDefault="000E70E9" w:rsidP="000E70E9">
      <w:pPr>
        <w:spacing w:after="120"/>
        <w:ind w:left="0" w:firstLine="0"/>
        <w:rPr>
          <w:iCs/>
          <w:color w:val="0000FF"/>
        </w:rPr>
      </w:pPr>
      <w:r>
        <w:rPr>
          <w:iCs/>
          <w:color w:val="0000FF"/>
        </w:rPr>
        <w:t>5</w:t>
      </w:r>
      <w:r w:rsidRPr="009D6C57">
        <w:rPr>
          <w:iCs/>
          <w:color w:val="0000FF"/>
        </w:rPr>
        <w:t xml:space="preserve">. Committee ASoP, Fisher DA, Maple JT, et al. Complications of colonoscopy. </w:t>
      </w:r>
      <w:r w:rsidRPr="009D6C57">
        <w:rPr>
          <w:i/>
          <w:iCs/>
          <w:color w:val="0000FF"/>
        </w:rPr>
        <w:t xml:space="preserve">Gastrointest Endosc. </w:t>
      </w:r>
      <w:r w:rsidRPr="009D6C57">
        <w:rPr>
          <w:iCs/>
          <w:color w:val="0000FF"/>
        </w:rPr>
        <w:t>Oct 2011;74(4):745-752.</w:t>
      </w:r>
    </w:p>
    <w:p w14:paraId="37225383" w14:textId="49ACB06A" w:rsidR="00BC2F04" w:rsidRPr="009D6C57" w:rsidRDefault="00AE5744" w:rsidP="006D50CF">
      <w:pPr>
        <w:ind w:left="0" w:firstLine="0"/>
        <w:rPr>
          <w:iCs/>
          <w:color w:val="0000FF"/>
        </w:rPr>
      </w:pPr>
      <w:r>
        <w:rPr>
          <w:iCs/>
          <w:color w:val="0000FF"/>
        </w:rPr>
        <w:t>6</w:t>
      </w:r>
      <w:r w:rsidR="00BC2F04" w:rsidRPr="009D6C57">
        <w:rPr>
          <w:iCs/>
          <w:color w:val="0000FF"/>
        </w:rPr>
        <w:t xml:space="preserve">. Warren JL, Klabunde CN, Mariotto AB, et al. Adverse events after outpatient colonoscopy in the </w:t>
      </w:r>
    </w:p>
    <w:p w14:paraId="3AEA91F2" w14:textId="77777777" w:rsidR="00BC2F04" w:rsidRDefault="00BC2F04" w:rsidP="006D50CF">
      <w:pPr>
        <w:spacing w:after="120"/>
        <w:ind w:left="0" w:firstLine="0"/>
        <w:rPr>
          <w:iCs/>
          <w:color w:val="0000FF"/>
        </w:rPr>
      </w:pPr>
      <w:r w:rsidRPr="009D6C57">
        <w:rPr>
          <w:iCs/>
          <w:color w:val="0000FF"/>
        </w:rPr>
        <w:t>Medicare population. Ann Intern Med. Jun 16 2009;150(12):849-857, W152.</w:t>
      </w:r>
    </w:p>
    <w:p w14:paraId="7EBD6B23" w14:textId="4146E317" w:rsidR="00BC2F04" w:rsidRPr="009D6C57" w:rsidRDefault="00AE5744" w:rsidP="000E70E9">
      <w:pPr>
        <w:spacing w:after="120"/>
        <w:ind w:left="0" w:firstLine="0"/>
        <w:rPr>
          <w:iCs/>
          <w:color w:val="0000FF"/>
        </w:rPr>
      </w:pPr>
      <w:r>
        <w:rPr>
          <w:iCs/>
          <w:color w:val="0000FF"/>
        </w:rPr>
        <w:t>7</w:t>
      </w:r>
      <w:r w:rsidR="00BC2F04" w:rsidRPr="009D6C57">
        <w:rPr>
          <w:iCs/>
          <w:color w:val="0000FF"/>
        </w:rPr>
        <w:t xml:space="preserve">. Crispin A, Birkner B, Munte A, Nusko G, Mansmann U. Process quality and incidence of acute complications in a series of more than 230,000 outpatient colonoscopies. </w:t>
      </w:r>
      <w:r w:rsidR="00BC2F04" w:rsidRPr="009D6C57">
        <w:rPr>
          <w:i/>
          <w:iCs/>
          <w:color w:val="0000FF"/>
        </w:rPr>
        <w:t xml:space="preserve">Endoscopy. </w:t>
      </w:r>
      <w:r w:rsidR="00BC2F04" w:rsidRPr="009D6C57">
        <w:rPr>
          <w:iCs/>
          <w:color w:val="0000FF"/>
        </w:rPr>
        <w:t>Dec 2009;41(12):1018-1025.</w:t>
      </w:r>
    </w:p>
    <w:p w14:paraId="43C41753" w14:textId="4C1A42C5" w:rsidR="00BC2F04" w:rsidRPr="009D6C57" w:rsidRDefault="00AE5744" w:rsidP="000E70E9">
      <w:pPr>
        <w:spacing w:after="120"/>
        <w:ind w:left="0" w:firstLine="0"/>
        <w:rPr>
          <w:iCs/>
          <w:color w:val="0000FF"/>
        </w:rPr>
      </w:pPr>
      <w:r>
        <w:rPr>
          <w:iCs/>
          <w:color w:val="0000FF"/>
        </w:rPr>
        <w:t>8</w:t>
      </w:r>
      <w:r w:rsidR="00BC2F04" w:rsidRPr="009D6C57">
        <w:rPr>
          <w:iCs/>
          <w:color w:val="0000FF"/>
        </w:rPr>
        <w:t>. Radaelli F, Meucci G, Minoli G</w:t>
      </w:r>
      <w:r w:rsidR="00282830">
        <w:rPr>
          <w:iCs/>
          <w:color w:val="0000FF"/>
        </w:rPr>
        <w:t>.</w:t>
      </w:r>
      <w:r w:rsidR="00BC2F04" w:rsidRPr="009D6C57">
        <w:rPr>
          <w:iCs/>
          <w:color w:val="0000FF"/>
        </w:rPr>
        <w:t xml:space="preserve"> Italian Association of Hospital G. Colonoscopy practice in Italy: a prospective survey on behalf of the Italian Association of Hospital Gastroenterologists. Nov 2008;40(11):897-904.</w:t>
      </w:r>
    </w:p>
    <w:p w14:paraId="54BF9D7F" w14:textId="260C6FC8" w:rsidR="00BC2F04" w:rsidRPr="009D6C57" w:rsidRDefault="00AE5744" w:rsidP="000E70E9">
      <w:pPr>
        <w:spacing w:after="120"/>
        <w:ind w:left="0" w:firstLine="0"/>
        <w:rPr>
          <w:iCs/>
          <w:color w:val="0000FF"/>
        </w:rPr>
      </w:pPr>
      <w:r>
        <w:rPr>
          <w:iCs/>
          <w:color w:val="0000FF"/>
        </w:rPr>
        <w:t>9</w:t>
      </w:r>
      <w:r w:rsidR="00BC2F04" w:rsidRPr="009D6C57">
        <w:rPr>
          <w:iCs/>
          <w:color w:val="0000FF"/>
        </w:rPr>
        <w:t xml:space="preserve">. Singh H, Penfold RB, DeCoster C, et al. Colonoscopy and its complications across a Canadian regional health authority. </w:t>
      </w:r>
      <w:r w:rsidR="00BC2F04" w:rsidRPr="009D6C57">
        <w:rPr>
          <w:i/>
          <w:iCs/>
          <w:color w:val="0000FF"/>
        </w:rPr>
        <w:t xml:space="preserve">Dig Liver Dis. </w:t>
      </w:r>
      <w:r w:rsidR="00BC2F04" w:rsidRPr="009D6C57">
        <w:rPr>
          <w:iCs/>
          <w:color w:val="0000FF"/>
        </w:rPr>
        <w:t>Mar 2009;69(3):665-671.</w:t>
      </w:r>
    </w:p>
    <w:p w14:paraId="38C78092" w14:textId="6AE4C2C6" w:rsidR="000E70E9" w:rsidRPr="000E70E9" w:rsidRDefault="000E70E9" w:rsidP="000E70E9">
      <w:pPr>
        <w:spacing w:after="120"/>
        <w:ind w:left="0" w:firstLine="0"/>
        <w:rPr>
          <w:iCs/>
          <w:color w:val="FF0000"/>
        </w:rPr>
      </w:pPr>
      <w:r>
        <w:rPr>
          <w:iCs/>
          <w:color w:val="FF0000"/>
        </w:rPr>
        <w:t xml:space="preserve">10. </w:t>
      </w:r>
      <w:r w:rsidRPr="00E30441">
        <w:rPr>
          <w:iCs/>
          <w:color w:val="FF0000"/>
        </w:rPr>
        <w:t>Wang P, Xu T, Ngamruengphong S, Makary MA, Kalloo A, Hutfless S. Rates of infection after colonoscopy and osophagogastroduodenoscopy in ambulatory surgery centres in the USA. Gut. 2018;67(9):1626–1636</w:t>
      </w:r>
      <w:r>
        <w:rPr>
          <w:iCs/>
          <w:color w:val="FF0000"/>
        </w:rPr>
        <w:t xml:space="preserve">. </w:t>
      </w:r>
    </w:p>
    <w:p w14:paraId="1617BDD9" w14:textId="073030C0" w:rsidR="00F734DC" w:rsidRDefault="00AE5744" w:rsidP="000E70E9">
      <w:pPr>
        <w:spacing w:after="120"/>
        <w:ind w:left="0" w:firstLine="0"/>
        <w:rPr>
          <w:iCs/>
          <w:color w:val="FF0000"/>
        </w:rPr>
      </w:pPr>
      <w:r>
        <w:rPr>
          <w:iCs/>
          <w:color w:val="FF0000"/>
        </w:rPr>
        <w:t>11</w:t>
      </w:r>
      <w:r w:rsidR="00F734DC" w:rsidRPr="00E4650C">
        <w:rPr>
          <w:iCs/>
          <w:color w:val="FF0000"/>
        </w:rPr>
        <w:t xml:space="preserve">. </w:t>
      </w:r>
      <w:r w:rsidR="00282830" w:rsidRPr="00E4650C">
        <w:rPr>
          <w:iCs/>
          <w:color w:val="FF0000"/>
        </w:rPr>
        <w:t>Ranasinghe I, Parzynski CS, Searfoss R, Montague J, Lin Z, Allen J, Ve</w:t>
      </w:r>
      <w:r w:rsidR="003C206D">
        <w:rPr>
          <w:iCs/>
          <w:color w:val="FF0000"/>
        </w:rPr>
        <w:t xml:space="preserve">nder R, </w:t>
      </w:r>
      <w:r w:rsidR="00282830" w:rsidRPr="00E4650C">
        <w:rPr>
          <w:iCs/>
          <w:color w:val="FF0000"/>
        </w:rPr>
        <w:t>Bhat K, Ross JS, Bernheim S, Krumho</w:t>
      </w:r>
      <w:r w:rsidR="006D50CF">
        <w:rPr>
          <w:iCs/>
          <w:color w:val="FF0000"/>
        </w:rPr>
        <w:t>lz HM, Drye EE. Differences in colonoscopy quality among facilities: Development of a post-colonoscopy risk-standardized rate of unplanned hospital v</w:t>
      </w:r>
      <w:r w:rsidR="00282830" w:rsidRPr="00E4650C">
        <w:rPr>
          <w:iCs/>
          <w:color w:val="FF0000"/>
        </w:rPr>
        <w:t xml:space="preserve">isits. </w:t>
      </w:r>
      <w:r w:rsidR="00282830" w:rsidRPr="00E4650C">
        <w:rPr>
          <w:i/>
          <w:iCs/>
          <w:color w:val="FF0000"/>
        </w:rPr>
        <w:t>Gastroenterology</w:t>
      </w:r>
      <w:r w:rsidR="00282830" w:rsidRPr="00E4650C">
        <w:rPr>
          <w:iCs/>
          <w:color w:val="FF0000"/>
        </w:rPr>
        <w:t>. Jan 2016;150(1):103-13.</w:t>
      </w:r>
    </w:p>
    <w:p w14:paraId="3192C657" w14:textId="6FF3A319" w:rsidR="000E70E9" w:rsidRDefault="000E70E9" w:rsidP="000E70E9">
      <w:pPr>
        <w:spacing w:after="120"/>
        <w:ind w:left="0" w:firstLine="0"/>
        <w:rPr>
          <w:iCs/>
          <w:color w:val="FF0000"/>
        </w:rPr>
      </w:pPr>
      <w:r>
        <w:rPr>
          <w:iCs/>
          <w:color w:val="FF0000"/>
        </w:rPr>
        <w:t>1</w:t>
      </w:r>
      <w:r w:rsidRPr="00E4650C">
        <w:rPr>
          <w:iCs/>
          <w:color w:val="FF0000"/>
        </w:rPr>
        <w:t xml:space="preserve">2. Wang L, Mannalithara A, Singh G, Ladabaum U. </w:t>
      </w:r>
      <w:r w:rsidR="006D50CF">
        <w:rPr>
          <w:iCs/>
          <w:color w:val="FF0000"/>
        </w:rPr>
        <w:t>Low rates of gastrointestinal and non-gastrointestinal complications for screening or surveillance colonoscopies in a population-based s</w:t>
      </w:r>
      <w:r w:rsidRPr="00E4650C">
        <w:rPr>
          <w:iCs/>
          <w:color w:val="FF0000"/>
        </w:rPr>
        <w:t xml:space="preserve">tudy. </w:t>
      </w:r>
      <w:r w:rsidRPr="00E4650C">
        <w:rPr>
          <w:i/>
          <w:iCs/>
          <w:color w:val="FF0000"/>
        </w:rPr>
        <w:t>Gastroenterology</w:t>
      </w:r>
      <w:r w:rsidRPr="00E4650C">
        <w:rPr>
          <w:iCs/>
          <w:color w:val="FF0000"/>
        </w:rPr>
        <w:t>. Oct 2018;154:540-555.</w:t>
      </w:r>
    </w:p>
    <w:p w14:paraId="2393E298" w14:textId="75CF4180" w:rsidR="000E70E9" w:rsidRPr="00E4650C" w:rsidRDefault="000E70E9" w:rsidP="000E70E9">
      <w:pPr>
        <w:spacing w:after="120"/>
        <w:ind w:left="0" w:firstLine="0"/>
        <w:rPr>
          <w:iCs/>
          <w:color w:val="FF0000"/>
        </w:rPr>
      </w:pPr>
      <w:r>
        <w:rPr>
          <w:iCs/>
          <w:color w:val="FF0000"/>
        </w:rPr>
        <w:t>13</w:t>
      </w:r>
      <w:r w:rsidRPr="00E4650C">
        <w:rPr>
          <w:iCs/>
          <w:color w:val="FF0000"/>
        </w:rPr>
        <w:t xml:space="preserve">. Grossberg LB, Vodonos A, Papamichael K, Novack V, Sawhney M, Leffler DA. Predictors of post-colonoscopy emergency department use. </w:t>
      </w:r>
      <w:r w:rsidRPr="00E4650C">
        <w:rPr>
          <w:i/>
          <w:iCs/>
          <w:color w:val="FF0000"/>
        </w:rPr>
        <w:t>Gastrointest Endosc</w:t>
      </w:r>
      <w:r w:rsidRPr="00E4650C">
        <w:rPr>
          <w:iCs/>
          <w:color w:val="FF0000"/>
        </w:rPr>
        <w:t>. Feb 2018;87(2):517-525.</w:t>
      </w:r>
    </w:p>
    <w:p w14:paraId="0C8810DD" w14:textId="185E5294" w:rsidR="00E30441" w:rsidRDefault="00E30441" w:rsidP="000E70E9">
      <w:pPr>
        <w:spacing w:after="120"/>
        <w:ind w:left="0" w:firstLine="0"/>
        <w:rPr>
          <w:iCs/>
          <w:color w:val="FF0000"/>
        </w:rPr>
      </w:pPr>
      <w:r>
        <w:rPr>
          <w:iCs/>
          <w:color w:val="FF0000"/>
        </w:rPr>
        <w:t>1</w:t>
      </w:r>
      <w:r w:rsidR="00AE5744">
        <w:rPr>
          <w:iCs/>
          <w:color w:val="FF0000"/>
        </w:rPr>
        <w:t>4</w:t>
      </w:r>
      <w:r>
        <w:rPr>
          <w:iCs/>
          <w:color w:val="FF0000"/>
        </w:rPr>
        <w:t xml:space="preserve">. </w:t>
      </w:r>
      <w:r w:rsidRPr="00E30441">
        <w:rPr>
          <w:iCs/>
          <w:color w:val="FF0000"/>
        </w:rPr>
        <w:t xml:space="preserve">Bielawska B, Hookey LC, </w:t>
      </w:r>
      <w:r w:rsidR="006D50CF">
        <w:rPr>
          <w:iCs/>
          <w:color w:val="FF0000"/>
        </w:rPr>
        <w:t>Sutradhar R, et al. Anesthesia a</w:t>
      </w:r>
      <w:r w:rsidRPr="00E30441">
        <w:rPr>
          <w:iCs/>
          <w:color w:val="FF0000"/>
        </w:rPr>
        <w:t>ssistance in</w:t>
      </w:r>
      <w:r w:rsidR="006D50CF">
        <w:rPr>
          <w:iCs/>
          <w:color w:val="FF0000"/>
        </w:rPr>
        <w:t xml:space="preserve"> outpatient colonoscopy and risk of aspiration pneumonia, bowel perforation, and splenic i</w:t>
      </w:r>
      <w:r w:rsidRPr="00E30441">
        <w:rPr>
          <w:iCs/>
          <w:color w:val="FF0000"/>
        </w:rPr>
        <w:t>njury. Gastroenterology. 2018;154(1):77–85.e3.</w:t>
      </w:r>
      <w:r>
        <w:rPr>
          <w:iCs/>
          <w:color w:val="FF0000"/>
        </w:rPr>
        <w:t xml:space="preserve"> </w:t>
      </w:r>
    </w:p>
    <w:p w14:paraId="1FDE85EE" w14:textId="77777777" w:rsidR="000E70E9" w:rsidRDefault="000E70E9" w:rsidP="000E70E9">
      <w:pPr>
        <w:spacing w:after="120"/>
        <w:ind w:left="0" w:firstLine="0"/>
        <w:rPr>
          <w:iCs/>
          <w:color w:val="0000FF"/>
        </w:rPr>
      </w:pPr>
      <w:r>
        <w:rPr>
          <w:iCs/>
          <w:color w:val="0000FF"/>
        </w:rPr>
        <w:t>15</w:t>
      </w:r>
      <w:r w:rsidRPr="009D6C57">
        <w:rPr>
          <w:iCs/>
          <w:color w:val="0000FF"/>
        </w:rPr>
        <w:t xml:space="preserve">. Leffler DA, Kheraj R, Garud S, Neeman N, Nathanson LA, Kelly CP, Sawhney M, Landon B, Doyle R, Rosenberg S, Aronson M. The incidence and cost of unexpected hospital use after scheduled outpatient endoscopy. </w:t>
      </w:r>
      <w:r w:rsidRPr="009D6C57">
        <w:rPr>
          <w:i/>
          <w:iCs/>
          <w:color w:val="0000FF"/>
        </w:rPr>
        <w:t xml:space="preserve">Arch Intern Med. </w:t>
      </w:r>
      <w:r w:rsidRPr="009D6C57">
        <w:rPr>
          <w:iCs/>
          <w:color w:val="0000FF"/>
        </w:rPr>
        <w:t>2010;170:1752-1757</w:t>
      </w:r>
      <w:r>
        <w:rPr>
          <w:iCs/>
          <w:color w:val="0000FF"/>
        </w:rPr>
        <w:t>.</w:t>
      </w:r>
    </w:p>
    <w:p w14:paraId="00F6C310" w14:textId="77777777" w:rsidR="000E70E9" w:rsidRPr="00E4650C" w:rsidRDefault="000E70E9" w:rsidP="00282830">
      <w:pPr>
        <w:ind w:left="0" w:firstLine="0"/>
        <w:rPr>
          <w:iCs/>
          <w:color w:val="FF0000"/>
        </w:rPr>
      </w:pPr>
    </w:p>
    <w:p w14:paraId="55B8DA65" w14:textId="77777777" w:rsidR="00676BD4" w:rsidRDefault="00676BD4" w:rsidP="002E2177">
      <w:pPr>
        <w:ind w:left="0" w:firstLine="0"/>
        <w:rPr>
          <w:i/>
          <w:iCs/>
          <w:highlight w:val="green"/>
          <w:u w:val="single"/>
        </w:rPr>
      </w:pPr>
    </w:p>
    <w:p w14:paraId="55B8DA66" w14:textId="2F1A938B"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4296CBB1" w14:textId="77777777" w:rsidR="00BC2F04" w:rsidRPr="009D6C57" w:rsidRDefault="00BC2F04" w:rsidP="00900508">
      <w:pPr>
        <w:pBdr>
          <w:top w:val="single" w:sz="4" w:space="1" w:color="auto"/>
          <w:left w:val="single" w:sz="4" w:space="4" w:color="auto"/>
          <w:bottom w:val="single" w:sz="4" w:space="1" w:color="auto"/>
          <w:right w:val="single" w:sz="4" w:space="4" w:color="auto"/>
        </w:pBdr>
        <w:ind w:left="0" w:firstLine="0"/>
        <w:rPr>
          <w:iCs/>
          <w:color w:val="0000FF"/>
        </w:rPr>
      </w:pPr>
      <w:r w:rsidRPr="009D6C57">
        <w:rPr>
          <w:iCs/>
          <w:color w:val="0000FF"/>
        </w:rPr>
        <w:t>Not applicable. This is an outcome measure.</w:t>
      </w:r>
    </w:p>
    <w:p w14:paraId="242BE256" w14:textId="77777777" w:rsidR="00BC2F04" w:rsidRDefault="00BC2F04"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62EA0DFB" w14:textId="77777777" w:rsidR="00BC2F04" w:rsidRPr="009D6C57" w:rsidRDefault="00BC2F04" w:rsidP="00900508">
      <w:pPr>
        <w:pBdr>
          <w:top w:val="single" w:sz="4" w:space="1" w:color="auto"/>
          <w:left w:val="single" w:sz="4" w:space="4" w:color="auto"/>
          <w:bottom w:val="single" w:sz="4" w:space="1" w:color="auto"/>
          <w:right w:val="single" w:sz="4" w:space="4" w:color="auto"/>
        </w:pBdr>
        <w:ind w:left="0" w:firstLine="0"/>
        <w:rPr>
          <w:iCs/>
          <w:color w:val="0000FF"/>
        </w:rPr>
      </w:pPr>
      <w:r w:rsidRPr="009D6C57">
        <w:rPr>
          <w:iCs/>
          <w:color w:val="0000FF"/>
        </w:rPr>
        <w:t>Not applicable. This is an outcome measure.</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23A379C2" w:rsidR="00AB4ECE" w:rsidRPr="00AB4ECE" w:rsidRDefault="00BC2F04" w:rsidP="002E2177">
            <w:pPr>
              <w:ind w:left="0" w:firstLine="0"/>
              <w:rPr>
                <w:b/>
              </w:rPr>
            </w:pPr>
            <w:r w:rsidRPr="009D6C57">
              <w:rPr>
                <w:iCs/>
                <w:color w:val="0000FF"/>
              </w:rPr>
              <w:t>Not applicable. This is an outcome measure.</w:t>
            </w: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5182C5AB" w:rsidR="00AB4ECE" w:rsidRDefault="00BC2F04" w:rsidP="002E2177">
            <w:pPr>
              <w:ind w:left="0" w:firstLine="0"/>
            </w:pPr>
            <w:r w:rsidRPr="009D6C57">
              <w:rPr>
                <w:iCs/>
                <w:color w:val="0000FF"/>
              </w:rPr>
              <w:t>Not applicable. This is an outcome measure.</w:t>
            </w: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20E601D2" w:rsidR="00AB4ECE" w:rsidRDefault="00BC2F04" w:rsidP="002E2177">
            <w:pPr>
              <w:ind w:left="0" w:firstLine="0"/>
            </w:pPr>
            <w:r w:rsidRPr="009D6C57">
              <w:rPr>
                <w:iCs/>
                <w:color w:val="0000FF"/>
              </w:rPr>
              <w:t>Not applicable. This is an outcome measure.</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32E0A0D1" w:rsidR="00AB4ECE" w:rsidRDefault="00BC2F04" w:rsidP="002E2177">
            <w:pPr>
              <w:ind w:left="0" w:firstLine="0"/>
            </w:pPr>
            <w:r w:rsidRPr="009D6C57">
              <w:rPr>
                <w:iCs/>
                <w:color w:val="0000FF"/>
              </w:rPr>
              <w:t>Not applicable. This is an outcome measure.</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6E864F5C" w:rsidR="00AB4ECE" w:rsidRDefault="00BC2F04" w:rsidP="002E2177">
            <w:pPr>
              <w:ind w:left="0" w:firstLine="0"/>
            </w:pPr>
            <w:r w:rsidRPr="009D6C57">
              <w:rPr>
                <w:iCs/>
                <w:color w:val="0000FF"/>
              </w:rPr>
              <w:t>Not applicable. This is an outcome measure.</w:t>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319F69AB" w:rsidR="00AB4ECE" w:rsidRDefault="00BC2F04" w:rsidP="002E2177">
            <w:pPr>
              <w:ind w:left="0" w:firstLine="0"/>
            </w:pPr>
            <w:r w:rsidRPr="009D6C57">
              <w:rPr>
                <w:iCs/>
                <w:color w:val="0000FF"/>
              </w:rPr>
              <w:t>Not applicable. This is an outcome measure.</w:t>
            </w: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4BA598AA" w:rsidR="00AB4ECE" w:rsidRDefault="00BC2F04" w:rsidP="002E2177">
            <w:pPr>
              <w:ind w:left="0" w:firstLine="0"/>
            </w:pPr>
            <w:r w:rsidRPr="009D6C57">
              <w:rPr>
                <w:iCs/>
                <w:color w:val="0000FF"/>
              </w:rPr>
              <w:t>Not applicable. This is an outcome measure.</w:t>
            </w: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2ADE9FE7" w:rsidR="00AB4ECE" w:rsidRDefault="00BC2F04" w:rsidP="002E2177">
            <w:pPr>
              <w:ind w:left="0" w:firstLine="0"/>
            </w:pPr>
            <w:r w:rsidRPr="009D6C57">
              <w:rPr>
                <w:iCs/>
                <w:color w:val="0000FF"/>
              </w:rPr>
              <w:t>Not applicable. This is an outcome measure.</w:t>
            </w: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39A93B35" w:rsidR="000E5C93" w:rsidRDefault="00BC2F04" w:rsidP="002E2177">
            <w:pPr>
              <w:ind w:left="0" w:firstLine="0"/>
            </w:pPr>
            <w:r w:rsidRPr="009D6C57">
              <w:rPr>
                <w:iCs/>
                <w:color w:val="0000FF"/>
              </w:rPr>
              <w:t>Not applicable. This is an outcome measure.</w:t>
            </w: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2C513560" w:rsidR="000E5C93" w:rsidRDefault="00BC2F04" w:rsidP="002E2177">
            <w:pPr>
              <w:ind w:left="0" w:firstLine="0"/>
            </w:pPr>
            <w:r w:rsidRPr="009D6C57">
              <w:rPr>
                <w:iCs/>
                <w:color w:val="0000FF"/>
              </w:rPr>
              <w:t>Not applicable. This is an outcome measure.</w:t>
            </w: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4612D29B" w14:textId="5B26614B" w:rsidR="00BC2F04" w:rsidRDefault="00BC2F04" w:rsidP="00900508">
      <w:pPr>
        <w:pBdr>
          <w:top w:val="single" w:sz="4" w:space="1" w:color="auto"/>
          <w:left w:val="single" w:sz="4" w:space="4" w:color="auto"/>
          <w:bottom w:val="single" w:sz="4" w:space="1" w:color="auto"/>
          <w:right w:val="single" w:sz="4" w:space="4" w:color="auto"/>
        </w:pBdr>
        <w:ind w:left="0" w:firstLine="0"/>
        <w:rPr>
          <w:b/>
        </w:rPr>
      </w:pPr>
      <w:r w:rsidRPr="009D6C57">
        <w:rPr>
          <w:iCs/>
          <w:color w:val="0000FF"/>
        </w:rPr>
        <w:t>Not applicable. This is an outcome measure.</w:t>
      </w:r>
    </w:p>
    <w:p w14:paraId="4279648A" w14:textId="77777777" w:rsidR="00BC2F04" w:rsidRDefault="00BC2F04"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Default="00837121" w:rsidP="002E2177">
      <w:pPr>
        <w:ind w:left="0" w:firstLine="0"/>
      </w:pPr>
    </w:p>
    <w:p w14:paraId="4E5DE61E" w14:textId="0351EADD" w:rsidR="00BC2F04" w:rsidRDefault="00BC2F04" w:rsidP="00900508">
      <w:pPr>
        <w:pBdr>
          <w:top w:val="single" w:sz="4" w:space="1" w:color="auto"/>
          <w:left w:val="single" w:sz="4" w:space="4" w:color="auto"/>
          <w:bottom w:val="single" w:sz="4" w:space="1" w:color="auto"/>
          <w:right w:val="single" w:sz="4" w:space="4" w:color="auto"/>
        </w:pBdr>
        <w:ind w:left="0" w:firstLine="0"/>
      </w:pPr>
      <w:r w:rsidRPr="009D6C57">
        <w:rPr>
          <w:iCs/>
          <w:color w:val="0000FF"/>
        </w:rPr>
        <w:t>Not applicable. This is an outcome measure.</w:t>
      </w:r>
    </w:p>
    <w:p w14:paraId="6A6F640B" w14:textId="77777777" w:rsidR="00BC2F04" w:rsidRPr="003B1CC5" w:rsidRDefault="00BC2F04" w:rsidP="002E2177">
      <w:pPr>
        <w:ind w:left="0" w:firstLine="0"/>
      </w:pPr>
    </w:p>
    <w:p w14:paraId="55B8DA9D" w14:textId="77777777"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8ABCB37" w14:textId="77777777" w:rsidR="00BC2F04" w:rsidRDefault="00BC2F04" w:rsidP="002E2177">
      <w:pPr>
        <w:ind w:left="0" w:firstLine="0"/>
        <w:rPr>
          <w:b/>
        </w:rPr>
      </w:pPr>
    </w:p>
    <w:p w14:paraId="71A00041" w14:textId="3FBD0A68" w:rsidR="00BC2F04" w:rsidRPr="001B772D" w:rsidRDefault="00BC2F04" w:rsidP="00900508">
      <w:pPr>
        <w:pBdr>
          <w:top w:val="single" w:sz="4" w:space="1" w:color="auto"/>
          <w:left w:val="single" w:sz="4" w:space="4" w:color="auto"/>
          <w:bottom w:val="single" w:sz="4" w:space="1" w:color="auto"/>
          <w:right w:val="single" w:sz="4" w:space="4" w:color="auto"/>
        </w:pBdr>
        <w:ind w:left="0" w:firstLine="0"/>
      </w:pPr>
      <w:r w:rsidRPr="009D6C57">
        <w:rPr>
          <w:iCs/>
          <w:color w:val="0000FF"/>
        </w:rPr>
        <w:t>Not applicable. This is an outcome measure.</w:t>
      </w:r>
      <w:bookmarkStart w:id="8" w:name="_GoBack"/>
      <w:bookmarkEnd w:id="0"/>
      <w:bookmarkEnd w:id="8"/>
    </w:p>
    <w:sectPr w:rsidR="00BC2F04" w:rsidRPr="001B772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8B538" w14:textId="77777777" w:rsidR="004F1A86" w:rsidRDefault="004F1A86" w:rsidP="007E37A5">
      <w:r>
        <w:separator/>
      </w:r>
    </w:p>
  </w:endnote>
  <w:endnote w:type="continuationSeparator" w:id="0">
    <w:p w14:paraId="139D7010" w14:textId="77777777" w:rsidR="004F1A86" w:rsidRDefault="004F1A86"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003A59CE" w:rsidR="00580E03" w:rsidRDefault="00580E03" w:rsidP="00BF096F">
    <w:pPr>
      <w:pStyle w:val="Footer"/>
    </w:pPr>
    <w:r w:rsidRPr="00395263">
      <w:t xml:space="preserve">Version </w:t>
    </w:r>
    <w:r>
      <w:t xml:space="preserve">7.1 </w:t>
    </w:r>
    <w:r w:rsidRPr="00395263">
      <w:t xml:space="preserve"> </w:t>
    </w:r>
    <w:r>
      <w:t>4/8/19</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F1A86">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9E151" w14:textId="77777777" w:rsidR="004F1A86" w:rsidRDefault="004F1A86" w:rsidP="007E37A5">
      <w:r>
        <w:separator/>
      </w:r>
    </w:p>
  </w:footnote>
  <w:footnote w:type="continuationSeparator" w:id="0">
    <w:p w14:paraId="2BB0B05E" w14:textId="77777777" w:rsidR="004F1A86" w:rsidRDefault="004F1A86"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580E03" w:rsidRDefault="00580E03"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8677C"/>
    <w:multiLevelType w:val="hybridMultilevel"/>
    <w:tmpl w:val="540E0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82C4E09"/>
    <w:multiLevelType w:val="hybridMultilevel"/>
    <w:tmpl w:val="B7A8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0D3291"/>
    <w:multiLevelType w:val="hybridMultilevel"/>
    <w:tmpl w:val="299A709C"/>
    <w:lvl w:ilvl="0" w:tplc="8B4C4A16">
      <w:start w:val="1"/>
      <w:numFmt w:val="bullet"/>
      <w:lvlText w:val="•"/>
      <w:lvlJc w:val="left"/>
      <w:pPr>
        <w:tabs>
          <w:tab w:val="num" w:pos="720"/>
        </w:tabs>
        <w:ind w:left="720" w:hanging="360"/>
      </w:pPr>
      <w:rPr>
        <w:rFonts w:ascii="Times New Roman" w:hAnsi="Times New Roman" w:hint="default"/>
      </w:rPr>
    </w:lvl>
    <w:lvl w:ilvl="1" w:tplc="B46C3400" w:tentative="1">
      <w:start w:val="1"/>
      <w:numFmt w:val="bullet"/>
      <w:lvlText w:val="•"/>
      <w:lvlJc w:val="left"/>
      <w:pPr>
        <w:tabs>
          <w:tab w:val="num" w:pos="1440"/>
        </w:tabs>
        <w:ind w:left="1440" w:hanging="360"/>
      </w:pPr>
      <w:rPr>
        <w:rFonts w:ascii="Times New Roman" w:hAnsi="Times New Roman" w:hint="default"/>
      </w:rPr>
    </w:lvl>
    <w:lvl w:ilvl="2" w:tplc="42BA2772" w:tentative="1">
      <w:start w:val="1"/>
      <w:numFmt w:val="bullet"/>
      <w:lvlText w:val="•"/>
      <w:lvlJc w:val="left"/>
      <w:pPr>
        <w:tabs>
          <w:tab w:val="num" w:pos="2160"/>
        </w:tabs>
        <w:ind w:left="2160" w:hanging="360"/>
      </w:pPr>
      <w:rPr>
        <w:rFonts w:ascii="Times New Roman" w:hAnsi="Times New Roman" w:hint="default"/>
      </w:rPr>
    </w:lvl>
    <w:lvl w:ilvl="3" w:tplc="A88E04EA" w:tentative="1">
      <w:start w:val="1"/>
      <w:numFmt w:val="bullet"/>
      <w:lvlText w:val="•"/>
      <w:lvlJc w:val="left"/>
      <w:pPr>
        <w:tabs>
          <w:tab w:val="num" w:pos="2880"/>
        </w:tabs>
        <w:ind w:left="2880" w:hanging="360"/>
      </w:pPr>
      <w:rPr>
        <w:rFonts w:ascii="Times New Roman" w:hAnsi="Times New Roman" w:hint="default"/>
      </w:rPr>
    </w:lvl>
    <w:lvl w:ilvl="4" w:tplc="CE58ACF2" w:tentative="1">
      <w:start w:val="1"/>
      <w:numFmt w:val="bullet"/>
      <w:lvlText w:val="•"/>
      <w:lvlJc w:val="left"/>
      <w:pPr>
        <w:tabs>
          <w:tab w:val="num" w:pos="3600"/>
        </w:tabs>
        <w:ind w:left="3600" w:hanging="360"/>
      </w:pPr>
      <w:rPr>
        <w:rFonts w:ascii="Times New Roman" w:hAnsi="Times New Roman" w:hint="default"/>
      </w:rPr>
    </w:lvl>
    <w:lvl w:ilvl="5" w:tplc="3CD6518A" w:tentative="1">
      <w:start w:val="1"/>
      <w:numFmt w:val="bullet"/>
      <w:lvlText w:val="•"/>
      <w:lvlJc w:val="left"/>
      <w:pPr>
        <w:tabs>
          <w:tab w:val="num" w:pos="4320"/>
        </w:tabs>
        <w:ind w:left="4320" w:hanging="360"/>
      </w:pPr>
      <w:rPr>
        <w:rFonts w:ascii="Times New Roman" w:hAnsi="Times New Roman" w:hint="default"/>
      </w:rPr>
    </w:lvl>
    <w:lvl w:ilvl="6" w:tplc="871E0A16" w:tentative="1">
      <w:start w:val="1"/>
      <w:numFmt w:val="bullet"/>
      <w:lvlText w:val="•"/>
      <w:lvlJc w:val="left"/>
      <w:pPr>
        <w:tabs>
          <w:tab w:val="num" w:pos="5040"/>
        </w:tabs>
        <w:ind w:left="5040" w:hanging="360"/>
      </w:pPr>
      <w:rPr>
        <w:rFonts w:ascii="Times New Roman" w:hAnsi="Times New Roman" w:hint="default"/>
      </w:rPr>
    </w:lvl>
    <w:lvl w:ilvl="7" w:tplc="2E30326C" w:tentative="1">
      <w:start w:val="1"/>
      <w:numFmt w:val="bullet"/>
      <w:lvlText w:val="•"/>
      <w:lvlJc w:val="left"/>
      <w:pPr>
        <w:tabs>
          <w:tab w:val="num" w:pos="5760"/>
        </w:tabs>
        <w:ind w:left="5760" w:hanging="360"/>
      </w:pPr>
      <w:rPr>
        <w:rFonts w:ascii="Times New Roman" w:hAnsi="Times New Roman" w:hint="default"/>
      </w:rPr>
    </w:lvl>
    <w:lvl w:ilvl="8" w:tplc="A4FA7D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8"/>
  </w:num>
  <w:num w:numId="3">
    <w:abstractNumId w:val="2"/>
  </w:num>
  <w:num w:numId="4">
    <w:abstractNumId w:val="3"/>
  </w:num>
  <w:num w:numId="5">
    <w:abstractNumId w:val="5"/>
  </w:num>
  <w:num w:numId="6">
    <w:abstractNumId w:val="4"/>
  </w:num>
  <w:num w:numId="7">
    <w:abstractNumId w:val="11"/>
  </w:num>
  <w:num w:numId="8">
    <w:abstractNumId w:val="10"/>
  </w:num>
  <w:num w:numId="9">
    <w:abstractNumId w:val="12"/>
  </w:num>
  <w:num w:numId="10">
    <w:abstractNumId w:val="1"/>
  </w:num>
  <w:num w:numId="11">
    <w:abstractNumId w:val="7"/>
  </w:num>
  <w:num w:numId="12">
    <w:abstractNumId w:val="13"/>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2936"/>
    <w:rsid w:val="00015986"/>
    <w:rsid w:val="000160E6"/>
    <w:rsid w:val="000174F6"/>
    <w:rsid w:val="00024526"/>
    <w:rsid w:val="00030F43"/>
    <w:rsid w:val="00040DCF"/>
    <w:rsid w:val="00052C0B"/>
    <w:rsid w:val="00052EEE"/>
    <w:rsid w:val="00061CF3"/>
    <w:rsid w:val="00063601"/>
    <w:rsid w:val="00073079"/>
    <w:rsid w:val="0007357B"/>
    <w:rsid w:val="0007593F"/>
    <w:rsid w:val="00095EC9"/>
    <w:rsid w:val="00096A37"/>
    <w:rsid w:val="000A0810"/>
    <w:rsid w:val="000B627F"/>
    <w:rsid w:val="000B6994"/>
    <w:rsid w:val="000B7ED4"/>
    <w:rsid w:val="000D41D1"/>
    <w:rsid w:val="000D649E"/>
    <w:rsid w:val="000D6D06"/>
    <w:rsid w:val="000E3D31"/>
    <w:rsid w:val="000E5C93"/>
    <w:rsid w:val="000E70E9"/>
    <w:rsid w:val="000F39F2"/>
    <w:rsid w:val="000F4A7F"/>
    <w:rsid w:val="00101B21"/>
    <w:rsid w:val="00114848"/>
    <w:rsid w:val="00120934"/>
    <w:rsid w:val="00121100"/>
    <w:rsid w:val="00132070"/>
    <w:rsid w:val="001413A8"/>
    <w:rsid w:val="00141875"/>
    <w:rsid w:val="00141C04"/>
    <w:rsid w:val="0014347E"/>
    <w:rsid w:val="00147FFD"/>
    <w:rsid w:val="00153791"/>
    <w:rsid w:val="00154438"/>
    <w:rsid w:val="001551F6"/>
    <w:rsid w:val="0015535B"/>
    <w:rsid w:val="00155BBE"/>
    <w:rsid w:val="0016182B"/>
    <w:rsid w:val="00162036"/>
    <w:rsid w:val="001632DD"/>
    <w:rsid w:val="0017487F"/>
    <w:rsid w:val="00176E60"/>
    <w:rsid w:val="00180E96"/>
    <w:rsid w:val="00192781"/>
    <w:rsid w:val="00193E4D"/>
    <w:rsid w:val="00194913"/>
    <w:rsid w:val="00194D9A"/>
    <w:rsid w:val="001A196B"/>
    <w:rsid w:val="001A6D05"/>
    <w:rsid w:val="001B38BF"/>
    <w:rsid w:val="001B772D"/>
    <w:rsid w:val="001B7B51"/>
    <w:rsid w:val="001C00FD"/>
    <w:rsid w:val="001C0210"/>
    <w:rsid w:val="001D5B5D"/>
    <w:rsid w:val="001D5E7E"/>
    <w:rsid w:val="001E6153"/>
    <w:rsid w:val="00201FF9"/>
    <w:rsid w:val="00205857"/>
    <w:rsid w:val="00211A36"/>
    <w:rsid w:val="00235ADC"/>
    <w:rsid w:val="00236D75"/>
    <w:rsid w:val="00236F87"/>
    <w:rsid w:val="00241ED1"/>
    <w:rsid w:val="00265702"/>
    <w:rsid w:val="002662B2"/>
    <w:rsid w:val="0027050A"/>
    <w:rsid w:val="002717C7"/>
    <w:rsid w:val="00282830"/>
    <w:rsid w:val="002837DE"/>
    <w:rsid w:val="002875E9"/>
    <w:rsid w:val="00287EB3"/>
    <w:rsid w:val="002A2323"/>
    <w:rsid w:val="002A47BA"/>
    <w:rsid w:val="002A6777"/>
    <w:rsid w:val="002B06BD"/>
    <w:rsid w:val="002C0E48"/>
    <w:rsid w:val="002C6F04"/>
    <w:rsid w:val="002E2177"/>
    <w:rsid w:val="002E2E41"/>
    <w:rsid w:val="002E78CD"/>
    <w:rsid w:val="002F20A7"/>
    <w:rsid w:val="003008F4"/>
    <w:rsid w:val="00302B1D"/>
    <w:rsid w:val="00307FA5"/>
    <w:rsid w:val="00323FCC"/>
    <w:rsid w:val="00324D64"/>
    <w:rsid w:val="003252C0"/>
    <w:rsid w:val="00352B52"/>
    <w:rsid w:val="0035760D"/>
    <w:rsid w:val="00363ECC"/>
    <w:rsid w:val="003642CB"/>
    <w:rsid w:val="003701DE"/>
    <w:rsid w:val="0037675C"/>
    <w:rsid w:val="00383BB7"/>
    <w:rsid w:val="0039020B"/>
    <w:rsid w:val="00395263"/>
    <w:rsid w:val="003956E0"/>
    <w:rsid w:val="0039609A"/>
    <w:rsid w:val="00397500"/>
    <w:rsid w:val="003A1987"/>
    <w:rsid w:val="003B1CC5"/>
    <w:rsid w:val="003B65CE"/>
    <w:rsid w:val="003C206D"/>
    <w:rsid w:val="003D6721"/>
    <w:rsid w:val="003D6B4D"/>
    <w:rsid w:val="003E039E"/>
    <w:rsid w:val="004020E2"/>
    <w:rsid w:val="0040230E"/>
    <w:rsid w:val="00407743"/>
    <w:rsid w:val="004156DC"/>
    <w:rsid w:val="0041662F"/>
    <w:rsid w:val="00422917"/>
    <w:rsid w:val="00436441"/>
    <w:rsid w:val="00440687"/>
    <w:rsid w:val="0044131D"/>
    <w:rsid w:val="00441ADA"/>
    <w:rsid w:val="004526D6"/>
    <w:rsid w:val="00457E46"/>
    <w:rsid w:val="00460DD4"/>
    <w:rsid w:val="004922E4"/>
    <w:rsid w:val="00496AF8"/>
    <w:rsid w:val="004A575D"/>
    <w:rsid w:val="004B65C6"/>
    <w:rsid w:val="004D1DC7"/>
    <w:rsid w:val="004E7215"/>
    <w:rsid w:val="004F1A86"/>
    <w:rsid w:val="004F397B"/>
    <w:rsid w:val="004F7D7E"/>
    <w:rsid w:val="00500B0C"/>
    <w:rsid w:val="00500CCA"/>
    <w:rsid w:val="00513F25"/>
    <w:rsid w:val="00522473"/>
    <w:rsid w:val="00534AD1"/>
    <w:rsid w:val="00537150"/>
    <w:rsid w:val="00540984"/>
    <w:rsid w:val="00543851"/>
    <w:rsid w:val="0055559D"/>
    <w:rsid w:val="005569AE"/>
    <w:rsid w:val="005731C3"/>
    <w:rsid w:val="00580E03"/>
    <w:rsid w:val="005857F8"/>
    <w:rsid w:val="005B0D18"/>
    <w:rsid w:val="005B12C3"/>
    <w:rsid w:val="005B409D"/>
    <w:rsid w:val="005D0FDB"/>
    <w:rsid w:val="005D25E9"/>
    <w:rsid w:val="005D6D59"/>
    <w:rsid w:val="0061327A"/>
    <w:rsid w:val="00617390"/>
    <w:rsid w:val="00622DEF"/>
    <w:rsid w:val="00623420"/>
    <w:rsid w:val="00634056"/>
    <w:rsid w:val="00634768"/>
    <w:rsid w:val="0063596F"/>
    <w:rsid w:val="00647C39"/>
    <w:rsid w:val="00655C97"/>
    <w:rsid w:val="006709EB"/>
    <w:rsid w:val="00672824"/>
    <w:rsid w:val="00676BD4"/>
    <w:rsid w:val="0068184A"/>
    <w:rsid w:val="006A0249"/>
    <w:rsid w:val="006A59D0"/>
    <w:rsid w:val="006B5C51"/>
    <w:rsid w:val="006C7F30"/>
    <w:rsid w:val="006D43FF"/>
    <w:rsid w:val="006D50CF"/>
    <w:rsid w:val="006E6FDD"/>
    <w:rsid w:val="006F4B7F"/>
    <w:rsid w:val="006F760B"/>
    <w:rsid w:val="00701CC3"/>
    <w:rsid w:val="0071177E"/>
    <w:rsid w:val="00724801"/>
    <w:rsid w:val="00726162"/>
    <w:rsid w:val="00732CCF"/>
    <w:rsid w:val="007340B3"/>
    <w:rsid w:val="00734949"/>
    <w:rsid w:val="00736AEC"/>
    <w:rsid w:val="00736E0F"/>
    <w:rsid w:val="00741F82"/>
    <w:rsid w:val="007434FA"/>
    <w:rsid w:val="007438A9"/>
    <w:rsid w:val="007573F0"/>
    <w:rsid w:val="00763065"/>
    <w:rsid w:val="00765156"/>
    <w:rsid w:val="00766717"/>
    <w:rsid w:val="0076742A"/>
    <w:rsid w:val="00767669"/>
    <w:rsid w:val="00770B6C"/>
    <w:rsid w:val="00773485"/>
    <w:rsid w:val="00776E8F"/>
    <w:rsid w:val="00776F6D"/>
    <w:rsid w:val="00791B6C"/>
    <w:rsid w:val="007C0297"/>
    <w:rsid w:val="007C13A5"/>
    <w:rsid w:val="007C1887"/>
    <w:rsid w:val="007C44ED"/>
    <w:rsid w:val="007D4775"/>
    <w:rsid w:val="007D5DC6"/>
    <w:rsid w:val="007E37A5"/>
    <w:rsid w:val="007E4FDD"/>
    <w:rsid w:val="007F49D8"/>
    <w:rsid w:val="00801BDB"/>
    <w:rsid w:val="00805940"/>
    <w:rsid w:val="008062F2"/>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C2E35"/>
    <w:rsid w:val="008D05B7"/>
    <w:rsid w:val="008E2999"/>
    <w:rsid w:val="008E5BFD"/>
    <w:rsid w:val="008E748E"/>
    <w:rsid w:val="008F1DC6"/>
    <w:rsid w:val="008F6F51"/>
    <w:rsid w:val="008F73DF"/>
    <w:rsid w:val="00900508"/>
    <w:rsid w:val="00900F6A"/>
    <w:rsid w:val="00905C5B"/>
    <w:rsid w:val="009150FB"/>
    <w:rsid w:val="00923295"/>
    <w:rsid w:val="00925F11"/>
    <w:rsid w:val="00926C18"/>
    <w:rsid w:val="00935265"/>
    <w:rsid w:val="00943D94"/>
    <w:rsid w:val="00944557"/>
    <w:rsid w:val="009457F8"/>
    <w:rsid w:val="0094689F"/>
    <w:rsid w:val="009477D6"/>
    <w:rsid w:val="00953ED3"/>
    <w:rsid w:val="009548D5"/>
    <w:rsid w:val="00965FF6"/>
    <w:rsid w:val="00966083"/>
    <w:rsid w:val="009846D6"/>
    <w:rsid w:val="0098657F"/>
    <w:rsid w:val="009A3236"/>
    <w:rsid w:val="009B5A93"/>
    <w:rsid w:val="009B5BEA"/>
    <w:rsid w:val="009B711A"/>
    <w:rsid w:val="009C291F"/>
    <w:rsid w:val="009D3249"/>
    <w:rsid w:val="009D4C59"/>
    <w:rsid w:val="009E37BD"/>
    <w:rsid w:val="009E6B86"/>
    <w:rsid w:val="00A03301"/>
    <w:rsid w:val="00A03401"/>
    <w:rsid w:val="00A12762"/>
    <w:rsid w:val="00A13867"/>
    <w:rsid w:val="00A26FED"/>
    <w:rsid w:val="00A421D4"/>
    <w:rsid w:val="00A44FF0"/>
    <w:rsid w:val="00A50E55"/>
    <w:rsid w:val="00A6388F"/>
    <w:rsid w:val="00A66FBD"/>
    <w:rsid w:val="00A67EB1"/>
    <w:rsid w:val="00A74E11"/>
    <w:rsid w:val="00A87501"/>
    <w:rsid w:val="00A9011D"/>
    <w:rsid w:val="00A91A47"/>
    <w:rsid w:val="00A95D2B"/>
    <w:rsid w:val="00AA54BE"/>
    <w:rsid w:val="00AA5587"/>
    <w:rsid w:val="00AB4ECE"/>
    <w:rsid w:val="00AC1E53"/>
    <w:rsid w:val="00AC2988"/>
    <w:rsid w:val="00AC2E68"/>
    <w:rsid w:val="00AD4039"/>
    <w:rsid w:val="00AD79C8"/>
    <w:rsid w:val="00AE05CC"/>
    <w:rsid w:val="00AE294C"/>
    <w:rsid w:val="00AE5744"/>
    <w:rsid w:val="00AE6CE0"/>
    <w:rsid w:val="00AF553E"/>
    <w:rsid w:val="00B058A6"/>
    <w:rsid w:val="00B117D0"/>
    <w:rsid w:val="00B13998"/>
    <w:rsid w:val="00B34A5D"/>
    <w:rsid w:val="00B35C5F"/>
    <w:rsid w:val="00B437DF"/>
    <w:rsid w:val="00B439DD"/>
    <w:rsid w:val="00B52E0F"/>
    <w:rsid w:val="00B67139"/>
    <w:rsid w:val="00B74629"/>
    <w:rsid w:val="00B76C92"/>
    <w:rsid w:val="00B800C2"/>
    <w:rsid w:val="00B91F58"/>
    <w:rsid w:val="00B975E5"/>
    <w:rsid w:val="00BA579E"/>
    <w:rsid w:val="00BA79DA"/>
    <w:rsid w:val="00BC1323"/>
    <w:rsid w:val="00BC2F04"/>
    <w:rsid w:val="00BE2295"/>
    <w:rsid w:val="00BE6373"/>
    <w:rsid w:val="00BF096F"/>
    <w:rsid w:val="00BF533A"/>
    <w:rsid w:val="00C211B1"/>
    <w:rsid w:val="00C23EC2"/>
    <w:rsid w:val="00C41794"/>
    <w:rsid w:val="00C46677"/>
    <w:rsid w:val="00C5180E"/>
    <w:rsid w:val="00C54E40"/>
    <w:rsid w:val="00C55F56"/>
    <w:rsid w:val="00C57BA4"/>
    <w:rsid w:val="00C613EB"/>
    <w:rsid w:val="00C7113F"/>
    <w:rsid w:val="00C71C1A"/>
    <w:rsid w:val="00C84623"/>
    <w:rsid w:val="00C93DF6"/>
    <w:rsid w:val="00CB06C9"/>
    <w:rsid w:val="00CB1E41"/>
    <w:rsid w:val="00CB271C"/>
    <w:rsid w:val="00CC0F87"/>
    <w:rsid w:val="00CC162F"/>
    <w:rsid w:val="00CE1A7E"/>
    <w:rsid w:val="00CE4F96"/>
    <w:rsid w:val="00CF0AB1"/>
    <w:rsid w:val="00CF4B9B"/>
    <w:rsid w:val="00CF55E6"/>
    <w:rsid w:val="00CF772F"/>
    <w:rsid w:val="00CF77A4"/>
    <w:rsid w:val="00D048DB"/>
    <w:rsid w:val="00D1104C"/>
    <w:rsid w:val="00D14F0B"/>
    <w:rsid w:val="00D178CA"/>
    <w:rsid w:val="00D3311C"/>
    <w:rsid w:val="00D3656D"/>
    <w:rsid w:val="00D53405"/>
    <w:rsid w:val="00D5457B"/>
    <w:rsid w:val="00D72995"/>
    <w:rsid w:val="00D73685"/>
    <w:rsid w:val="00D814EC"/>
    <w:rsid w:val="00DA7FA2"/>
    <w:rsid w:val="00DB25CD"/>
    <w:rsid w:val="00DB4BCF"/>
    <w:rsid w:val="00DC2D8D"/>
    <w:rsid w:val="00DC7F67"/>
    <w:rsid w:val="00DE1F5D"/>
    <w:rsid w:val="00DE50D8"/>
    <w:rsid w:val="00DF13BD"/>
    <w:rsid w:val="00DF278A"/>
    <w:rsid w:val="00E00568"/>
    <w:rsid w:val="00E1504F"/>
    <w:rsid w:val="00E1664B"/>
    <w:rsid w:val="00E30441"/>
    <w:rsid w:val="00E30D12"/>
    <w:rsid w:val="00E3394E"/>
    <w:rsid w:val="00E35241"/>
    <w:rsid w:val="00E41417"/>
    <w:rsid w:val="00E42FAA"/>
    <w:rsid w:val="00E4650C"/>
    <w:rsid w:val="00E536D3"/>
    <w:rsid w:val="00E57BE2"/>
    <w:rsid w:val="00E62A95"/>
    <w:rsid w:val="00E63C7D"/>
    <w:rsid w:val="00E70CDC"/>
    <w:rsid w:val="00E746A2"/>
    <w:rsid w:val="00E90D06"/>
    <w:rsid w:val="00E97E59"/>
    <w:rsid w:val="00EA4EAA"/>
    <w:rsid w:val="00EA79C9"/>
    <w:rsid w:val="00EB66AC"/>
    <w:rsid w:val="00EC1225"/>
    <w:rsid w:val="00EC2247"/>
    <w:rsid w:val="00EC31B4"/>
    <w:rsid w:val="00ED041E"/>
    <w:rsid w:val="00EE17C3"/>
    <w:rsid w:val="00EE1F87"/>
    <w:rsid w:val="00EE3931"/>
    <w:rsid w:val="00EE5AF6"/>
    <w:rsid w:val="00EF2CEF"/>
    <w:rsid w:val="00F033C3"/>
    <w:rsid w:val="00F1092D"/>
    <w:rsid w:val="00F2372D"/>
    <w:rsid w:val="00F42C20"/>
    <w:rsid w:val="00F431D8"/>
    <w:rsid w:val="00F6218A"/>
    <w:rsid w:val="00F63E8D"/>
    <w:rsid w:val="00F67706"/>
    <w:rsid w:val="00F734DC"/>
    <w:rsid w:val="00F77E4C"/>
    <w:rsid w:val="00F81FE3"/>
    <w:rsid w:val="00F90F82"/>
    <w:rsid w:val="00F9259A"/>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Default">
    <w:name w:val="Default"/>
    <w:rsid w:val="00500CCA"/>
    <w:pPr>
      <w:autoSpaceDE w:val="0"/>
      <w:autoSpaceDN w:val="0"/>
      <w:adjustRightInd w:val="0"/>
      <w:ind w:left="0" w:firstLine="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140349">
      <w:bodyDiv w:val="1"/>
      <w:marLeft w:val="0"/>
      <w:marRight w:val="0"/>
      <w:marTop w:val="0"/>
      <w:marBottom w:val="0"/>
      <w:divBdr>
        <w:top w:val="none" w:sz="0" w:space="0" w:color="auto"/>
        <w:left w:val="none" w:sz="0" w:space="0" w:color="auto"/>
        <w:bottom w:val="none" w:sz="0" w:space="0" w:color="auto"/>
        <w:right w:val="none" w:sz="0" w:space="0" w:color="auto"/>
      </w:divBdr>
      <w:divsChild>
        <w:div w:id="38944734">
          <w:marLeft w:val="547"/>
          <w:marRight w:val="0"/>
          <w:marTop w:val="0"/>
          <w:marBottom w:val="0"/>
          <w:divBdr>
            <w:top w:val="none" w:sz="0" w:space="0" w:color="auto"/>
            <w:left w:val="none" w:sz="0" w:space="0" w:color="auto"/>
            <w:bottom w:val="none" w:sz="0" w:space="0" w:color="auto"/>
            <w:right w:val="none" w:sz="0" w:space="0" w:color="auto"/>
          </w:divBdr>
        </w:div>
      </w:divsChild>
    </w:div>
    <w:div w:id="947665297">
      <w:bodyDiv w:val="1"/>
      <w:marLeft w:val="0"/>
      <w:marRight w:val="0"/>
      <w:marTop w:val="0"/>
      <w:marBottom w:val="0"/>
      <w:divBdr>
        <w:top w:val="none" w:sz="0" w:space="0" w:color="auto"/>
        <w:left w:val="none" w:sz="0" w:space="0" w:color="auto"/>
        <w:bottom w:val="none" w:sz="0" w:space="0" w:color="auto"/>
        <w:right w:val="none" w:sz="0" w:space="0" w:color="auto"/>
      </w:divBdr>
      <w:divsChild>
        <w:div w:id="1213074780">
          <w:marLeft w:val="0"/>
          <w:marRight w:val="0"/>
          <w:marTop w:val="0"/>
          <w:marBottom w:val="0"/>
          <w:divBdr>
            <w:top w:val="none" w:sz="0" w:space="0" w:color="auto"/>
            <w:left w:val="none" w:sz="0" w:space="0" w:color="auto"/>
            <w:bottom w:val="none" w:sz="0" w:space="0" w:color="auto"/>
            <w:right w:val="none" w:sz="0" w:space="0" w:color="auto"/>
          </w:divBdr>
        </w:div>
        <w:div w:id="233514270">
          <w:marLeft w:val="0"/>
          <w:marRight w:val="0"/>
          <w:marTop w:val="0"/>
          <w:marBottom w:val="0"/>
          <w:divBdr>
            <w:top w:val="none" w:sz="0" w:space="0" w:color="auto"/>
            <w:left w:val="none" w:sz="0" w:space="0" w:color="auto"/>
            <w:bottom w:val="none" w:sz="0" w:space="0" w:color="auto"/>
            <w:right w:val="none" w:sz="0" w:space="0" w:color="auto"/>
          </w:divBdr>
        </w:div>
        <w:div w:id="2006275531">
          <w:marLeft w:val="0"/>
          <w:marRight w:val="0"/>
          <w:marTop w:val="0"/>
          <w:marBottom w:val="0"/>
          <w:divBdr>
            <w:top w:val="none" w:sz="0" w:space="0" w:color="auto"/>
            <w:left w:val="none" w:sz="0" w:space="0" w:color="auto"/>
            <w:bottom w:val="none" w:sz="0" w:space="0" w:color="auto"/>
            <w:right w:val="none" w:sz="0" w:space="0" w:color="auto"/>
          </w:divBdr>
        </w:div>
        <w:div w:id="1748107804">
          <w:marLeft w:val="0"/>
          <w:marRight w:val="0"/>
          <w:marTop w:val="0"/>
          <w:marBottom w:val="0"/>
          <w:divBdr>
            <w:top w:val="none" w:sz="0" w:space="0" w:color="auto"/>
            <w:left w:val="none" w:sz="0" w:space="0" w:color="auto"/>
            <w:bottom w:val="none" w:sz="0" w:space="0" w:color="auto"/>
            <w:right w:val="none" w:sz="0" w:space="0" w:color="auto"/>
          </w:divBdr>
        </w:div>
        <w:div w:id="1999192591">
          <w:marLeft w:val="0"/>
          <w:marRight w:val="0"/>
          <w:marTop w:val="0"/>
          <w:marBottom w:val="0"/>
          <w:divBdr>
            <w:top w:val="none" w:sz="0" w:space="0" w:color="auto"/>
            <w:left w:val="none" w:sz="0" w:space="0" w:color="auto"/>
            <w:bottom w:val="none" w:sz="0" w:space="0" w:color="auto"/>
            <w:right w:val="none" w:sz="0" w:space="0" w:color="auto"/>
          </w:divBdr>
        </w:div>
        <w:div w:id="1389451736">
          <w:marLeft w:val="0"/>
          <w:marRight w:val="0"/>
          <w:marTop w:val="0"/>
          <w:marBottom w:val="0"/>
          <w:divBdr>
            <w:top w:val="none" w:sz="0" w:space="0" w:color="auto"/>
            <w:left w:val="none" w:sz="0" w:space="0" w:color="auto"/>
            <w:bottom w:val="none" w:sz="0" w:space="0" w:color="auto"/>
            <w:right w:val="none" w:sz="0" w:space="0" w:color="auto"/>
          </w:divBdr>
        </w:div>
        <w:div w:id="1605654994">
          <w:marLeft w:val="0"/>
          <w:marRight w:val="0"/>
          <w:marTop w:val="0"/>
          <w:marBottom w:val="0"/>
          <w:divBdr>
            <w:top w:val="none" w:sz="0" w:space="0" w:color="auto"/>
            <w:left w:val="none" w:sz="0" w:space="0" w:color="auto"/>
            <w:bottom w:val="none" w:sz="0" w:space="0" w:color="auto"/>
            <w:right w:val="none" w:sz="0" w:space="0" w:color="auto"/>
          </w:divBdr>
        </w:div>
        <w:div w:id="1894000228">
          <w:marLeft w:val="0"/>
          <w:marRight w:val="0"/>
          <w:marTop w:val="0"/>
          <w:marBottom w:val="0"/>
          <w:divBdr>
            <w:top w:val="none" w:sz="0" w:space="0" w:color="auto"/>
            <w:left w:val="none" w:sz="0" w:space="0" w:color="auto"/>
            <w:bottom w:val="none" w:sz="0" w:space="0" w:color="auto"/>
            <w:right w:val="none" w:sz="0" w:space="0" w:color="auto"/>
          </w:divBdr>
        </w:div>
        <w:div w:id="1846556807">
          <w:marLeft w:val="0"/>
          <w:marRight w:val="0"/>
          <w:marTop w:val="0"/>
          <w:marBottom w:val="0"/>
          <w:divBdr>
            <w:top w:val="none" w:sz="0" w:space="0" w:color="auto"/>
            <w:left w:val="none" w:sz="0" w:space="0" w:color="auto"/>
            <w:bottom w:val="none" w:sz="0" w:space="0" w:color="auto"/>
            <w:right w:val="none" w:sz="0" w:space="0" w:color="auto"/>
          </w:divBdr>
        </w:div>
      </w:divsChild>
    </w:div>
    <w:div w:id="1323193492">
      <w:bodyDiv w:val="1"/>
      <w:marLeft w:val="0"/>
      <w:marRight w:val="0"/>
      <w:marTop w:val="0"/>
      <w:marBottom w:val="0"/>
      <w:divBdr>
        <w:top w:val="none" w:sz="0" w:space="0" w:color="auto"/>
        <w:left w:val="none" w:sz="0" w:space="0" w:color="auto"/>
        <w:bottom w:val="none" w:sz="0" w:space="0" w:color="auto"/>
        <w:right w:val="none" w:sz="0" w:space="0" w:color="auto"/>
      </w:divBdr>
    </w:div>
    <w:div w:id="1998849058">
      <w:bodyDiv w:val="1"/>
      <w:marLeft w:val="0"/>
      <w:marRight w:val="0"/>
      <w:marTop w:val="0"/>
      <w:marBottom w:val="0"/>
      <w:divBdr>
        <w:top w:val="none" w:sz="0" w:space="0" w:color="auto"/>
        <w:left w:val="none" w:sz="0" w:space="0" w:color="auto"/>
        <w:bottom w:val="none" w:sz="0" w:space="0" w:color="auto"/>
        <w:right w:val="none" w:sz="0" w:space="0" w:color="auto"/>
      </w:divBdr>
      <w:divsChild>
        <w:div w:id="138154788">
          <w:marLeft w:val="547"/>
          <w:marRight w:val="0"/>
          <w:marTop w:val="0"/>
          <w:marBottom w:val="0"/>
          <w:divBdr>
            <w:top w:val="none" w:sz="0" w:space="0" w:color="auto"/>
            <w:left w:val="none" w:sz="0" w:space="0" w:color="auto"/>
            <w:bottom w:val="none" w:sz="0" w:space="0" w:color="auto"/>
            <w:right w:val="none" w:sz="0" w:space="0" w:color="auto"/>
          </w:divBdr>
        </w:div>
        <w:div w:id="1914661752">
          <w:marLeft w:val="547"/>
          <w:marRight w:val="0"/>
          <w:marTop w:val="0"/>
          <w:marBottom w:val="0"/>
          <w:divBdr>
            <w:top w:val="none" w:sz="0" w:space="0" w:color="auto"/>
            <w:left w:val="none" w:sz="0" w:space="0" w:color="auto"/>
            <w:bottom w:val="none" w:sz="0" w:space="0" w:color="auto"/>
            <w:right w:val="none" w:sz="0" w:space="0" w:color="auto"/>
          </w:divBdr>
        </w:div>
        <w:div w:id="2091808373">
          <w:marLeft w:val="547"/>
          <w:marRight w:val="0"/>
          <w:marTop w:val="0"/>
          <w:marBottom w:val="0"/>
          <w:divBdr>
            <w:top w:val="none" w:sz="0" w:space="0" w:color="auto"/>
            <w:left w:val="none" w:sz="0" w:space="0" w:color="auto"/>
            <w:bottom w:val="none" w:sz="0" w:space="0" w:color="auto"/>
            <w:right w:val="none" w:sz="0" w:space="0" w:color="auto"/>
          </w:divBdr>
        </w:div>
        <w:div w:id="1218470182">
          <w:marLeft w:val="547"/>
          <w:marRight w:val="0"/>
          <w:marTop w:val="0"/>
          <w:marBottom w:val="0"/>
          <w:divBdr>
            <w:top w:val="none" w:sz="0" w:space="0" w:color="auto"/>
            <w:left w:val="none" w:sz="0" w:space="0" w:color="auto"/>
            <w:bottom w:val="none" w:sz="0" w:space="0" w:color="auto"/>
            <w:right w:val="none" w:sz="0" w:space="0" w:color="auto"/>
          </w:divBdr>
        </w:div>
        <w:div w:id="939949478">
          <w:marLeft w:val="547"/>
          <w:marRight w:val="0"/>
          <w:marTop w:val="0"/>
          <w:marBottom w:val="0"/>
          <w:divBdr>
            <w:top w:val="none" w:sz="0" w:space="0" w:color="auto"/>
            <w:left w:val="none" w:sz="0" w:space="0" w:color="auto"/>
            <w:bottom w:val="none" w:sz="0" w:space="0" w:color="auto"/>
            <w:right w:val="none" w:sz="0" w:space="0" w:color="auto"/>
          </w:divBdr>
        </w:div>
      </w:divsChild>
    </w:div>
    <w:div w:id="2111774711">
      <w:bodyDiv w:val="1"/>
      <w:marLeft w:val="0"/>
      <w:marRight w:val="0"/>
      <w:marTop w:val="0"/>
      <w:marBottom w:val="0"/>
      <w:divBdr>
        <w:top w:val="none" w:sz="0" w:space="0" w:color="auto"/>
        <w:left w:val="none" w:sz="0" w:space="0" w:color="auto"/>
        <w:bottom w:val="none" w:sz="0" w:space="0" w:color="auto"/>
        <w:right w:val="none" w:sz="0" w:space="0" w:color="auto"/>
      </w:divBdr>
      <w:divsChild>
        <w:div w:id="1401059042">
          <w:marLeft w:val="547"/>
          <w:marRight w:val="0"/>
          <w:marTop w:val="0"/>
          <w:marBottom w:val="0"/>
          <w:divBdr>
            <w:top w:val="none" w:sz="0" w:space="0" w:color="auto"/>
            <w:left w:val="none" w:sz="0" w:space="0" w:color="auto"/>
            <w:bottom w:val="none" w:sz="0" w:space="0" w:color="auto"/>
            <w:right w:val="none" w:sz="0" w:space="0" w:color="auto"/>
          </w:divBdr>
        </w:div>
        <w:div w:id="678239546">
          <w:marLeft w:val="547"/>
          <w:marRight w:val="0"/>
          <w:marTop w:val="0"/>
          <w:marBottom w:val="0"/>
          <w:divBdr>
            <w:top w:val="none" w:sz="0" w:space="0" w:color="auto"/>
            <w:left w:val="none" w:sz="0" w:space="0" w:color="auto"/>
            <w:bottom w:val="none" w:sz="0" w:space="0" w:color="auto"/>
            <w:right w:val="none" w:sz="0" w:space="0" w:color="auto"/>
          </w:divBdr>
        </w:div>
        <w:div w:id="555746050">
          <w:marLeft w:val="547"/>
          <w:marRight w:val="0"/>
          <w:marTop w:val="0"/>
          <w:marBottom w:val="0"/>
          <w:divBdr>
            <w:top w:val="none" w:sz="0" w:space="0" w:color="auto"/>
            <w:left w:val="none" w:sz="0" w:space="0" w:color="auto"/>
            <w:bottom w:val="none" w:sz="0" w:space="0" w:color="auto"/>
            <w:right w:val="none" w:sz="0" w:space="0" w:color="auto"/>
          </w:divBdr>
        </w:div>
        <w:div w:id="320013692">
          <w:marLeft w:val="547"/>
          <w:marRight w:val="0"/>
          <w:marTop w:val="0"/>
          <w:marBottom w:val="0"/>
          <w:divBdr>
            <w:top w:val="none" w:sz="0" w:space="0" w:color="auto"/>
            <w:left w:val="none" w:sz="0" w:space="0" w:color="auto"/>
            <w:bottom w:val="none" w:sz="0" w:space="0" w:color="auto"/>
            <w:right w:val="none" w:sz="0" w:space="0" w:color="auto"/>
          </w:divBdr>
        </w:div>
        <w:div w:id="125031048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BBB9D8-6988-4AA6-A9F1-5DB2703C27BD}" type="doc">
      <dgm:prSet loTypeId="urn:microsoft.com/office/officeart/2005/8/layout/process1" loCatId="process" qsTypeId="urn:microsoft.com/office/officeart/2005/8/quickstyle/simple3" qsCatId="simple" csTypeId="urn:microsoft.com/office/officeart/2005/8/colors/colorful5" csCatId="colorful" phldr="1"/>
      <dgm:spPr/>
      <dgm:t>
        <a:bodyPr/>
        <a:lstStyle/>
        <a:p>
          <a:endParaRPr lang="en-US"/>
        </a:p>
      </dgm:t>
    </dgm:pt>
    <dgm:pt modelId="{3851AB3F-4082-497C-81FA-C81D9AF15B49}">
      <dgm:prSet phldrT="[Text]" custT="1"/>
      <dgm:spPr/>
      <dgm:t>
        <a:bodyPr/>
        <a:lstStyle/>
        <a:p>
          <a:pPr algn="l"/>
          <a:r>
            <a:rPr lang="en-US" sz="1000" b="1"/>
            <a:t>Patient-level</a:t>
          </a:r>
          <a:r>
            <a:rPr lang="en-US" sz="1000"/>
            <a:t>: Management of patient comorbidites; approach to prep</a:t>
          </a:r>
        </a:p>
        <a:p>
          <a:pPr algn="l"/>
          <a:r>
            <a:rPr lang="en-US" sz="1000" b="1"/>
            <a:t>Provider-level:</a:t>
          </a:r>
          <a:r>
            <a:rPr lang="en-US" sz="1000"/>
            <a:t> Technical quality of procedure, </a:t>
          </a:r>
          <a:r>
            <a:rPr lang="en-US" sz="1000">
              <a:solidFill>
                <a:sysClr val="windowText" lastClr="000000"/>
              </a:solidFill>
            </a:rPr>
            <a:t>post-procedure provider accessibility</a:t>
          </a:r>
        </a:p>
        <a:p>
          <a:pPr algn="l"/>
          <a:r>
            <a:rPr lang="en-US" sz="1000" b="1"/>
            <a:t>Facility-level</a:t>
          </a:r>
          <a:r>
            <a:rPr lang="en-US" sz="1000"/>
            <a:t>:  Anesthesia, post-procedure care, </a:t>
          </a:r>
          <a:r>
            <a:rPr lang="en-US" sz="1000">
              <a:solidFill>
                <a:sysClr val="windowText" lastClr="000000"/>
              </a:solidFill>
            </a:rPr>
            <a:t>pre- and post-discharge patient communication, other post-procedural processes</a:t>
          </a:r>
        </a:p>
      </dgm:t>
    </dgm:pt>
    <dgm:pt modelId="{28CFFA8C-6ED8-46FD-9EAC-15BD3526077B}" type="sibTrans" cxnId="{549F2EBE-E2C4-4373-9B49-E4B46198E283}">
      <dgm:prSet/>
      <dgm:spPr/>
      <dgm:t>
        <a:bodyPr/>
        <a:lstStyle/>
        <a:p>
          <a:endParaRPr lang="en-US"/>
        </a:p>
      </dgm:t>
    </dgm:pt>
    <dgm:pt modelId="{671BB176-C359-47B2-82D1-FA13F61B927D}" type="parTrans" cxnId="{549F2EBE-E2C4-4373-9B49-E4B46198E283}">
      <dgm:prSet/>
      <dgm:spPr/>
      <dgm:t>
        <a:bodyPr/>
        <a:lstStyle/>
        <a:p>
          <a:endParaRPr lang="en-US"/>
        </a:p>
      </dgm:t>
    </dgm:pt>
    <dgm:pt modelId="{3F4804B5-9C4F-4298-BDA1-B6B18B86B8F9}">
      <dgm:prSet phldrT="[Text]" custT="1"/>
      <dgm:spPr/>
      <dgm:t>
        <a:bodyPr/>
        <a:lstStyle/>
        <a:p>
          <a:r>
            <a:rPr lang="en-US" sz="1200"/>
            <a:t>Decreased risk of adverse events and/or increased provision of followup care in non-hospital based settings</a:t>
          </a:r>
        </a:p>
      </dgm:t>
    </dgm:pt>
    <dgm:pt modelId="{D60B0D25-1C8B-4ED4-8370-DB750F3A78D6}" type="sibTrans" cxnId="{344C23D5-B493-4A1A-8F87-3CDB9E2C7628}">
      <dgm:prSet/>
      <dgm:spPr/>
      <dgm:t>
        <a:bodyPr/>
        <a:lstStyle/>
        <a:p>
          <a:endParaRPr lang="en-US"/>
        </a:p>
      </dgm:t>
    </dgm:pt>
    <dgm:pt modelId="{5CFCD48A-C2FA-48FA-A8C9-BE9B6BF3CB57}" type="parTrans" cxnId="{344C23D5-B493-4A1A-8F87-3CDB9E2C7628}">
      <dgm:prSet/>
      <dgm:spPr/>
      <dgm:t>
        <a:bodyPr/>
        <a:lstStyle/>
        <a:p>
          <a:endParaRPr lang="en-US"/>
        </a:p>
      </dgm:t>
    </dgm:pt>
    <dgm:pt modelId="{97665F0E-13FF-44DB-AD86-D42C1254633B}" type="pres">
      <dgm:prSet presAssocID="{43BBB9D8-6988-4AA6-A9F1-5DB2703C27BD}" presName="Name0" presStyleCnt="0">
        <dgm:presLayoutVars>
          <dgm:dir/>
          <dgm:resizeHandles val="exact"/>
        </dgm:presLayoutVars>
      </dgm:prSet>
      <dgm:spPr/>
    </dgm:pt>
    <dgm:pt modelId="{8A78CA4B-14DA-4219-87C3-9798B83C7FD8}" type="pres">
      <dgm:prSet presAssocID="{3851AB3F-4082-497C-81FA-C81D9AF15B49}" presName="node" presStyleLbl="node1" presStyleIdx="0" presStyleCnt="2" custScaleX="146325" custScaleY="206953" custLinFactNeighborX="144" custLinFactNeighborY="28743">
        <dgm:presLayoutVars>
          <dgm:bulletEnabled val="1"/>
        </dgm:presLayoutVars>
      </dgm:prSet>
      <dgm:spPr/>
    </dgm:pt>
    <dgm:pt modelId="{4AFF4BEB-3343-438B-8AFB-660EADE77186}" type="pres">
      <dgm:prSet presAssocID="{28CFFA8C-6ED8-46FD-9EAC-15BD3526077B}" presName="sibTrans" presStyleLbl="sibTrans2D1" presStyleIdx="0" presStyleCnt="1"/>
      <dgm:spPr/>
    </dgm:pt>
    <dgm:pt modelId="{A85AF43B-0987-455F-8BC6-46B16F4F73C4}" type="pres">
      <dgm:prSet presAssocID="{28CFFA8C-6ED8-46FD-9EAC-15BD3526077B}" presName="connectorText" presStyleLbl="sibTrans2D1" presStyleIdx="0" presStyleCnt="1"/>
      <dgm:spPr/>
    </dgm:pt>
    <dgm:pt modelId="{1DF5ADDA-8A91-4E11-80A9-45182D310E39}" type="pres">
      <dgm:prSet presAssocID="{3F4804B5-9C4F-4298-BDA1-B6B18B86B8F9}" presName="node" presStyleLbl="node1" presStyleIdx="1" presStyleCnt="2" custScaleY="192320" custLinFactNeighborX="14604" custLinFactNeighborY="1955">
        <dgm:presLayoutVars>
          <dgm:bulletEnabled val="1"/>
        </dgm:presLayoutVars>
      </dgm:prSet>
      <dgm:spPr/>
    </dgm:pt>
  </dgm:ptLst>
  <dgm:cxnLst>
    <dgm:cxn modelId="{1A75E63A-8EA4-42D8-ADBF-3BF11842F038}" type="presOf" srcId="{3851AB3F-4082-497C-81FA-C81D9AF15B49}" destId="{8A78CA4B-14DA-4219-87C3-9798B83C7FD8}" srcOrd="0" destOrd="0" presId="urn:microsoft.com/office/officeart/2005/8/layout/process1"/>
    <dgm:cxn modelId="{C7B2B34A-3235-408F-AC53-9C1DCCFCEBA4}" type="presOf" srcId="{43BBB9D8-6988-4AA6-A9F1-5DB2703C27BD}" destId="{97665F0E-13FF-44DB-AD86-D42C1254633B}" srcOrd="0" destOrd="0" presId="urn:microsoft.com/office/officeart/2005/8/layout/process1"/>
    <dgm:cxn modelId="{E9B06C6D-8C32-462E-87C0-6E2A75C6F2F3}" type="presOf" srcId="{3F4804B5-9C4F-4298-BDA1-B6B18B86B8F9}" destId="{1DF5ADDA-8A91-4E11-80A9-45182D310E39}" srcOrd="0" destOrd="0" presId="urn:microsoft.com/office/officeart/2005/8/layout/process1"/>
    <dgm:cxn modelId="{732CB076-FAA1-4CB7-B786-2B5264EE27E1}" type="presOf" srcId="{28CFFA8C-6ED8-46FD-9EAC-15BD3526077B}" destId="{4AFF4BEB-3343-438B-8AFB-660EADE77186}" srcOrd="0" destOrd="0" presId="urn:microsoft.com/office/officeart/2005/8/layout/process1"/>
    <dgm:cxn modelId="{549F2EBE-E2C4-4373-9B49-E4B46198E283}" srcId="{43BBB9D8-6988-4AA6-A9F1-5DB2703C27BD}" destId="{3851AB3F-4082-497C-81FA-C81D9AF15B49}" srcOrd="0" destOrd="0" parTransId="{671BB176-C359-47B2-82D1-FA13F61B927D}" sibTransId="{28CFFA8C-6ED8-46FD-9EAC-15BD3526077B}"/>
    <dgm:cxn modelId="{AC8341D0-B309-4C85-ABC6-A7A7A7F4BC66}" type="presOf" srcId="{28CFFA8C-6ED8-46FD-9EAC-15BD3526077B}" destId="{A85AF43B-0987-455F-8BC6-46B16F4F73C4}" srcOrd="1" destOrd="0" presId="urn:microsoft.com/office/officeart/2005/8/layout/process1"/>
    <dgm:cxn modelId="{344C23D5-B493-4A1A-8F87-3CDB9E2C7628}" srcId="{43BBB9D8-6988-4AA6-A9F1-5DB2703C27BD}" destId="{3F4804B5-9C4F-4298-BDA1-B6B18B86B8F9}" srcOrd="1" destOrd="0" parTransId="{5CFCD48A-C2FA-48FA-A8C9-BE9B6BF3CB57}" sibTransId="{D60B0D25-1C8B-4ED4-8370-DB750F3A78D6}"/>
    <dgm:cxn modelId="{30893C05-6514-4E50-A91C-E9019AF9DE13}" type="presParOf" srcId="{97665F0E-13FF-44DB-AD86-D42C1254633B}" destId="{8A78CA4B-14DA-4219-87C3-9798B83C7FD8}" srcOrd="0" destOrd="0" presId="urn:microsoft.com/office/officeart/2005/8/layout/process1"/>
    <dgm:cxn modelId="{54BC9419-EAEF-429F-B949-CD0C48A65FAC}" type="presParOf" srcId="{97665F0E-13FF-44DB-AD86-D42C1254633B}" destId="{4AFF4BEB-3343-438B-8AFB-660EADE77186}" srcOrd="1" destOrd="0" presId="urn:microsoft.com/office/officeart/2005/8/layout/process1"/>
    <dgm:cxn modelId="{F839DE51-C6DB-400B-AB32-AF8179D453D8}" type="presParOf" srcId="{4AFF4BEB-3343-438B-8AFB-660EADE77186}" destId="{A85AF43B-0987-455F-8BC6-46B16F4F73C4}" srcOrd="0" destOrd="0" presId="urn:microsoft.com/office/officeart/2005/8/layout/process1"/>
    <dgm:cxn modelId="{01AA2C4D-CA97-4713-9553-B92B59EA18A1}" type="presParOf" srcId="{97665F0E-13FF-44DB-AD86-D42C1254633B}" destId="{1DF5ADDA-8A91-4E11-80A9-45182D310E39}" srcOrd="2"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78CA4B-14DA-4219-87C3-9798B83C7FD8}">
      <dsp:nvSpPr>
        <dsp:cNvPr id="0" name=""/>
        <dsp:cNvSpPr/>
      </dsp:nvSpPr>
      <dsp:spPr>
        <a:xfrm>
          <a:off x="2430" y="0"/>
          <a:ext cx="3179028" cy="1638300"/>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US" sz="1000" b="1" kern="1200"/>
            <a:t>Patient-level</a:t>
          </a:r>
          <a:r>
            <a:rPr lang="en-US" sz="1000" kern="1200"/>
            <a:t>: Management of patient comorbidites; approach to prep</a:t>
          </a:r>
        </a:p>
        <a:p>
          <a:pPr marL="0" lvl="0" indent="0" algn="l" defTabSz="444500">
            <a:lnSpc>
              <a:spcPct val="90000"/>
            </a:lnSpc>
            <a:spcBef>
              <a:spcPct val="0"/>
            </a:spcBef>
            <a:spcAft>
              <a:spcPct val="35000"/>
            </a:spcAft>
            <a:buNone/>
          </a:pPr>
          <a:r>
            <a:rPr lang="en-US" sz="1000" b="1" kern="1200"/>
            <a:t>Provider-level:</a:t>
          </a:r>
          <a:r>
            <a:rPr lang="en-US" sz="1000" kern="1200"/>
            <a:t> Technical quality of procedure, </a:t>
          </a:r>
          <a:r>
            <a:rPr lang="en-US" sz="1000" kern="1200">
              <a:solidFill>
                <a:sysClr val="windowText" lastClr="000000"/>
              </a:solidFill>
            </a:rPr>
            <a:t>post-procedure provider accessibility</a:t>
          </a:r>
        </a:p>
        <a:p>
          <a:pPr marL="0" lvl="0" indent="0" algn="l" defTabSz="444500">
            <a:lnSpc>
              <a:spcPct val="90000"/>
            </a:lnSpc>
            <a:spcBef>
              <a:spcPct val="0"/>
            </a:spcBef>
            <a:spcAft>
              <a:spcPct val="35000"/>
            </a:spcAft>
            <a:buNone/>
          </a:pPr>
          <a:r>
            <a:rPr lang="en-US" sz="1000" b="1" kern="1200"/>
            <a:t>Facility-level</a:t>
          </a:r>
          <a:r>
            <a:rPr lang="en-US" sz="1000" kern="1200"/>
            <a:t>:  Anesthesia, post-procedure care, </a:t>
          </a:r>
          <a:r>
            <a:rPr lang="en-US" sz="1000" kern="1200">
              <a:solidFill>
                <a:sysClr val="windowText" lastClr="000000"/>
              </a:solidFill>
            </a:rPr>
            <a:t>pre- and post-discharge patient communication, other post-procedural processes</a:t>
          </a:r>
        </a:p>
      </dsp:txBody>
      <dsp:txXfrm>
        <a:off x="50414" y="47984"/>
        <a:ext cx="3083060" cy="1542332"/>
      </dsp:txXfrm>
    </dsp:sp>
    <dsp:sp modelId="{4AFF4BEB-3343-438B-8AFB-660EADE77186}">
      <dsp:nvSpPr>
        <dsp:cNvPr id="0" name=""/>
        <dsp:cNvSpPr/>
      </dsp:nvSpPr>
      <dsp:spPr>
        <a:xfrm rot="15009">
          <a:off x="3398697" y="558643"/>
          <a:ext cx="460553" cy="538799"/>
        </a:xfrm>
        <a:prstGeom prst="rightArrow">
          <a:avLst>
            <a:gd name="adj1" fmla="val 60000"/>
            <a:gd name="adj2" fmla="val 5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endParaRPr lang="en-US" sz="2300" kern="1200"/>
        </a:p>
      </dsp:txBody>
      <dsp:txXfrm>
        <a:off x="3398698" y="666101"/>
        <a:ext cx="322387" cy="323279"/>
      </dsp:txXfrm>
    </dsp:sp>
    <dsp:sp modelId="{1DF5ADDA-8A91-4E11-80A9-45182D310E39}">
      <dsp:nvSpPr>
        <dsp:cNvPr id="0" name=""/>
        <dsp:cNvSpPr/>
      </dsp:nvSpPr>
      <dsp:spPr>
        <a:xfrm>
          <a:off x="4050419" y="73395"/>
          <a:ext cx="2172580" cy="1522460"/>
        </a:xfrm>
        <a:prstGeom prst="roundRect">
          <a:avLst>
            <a:gd name="adj" fmla="val 10000"/>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Decreased risk of adverse events and/or increased provision of followup care in non-hospital based settings</a:t>
          </a:r>
        </a:p>
      </dsp:txBody>
      <dsp:txXfrm>
        <a:off x="4095010" y="117986"/>
        <a:ext cx="2083398" cy="14332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40B14"/>
    <w:rsid w:val="002B5F47"/>
    <w:rsid w:val="003A1E4B"/>
    <w:rsid w:val="00455EB5"/>
    <w:rsid w:val="00461C1C"/>
    <w:rsid w:val="00461F25"/>
    <w:rsid w:val="004C4825"/>
    <w:rsid w:val="004E2027"/>
    <w:rsid w:val="005F21F3"/>
    <w:rsid w:val="0086267A"/>
    <w:rsid w:val="008F6A9B"/>
    <w:rsid w:val="00992AC0"/>
    <w:rsid w:val="009A4205"/>
    <w:rsid w:val="009F6539"/>
    <w:rsid w:val="00A77B15"/>
    <w:rsid w:val="00AD0514"/>
    <w:rsid w:val="00BE0F2D"/>
    <w:rsid w:val="00C03643"/>
    <w:rsid w:val="00C2797F"/>
    <w:rsid w:val="00C80225"/>
    <w:rsid w:val="00D228C9"/>
    <w:rsid w:val="00D2552B"/>
    <w:rsid w:val="00D75B64"/>
    <w:rsid w:val="00DB5324"/>
    <w:rsid w:val="00DE285E"/>
    <w:rsid w:val="00E05F91"/>
    <w:rsid w:val="00E25BF2"/>
    <w:rsid w:val="00E97654"/>
    <w:rsid w:val="00EA555A"/>
    <w:rsid w:val="00EE3D0D"/>
    <w:rsid w:val="00F2141F"/>
    <w:rsid w:val="00F87EB9"/>
    <w:rsid w:val="00FB6A88"/>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56724C6D-79DA-45A6-B516-FFC6F9591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1261</TotalTime>
  <Pages>8</Pages>
  <Words>3143</Words>
  <Characters>17919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Peter, Doris</cp:lastModifiedBy>
  <cp:revision>5</cp:revision>
  <cp:lastPrinted>2020-04-08T21:25:00Z</cp:lastPrinted>
  <dcterms:created xsi:type="dcterms:W3CDTF">2020-04-08T21:24:00Z</dcterms:created>
  <dcterms:modified xsi:type="dcterms:W3CDTF">2020-04-09T18:27:00Z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